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94057A" w14:textId="77777777" w:rsidR="00B10083" w:rsidRPr="00832A74" w:rsidRDefault="00B10083" w:rsidP="00B10083">
      <w:pPr>
        <w:jc w:val="right"/>
        <w:rPr>
          <w:rFonts w:ascii="Arial" w:hAnsi="Arial" w:cs="Arial"/>
          <w:b/>
          <w:bCs/>
          <w:kern w:val="0"/>
        </w:rPr>
      </w:pPr>
      <w:bookmarkStart w:id="0" w:name="PutDocumentNumberHere"/>
      <w:r w:rsidRPr="00832A74">
        <w:rPr>
          <w:rFonts w:ascii="Arial" w:hAnsi="Arial" w:cs="Arial"/>
          <w:b/>
          <w:bCs/>
        </w:rPr>
        <w:t>4</w:t>
      </w:r>
      <w:r>
        <w:rPr>
          <w:rFonts w:ascii="Arial" w:hAnsi="Arial" w:cs="Arial"/>
          <w:b/>
          <w:bCs/>
        </w:rPr>
        <w:t>7</w:t>
      </w:r>
      <w:r w:rsidRPr="00832A74">
        <w:rPr>
          <w:rFonts w:ascii="Arial" w:hAnsi="Arial" w:cs="Arial"/>
          <w:b/>
          <w:bCs/>
        </w:rPr>
        <w:t>th Annual Review of Progress</w:t>
      </w:r>
    </w:p>
    <w:p w14:paraId="14A2F350" w14:textId="77777777" w:rsidR="00B10083" w:rsidRPr="00832A74" w:rsidRDefault="00B10083" w:rsidP="00B10083">
      <w:pPr>
        <w:jc w:val="right"/>
        <w:rPr>
          <w:rFonts w:ascii="Arial" w:hAnsi="Arial" w:cs="Arial"/>
          <w:b/>
          <w:bCs/>
        </w:rPr>
      </w:pPr>
      <w:r w:rsidRPr="00832A74">
        <w:rPr>
          <w:rFonts w:ascii="Arial" w:hAnsi="Arial" w:cs="Arial"/>
          <w:b/>
          <w:bCs/>
        </w:rPr>
        <w:t>in Quantitative Nondestructive Evaluation</w:t>
      </w:r>
    </w:p>
    <w:p w14:paraId="4A5CFD4F" w14:textId="77777777" w:rsidR="00B10083" w:rsidRPr="00832A74" w:rsidRDefault="00B10083" w:rsidP="00B10083">
      <w:pPr>
        <w:jc w:val="right"/>
        <w:rPr>
          <w:rFonts w:ascii="Arial" w:hAnsi="Arial" w:cs="Arial"/>
          <w:b/>
          <w:bCs/>
        </w:rPr>
      </w:pPr>
      <w:r w:rsidRPr="00832A74">
        <w:rPr>
          <w:rFonts w:ascii="Arial" w:hAnsi="Arial" w:cs="Arial"/>
          <w:b/>
          <w:bCs/>
        </w:rPr>
        <w:t>QNDE20</w:t>
      </w:r>
      <w:r>
        <w:rPr>
          <w:rFonts w:ascii="Arial" w:hAnsi="Arial" w:cs="Arial"/>
          <w:b/>
          <w:bCs/>
        </w:rPr>
        <w:t>20</w:t>
      </w:r>
    </w:p>
    <w:p w14:paraId="6C6E90D8" w14:textId="77777777" w:rsidR="00B10083" w:rsidRPr="00832A74" w:rsidRDefault="00B10083" w:rsidP="00B10083">
      <w:pPr>
        <w:jc w:val="right"/>
        <w:rPr>
          <w:rFonts w:ascii="Arial" w:hAnsi="Arial" w:cs="Arial"/>
          <w:b/>
          <w:bCs/>
        </w:rPr>
      </w:pPr>
      <w:r w:rsidRPr="00832A74">
        <w:rPr>
          <w:rFonts w:ascii="Arial" w:hAnsi="Arial" w:cs="Arial"/>
          <w:b/>
          <w:bCs/>
        </w:rPr>
        <w:t xml:space="preserve"> July </w:t>
      </w:r>
      <w:r>
        <w:rPr>
          <w:rFonts w:ascii="Arial" w:hAnsi="Arial" w:cs="Arial"/>
          <w:b/>
          <w:bCs/>
        </w:rPr>
        <w:t>26</w:t>
      </w:r>
      <w:r w:rsidRPr="00832A74">
        <w:rPr>
          <w:rFonts w:ascii="Arial" w:hAnsi="Arial" w:cs="Arial"/>
          <w:b/>
          <w:bCs/>
        </w:rPr>
        <w:t>-</w:t>
      </w:r>
      <w:r>
        <w:rPr>
          <w:rFonts w:ascii="Arial" w:hAnsi="Arial" w:cs="Arial"/>
          <w:b/>
          <w:bCs/>
        </w:rPr>
        <w:t>30</w:t>
      </w:r>
      <w:r w:rsidRPr="00832A74">
        <w:rPr>
          <w:rFonts w:ascii="Arial" w:hAnsi="Arial" w:cs="Arial"/>
          <w:b/>
          <w:bCs/>
        </w:rPr>
        <w:t>, 20</w:t>
      </w:r>
      <w:r>
        <w:rPr>
          <w:rFonts w:ascii="Arial" w:hAnsi="Arial" w:cs="Arial"/>
          <w:b/>
          <w:bCs/>
        </w:rPr>
        <w:t>20</w:t>
      </w:r>
      <w:r w:rsidRPr="00832A74">
        <w:rPr>
          <w:rFonts w:ascii="Arial" w:hAnsi="Arial" w:cs="Arial"/>
          <w:b/>
          <w:bCs/>
        </w:rPr>
        <w:t xml:space="preserve">, </w:t>
      </w:r>
      <w:r>
        <w:rPr>
          <w:rFonts w:ascii="Arial" w:hAnsi="Arial" w:cs="Arial"/>
          <w:b/>
          <w:bCs/>
        </w:rPr>
        <w:t>Minneapolis</w:t>
      </w:r>
      <w:r w:rsidRPr="00832A74">
        <w:rPr>
          <w:rFonts w:ascii="Arial" w:hAnsi="Arial" w:cs="Arial"/>
          <w:b/>
          <w:bCs/>
        </w:rPr>
        <w:t xml:space="preserve">, </w:t>
      </w:r>
      <w:r>
        <w:rPr>
          <w:rFonts w:ascii="Arial" w:hAnsi="Arial" w:cs="Arial"/>
          <w:b/>
          <w:bCs/>
        </w:rPr>
        <w:t>MN</w:t>
      </w:r>
      <w:r w:rsidRPr="00832A74">
        <w:rPr>
          <w:rFonts w:ascii="Arial" w:hAnsi="Arial" w:cs="Arial"/>
          <w:b/>
          <w:bCs/>
        </w:rPr>
        <w:t>, USA</w:t>
      </w:r>
    </w:p>
    <w:p w14:paraId="68B7A3CE" w14:textId="77777777" w:rsidR="00B10083" w:rsidRDefault="00B10083" w:rsidP="00B10083">
      <w:pPr>
        <w:jc w:val="right"/>
        <w:rPr>
          <w:rFonts w:ascii="Arial" w:hAnsi="Arial" w:cs="Arial"/>
          <w:b/>
          <w:sz w:val="32"/>
          <w:szCs w:val="32"/>
        </w:rPr>
      </w:pPr>
    </w:p>
    <w:p w14:paraId="6814010E" w14:textId="1C3DEFC2" w:rsidR="00B10083" w:rsidRPr="00A5037A" w:rsidRDefault="00B10083" w:rsidP="00B10083">
      <w:pPr>
        <w:jc w:val="right"/>
        <w:rPr>
          <w:rFonts w:ascii="Arial" w:hAnsi="Arial" w:cs="Arial"/>
          <w:b/>
          <w:sz w:val="32"/>
          <w:szCs w:val="32"/>
        </w:rPr>
      </w:pPr>
      <w:r>
        <w:rPr>
          <w:rFonts w:ascii="Arial" w:hAnsi="Arial" w:cs="Arial"/>
          <w:b/>
          <w:sz w:val="32"/>
          <w:szCs w:val="32"/>
        </w:rPr>
        <w:t>QNDE2020</w:t>
      </w:r>
      <w:r w:rsidRPr="00A5037A">
        <w:rPr>
          <w:rFonts w:ascii="Arial" w:hAnsi="Arial" w:cs="Arial"/>
          <w:b/>
          <w:sz w:val="32"/>
          <w:szCs w:val="32"/>
        </w:rPr>
        <w:t>-</w:t>
      </w:r>
      <w:r>
        <w:rPr>
          <w:rFonts w:ascii="Arial" w:hAnsi="Arial" w:cs="Arial"/>
          <w:b/>
          <w:sz w:val="32"/>
          <w:szCs w:val="32"/>
        </w:rPr>
        <w:t>1234</w:t>
      </w:r>
    </w:p>
    <w:p w14:paraId="439F68B1" w14:textId="407AF19E" w:rsidR="008B61D2" w:rsidRPr="00A5037A" w:rsidRDefault="008B61D2" w:rsidP="001B6435">
      <w:pPr>
        <w:jc w:val="right"/>
        <w:rPr>
          <w:rFonts w:ascii="Arial" w:hAnsi="Arial" w:cs="Arial"/>
          <w:b/>
          <w:sz w:val="32"/>
          <w:szCs w:val="32"/>
        </w:rPr>
      </w:pPr>
    </w:p>
    <w:bookmarkEnd w:id="0"/>
    <w:p w14:paraId="55803028" w14:textId="77777777" w:rsidR="008B61D2" w:rsidRPr="00A5037A" w:rsidRDefault="008B61D2">
      <w:pPr>
        <w:rPr>
          <w:rFonts w:ascii="Arial" w:hAnsi="Arial" w:cs="Arial"/>
          <w:b/>
          <w:sz w:val="32"/>
          <w:szCs w:val="32"/>
        </w:rPr>
        <w:sectPr w:rsidR="008B61D2" w:rsidRPr="00A5037A">
          <w:footerReference w:type="default" r:id="rId8"/>
          <w:type w:val="continuous"/>
          <w:pgSz w:w="12240" w:h="15840"/>
          <w:pgMar w:top="720" w:right="720" w:bottom="1440" w:left="720" w:header="720" w:footer="720" w:gutter="0"/>
          <w:cols w:space="720"/>
        </w:sectPr>
      </w:pPr>
    </w:p>
    <w:p w14:paraId="2E95F386" w14:textId="77777777" w:rsidR="00B10083" w:rsidRDefault="00B10083" w:rsidP="00B10083">
      <w:pPr>
        <w:jc w:val="center"/>
        <w:rPr>
          <w:rFonts w:ascii="Arial" w:hAnsi="Arial"/>
          <w:b/>
          <w:caps/>
          <w:sz w:val="22"/>
          <w:szCs w:val="22"/>
        </w:rPr>
      </w:pPr>
    </w:p>
    <w:p w14:paraId="5360E771" w14:textId="1A2B1AA8" w:rsidR="008B61D2" w:rsidRDefault="00B10083" w:rsidP="006F2A22">
      <w:pPr>
        <w:jc w:val="center"/>
        <w:rPr>
          <w:rFonts w:ascii="Arial" w:hAnsi="Arial"/>
          <w:b/>
          <w:caps/>
          <w:sz w:val="22"/>
          <w:szCs w:val="22"/>
        </w:rPr>
      </w:pPr>
      <w:r>
        <w:rPr>
          <w:rFonts w:ascii="Arial" w:hAnsi="Arial"/>
          <w:b/>
          <w:caps/>
          <w:sz w:val="22"/>
          <w:szCs w:val="22"/>
        </w:rPr>
        <w:t>Delamination depth imaging for Quasi-static and fatigue load testing using passive thermography</w:t>
      </w:r>
    </w:p>
    <w:p w14:paraId="02AA6E92" w14:textId="77777777" w:rsidR="00914B2E" w:rsidRDefault="00914B2E" w:rsidP="006F2A22">
      <w:pPr>
        <w:jc w:val="center"/>
        <w:rPr>
          <w:rFonts w:ascii="Arial" w:hAnsi="Arial"/>
          <w:b/>
          <w:caps/>
          <w:sz w:val="22"/>
          <w:szCs w:val="22"/>
        </w:rPr>
      </w:pPr>
    </w:p>
    <w:p w14:paraId="6DFAFD37" w14:textId="77777777" w:rsidR="00914B2E" w:rsidRDefault="00914B2E" w:rsidP="00914B2E">
      <w:pPr>
        <w:pStyle w:val="Author"/>
      </w:pPr>
      <w:r>
        <w:t>Joseph N. Zalameda</w:t>
      </w:r>
      <w:r>
        <w:rPr>
          <w:rStyle w:val="FootnoteReference"/>
        </w:rPr>
        <w:footnoteReference w:id="1"/>
      </w:r>
      <w:r>
        <w:t xml:space="preserve"> and William P. Winfree</w:t>
      </w:r>
    </w:p>
    <w:p w14:paraId="50D11B1E" w14:textId="77777777" w:rsidR="00914B2E" w:rsidRDefault="00914B2E" w:rsidP="00914B2E">
      <w:pPr>
        <w:pStyle w:val="Author"/>
        <w:rPr>
          <w:b w:val="0"/>
        </w:rPr>
      </w:pPr>
      <w:r>
        <w:rPr>
          <w:b w:val="0"/>
        </w:rPr>
        <w:t>NASA Langley Research Center</w:t>
      </w:r>
    </w:p>
    <w:p w14:paraId="010A3CB9" w14:textId="77777777" w:rsidR="00914B2E" w:rsidRDefault="00914B2E" w:rsidP="00914B2E">
      <w:pPr>
        <w:jc w:val="center"/>
      </w:pPr>
      <w:r>
        <w:t>Hampton, VA</w:t>
      </w:r>
    </w:p>
    <w:p w14:paraId="592EA84A" w14:textId="77777777" w:rsidR="00914B2E" w:rsidRPr="006F2A22" w:rsidRDefault="00914B2E" w:rsidP="006F2A22">
      <w:pPr>
        <w:jc w:val="center"/>
        <w:rPr>
          <w:rFonts w:ascii="Arial" w:hAnsi="Arial"/>
          <w:b/>
          <w:caps/>
          <w:sz w:val="22"/>
          <w:szCs w:val="22"/>
        </w:rPr>
      </w:pPr>
    </w:p>
    <w:p w14:paraId="6D1CC980" w14:textId="77777777" w:rsidR="008B61D2" w:rsidRDefault="008B61D2">
      <w:pPr>
        <w:sectPr w:rsidR="008B61D2" w:rsidSect="00A5037A">
          <w:type w:val="continuous"/>
          <w:pgSz w:w="12240" w:h="15840"/>
          <w:pgMar w:top="720" w:right="1440" w:bottom="720" w:left="1440" w:header="720" w:footer="720" w:gutter="0"/>
          <w:cols w:space="720"/>
        </w:sectPr>
      </w:pPr>
    </w:p>
    <w:p w14:paraId="046B1C41" w14:textId="77777777" w:rsidR="008B61D2" w:rsidRPr="0012344E" w:rsidRDefault="008B61D2">
      <w:pPr>
        <w:pStyle w:val="AbstractClauseTitle"/>
      </w:pPr>
      <w:r w:rsidRPr="0012344E">
        <w:t>Abstract</w:t>
      </w:r>
    </w:p>
    <w:p w14:paraId="2745F0ED" w14:textId="5B7D5A53" w:rsidR="00B10083" w:rsidRDefault="00934A7A" w:rsidP="00934A7A">
      <w:pPr>
        <w:pStyle w:val="BodyTextIndent"/>
        <w:ind w:firstLine="0"/>
        <w:rPr>
          <w:i/>
          <w:lang w:val="en"/>
        </w:rPr>
      </w:pPr>
      <w:r>
        <w:rPr>
          <w:i/>
          <w:lang w:val="en"/>
        </w:rPr>
        <w:t xml:space="preserve">       </w:t>
      </w:r>
      <w:r w:rsidR="00B10083" w:rsidRPr="000F36C7">
        <w:rPr>
          <w:i/>
          <w:lang w:val="en"/>
        </w:rPr>
        <w:t>Passive thermography is used to monitor small increases in temperature resulting from delamination damage formation in composite hat-stiffened panel</w:t>
      </w:r>
      <w:r w:rsidR="00B10083">
        <w:rPr>
          <w:i/>
          <w:lang w:val="en"/>
        </w:rPr>
        <w:t>s</w:t>
      </w:r>
      <w:r w:rsidR="00B10083" w:rsidRPr="000F36C7">
        <w:rPr>
          <w:i/>
          <w:lang w:val="en"/>
        </w:rPr>
        <w:t xml:space="preserve"> during</w:t>
      </w:r>
      <w:r w:rsidR="00B10083">
        <w:rPr>
          <w:i/>
          <w:lang w:val="en"/>
        </w:rPr>
        <w:t xml:space="preserve"> both</w:t>
      </w:r>
      <w:r w:rsidR="00B10083" w:rsidRPr="000F36C7">
        <w:rPr>
          <w:i/>
          <w:lang w:val="en"/>
        </w:rPr>
        <w:t xml:space="preserve"> quasi-static</w:t>
      </w:r>
      <w:r w:rsidR="00B10083">
        <w:rPr>
          <w:i/>
          <w:lang w:val="en"/>
        </w:rPr>
        <w:t xml:space="preserve"> and fatigue</w:t>
      </w:r>
      <w:r w:rsidR="00B10083" w:rsidRPr="000F36C7">
        <w:rPr>
          <w:i/>
          <w:lang w:val="en"/>
        </w:rPr>
        <w:t xml:space="preserve"> loading. </w:t>
      </w:r>
      <w:r w:rsidR="00B10083">
        <w:rPr>
          <w:i/>
          <w:lang w:val="en"/>
        </w:rPr>
        <w:t>It has been observed that rapid damage formation produces heating.</w:t>
      </w:r>
      <w:r w:rsidR="00B10083" w:rsidRPr="000F36C7">
        <w:rPr>
          <w:i/>
          <w:lang w:val="en"/>
        </w:rPr>
        <w:t xml:space="preserve"> Th</w:t>
      </w:r>
      <w:r w:rsidR="001A6AE4">
        <w:rPr>
          <w:i/>
          <w:lang w:val="en"/>
        </w:rPr>
        <w:t>is</w:t>
      </w:r>
      <w:r w:rsidR="00B10083" w:rsidRPr="000F36C7">
        <w:rPr>
          <w:i/>
          <w:lang w:val="en"/>
        </w:rPr>
        <w:t xml:space="preserve"> is composed of two heat generation components.  The first component is an instantaneous response due to a</w:t>
      </w:r>
      <w:r w:rsidR="00B10083">
        <w:rPr>
          <w:i/>
          <w:lang w:val="en"/>
        </w:rPr>
        <w:t xml:space="preserve">n irreversible thermoelastic </w:t>
      </w:r>
      <w:r w:rsidR="00B10083" w:rsidRPr="000F36C7">
        <w:rPr>
          <w:i/>
          <w:lang w:val="en"/>
        </w:rPr>
        <w:t>strain release</w:t>
      </w:r>
      <w:r w:rsidR="00B10083">
        <w:rPr>
          <w:i/>
          <w:lang w:val="en"/>
        </w:rPr>
        <w:t xml:space="preserve">. </w:t>
      </w:r>
      <w:r w:rsidR="00B10083" w:rsidRPr="000F36C7">
        <w:rPr>
          <w:i/>
          <w:lang w:val="en"/>
        </w:rPr>
        <w:t>The second component is mechanical heating, at the interface of failure, due to fracture damage.</w:t>
      </w:r>
      <w:r w:rsidR="00B10083">
        <w:rPr>
          <w:i/>
          <w:lang w:val="en"/>
        </w:rPr>
        <w:t xml:space="preserve">  This produces a transient rise in temperature as the heat diffuses to the surface. </w:t>
      </w:r>
      <w:r w:rsidR="00B10083" w:rsidRPr="000F36C7">
        <w:rPr>
          <w:i/>
          <w:lang w:val="en"/>
        </w:rPr>
        <w:t>The first component defines the thermal start time for the transient response.  A one-dimensional thermal model</w:t>
      </w:r>
      <w:r w:rsidR="00B10083">
        <w:rPr>
          <w:i/>
          <w:lang w:val="en"/>
        </w:rPr>
        <w:t xml:space="preserve"> is fitted to the data pixel by pixel, to</w:t>
      </w:r>
      <w:r w:rsidR="00B10083" w:rsidRPr="000F36C7">
        <w:rPr>
          <w:i/>
          <w:lang w:val="en"/>
        </w:rPr>
        <w:t xml:space="preserve"> </w:t>
      </w:r>
      <w:r w:rsidR="00B10083">
        <w:rPr>
          <w:i/>
          <w:lang w:val="en"/>
        </w:rPr>
        <w:t>produce image</w:t>
      </w:r>
      <w:r w:rsidR="001A6AE4">
        <w:rPr>
          <w:i/>
          <w:lang w:val="en"/>
        </w:rPr>
        <w:t>ry</w:t>
      </w:r>
      <w:r w:rsidR="00B10083">
        <w:rPr>
          <w:i/>
          <w:lang w:val="en"/>
        </w:rPr>
        <w:t xml:space="preserve"> of</w:t>
      </w:r>
      <w:r w:rsidR="00B10083" w:rsidRPr="000F36C7">
        <w:rPr>
          <w:i/>
          <w:lang w:val="en"/>
        </w:rPr>
        <w:t xml:space="preserve"> the damage depth</w:t>
      </w:r>
      <w:r w:rsidR="00B10083">
        <w:rPr>
          <w:i/>
          <w:lang w:val="en"/>
        </w:rPr>
        <w:t xml:space="preserve">. </w:t>
      </w:r>
      <w:r w:rsidR="00B10083" w:rsidRPr="000F36C7">
        <w:rPr>
          <w:i/>
          <w:lang w:val="en"/>
        </w:rPr>
        <w:t>The results are compared to ultrasonic and X-ray CT data</w:t>
      </w:r>
      <w:r w:rsidR="00B10083">
        <w:rPr>
          <w:i/>
          <w:lang w:val="en"/>
        </w:rPr>
        <w:t>.</w:t>
      </w:r>
    </w:p>
    <w:p w14:paraId="7EDF8BDB" w14:textId="3DEFF1FB" w:rsidR="00B10083" w:rsidRPr="005E134D" w:rsidRDefault="00C93937" w:rsidP="00C93937">
      <w:pPr>
        <w:pStyle w:val="BodyTextIndent"/>
        <w:ind w:firstLine="0"/>
        <w:rPr>
          <w:i/>
        </w:rPr>
      </w:pPr>
      <w:r>
        <w:rPr>
          <w:i/>
          <w:lang w:val="en"/>
        </w:rPr>
        <w:t xml:space="preserve">     </w:t>
      </w:r>
      <w:r w:rsidR="00B10083" w:rsidRPr="000F36C7">
        <w:rPr>
          <w:i/>
          <w:lang w:val="en"/>
        </w:rPr>
        <w:t xml:space="preserve"> </w:t>
      </w:r>
      <w:r w:rsidR="00B10083" w:rsidRPr="0012344E">
        <w:t xml:space="preserve">Keywords: </w:t>
      </w:r>
      <w:r w:rsidR="006C611B">
        <w:t>P</w:t>
      </w:r>
      <w:r w:rsidR="00B10083" w:rsidRPr="00502FAE">
        <w:t xml:space="preserve">assive thermography, quasi-static </w:t>
      </w:r>
      <w:r w:rsidR="006C611B">
        <w:t>and fatigue loading</w:t>
      </w:r>
      <w:r w:rsidR="00B10083" w:rsidRPr="00502FAE">
        <w:t>, delamination damage</w:t>
      </w:r>
      <w:r w:rsidR="006C611B">
        <w:t xml:space="preserve"> depth</w:t>
      </w:r>
    </w:p>
    <w:p w14:paraId="0E44A26F" w14:textId="77777777" w:rsidR="00390A3A" w:rsidRPr="0012344E" w:rsidRDefault="00390A3A" w:rsidP="00390A3A">
      <w:pPr>
        <w:pStyle w:val="NomenclatureClauseTitle"/>
      </w:pPr>
      <w:r w:rsidRPr="0012344E">
        <w:t>Nomenclature</w:t>
      </w:r>
    </w:p>
    <w:p w14:paraId="1982F19F" w14:textId="77777777" w:rsidR="00B10083" w:rsidRPr="009B7B3E" w:rsidRDefault="00B10083" w:rsidP="00B10083">
      <w:pPr>
        <w:pStyle w:val="BodyTextIndent"/>
        <w:tabs>
          <w:tab w:val="left" w:pos="1440"/>
        </w:tabs>
      </w:pPr>
      <w:r w:rsidRPr="008B0D48">
        <w:rPr>
          <w:i/>
        </w:rPr>
        <w:t>T</w:t>
      </w:r>
      <w:r w:rsidRPr="008B0D48">
        <w:t xml:space="preserve">(t) </w:t>
      </w:r>
      <w:r>
        <w:rPr>
          <w:vertAlign w:val="subscript"/>
        </w:rPr>
        <w:tab/>
      </w:r>
      <w:r>
        <w:t>Surface temperature response</w:t>
      </w:r>
    </w:p>
    <w:p w14:paraId="4F7C3102" w14:textId="333B9E33" w:rsidR="00B10083" w:rsidRPr="007A5D1A" w:rsidRDefault="00B10083" w:rsidP="00B10083">
      <w:pPr>
        <w:pStyle w:val="BodyTextIndent"/>
        <w:tabs>
          <w:tab w:val="left" w:pos="1440"/>
        </w:tabs>
        <w:rPr>
          <w:kern w:val="0"/>
        </w:rPr>
      </w:pPr>
      <w:r w:rsidRPr="005546C1">
        <w:rPr>
          <w:i/>
        </w:rPr>
        <w:t>T</w:t>
      </w:r>
      <w:r w:rsidRPr="008B0D48">
        <w:rPr>
          <w:i/>
          <w:vertAlign w:val="subscript"/>
        </w:rPr>
        <w:t>F</w:t>
      </w:r>
      <w:r w:rsidRPr="00874DDE" w:rsidDel="00A4176F">
        <w:rPr>
          <w:b/>
          <w:i/>
          <w:kern w:val="0"/>
        </w:rPr>
        <w:t xml:space="preserve"> </w:t>
      </w:r>
      <w:r w:rsidRPr="009B7B3E">
        <w:rPr>
          <w:kern w:val="0"/>
        </w:rPr>
        <w:tab/>
      </w:r>
      <w:r>
        <w:rPr>
          <w:kern w:val="0"/>
        </w:rPr>
        <w:t>Final temperature</w:t>
      </w:r>
    </w:p>
    <w:p w14:paraId="6A71082B" w14:textId="77777777" w:rsidR="00B10083" w:rsidRDefault="00B10083" w:rsidP="00B10083">
      <w:pPr>
        <w:pStyle w:val="BodyTextIndent"/>
        <w:tabs>
          <w:tab w:val="left" w:pos="1440"/>
        </w:tabs>
        <w:rPr>
          <w:b/>
          <w:kern w:val="0"/>
        </w:rPr>
      </w:pPr>
      <w:r w:rsidRPr="007255FA">
        <w:rPr>
          <w:rFonts w:ascii="Cambria" w:eastAsia="Libian SC" w:hAnsi="Cambria" w:cs="Apple Symbols"/>
          <w:i/>
        </w:rPr>
        <w:t>l</w:t>
      </w:r>
      <w:r>
        <w:t xml:space="preserve"> </w:t>
      </w:r>
      <w:r w:rsidRPr="00874DDE">
        <w:rPr>
          <w:i/>
          <w:kern w:val="0"/>
        </w:rPr>
        <w:tab/>
      </w:r>
      <w:r>
        <w:rPr>
          <w:kern w:val="0"/>
        </w:rPr>
        <w:t>Damage depth</w:t>
      </w:r>
    </w:p>
    <w:p w14:paraId="0D534FC9" w14:textId="77777777" w:rsidR="00B10083" w:rsidRPr="007A5D1A" w:rsidRDefault="00B10083" w:rsidP="00B10083">
      <w:pPr>
        <w:pStyle w:val="BodyTextIndent"/>
        <w:tabs>
          <w:tab w:val="left" w:pos="1440"/>
        </w:tabs>
        <w:rPr>
          <w:kern w:val="0"/>
        </w:rPr>
      </w:pPr>
      <m:oMath>
        <m:r>
          <w:rPr>
            <w:rFonts w:ascii="Cambria Math" w:hAnsi="Cambria Math"/>
          </w:rPr>
          <m:t>α</m:t>
        </m:r>
      </m:oMath>
      <w:r w:rsidRPr="00874DDE" w:rsidDel="00A4176F">
        <w:rPr>
          <w:b/>
          <w:i/>
          <w:kern w:val="0"/>
        </w:rPr>
        <w:t xml:space="preserve"> </w:t>
      </w:r>
      <w:r w:rsidRPr="00874DDE">
        <w:rPr>
          <w:i/>
          <w:kern w:val="0"/>
        </w:rPr>
        <w:tab/>
      </w:r>
      <w:r>
        <w:rPr>
          <w:kern w:val="0"/>
        </w:rPr>
        <w:t>Thermal diffusivity</w:t>
      </w:r>
    </w:p>
    <w:p w14:paraId="502896A7" w14:textId="77777777" w:rsidR="00B10083" w:rsidRPr="009B7B3E" w:rsidRDefault="00B10083" w:rsidP="00B10083">
      <w:pPr>
        <w:pStyle w:val="BodyTextIndent"/>
        <w:tabs>
          <w:tab w:val="left" w:pos="1440"/>
        </w:tabs>
        <w:rPr>
          <w:kern w:val="0"/>
        </w:rPr>
      </w:pPr>
      <w:r>
        <w:rPr>
          <w:b/>
          <w:i/>
          <w:kern w:val="0"/>
        </w:rPr>
        <w:t>t</w:t>
      </w:r>
      <w:r w:rsidRPr="009B7B3E">
        <w:rPr>
          <w:b/>
          <w:kern w:val="0"/>
        </w:rPr>
        <w:tab/>
      </w:r>
      <w:r>
        <w:rPr>
          <w:kern w:val="0"/>
        </w:rPr>
        <w:t>Time</w:t>
      </w:r>
    </w:p>
    <w:p w14:paraId="6D2E8E8F" w14:textId="77777777" w:rsidR="00D02522" w:rsidRPr="00D02522" w:rsidRDefault="00D02522" w:rsidP="004C64C5">
      <w:pPr>
        <w:pStyle w:val="BodyTextIndent"/>
        <w:ind w:firstLine="0"/>
      </w:pPr>
    </w:p>
    <w:p w14:paraId="2E1FF910" w14:textId="77777777" w:rsidR="008B61D2" w:rsidRPr="0012344E" w:rsidRDefault="008B61D2" w:rsidP="005E134D">
      <w:pPr>
        <w:pStyle w:val="NomenclatureClauseTitle"/>
        <w:numPr>
          <w:ilvl w:val="0"/>
          <w:numId w:val="3"/>
        </w:numPr>
        <w:spacing w:before="0"/>
        <w:ind w:left="360"/>
        <w:jc w:val="left"/>
      </w:pPr>
      <w:r w:rsidRPr="0012344E">
        <w:t>INTRODUCTION</w:t>
      </w:r>
    </w:p>
    <w:p w14:paraId="3B586DA7" w14:textId="4620A8A1" w:rsidR="00CD3C5E" w:rsidRDefault="00B10083" w:rsidP="005E1DDE">
      <w:pPr>
        <w:ind w:firstLine="360"/>
        <w:rPr>
          <w:rStyle w:val="Emphasis"/>
          <w:i w:val="0"/>
        </w:rPr>
      </w:pPr>
      <w:r w:rsidRPr="00B10083">
        <w:rPr>
          <w:rStyle w:val="Emphasis"/>
          <w:i w:val="0"/>
        </w:rPr>
        <w:t xml:space="preserve">Both fatigue and quasi-static load testing </w:t>
      </w:r>
      <w:r w:rsidR="001A6AE4">
        <w:rPr>
          <w:rStyle w:val="Emphasis"/>
          <w:i w:val="0"/>
        </w:rPr>
        <w:t>are</w:t>
      </w:r>
      <w:r w:rsidRPr="00B10083">
        <w:rPr>
          <w:rStyle w:val="Emphasis"/>
          <w:i w:val="0"/>
        </w:rPr>
        <w:t xml:space="preserve"> performed on composite hat stiffened panels. </w:t>
      </w:r>
      <w:r w:rsidR="0064338C" w:rsidRPr="00B10083">
        <w:rPr>
          <w:rStyle w:val="Emphasis"/>
          <w:i w:val="0"/>
        </w:rPr>
        <w:t>These tests</w:t>
      </w:r>
      <w:r w:rsidRPr="00B10083">
        <w:rPr>
          <w:rStyle w:val="Emphasis"/>
          <w:i w:val="0"/>
        </w:rPr>
        <w:t xml:space="preserve"> are necessary to validate structural designs and damage prediction models</w:t>
      </w:r>
      <w:r w:rsidR="006C611B">
        <w:rPr>
          <w:rStyle w:val="Emphasis"/>
          <w:i w:val="0"/>
        </w:rPr>
        <w:t xml:space="preserve"> [1]</w:t>
      </w:r>
      <w:r w:rsidRPr="00B10083">
        <w:rPr>
          <w:rStyle w:val="Emphasis"/>
          <w:i w:val="0"/>
        </w:rPr>
        <w:t>.  During load testing, it is important to monitor the composite and to determine damage initiation and growth.  Growing the damage incrementally allows for detailed through-the-thickness damage characterization using X-ray computed tomography (CT) or ultrasound.  A key aspect of testing is to implement real time nondestructive evaluation (NDE) to determine when loading is stopped due to incremental damage detection. Passive thermography has been proven to be an effective inspection technique for real time NDE of composite structures during load testing</w:t>
      </w:r>
      <w:r w:rsidR="005E1DDE">
        <w:rPr>
          <w:rStyle w:val="Emphasis"/>
          <w:i w:val="0"/>
        </w:rPr>
        <w:t xml:space="preserve"> [2-4]</w:t>
      </w:r>
      <w:r w:rsidRPr="00B10083">
        <w:rPr>
          <w:rStyle w:val="Emphasis"/>
          <w:i w:val="0"/>
        </w:rPr>
        <w:t xml:space="preserve">. In this work, quasi-static and fatigue loads are </w:t>
      </w:r>
    </w:p>
    <w:p w14:paraId="7E0DDE0C" w14:textId="00A7AB04" w:rsidR="00B10083" w:rsidRPr="00B10083" w:rsidRDefault="00B10083" w:rsidP="00CD3C5E">
      <w:pPr>
        <w:rPr>
          <w:rStyle w:val="Emphasis"/>
          <w:i w:val="0"/>
        </w:rPr>
      </w:pPr>
      <w:r w:rsidRPr="00B10083">
        <w:rPr>
          <w:rStyle w:val="Emphasis"/>
          <w:i w:val="0"/>
        </w:rPr>
        <w:t>applied to a single stringer stiffened composite panel.</w:t>
      </w:r>
      <w:r w:rsidR="005E1DDE">
        <w:rPr>
          <w:rStyle w:val="Emphasis"/>
          <w:i w:val="0"/>
        </w:rPr>
        <w:t xml:space="preserve"> </w:t>
      </w:r>
      <w:r w:rsidRPr="00B10083">
        <w:rPr>
          <w:rStyle w:val="Emphasis"/>
          <w:i w:val="0"/>
        </w:rPr>
        <w:t xml:space="preserve">It has been observed that sudden damage or rapid growth damage produces detectable heating in both periodic and non-periodic loading. </w:t>
      </w:r>
      <w:r w:rsidR="005E1DDE">
        <w:rPr>
          <w:rStyle w:val="Emphasis"/>
          <w:i w:val="0"/>
        </w:rPr>
        <w:t>T</w:t>
      </w:r>
      <w:r w:rsidRPr="00B10083">
        <w:rPr>
          <w:rStyle w:val="Emphasis"/>
          <w:i w:val="0"/>
        </w:rPr>
        <w:t>he rapid growth temperature rise at the surface is composed of two thermal responses. The first response is instantaneous and conforms to the shape of the damage.  This instantaneous temperature rise is due to the irreversible thermoelastic release of energy when the sample fails over the area of failure [</w:t>
      </w:r>
      <w:r w:rsidR="005E1DDE">
        <w:rPr>
          <w:rStyle w:val="Emphasis"/>
          <w:i w:val="0"/>
        </w:rPr>
        <w:t>3,4</w:t>
      </w:r>
      <w:r w:rsidRPr="00B10083">
        <w:rPr>
          <w:rStyle w:val="Emphasis"/>
          <w:i w:val="0"/>
        </w:rPr>
        <w:t xml:space="preserve">].  The second response is a transient increase in temperature due to mechanical heating at the interface of failure.  This second component produces a transient rise in temperature that is a function of the damage depth and thermal diffusivity. The first component defines the thermal start time for the transient response. A one-dimensional thermal model is used to determine the damage depth for a given known thermal diffusivity.  The results are compared to ultrasound and X-ray CT data.  </w:t>
      </w:r>
    </w:p>
    <w:p w14:paraId="4B6F428C" w14:textId="77777777" w:rsidR="000552C1" w:rsidRDefault="000552C1" w:rsidP="000552C1">
      <w:pPr>
        <w:pStyle w:val="BodyTextIndent"/>
        <w:ind w:firstLine="0"/>
        <w:rPr>
          <w:kern w:val="0"/>
          <w:sz w:val="24"/>
          <w:szCs w:val="24"/>
        </w:rPr>
      </w:pPr>
    </w:p>
    <w:p w14:paraId="0658D43F" w14:textId="77777777" w:rsidR="00390A3A" w:rsidRPr="0012344E" w:rsidRDefault="001B7B91" w:rsidP="005E134D">
      <w:pPr>
        <w:pStyle w:val="BodyTextIndent"/>
        <w:numPr>
          <w:ilvl w:val="0"/>
          <w:numId w:val="3"/>
        </w:numPr>
        <w:ind w:left="360"/>
        <w:rPr>
          <w:rFonts w:ascii="Arial" w:hAnsi="Arial" w:cs="Arial"/>
          <w:b/>
          <w:kern w:val="0"/>
        </w:rPr>
      </w:pPr>
      <w:r>
        <w:rPr>
          <w:rFonts w:ascii="Arial" w:hAnsi="Arial" w:cs="Arial"/>
          <w:b/>
          <w:kern w:val="0"/>
        </w:rPr>
        <w:t>MATERIALS AND METHODS</w:t>
      </w:r>
    </w:p>
    <w:p w14:paraId="1527E70E" w14:textId="77777777" w:rsidR="00404BE0" w:rsidRDefault="008C095F" w:rsidP="003226D6">
      <w:pPr>
        <w:pStyle w:val="BodyTextIndent"/>
        <w:ind w:firstLine="0"/>
        <w:rPr>
          <w:rFonts w:ascii="Arial" w:hAnsi="Arial" w:cs="Arial"/>
          <w:b/>
          <w:kern w:val="0"/>
        </w:rPr>
      </w:pPr>
      <w:r w:rsidRPr="008C095F">
        <w:rPr>
          <w:rFonts w:ascii="Arial" w:hAnsi="Arial" w:cs="Arial"/>
          <w:b/>
          <w:kern w:val="0"/>
        </w:rPr>
        <w:t xml:space="preserve">2.1 </w:t>
      </w:r>
      <w:bookmarkStart w:id="1" w:name="_Hlk36737538"/>
      <w:r w:rsidR="00404BE0">
        <w:rPr>
          <w:rFonts w:ascii="Arial" w:hAnsi="Arial" w:cs="Arial"/>
          <w:b/>
          <w:kern w:val="0"/>
        </w:rPr>
        <w:t>Composite Panels Tested</w:t>
      </w:r>
    </w:p>
    <w:bookmarkEnd w:id="1"/>
    <w:p w14:paraId="19F22EC7" w14:textId="370F0429" w:rsidR="007846C0" w:rsidRDefault="00404BE0" w:rsidP="007846C0">
      <w:pPr>
        <w:pStyle w:val="BodyTextIndent"/>
      </w:pPr>
      <w:r w:rsidRPr="00E55507">
        <w:rPr>
          <w:kern w:val="0"/>
        </w:rPr>
        <w:t xml:space="preserve">The stiffened composite panel skin </w:t>
      </w:r>
      <w:r w:rsidR="00CE4DE8">
        <w:rPr>
          <w:kern w:val="0"/>
        </w:rPr>
        <w:t>is</w:t>
      </w:r>
      <w:r w:rsidRPr="00E55507">
        <w:rPr>
          <w:kern w:val="0"/>
        </w:rPr>
        <w:t xml:space="preserve"> 12 plies with a thickness of 0.22 cm, the stiffener flange </w:t>
      </w:r>
      <w:r w:rsidR="00CE4DE8">
        <w:rPr>
          <w:kern w:val="0"/>
        </w:rPr>
        <w:t>is</w:t>
      </w:r>
      <w:r w:rsidRPr="00E55507">
        <w:rPr>
          <w:kern w:val="0"/>
        </w:rPr>
        <w:t xml:space="preserve"> 12 plies thick with a thickness of 0.24 cm.  The stiffener hat top </w:t>
      </w:r>
      <w:r w:rsidR="00CE4DE8">
        <w:rPr>
          <w:kern w:val="0"/>
        </w:rPr>
        <w:t>is</w:t>
      </w:r>
      <w:r w:rsidRPr="00E55507">
        <w:rPr>
          <w:kern w:val="0"/>
        </w:rPr>
        <w:t xml:space="preserve"> 16 plies with a thickness of 0.32 cm.  The stiffener </w:t>
      </w:r>
      <w:r w:rsidR="00CE4DE8">
        <w:rPr>
          <w:kern w:val="0"/>
        </w:rPr>
        <w:t>is</w:t>
      </w:r>
      <w:r w:rsidRPr="00E55507">
        <w:rPr>
          <w:kern w:val="0"/>
        </w:rPr>
        <w:t xml:space="preserve"> a woven composite.  Figures 1a, 1b, and 1c show the stiffened composite panel stringer side, a painted specimen, and a cross sectional view respectively.  </w:t>
      </w:r>
      <w:r w:rsidR="007846C0">
        <w:rPr>
          <w:kern w:val="0"/>
        </w:rPr>
        <w:t xml:space="preserve">The overall panel dimensions are 25.4 x 25.4 cm.  </w:t>
      </w:r>
      <w:r w:rsidR="005E1DDE">
        <w:rPr>
          <w:kern w:val="0"/>
        </w:rPr>
        <w:t xml:space="preserve">This panel </w:t>
      </w:r>
      <w:r w:rsidR="00CE4DE8">
        <w:rPr>
          <w:kern w:val="0"/>
        </w:rPr>
        <w:t>is</w:t>
      </w:r>
      <w:r w:rsidR="005E1DDE">
        <w:rPr>
          <w:kern w:val="0"/>
        </w:rPr>
        <w:t xml:space="preserve"> used for the quasi-static loading.  </w:t>
      </w:r>
      <w:r w:rsidRPr="00E55507">
        <w:rPr>
          <w:kern w:val="0"/>
        </w:rPr>
        <w:t xml:space="preserve">The applied quasi-static loads </w:t>
      </w:r>
      <w:r w:rsidR="00CE4DE8">
        <w:rPr>
          <w:kern w:val="0"/>
        </w:rPr>
        <w:t>are</w:t>
      </w:r>
      <w:r w:rsidRPr="00E55507">
        <w:rPr>
          <w:kern w:val="0"/>
        </w:rPr>
        <w:t xml:space="preserve"> up to 1,000 pounds. </w:t>
      </w:r>
      <w:r w:rsidR="007846C0">
        <w:t>The single stringer panel</w:t>
      </w:r>
      <w:r w:rsidR="001A6AE4">
        <w:t>,</w:t>
      </w:r>
      <w:r w:rsidR="007846C0">
        <w:t xml:space="preserve"> used for fatigue loading</w:t>
      </w:r>
      <w:r w:rsidR="001A6AE4">
        <w:t>,</w:t>
      </w:r>
      <w:r w:rsidR="007846C0">
        <w:t xml:space="preserve"> </w:t>
      </w:r>
      <w:r w:rsidR="00CE4DE8">
        <w:t>has</w:t>
      </w:r>
      <w:r w:rsidR="007846C0">
        <w:t xml:space="preserve"> the same geometry and thickness. </w:t>
      </w:r>
      <w:r w:rsidR="007846C0" w:rsidRPr="00E55507">
        <w:rPr>
          <w:kern w:val="0"/>
        </w:rPr>
        <w:t>Figures 1</w:t>
      </w:r>
      <w:r w:rsidR="007846C0">
        <w:rPr>
          <w:kern w:val="0"/>
        </w:rPr>
        <w:t xml:space="preserve">d </w:t>
      </w:r>
      <w:r w:rsidR="007846C0" w:rsidRPr="00E55507">
        <w:rPr>
          <w:kern w:val="0"/>
        </w:rPr>
        <w:t>and 1</w:t>
      </w:r>
      <w:r w:rsidR="007846C0">
        <w:rPr>
          <w:kern w:val="0"/>
        </w:rPr>
        <w:t>e</w:t>
      </w:r>
      <w:r w:rsidR="007846C0" w:rsidRPr="00E55507">
        <w:rPr>
          <w:kern w:val="0"/>
        </w:rPr>
        <w:t xml:space="preserve"> show the stiffened composite panel </w:t>
      </w:r>
      <w:r w:rsidR="007846C0">
        <w:rPr>
          <w:kern w:val="0"/>
        </w:rPr>
        <w:t xml:space="preserve">skin side and stiffener side respectively.  </w:t>
      </w:r>
      <w:r w:rsidR="007846C0">
        <w:t>The dimensions of the</w:t>
      </w:r>
      <w:r w:rsidR="00CE4DE8">
        <w:t xml:space="preserve"> panel</w:t>
      </w:r>
      <w:r w:rsidR="007846C0">
        <w:t xml:space="preserve"> are width 21.6 cm and length 51.3 cm.  The maximum applied cyclic fatigue loads are approximately 25,000 pounds for the single stringer panel. The frequency of the load</w:t>
      </w:r>
      <w:r w:rsidR="00C93937">
        <w:t>ing</w:t>
      </w:r>
      <w:r w:rsidR="007846C0">
        <w:t xml:space="preserve"> is 2 Hertz.</w:t>
      </w:r>
    </w:p>
    <w:p w14:paraId="3A9F0C55" w14:textId="02A8FA84" w:rsidR="00464996" w:rsidRDefault="00464996" w:rsidP="007846C0">
      <w:pPr>
        <w:pStyle w:val="BodyTextIndent"/>
      </w:pPr>
    </w:p>
    <w:p w14:paraId="238FFBFA" w14:textId="77777777" w:rsidR="00464996" w:rsidRPr="00D85672" w:rsidRDefault="00464996" w:rsidP="00464996">
      <w:pPr>
        <w:pStyle w:val="BodyTextIndent"/>
        <w:rPr>
          <w:rFonts w:ascii="Arial" w:hAnsi="Arial" w:cs="Arial"/>
          <w:b/>
          <w:kern w:val="0"/>
        </w:rPr>
      </w:pPr>
      <w:r w:rsidRPr="008C095F">
        <w:rPr>
          <w:rFonts w:ascii="Arial" w:hAnsi="Arial" w:cs="Arial"/>
          <w:b/>
          <w:kern w:val="0"/>
        </w:rPr>
        <w:t>2.</w:t>
      </w:r>
      <w:r>
        <w:rPr>
          <w:rFonts w:ascii="Arial" w:hAnsi="Arial" w:cs="Arial"/>
          <w:b/>
          <w:kern w:val="0"/>
        </w:rPr>
        <w:t>2</w:t>
      </w:r>
      <w:r w:rsidRPr="008C095F">
        <w:rPr>
          <w:rFonts w:ascii="Arial" w:hAnsi="Arial" w:cs="Arial"/>
          <w:b/>
          <w:kern w:val="0"/>
        </w:rPr>
        <w:t xml:space="preserve"> </w:t>
      </w:r>
      <w:r>
        <w:rPr>
          <w:rFonts w:ascii="Arial" w:hAnsi="Arial" w:cs="Arial"/>
          <w:b/>
          <w:kern w:val="0"/>
        </w:rPr>
        <w:t>Test Setup</w:t>
      </w:r>
    </w:p>
    <w:p w14:paraId="2AD6409C" w14:textId="77777777" w:rsidR="008B043D" w:rsidRDefault="00464996" w:rsidP="008B043D">
      <w:pPr>
        <w:pStyle w:val="BodyTextIndent"/>
        <w:rPr>
          <w:kern w:val="0"/>
        </w:rPr>
      </w:pPr>
      <w:r>
        <w:rPr>
          <w:kern w:val="0"/>
        </w:rPr>
        <w:t xml:space="preserve">     </w:t>
      </w:r>
      <w:r w:rsidRPr="00985234">
        <w:rPr>
          <w:kern w:val="0"/>
        </w:rPr>
        <w:t>The test setup</w:t>
      </w:r>
      <w:r>
        <w:rPr>
          <w:kern w:val="0"/>
        </w:rPr>
        <w:t>s</w:t>
      </w:r>
      <w:r w:rsidRPr="00985234">
        <w:rPr>
          <w:kern w:val="0"/>
        </w:rPr>
        <w:t xml:space="preserve"> shown in Figure</w:t>
      </w:r>
      <w:r>
        <w:rPr>
          <w:kern w:val="0"/>
        </w:rPr>
        <w:t>s</w:t>
      </w:r>
      <w:r w:rsidRPr="00985234">
        <w:rPr>
          <w:kern w:val="0"/>
        </w:rPr>
        <w:t xml:space="preserve"> </w:t>
      </w:r>
      <w:r>
        <w:rPr>
          <w:kern w:val="0"/>
        </w:rPr>
        <w:t>2</w:t>
      </w:r>
      <w:r w:rsidRPr="00985234">
        <w:rPr>
          <w:kern w:val="0"/>
        </w:rPr>
        <w:t>a</w:t>
      </w:r>
      <w:r>
        <w:rPr>
          <w:kern w:val="0"/>
        </w:rPr>
        <w:t xml:space="preserve"> and 2b</w:t>
      </w:r>
      <w:r w:rsidRPr="00985234">
        <w:rPr>
          <w:kern w:val="0"/>
        </w:rPr>
        <w:t xml:space="preserve"> </w:t>
      </w:r>
      <w:r>
        <w:rPr>
          <w:kern w:val="0"/>
        </w:rPr>
        <w:t>are the quasi-static and fatigue loading configurations</w:t>
      </w:r>
      <w:r w:rsidRPr="00985234">
        <w:rPr>
          <w:kern w:val="0"/>
        </w:rPr>
        <w:t xml:space="preserve"> </w:t>
      </w:r>
      <w:r>
        <w:rPr>
          <w:kern w:val="0"/>
        </w:rPr>
        <w:t>respectively</w:t>
      </w:r>
      <w:r w:rsidRPr="00985234">
        <w:rPr>
          <w:kern w:val="0"/>
        </w:rPr>
        <w:t>.  The basic</w:t>
      </w:r>
    </w:p>
    <w:p w14:paraId="43BDBDF1" w14:textId="4094E306" w:rsidR="00D45430" w:rsidRDefault="00D45430" w:rsidP="008B043D">
      <w:pPr>
        <w:pStyle w:val="BodyTextIndent"/>
        <w:rPr>
          <w:kern w:val="0"/>
        </w:rPr>
      </w:pPr>
      <w:r>
        <w:rPr>
          <w:kern w:val="0"/>
        </w:rPr>
        <w:lastRenderedPageBreak/>
        <w:br/>
      </w:r>
      <w:r w:rsidR="000E77E0">
        <w:rPr>
          <w:kern w:val="0"/>
        </w:rPr>
        <w:t xml:space="preserve">        </w:t>
      </w:r>
      <w:r w:rsidR="006D4120">
        <w:rPr>
          <w:noProof/>
          <w:kern w:val="0"/>
        </w:rPr>
        <w:drawing>
          <wp:inline distT="0" distB="0" distL="0" distR="0" wp14:anchorId="6E7DD9D2" wp14:editId="427EF7C8">
            <wp:extent cx="2760425" cy="343222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3002" cy="3447858"/>
                    </a:xfrm>
                    <a:prstGeom prst="rect">
                      <a:avLst/>
                    </a:prstGeom>
                    <a:noFill/>
                  </pic:spPr>
                </pic:pic>
              </a:graphicData>
            </a:graphic>
          </wp:inline>
        </w:drawing>
      </w:r>
    </w:p>
    <w:p w14:paraId="612CA14A" w14:textId="0D868E1A" w:rsidR="00D45430" w:rsidRDefault="000E77E0" w:rsidP="00D45430">
      <w:pPr>
        <w:pStyle w:val="BodyTextIndent"/>
        <w:ind w:firstLine="0"/>
        <w:rPr>
          <w:kern w:val="0"/>
        </w:rPr>
      </w:pPr>
      <w:r>
        <w:rPr>
          <w:kern w:val="0"/>
        </w:rPr>
        <w:t xml:space="preserve">  </w:t>
      </w:r>
    </w:p>
    <w:p w14:paraId="08346C74" w14:textId="45EE5E90" w:rsidR="00D45430" w:rsidRDefault="00D45430" w:rsidP="00D45430">
      <w:pPr>
        <w:pStyle w:val="BodyTextIndent"/>
        <w:rPr>
          <w:kern w:val="0"/>
        </w:rPr>
      </w:pPr>
      <w:r w:rsidRPr="00587C4E">
        <w:rPr>
          <w:rFonts w:ascii="Arial" w:hAnsi="Arial" w:cs="Arial"/>
          <w:b/>
          <w:kern w:val="0"/>
        </w:rPr>
        <w:t>FIGURE 1</w:t>
      </w:r>
      <w:r w:rsidRPr="00587C4E">
        <w:rPr>
          <w:b/>
          <w:kern w:val="0"/>
        </w:rPr>
        <w:t>:</w:t>
      </w:r>
      <w:r>
        <w:rPr>
          <w:kern w:val="0"/>
          <w:sz w:val="18"/>
          <w:szCs w:val="18"/>
        </w:rPr>
        <w:t xml:space="preserve"> SINGLE STRINGER COMPOSITE PANEL</w:t>
      </w:r>
      <w:r w:rsidR="009B6664">
        <w:rPr>
          <w:kern w:val="0"/>
          <w:sz w:val="18"/>
          <w:szCs w:val="18"/>
        </w:rPr>
        <w:t>S</w:t>
      </w:r>
      <w:r>
        <w:rPr>
          <w:kern w:val="0"/>
          <w:sz w:val="18"/>
          <w:szCs w:val="18"/>
        </w:rPr>
        <w:t>.</w:t>
      </w:r>
    </w:p>
    <w:p w14:paraId="2596922E" w14:textId="1C72AB2E" w:rsidR="00D85672" w:rsidRDefault="00D85672" w:rsidP="00D85672">
      <w:pPr>
        <w:pStyle w:val="BodyTextIndent"/>
        <w:ind w:firstLine="0"/>
        <w:rPr>
          <w:kern w:val="0"/>
        </w:rPr>
      </w:pPr>
    </w:p>
    <w:p w14:paraId="46055410" w14:textId="38197464" w:rsidR="00C93937" w:rsidRDefault="00D45430" w:rsidP="00D45430">
      <w:pPr>
        <w:pStyle w:val="BodyTextIndent"/>
        <w:ind w:firstLine="0"/>
        <w:rPr>
          <w:kern w:val="0"/>
        </w:rPr>
      </w:pPr>
      <w:r w:rsidRPr="00985234">
        <w:rPr>
          <w:kern w:val="0"/>
        </w:rPr>
        <w:t xml:space="preserve">system consists of an IR camera operating in the 3–5 micrometer IR band and an image data acquisition computer.  The IR camera </w:t>
      </w:r>
      <w:r w:rsidR="001A6AE4">
        <w:rPr>
          <w:kern w:val="0"/>
        </w:rPr>
        <w:t>is</w:t>
      </w:r>
      <w:r w:rsidRPr="00985234">
        <w:rPr>
          <w:kern w:val="0"/>
        </w:rPr>
        <w:t xml:space="preserve"> configured with 25 mm germanium optics. The focal plane</w:t>
      </w:r>
    </w:p>
    <w:p w14:paraId="72D83647" w14:textId="5046C521" w:rsidR="009B6664" w:rsidRDefault="00D45430" w:rsidP="00D45430">
      <w:pPr>
        <w:pStyle w:val="BodyTextIndent"/>
        <w:ind w:firstLine="0"/>
        <w:rPr>
          <w:kern w:val="0"/>
        </w:rPr>
      </w:pPr>
      <w:r w:rsidRPr="00985234">
        <w:rPr>
          <w:kern w:val="0"/>
        </w:rPr>
        <w:t xml:space="preserve"> </w:t>
      </w:r>
    </w:p>
    <w:p w14:paraId="069F3339" w14:textId="5AA6B10B" w:rsidR="009B6664" w:rsidRDefault="000E77E0" w:rsidP="00D45430">
      <w:pPr>
        <w:pStyle w:val="BodyTextIndent"/>
        <w:ind w:firstLine="0"/>
        <w:rPr>
          <w:kern w:val="0"/>
        </w:rPr>
      </w:pPr>
      <w:r>
        <w:rPr>
          <w:kern w:val="0"/>
        </w:rPr>
        <w:t xml:space="preserve"> </w:t>
      </w:r>
      <w:r w:rsidR="009B6664">
        <w:rPr>
          <w:noProof/>
          <w:kern w:val="0"/>
        </w:rPr>
        <w:drawing>
          <wp:inline distT="0" distB="0" distL="0" distR="0" wp14:anchorId="597B266F" wp14:editId="6DBDF02C">
            <wp:extent cx="3195300" cy="1595313"/>
            <wp:effectExtent l="0" t="0" r="5715"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0987" cy="1613130"/>
                    </a:xfrm>
                    <a:prstGeom prst="rect">
                      <a:avLst/>
                    </a:prstGeom>
                    <a:noFill/>
                  </pic:spPr>
                </pic:pic>
              </a:graphicData>
            </a:graphic>
          </wp:inline>
        </w:drawing>
      </w:r>
    </w:p>
    <w:p w14:paraId="694A0F61" w14:textId="593CF253" w:rsidR="009B6664" w:rsidRDefault="009B6664" w:rsidP="00D45430">
      <w:pPr>
        <w:pStyle w:val="BodyTextIndent"/>
        <w:ind w:firstLine="0"/>
        <w:rPr>
          <w:kern w:val="0"/>
        </w:rPr>
      </w:pPr>
    </w:p>
    <w:p w14:paraId="12293E2F" w14:textId="77777777" w:rsidR="009B6664" w:rsidRDefault="009B6664" w:rsidP="00D45430">
      <w:pPr>
        <w:pStyle w:val="BodyTextIndent"/>
        <w:ind w:firstLine="0"/>
        <w:rPr>
          <w:kern w:val="0"/>
        </w:rPr>
      </w:pPr>
    </w:p>
    <w:p w14:paraId="542FBF87" w14:textId="6DF1F6B6" w:rsidR="009B6664" w:rsidRDefault="009B6664" w:rsidP="009B6664">
      <w:pPr>
        <w:pStyle w:val="BodyTextIndent"/>
        <w:rPr>
          <w:kern w:val="0"/>
        </w:rPr>
      </w:pPr>
      <w:r w:rsidRPr="00587C4E">
        <w:rPr>
          <w:rFonts w:ascii="Arial" w:hAnsi="Arial" w:cs="Arial"/>
          <w:b/>
          <w:kern w:val="0"/>
        </w:rPr>
        <w:t xml:space="preserve">FIGURE </w:t>
      </w:r>
      <w:r>
        <w:rPr>
          <w:rFonts w:ascii="Arial" w:hAnsi="Arial" w:cs="Arial"/>
          <w:b/>
          <w:kern w:val="0"/>
        </w:rPr>
        <w:t>2</w:t>
      </w:r>
      <w:r w:rsidRPr="00587C4E">
        <w:rPr>
          <w:b/>
          <w:kern w:val="0"/>
        </w:rPr>
        <w:t>:</w:t>
      </w:r>
      <w:r>
        <w:rPr>
          <w:kern w:val="0"/>
          <w:sz w:val="18"/>
          <w:szCs w:val="18"/>
        </w:rPr>
        <w:t xml:space="preserve"> TEST SETUP FOR QUASI-STATIC (a) AND FATIGUE LOADING (b).</w:t>
      </w:r>
    </w:p>
    <w:p w14:paraId="137ADA80" w14:textId="77777777" w:rsidR="009B6664" w:rsidRDefault="009B6664" w:rsidP="00D45430">
      <w:pPr>
        <w:pStyle w:val="BodyTextIndent"/>
        <w:ind w:firstLine="0"/>
        <w:rPr>
          <w:kern w:val="0"/>
        </w:rPr>
      </w:pPr>
    </w:p>
    <w:p w14:paraId="0CFD4C1B" w14:textId="7E9B91F7" w:rsidR="008C095F" w:rsidRDefault="00D45430" w:rsidP="00D45430">
      <w:pPr>
        <w:pStyle w:val="BodyTextIndent"/>
        <w:ind w:firstLine="0"/>
        <w:rPr>
          <w:kern w:val="0"/>
        </w:rPr>
      </w:pPr>
      <w:r w:rsidRPr="00985234">
        <w:rPr>
          <w:kern w:val="0"/>
        </w:rPr>
        <w:t xml:space="preserve">array size of the camera </w:t>
      </w:r>
      <w:r w:rsidR="001A6AE4">
        <w:rPr>
          <w:kern w:val="0"/>
        </w:rPr>
        <w:t>is</w:t>
      </w:r>
      <w:r w:rsidRPr="00985234">
        <w:rPr>
          <w:kern w:val="0"/>
        </w:rPr>
        <w:t xml:space="preserve"> 640x512. The passive inspection captured the thermal variations during the loading.  The setup required a Plexiglas® shield to filter out spurious IR background sources (not shown in Figure </w:t>
      </w:r>
      <w:r w:rsidR="007846C0">
        <w:rPr>
          <w:kern w:val="0"/>
        </w:rPr>
        <w:t>2</w:t>
      </w:r>
      <w:r w:rsidRPr="00985234">
        <w:rPr>
          <w:kern w:val="0"/>
        </w:rPr>
        <w:t xml:space="preserve">).  The camera frame rate </w:t>
      </w:r>
      <w:r w:rsidR="001A6AE4">
        <w:rPr>
          <w:kern w:val="0"/>
        </w:rPr>
        <w:t>is</w:t>
      </w:r>
      <w:r w:rsidRPr="00985234">
        <w:rPr>
          <w:kern w:val="0"/>
        </w:rPr>
        <w:t xml:space="preserve"> externally triggered and operated</w:t>
      </w:r>
      <w:r w:rsidR="00CE4DE8">
        <w:rPr>
          <w:kern w:val="0"/>
        </w:rPr>
        <w:t xml:space="preserve"> at</w:t>
      </w:r>
      <w:r w:rsidRPr="00985234">
        <w:rPr>
          <w:kern w:val="0"/>
        </w:rPr>
        <w:t xml:space="preserve"> </w:t>
      </w:r>
      <w:r w:rsidR="007846C0">
        <w:rPr>
          <w:kern w:val="0"/>
        </w:rPr>
        <w:t>80</w:t>
      </w:r>
      <w:r w:rsidRPr="00985234">
        <w:rPr>
          <w:kern w:val="0"/>
        </w:rPr>
        <w:t xml:space="preserve"> Hz. The load signal </w:t>
      </w:r>
      <w:r w:rsidR="001A6AE4">
        <w:rPr>
          <w:kern w:val="0"/>
        </w:rPr>
        <w:t>is</w:t>
      </w:r>
      <w:r w:rsidRPr="00985234">
        <w:rPr>
          <w:kern w:val="0"/>
        </w:rPr>
        <w:t xml:space="preserve"> also acquired using a USB based 12-bit data acquisition module.  For each infrared camera frame, a load value </w:t>
      </w:r>
      <w:r w:rsidR="001A6AE4">
        <w:rPr>
          <w:kern w:val="0"/>
        </w:rPr>
        <w:t>is</w:t>
      </w:r>
      <w:r w:rsidRPr="00985234">
        <w:rPr>
          <w:kern w:val="0"/>
        </w:rPr>
        <w:t xml:space="preserve"> acquired.  Furthermore, real time averaging, a delayed image subtraction, </w:t>
      </w:r>
      <w:r w:rsidRPr="00985234">
        <w:rPr>
          <w:kern w:val="0"/>
        </w:rPr>
        <w:t xml:space="preserve">and real time contrast adjustment </w:t>
      </w:r>
      <w:r w:rsidR="001A6AE4">
        <w:rPr>
          <w:kern w:val="0"/>
        </w:rPr>
        <w:t>are</w:t>
      </w:r>
      <w:r w:rsidRPr="00985234">
        <w:rPr>
          <w:kern w:val="0"/>
        </w:rPr>
        <w:t xml:space="preserve"> used to enhance detection of the small thermal transient signatures due to the damage [</w:t>
      </w:r>
      <w:r w:rsidR="007846C0">
        <w:rPr>
          <w:kern w:val="0"/>
        </w:rPr>
        <w:t>4</w:t>
      </w:r>
      <w:r w:rsidRPr="00985234">
        <w:rPr>
          <w:kern w:val="0"/>
        </w:rPr>
        <w:t xml:space="preserve">]. Without this processing, the faint thermal signatures that indicate damage would be difficult to detect in real time. </w:t>
      </w:r>
    </w:p>
    <w:p w14:paraId="3A94C5D5" w14:textId="7876614E" w:rsidR="00D85672" w:rsidRDefault="00D85672" w:rsidP="00D45430">
      <w:pPr>
        <w:pStyle w:val="BodyTextIndent"/>
        <w:ind w:firstLine="0"/>
        <w:rPr>
          <w:kern w:val="0"/>
        </w:rPr>
      </w:pPr>
    </w:p>
    <w:p w14:paraId="6E5552E6" w14:textId="41D5D56B" w:rsidR="00D85672" w:rsidRDefault="00D85672" w:rsidP="00D85672">
      <w:pPr>
        <w:pStyle w:val="BodyTextIndent"/>
        <w:rPr>
          <w:rFonts w:ascii="Arial" w:hAnsi="Arial" w:cs="Arial"/>
          <w:b/>
          <w:kern w:val="0"/>
        </w:rPr>
      </w:pPr>
      <w:r w:rsidRPr="008C095F">
        <w:rPr>
          <w:rFonts w:ascii="Arial" w:hAnsi="Arial" w:cs="Arial"/>
          <w:b/>
          <w:kern w:val="0"/>
        </w:rPr>
        <w:t>2.</w:t>
      </w:r>
      <w:r>
        <w:rPr>
          <w:rFonts w:ascii="Arial" w:hAnsi="Arial" w:cs="Arial"/>
          <w:b/>
          <w:kern w:val="0"/>
        </w:rPr>
        <w:t>3</w:t>
      </w:r>
      <w:r w:rsidRPr="008C095F">
        <w:rPr>
          <w:rFonts w:ascii="Arial" w:hAnsi="Arial" w:cs="Arial"/>
          <w:b/>
          <w:kern w:val="0"/>
        </w:rPr>
        <w:t xml:space="preserve"> </w:t>
      </w:r>
      <w:r>
        <w:rPr>
          <w:rFonts w:ascii="Arial" w:hAnsi="Arial" w:cs="Arial"/>
          <w:b/>
          <w:kern w:val="0"/>
        </w:rPr>
        <w:t>Model Fit to Data</w:t>
      </w:r>
    </w:p>
    <w:p w14:paraId="3C24C885" w14:textId="5576B1D1" w:rsidR="00D85672" w:rsidRDefault="00D85672" w:rsidP="00D85672">
      <w:pPr>
        <w:pStyle w:val="BodyTextIndent"/>
        <w:rPr>
          <w:kern w:val="0"/>
        </w:rPr>
      </w:pPr>
      <w:r w:rsidRPr="00626735">
        <w:rPr>
          <w:kern w:val="0"/>
        </w:rPr>
        <w:t xml:space="preserve">The heat flux, originating at the interface of failure, is created due to the mechanical failure when the two surfaces separate.  The separation is instantaneous and is modeled as an impulse heat flux that creates heating within the separated inner layers. Since the two layers are not in contact after failure, a simple two sided or through-transmission heat flow model is used. The depth of the damage is determined by the heat transfer from the inside to the outer surface. This temperature response will be a function of the damage depth and thermal diffusivity. A simple one-dimensional two-sided thermal measurement model can be used to estimate the damage depth if the thermal diffusivity is known.  </w:t>
      </w:r>
    </w:p>
    <w:p w14:paraId="5FCCEE8F" w14:textId="1E19724D" w:rsidR="00867C55" w:rsidRPr="00626735" w:rsidRDefault="00867C55" w:rsidP="00867C55">
      <w:pPr>
        <w:pStyle w:val="BodyTextIndent"/>
        <w:rPr>
          <w:kern w:val="0"/>
        </w:rPr>
      </w:pPr>
      <w:r w:rsidRPr="00626735">
        <w:rPr>
          <w:kern w:val="0"/>
        </w:rPr>
        <w:t>The analytic solution derived by Winfree [</w:t>
      </w:r>
      <w:r w:rsidR="00583D39">
        <w:rPr>
          <w:kern w:val="0"/>
        </w:rPr>
        <w:t>5</w:t>
      </w:r>
      <w:r w:rsidRPr="00626735">
        <w:rPr>
          <w:kern w:val="0"/>
        </w:rPr>
        <w:t>] is shown in equation (</w:t>
      </w:r>
      <w:r w:rsidR="00CE4DE8">
        <w:rPr>
          <w:kern w:val="0"/>
        </w:rPr>
        <w:t>1</w:t>
      </w:r>
      <w:r w:rsidRPr="00626735">
        <w:rPr>
          <w:kern w:val="0"/>
        </w:rPr>
        <w:t>).  This equation is commonly used for a two-sided thermal measurement and is computationally efficient as compared to an infinite series solution.</w:t>
      </w:r>
    </w:p>
    <w:p w14:paraId="53E8BE50" w14:textId="77777777" w:rsidR="00867C55" w:rsidRPr="00626735" w:rsidRDefault="00867C55" w:rsidP="00867C55">
      <w:pPr>
        <w:pStyle w:val="BodyTextIndent"/>
        <w:rPr>
          <w:kern w:val="0"/>
        </w:rPr>
      </w:pPr>
    </w:p>
    <w:p w14:paraId="10F749AC" w14:textId="4AA98E90" w:rsidR="00583D39" w:rsidRDefault="00867C55" w:rsidP="00516F69">
      <w:pPr>
        <w:pStyle w:val="BodyTextIndent"/>
        <w:ind w:firstLine="0"/>
        <w:rPr>
          <w:kern w:val="0"/>
        </w:rPr>
      </w:pPr>
      <w:r w:rsidRPr="00626735">
        <w:rPr>
          <w:kern w:val="0"/>
        </w:rPr>
        <w:t xml:space="preserve">    </w:t>
      </w:r>
      <m:oMath>
        <m:r>
          <w:rPr>
            <w:rFonts w:ascii="Cambria Math" w:hAnsi="Cambria Math"/>
            <w:sz w:val="18"/>
            <w:szCs w:val="18"/>
          </w:rPr>
          <m:t xml:space="preserve">   T</m:t>
        </m:r>
        <m:d>
          <m:dPr>
            <m:ctrlPr>
              <w:rPr>
                <w:rFonts w:ascii="Cambria Math" w:hAnsi="Cambria Math"/>
                <w:i/>
                <w:sz w:val="18"/>
                <w:szCs w:val="18"/>
              </w:rPr>
            </m:ctrlPr>
          </m:dPr>
          <m:e>
            <m:r>
              <w:rPr>
                <w:rFonts w:ascii="Cambria Math" w:hAnsi="Cambria Math"/>
                <w:sz w:val="18"/>
                <w:szCs w:val="18"/>
              </w:rPr>
              <m:t>t</m:t>
            </m:r>
          </m:e>
        </m:d>
        <m:r>
          <w:rPr>
            <w:rFonts w:ascii="Cambria Math" w:hAnsi="Cambria Math"/>
            <w:sz w:val="18"/>
            <w:szCs w:val="18"/>
          </w:rPr>
          <m:t xml:space="preserve">= 2 </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f</m:t>
            </m:r>
          </m:sub>
        </m:sSub>
        <m:rad>
          <m:radPr>
            <m:degHide m:val="1"/>
            <m:ctrlPr>
              <w:rPr>
                <w:rFonts w:ascii="Cambria Math" w:hAnsi="Cambria Math"/>
                <w:i/>
                <w:sz w:val="18"/>
                <w:szCs w:val="18"/>
              </w:rPr>
            </m:ctrlPr>
          </m:radPr>
          <m:deg/>
          <m:e>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l</m:t>
                    </m:r>
                  </m:e>
                  <m:sup>
                    <m:r>
                      <w:rPr>
                        <w:rFonts w:ascii="Cambria Math" w:hAnsi="Cambria Math"/>
                        <w:sz w:val="18"/>
                        <w:szCs w:val="18"/>
                      </w:rPr>
                      <m:t>2</m:t>
                    </m:r>
                  </m:sup>
                </m:sSup>
              </m:num>
              <m:den>
                <m:r>
                  <w:rPr>
                    <w:rFonts w:ascii="Cambria Math" w:hAnsi="Cambria Math"/>
                    <w:sz w:val="18"/>
                    <w:szCs w:val="18"/>
                  </w:rPr>
                  <m:t>α π t</m:t>
                </m:r>
              </m:den>
            </m:f>
          </m:e>
        </m:rad>
        <m:r>
          <w:rPr>
            <w:rFonts w:ascii="Cambria Math" w:hAnsi="Cambria Math"/>
            <w:sz w:val="18"/>
            <w:szCs w:val="18"/>
          </w:rPr>
          <m:t xml:space="preserve"> </m:t>
        </m:r>
        <m:d>
          <m:dPr>
            <m:ctrlPr>
              <w:rPr>
                <w:rFonts w:ascii="Cambria Math" w:hAnsi="Cambria Math"/>
                <w:i/>
                <w:sz w:val="18"/>
                <w:szCs w:val="18"/>
              </w:rPr>
            </m:ctrlPr>
          </m:dPr>
          <m:e>
            <m:r>
              <w:rPr>
                <w:rFonts w:ascii="Cambria Math" w:hAnsi="Cambria Math"/>
                <w:sz w:val="18"/>
                <w:szCs w:val="18"/>
              </w:rPr>
              <m:t xml:space="preserve"> </m:t>
            </m:r>
            <m:sSup>
              <m:sSupPr>
                <m:ctrlPr>
                  <w:rPr>
                    <w:rFonts w:ascii="Cambria Math" w:hAnsi="Cambria Math"/>
                    <w:i/>
                    <w:sz w:val="18"/>
                    <w:szCs w:val="18"/>
                  </w:rPr>
                </m:ctrlPr>
              </m:sSupPr>
              <m:e>
                <m:func>
                  <m:funcPr>
                    <m:ctrlPr>
                      <w:rPr>
                        <w:rFonts w:ascii="Cambria Math" w:hAnsi="Cambria Math"/>
                        <w:i/>
                        <w:sz w:val="18"/>
                        <w:szCs w:val="18"/>
                      </w:rPr>
                    </m:ctrlPr>
                  </m:funcPr>
                  <m:fName>
                    <m:r>
                      <m:rPr>
                        <m:sty m:val="p"/>
                      </m:rPr>
                      <w:rPr>
                        <w:rFonts w:ascii="Cambria Math" w:hAnsi="Cambria Math"/>
                        <w:sz w:val="18"/>
                        <w:szCs w:val="18"/>
                      </w:rPr>
                      <m:t>exp</m:t>
                    </m:r>
                  </m:fName>
                  <m:e>
                    <m:r>
                      <w:rPr>
                        <w:rFonts w:ascii="Cambria Math" w:hAnsi="Cambria Math"/>
                        <w:sz w:val="18"/>
                        <w:szCs w:val="18"/>
                      </w:rPr>
                      <m:t xml:space="preserve"> </m:t>
                    </m:r>
                  </m:e>
                </m:func>
              </m:e>
              <m:sup>
                <m:f>
                  <m:fPr>
                    <m:ctrlPr>
                      <w:rPr>
                        <w:rFonts w:ascii="Cambria Math" w:hAnsi="Cambria Math"/>
                        <w:i/>
                        <w:sz w:val="18"/>
                        <w:szCs w:val="18"/>
                      </w:rPr>
                    </m:ctrlPr>
                  </m:fPr>
                  <m:num>
                    <m: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l</m:t>
                        </m:r>
                      </m:e>
                      <m:sup>
                        <m:r>
                          <w:rPr>
                            <w:rFonts w:ascii="Cambria Math" w:hAnsi="Cambria Math"/>
                            <w:sz w:val="18"/>
                            <w:szCs w:val="18"/>
                          </w:rPr>
                          <m:t>2</m:t>
                        </m:r>
                      </m:sup>
                    </m:sSup>
                  </m:num>
                  <m:den>
                    <m:r>
                      <w:rPr>
                        <w:rFonts w:ascii="Cambria Math" w:hAnsi="Cambria Math"/>
                        <w:sz w:val="18"/>
                        <w:szCs w:val="18"/>
                      </w:rPr>
                      <m:t>4 α t</m:t>
                    </m:r>
                  </m:den>
                </m:f>
              </m:sup>
            </m:sSup>
            <m:r>
              <w:rPr>
                <w:rFonts w:ascii="Cambria Math" w:hAnsi="Cambria Math"/>
                <w:sz w:val="18"/>
                <w:szCs w:val="18"/>
              </w:rPr>
              <m:t xml:space="preserve"> + </m:t>
            </m:r>
            <m:sSup>
              <m:sSupPr>
                <m:ctrlPr>
                  <w:rPr>
                    <w:rFonts w:ascii="Cambria Math" w:hAnsi="Cambria Math"/>
                    <w:i/>
                    <w:sz w:val="18"/>
                    <w:szCs w:val="18"/>
                  </w:rPr>
                </m:ctrlPr>
              </m:sSupPr>
              <m:e>
                <m:func>
                  <m:funcPr>
                    <m:ctrlPr>
                      <w:rPr>
                        <w:rFonts w:ascii="Cambria Math" w:hAnsi="Cambria Math"/>
                        <w:i/>
                        <w:sz w:val="18"/>
                        <w:szCs w:val="18"/>
                      </w:rPr>
                    </m:ctrlPr>
                  </m:funcPr>
                  <m:fName>
                    <m:r>
                      <m:rPr>
                        <m:sty m:val="p"/>
                      </m:rPr>
                      <w:rPr>
                        <w:rFonts w:ascii="Cambria Math" w:hAnsi="Cambria Math"/>
                        <w:sz w:val="18"/>
                        <w:szCs w:val="18"/>
                      </w:rPr>
                      <m:t>exp</m:t>
                    </m:r>
                  </m:fName>
                  <m:e>
                    <m:r>
                      <w:rPr>
                        <w:rFonts w:ascii="Cambria Math" w:hAnsi="Cambria Math"/>
                        <w:sz w:val="18"/>
                        <w:szCs w:val="18"/>
                      </w:rPr>
                      <m:t xml:space="preserve"> </m:t>
                    </m:r>
                  </m:e>
                </m:func>
              </m:e>
              <m:sup>
                <m:f>
                  <m:fPr>
                    <m:ctrlPr>
                      <w:rPr>
                        <w:rFonts w:ascii="Cambria Math" w:hAnsi="Cambria Math"/>
                        <w:i/>
                        <w:sz w:val="18"/>
                        <w:szCs w:val="18"/>
                      </w:rPr>
                    </m:ctrlPr>
                  </m:fPr>
                  <m:num>
                    <m:r>
                      <w:rPr>
                        <w:rFonts w:ascii="Cambria Math" w:hAnsi="Cambria Math"/>
                        <w:sz w:val="18"/>
                        <w:szCs w:val="18"/>
                      </w:rPr>
                      <m:t xml:space="preserve">-9 </m:t>
                    </m:r>
                    <m:sSup>
                      <m:sSupPr>
                        <m:ctrlPr>
                          <w:rPr>
                            <w:rFonts w:ascii="Cambria Math" w:hAnsi="Cambria Math"/>
                            <w:i/>
                            <w:sz w:val="18"/>
                            <w:szCs w:val="18"/>
                          </w:rPr>
                        </m:ctrlPr>
                      </m:sSupPr>
                      <m:e>
                        <m:r>
                          <w:rPr>
                            <w:rFonts w:ascii="Cambria Math" w:hAnsi="Cambria Math"/>
                            <w:sz w:val="18"/>
                            <w:szCs w:val="18"/>
                          </w:rPr>
                          <m:t>l</m:t>
                        </m:r>
                      </m:e>
                      <m:sup>
                        <m:r>
                          <w:rPr>
                            <w:rFonts w:ascii="Cambria Math" w:hAnsi="Cambria Math"/>
                            <w:sz w:val="18"/>
                            <w:szCs w:val="18"/>
                          </w:rPr>
                          <m:t>2</m:t>
                        </m:r>
                      </m:sup>
                    </m:sSup>
                  </m:num>
                  <m:den>
                    <m:r>
                      <w:rPr>
                        <w:rFonts w:ascii="Cambria Math" w:hAnsi="Cambria Math"/>
                        <w:sz w:val="18"/>
                        <w:szCs w:val="18"/>
                      </w:rPr>
                      <m:t>4 α t</m:t>
                    </m:r>
                  </m:den>
                </m:f>
              </m:sup>
            </m:sSup>
            <m:r>
              <w:rPr>
                <w:rFonts w:ascii="Cambria Math" w:hAnsi="Cambria Math"/>
                <w:sz w:val="18"/>
                <w:szCs w:val="18"/>
              </w:rPr>
              <m:t xml:space="preserve"> </m:t>
            </m:r>
          </m:e>
        </m:d>
        <m:r>
          <w:rPr>
            <w:rFonts w:ascii="Cambria Math" w:hAnsi="Cambria Math"/>
            <w:sz w:val="18"/>
            <w:szCs w:val="18"/>
          </w:rPr>
          <m:t xml:space="preserve"> for t&lt;0.4 </m:t>
        </m:r>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l</m:t>
                </m:r>
              </m:e>
              <m:sup>
                <m:r>
                  <w:rPr>
                    <w:rFonts w:ascii="Cambria Math" w:hAnsi="Cambria Math"/>
                    <w:sz w:val="18"/>
                    <w:szCs w:val="18"/>
                  </w:rPr>
                  <m:t>2</m:t>
                </m:r>
              </m:sup>
            </m:sSup>
          </m:num>
          <m:den>
            <m:r>
              <w:rPr>
                <w:rFonts w:ascii="Cambria Math" w:hAnsi="Cambria Math"/>
                <w:sz w:val="18"/>
                <w:szCs w:val="18"/>
              </w:rPr>
              <m:t>α</m:t>
            </m:r>
          </m:den>
        </m:f>
        <m:r>
          <w:rPr>
            <w:rFonts w:ascii="Cambria Math" w:hAnsi="Cambria Math"/>
            <w:sz w:val="18"/>
            <w:szCs w:val="18"/>
          </w:rPr>
          <m:t xml:space="preserve"> </m:t>
        </m:r>
        <m:r>
          <m:rPr>
            <m:sty m:val="p"/>
          </m:rPr>
          <w:rPr>
            <w:rFonts w:ascii="Cambria Math" w:hAnsi="Cambria Math"/>
            <w:sz w:val="18"/>
            <w:szCs w:val="18"/>
          </w:rPr>
          <m:t>and</m:t>
        </m:r>
        <m:r>
          <w:rPr>
            <w:rFonts w:ascii="Cambria Math" w:hAnsi="Cambria Math"/>
            <w:sz w:val="18"/>
            <w:szCs w:val="18"/>
          </w:rPr>
          <m:t xml:space="preserve">  T</m:t>
        </m:r>
        <m:d>
          <m:dPr>
            <m:ctrlPr>
              <w:rPr>
                <w:rFonts w:ascii="Cambria Math" w:hAnsi="Cambria Math"/>
                <w:i/>
                <w:sz w:val="18"/>
                <w:szCs w:val="18"/>
              </w:rPr>
            </m:ctrlPr>
          </m:dPr>
          <m:e>
            <m:r>
              <w:rPr>
                <w:rFonts w:ascii="Cambria Math" w:hAnsi="Cambria Math"/>
                <w:sz w:val="18"/>
                <w:szCs w:val="18"/>
              </w:rPr>
              <m:t>t</m:t>
            </m:r>
          </m:e>
        </m:d>
        <m: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f</m:t>
            </m:r>
          </m:sub>
        </m:sSub>
        <m:d>
          <m:dPr>
            <m:ctrlPr>
              <w:rPr>
                <w:rFonts w:ascii="Cambria Math" w:hAnsi="Cambria Math"/>
                <w:i/>
                <w:sz w:val="18"/>
                <w:szCs w:val="18"/>
              </w:rPr>
            </m:ctrlPr>
          </m:dPr>
          <m:e>
            <m:r>
              <w:rPr>
                <w:rFonts w:ascii="Cambria Math" w:hAnsi="Cambria Math"/>
                <w:sz w:val="18"/>
                <w:szCs w:val="18"/>
              </w:rPr>
              <m:t xml:space="preserve">1-  2 </m:t>
            </m:r>
            <m:sSup>
              <m:sSupPr>
                <m:ctrlPr>
                  <w:rPr>
                    <w:rFonts w:ascii="Cambria Math" w:hAnsi="Cambria Math"/>
                    <w:i/>
                    <w:sz w:val="18"/>
                    <w:szCs w:val="18"/>
                  </w:rPr>
                </m:ctrlPr>
              </m:sSupPr>
              <m:e>
                <m:func>
                  <m:funcPr>
                    <m:ctrlPr>
                      <w:rPr>
                        <w:rFonts w:ascii="Cambria Math" w:hAnsi="Cambria Math"/>
                        <w:i/>
                        <w:sz w:val="18"/>
                        <w:szCs w:val="18"/>
                      </w:rPr>
                    </m:ctrlPr>
                  </m:funcPr>
                  <m:fName>
                    <m:r>
                      <m:rPr>
                        <m:sty m:val="p"/>
                      </m:rPr>
                      <w:rPr>
                        <w:rFonts w:ascii="Cambria Math" w:hAnsi="Cambria Math"/>
                        <w:sz w:val="18"/>
                        <w:szCs w:val="18"/>
                      </w:rPr>
                      <m:t>exp</m:t>
                    </m:r>
                  </m:fName>
                  <m:e>
                    <m:r>
                      <w:rPr>
                        <w:rFonts w:ascii="Cambria Math" w:hAnsi="Cambria Math"/>
                        <w:sz w:val="18"/>
                        <w:szCs w:val="18"/>
                      </w:rPr>
                      <m:t xml:space="preserve"> </m:t>
                    </m:r>
                  </m:e>
                </m:func>
              </m:e>
              <m:sup>
                <m:f>
                  <m:fPr>
                    <m:ctrlPr>
                      <w:rPr>
                        <w:rFonts w:ascii="Cambria Math" w:hAnsi="Cambria Math"/>
                        <w:i/>
                        <w:sz w:val="18"/>
                        <w:szCs w:val="18"/>
                      </w:rPr>
                    </m:ctrlPr>
                  </m:fPr>
                  <m:num>
                    <m:r>
                      <w:rPr>
                        <w:rFonts w:ascii="Cambria Math" w:hAnsi="Cambria Math"/>
                        <w:sz w:val="18"/>
                        <w:szCs w:val="18"/>
                      </w:rPr>
                      <m:t xml:space="preserve">- α </m:t>
                    </m:r>
                    <m:sSup>
                      <m:sSupPr>
                        <m:ctrlPr>
                          <w:rPr>
                            <w:rFonts w:ascii="Cambria Math" w:hAnsi="Cambria Math"/>
                            <w:i/>
                            <w:sz w:val="18"/>
                            <w:szCs w:val="18"/>
                          </w:rPr>
                        </m:ctrlPr>
                      </m:sSupPr>
                      <m:e>
                        <m:r>
                          <w:rPr>
                            <w:rFonts w:ascii="Cambria Math" w:hAnsi="Cambria Math"/>
                            <w:sz w:val="18"/>
                            <w:szCs w:val="18"/>
                          </w:rPr>
                          <m:t>π</m:t>
                        </m:r>
                      </m:e>
                      <m:sup>
                        <m:r>
                          <w:rPr>
                            <w:rFonts w:ascii="Cambria Math" w:hAnsi="Cambria Math"/>
                            <w:sz w:val="18"/>
                            <w:szCs w:val="18"/>
                          </w:rPr>
                          <m:t>2</m:t>
                        </m:r>
                      </m:sup>
                    </m:sSup>
                    <m:r>
                      <w:rPr>
                        <w:rFonts w:ascii="Cambria Math" w:hAnsi="Cambria Math"/>
                        <w:sz w:val="18"/>
                        <w:szCs w:val="18"/>
                      </w:rPr>
                      <m:t xml:space="preserve"> t</m:t>
                    </m:r>
                  </m:num>
                  <m:den>
                    <m:sSup>
                      <m:sSupPr>
                        <m:ctrlPr>
                          <w:rPr>
                            <w:rFonts w:ascii="Cambria Math" w:hAnsi="Cambria Math"/>
                            <w:i/>
                            <w:sz w:val="18"/>
                            <w:szCs w:val="18"/>
                          </w:rPr>
                        </m:ctrlPr>
                      </m:sSupPr>
                      <m:e>
                        <m:r>
                          <w:rPr>
                            <w:rFonts w:ascii="Cambria Math" w:hAnsi="Cambria Math"/>
                            <w:sz w:val="18"/>
                            <w:szCs w:val="18"/>
                          </w:rPr>
                          <m:t>l</m:t>
                        </m:r>
                      </m:e>
                      <m:sup>
                        <m:r>
                          <w:rPr>
                            <w:rFonts w:ascii="Cambria Math" w:hAnsi="Cambria Math"/>
                            <w:sz w:val="18"/>
                            <w:szCs w:val="18"/>
                          </w:rPr>
                          <m:t>2</m:t>
                        </m:r>
                      </m:sup>
                    </m:sSup>
                  </m:den>
                </m:f>
              </m:sup>
            </m:sSup>
            <m:r>
              <w:rPr>
                <w:rFonts w:ascii="Cambria Math" w:hAnsi="Cambria Math"/>
                <w:sz w:val="18"/>
                <w:szCs w:val="18"/>
              </w:rPr>
              <m:t xml:space="preserve">  </m:t>
            </m:r>
          </m:e>
        </m:d>
        <m:r>
          <w:rPr>
            <w:rFonts w:ascii="Cambria Math" w:hAnsi="Cambria Math"/>
            <w:sz w:val="18"/>
            <w:szCs w:val="18"/>
          </w:rPr>
          <m:t xml:space="preserve"> for t≥0.4 </m:t>
        </m:r>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l</m:t>
                </m:r>
              </m:e>
              <m:sup>
                <m:r>
                  <w:rPr>
                    <w:rFonts w:ascii="Cambria Math" w:hAnsi="Cambria Math"/>
                    <w:sz w:val="18"/>
                    <w:szCs w:val="18"/>
                  </w:rPr>
                  <m:t>2</m:t>
                </m:r>
              </m:sup>
            </m:sSup>
          </m:num>
          <m:den>
            <m:r>
              <w:rPr>
                <w:rFonts w:ascii="Cambria Math" w:hAnsi="Cambria Math"/>
                <w:sz w:val="18"/>
                <w:szCs w:val="18"/>
              </w:rPr>
              <m:t>α</m:t>
            </m:r>
          </m:den>
        </m:f>
      </m:oMath>
      <w:r>
        <w:rPr>
          <w:sz w:val="18"/>
          <w:szCs w:val="18"/>
        </w:rPr>
        <w:t xml:space="preserve">            (1)</w:t>
      </w:r>
      <w:r w:rsidRPr="00626735">
        <w:rPr>
          <w:kern w:val="0"/>
        </w:rPr>
        <w:t xml:space="preserve"> </w:t>
      </w:r>
    </w:p>
    <w:p w14:paraId="104AB8AE" w14:textId="64E0E43C" w:rsidR="00464996" w:rsidRPr="00464996" w:rsidRDefault="002B4432" w:rsidP="00464996">
      <w:pPr>
        <w:pStyle w:val="BodyTextIndent"/>
        <w:spacing w:before="240"/>
        <w:ind w:firstLine="0"/>
      </w:pPr>
      <w:r w:rsidRPr="008B0D48">
        <w:rPr>
          <w:i/>
        </w:rPr>
        <w:t>T</w:t>
      </w:r>
      <w:r w:rsidRPr="008B0D48">
        <w:t>(t) is the</w:t>
      </w:r>
      <w:r>
        <w:t xml:space="preserve"> surface</w:t>
      </w:r>
      <w:r w:rsidRPr="008B0D48">
        <w:t xml:space="preserve"> temperature response, </w:t>
      </w:r>
      <w:r w:rsidRPr="005546C1">
        <w:rPr>
          <w:i/>
        </w:rPr>
        <w:t>T</w:t>
      </w:r>
      <w:r w:rsidRPr="008B0D48">
        <w:rPr>
          <w:i/>
          <w:vertAlign w:val="subscript"/>
        </w:rPr>
        <w:t>F</w:t>
      </w:r>
      <w:r w:rsidRPr="008B0D48">
        <w:t xml:space="preserve"> is the final temperature, </w:t>
      </w:r>
      <m:oMath>
        <m:r>
          <w:rPr>
            <w:rFonts w:ascii="Cambria Math" w:hAnsi="Cambria Math"/>
          </w:rPr>
          <m:t xml:space="preserve">α </m:t>
        </m:r>
      </m:oMath>
      <w:r w:rsidRPr="008B0D48">
        <w:t>is the thermal diffusivity,</w:t>
      </w:r>
      <w:r>
        <w:t xml:space="preserve"> </w:t>
      </w:r>
      <m:oMath>
        <m:r>
          <w:rPr>
            <w:rFonts w:ascii="Cambria Math" w:hAnsi="Cambria Math"/>
            <w:sz w:val="18"/>
            <w:szCs w:val="18"/>
          </w:rPr>
          <m:t>l</m:t>
        </m:r>
      </m:oMath>
      <w:r w:rsidRPr="008B0D48">
        <w:t xml:space="preserve"> is the layer thickness, and </w:t>
      </w:r>
      <w:r w:rsidRPr="005546C1">
        <w:rPr>
          <w:i/>
        </w:rPr>
        <w:t>t</w:t>
      </w:r>
      <w:r w:rsidRPr="008B0D48">
        <w:t xml:space="preserve"> is time.  The equation assumes no convection losses and the heat flux generated is considered instantaneous.  The equation also does not take into account the instantaneous heating </w:t>
      </w:r>
      <w:r w:rsidR="0064338C" w:rsidRPr="008B0D48">
        <w:t>response;</w:t>
      </w:r>
      <w:r w:rsidRPr="008B0D48">
        <w:t xml:space="preserve"> </w:t>
      </w:r>
      <w:r w:rsidR="0064338C" w:rsidRPr="008B0D48">
        <w:t>however,</w:t>
      </w:r>
      <w:r w:rsidRPr="008B0D48">
        <w:t xml:space="preserve"> the start time is determined from the instantaneous response.</w:t>
      </w:r>
      <w:r w:rsidR="00CE4DE8">
        <w:t xml:space="preserve"> </w:t>
      </w:r>
      <w:r w:rsidR="008A2386">
        <w:t>The</w:t>
      </w:r>
      <w:r w:rsidR="00CE4DE8">
        <w:t xml:space="preserve"> instantaneous response is shown in the top right plot of Figure 3</w:t>
      </w:r>
      <w:r w:rsidR="008A2386">
        <w:t xml:space="preserve"> where a single pixel point of the instantaneous thermal image is plotted as a function of time</w:t>
      </w:r>
      <w:r w:rsidR="00CE4DE8">
        <w:t xml:space="preserve">. The instantaneous heating image is shown to have the same overall size as the ultrasonic inspection shown in the bottom right figure of Figure 3. </w:t>
      </w:r>
      <w:r w:rsidRPr="008B0D48">
        <w:t xml:space="preserve"> For a known </w:t>
      </w:r>
      <w:r>
        <w:t>thermal diffusivity</w:t>
      </w:r>
      <w:r w:rsidRPr="008B0D48">
        <w:t>, equation (</w:t>
      </w:r>
      <w:r>
        <w:t>1</w:t>
      </w:r>
      <w:r w:rsidRPr="008B0D48">
        <w:t>) is</w:t>
      </w:r>
      <w:r>
        <w:rPr>
          <w:kern w:val="0"/>
        </w:rPr>
        <w:t xml:space="preserve"> </w:t>
      </w:r>
      <w:r w:rsidR="00867C55" w:rsidRPr="00626735">
        <w:rPr>
          <w:kern w:val="0"/>
        </w:rPr>
        <w:t xml:space="preserve">used to determine the damage depth, pixel by pixel, by minimizing the squared difference between the model and </w:t>
      </w:r>
      <w:r w:rsidR="00583D39">
        <w:rPr>
          <w:kern w:val="0"/>
        </w:rPr>
        <w:t>the data</w:t>
      </w:r>
      <w:r>
        <w:rPr>
          <w:kern w:val="0"/>
        </w:rPr>
        <w:t>.</w:t>
      </w:r>
      <w:r w:rsidR="00583D39" w:rsidRPr="00CE055A">
        <w:t xml:space="preserve"> Shown in</w:t>
      </w:r>
      <w:r>
        <w:t xml:space="preserve"> bottom plot of</w:t>
      </w:r>
      <w:r w:rsidR="00583D39" w:rsidRPr="00CE055A">
        <w:t xml:space="preserve"> Figure </w:t>
      </w:r>
      <w:r>
        <w:t>3 is an</w:t>
      </w:r>
      <w:r w:rsidR="00583D39" w:rsidRPr="00CE055A">
        <w:t xml:space="preserve"> example model fit to the thermal data for a single pixel point</w:t>
      </w:r>
      <w:r w:rsidR="00583D39">
        <w:t xml:space="preserve"> (located in the damage center) </w:t>
      </w:r>
      <w:r w:rsidR="00583D39" w:rsidRPr="00CE055A">
        <w:t>for the delamination</w:t>
      </w:r>
      <w:r>
        <w:t xml:space="preserve"> damage</w:t>
      </w:r>
      <w:r w:rsidR="00583D39" w:rsidRPr="00CE055A">
        <w:t>.  The data used for the model fit was truncated</w:t>
      </w:r>
      <w:r>
        <w:t xml:space="preserve"> (</w:t>
      </w:r>
      <w:r w:rsidRPr="00CE055A">
        <w:t>0.9 to 7.5 seconds</w:t>
      </w:r>
      <w:r>
        <w:t>)</w:t>
      </w:r>
      <w:r w:rsidR="00583D39" w:rsidRPr="00CE055A">
        <w:t xml:space="preserve"> to remove the early times which is dominated by the instantaneous heating response.  </w:t>
      </w:r>
    </w:p>
    <w:p w14:paraId="1D9BAF53" w14:textId="77777777" w:rsidR="00464996" w:rsidRDefault="00464996" w:rsidP="00464996">
      <w:pPr>
        <w:pStyle w:val="BodyTextIndent"/>
        <w:rPr>
          <w:kern w:val="0"/>
        </w:rPr>
      </w:pPr>
    </w:p>
    <w:p w14:paraId="78A1BAE5" w14:textId="77777777" w:rsidR="00464996" w:rsidRPr="00D45430" w:rsidRDefault="00464996" w:rsidP="00464996">
      <w:pPr>
        <w:pStyle w:val="BodyTextIndent"/>
        <w:numPr>
          <w:ilvl w:val="0"/>
          <w:numId w:val="3"/>
        </w:numPr>
        <w:ind w:left="360"/>
        <w:rPr>
          <w:rFonts w:ascii="Arial" w:hAnsi="Arial" w:cs="Arial"/>
          <w:b/>
          <w:kern w:val="0"/>
        </w:rPr>
      </w:pPr>
      <w:r w:rsidRPr="008C095F">
        <w:rPr>
          <w:rFonts w:ascii="Arial" w:hAnsi="Arial" w:cs="Arial"/>
          <w:b/>
          <w:kern w:val="0"/>
        </w:rPr>
        <w:t>RESULTS AND DISCUSSION</w:t>
      </w:r>
    </w:p>
    <w:p w14:paraId="50E585CC" w14:textId="538A15F1" w:rsidR="00464996" w:rsidRPr="008A2386" w:rsidRDefault="00464996" w:rsidP="008A2386">
      <w:pPr>
        <w:pStyle w:val="BodyTextIndent"/>
      </w:pPr>
      <w:r w:rsidRPr="00893BBF">
        <w:rPr>
          <w:lang w:val="en"/>
        </w:rPr>
        <w:t xml:space="preserve">By fitting the thermal model to the data pixel by pixel, the thermal data can be reduced to a thickness image revealing the damage depth.  </w:t>
      </w:r>
      <w:r w:rsidR="00C93937">
        <w:t xml:space="preserve">This is shown in Figure 4 for the quasi-static </w:t>
      </w:r>
      <w:r w:rsidR="001A6AE4">
        <w:t>loaded panel</w:t>
      </w:r>
      <w:r w:rsidR="00C93937">
        <w:t xml:space="preserve">. </w:t>
      </w:r>
      <w:r w:rsidR="0071022C">
        <w:t xml:space="preserve"> </w:t>
      </w:r>
      <w:r w:rsidR="00C93937">
        <w:t xml:space="preserve">The depth image is blurry due to the early times omitted from the fitting. The thermally measured depth appears uniform in depth at around 0.2 cm over the damaged area.  This is confirmed from X-ray CT measurements (results </w:t>
      </w:r>
      <w:r w:rsidR="008A2386">
        <w:t xml:space="preserve">will be </w:t>
      </w:r>
      <w:r w:rsidR="008A2386">
        <w:lastRenderedPageBreak/>
        <w:t>shown in final paper</w:t>
      </w:r>
      <w:r w:rsidR="00C93937">
        <w:t>).  Also note the thermally measured thickness values away from the damage gives erroneous values due to the lack of a thermal response.  Shown in Figure 5 is the</w:t>
      </w:r>
      <w:r w:rsidR="008A2386">
        <w:t xml:space="preserve"> instantaneous heating thermal image from fatigue loading. This heating results from rapid damage growth. This image is obtained by removing the thermoelastic thermal response using a simple notch filter.  The damage depth image is obtained by pixel by pixel curve fit of equation (1). </w:t>
      </w:r>
      <w:r w:rsidR="00C93937">
        <w:t xml:space="preserve">The damage depth image reveals damage at different depths from 0.20 to 0.40 cm.  This indicates the damage detected is at multiple ply levels.  </w:t>
      </w:r>
    </w:p>
    <w:p w14:paraId="14ADF6C1" w14:textId="04FC93DC" w:rsidR="00893BBF" w:rsidRPr="00C90725" w:rsidRDefault="00893BBF" w:rsidP="00516F69">
      <w:pPr>
        <w:pStyle w:val="BodyTextIndent"/>
        <w:ind w:firstLine="0"/>
        <w:rPr>
          <w:kern w:val="0"/>
        </w:rPr>
      </w:pPr>
    </w:p>
    <w:p w14:paraId="3B4BD55C" w14:textId="786A6F8F" w:rsidR="00867C55" w:rsidRPr="008C095F" w:rsidRDefault="0014240D" w:rsidP="0014240D">
      <w:pPr>
        <w:pStyle w:val="BodyTextIndent"/>
        <w:ind w:firstLine="0"/>
        <w:rPr>
          <w:rFonts w:ascii="Arial" w:hAnsi="Arial" w:cs="Arial"/>
          <w:b/>
          <w:kern w:val="0"/>
        </w:rPr>
      </w:pPr>
      <w:r>
        <w:rPr>
          <w:rFonts w:ascii="Arial" w:hAnsi="Arial" w:cs="Arial"/>
          <w:b/>
          <w:noProof/>
          <w:kern w:val="0"/>
        </w:rPr>
        <w:drawing>
          <wp:inline distT="0" distB="0" distL="0" distR="0" wp14:anchorId="502B38E7" wp14:editId="5E1D9EF7">
            <wp:extent cx="3250790" cy="2300560"/>
            <wp:effectExtent l="0" t="0" r="6985"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02099" cy="2336871"/>
                    </a:xfrm>
                    <a:prstGeom prst="rect">
                      <a:avLst/>
                    </a:prstGeom>
                    <a:noFill/>
                  </pic:spPr>
                </pic:pic>
              </a:graphicData>
            </a:graphic>
          </wp:inline>
        </w:drawing>
      </w:r>
    </w:p>
    <w:p w14:paraId="0EC48253" w14:textId="27D7A265" w:rsidR="009B6664" w:rsidRPr="003226D6" w:rsidRDefault="00893BBF" w:rsidP="003226D6">
      <w:pPr>
        <w:pStyle w:val="BodyTextIndent"/>
        <w:rPr>
          <w:kern w:val="0"/>
        </w:rPr>
      </w:pPr>
      <w:r w:rsidRPr="00587C4E">
        <w:rPr>
          <w:rFonts w:ascii="Arial" w:hAnsi="Arial" w:cs="Arial"/>
          <w:b/>
          <w:kern w:val="0"/>
        </w:rPr>
        <w:t xml:space="preserve">FIGURE </w:t>
      </w:r>
      <w:r>
        <w:rPr>
          <w:rFonts w:ascii="Arial" w:hAnsi="Arial" w:cs="Arial"/>
          <w:b/>
          <w:kern w:val="0"/>
        </w:rPr>
        <w:t>3</w:t>
      </w:r>
      <w:r w:rsidRPr="00587C4E">
        <w:rPr>
          <w:b/>
          <w:kern w:val="0"/>
        </w:rPr>
        <w:t>:</w:t>
      </w:r>
      <w:r>
        <w:rPr>
          <w:kern w:val="0"/>
          <w:sz w:val="18"/>
          <w:szCs w:val="18"/>
        </w:rPr>
        <w:t xml:space="preserve"> </w:t>
      </w:r>
      <w:r w:rsidR="001E1ABB">
        <w:rPr>
          <w:kern w:val="0"/>
          <w:sz w:val="18"/>
          <w:szCs w:val="18"/>
        </w:rPr>
        <w:t>INSTANTANEOUS THERMAL IMAGE WITH ULTRASONIC COMPARISON AND SINGLE PIXEL PLOT WITH CURVE FIT</w:t>
      </w:r>
      <w:r>
        <w:rPr>
          <w:kern w:val="0"/>
          <w:sz w:val="18"/>
          <w:szCs w:val="18"/>
        </w:rPr>
        <w:t>.</w:t>
      </w:r>
    </w:p>
    <w:p w14:paraId="5A4F290E" w14:textId="77777777" w:rsidR="009B6664" w:rsidRDefault="009B6664" w:rsidP="00832A74">
      <w:pPr>
        <w:pStyle w:val="BodyTextIndent"/>
        <w:rPr>
          <w:lang w:val="en"/>
        </w:rPr>
      </w:pPr>
    </w:p>
    <w:p w14:paraId="0E607AEA" w14:textId="6280D1D2" w:rsidR="000E77E0" w:rsidRDefault="0071022C" w:rsidP="000E77E0">
      <w:pPr>
        <w:pStyle w:val="BodyTextIndent"/>
        <w:rPr>
          <w:kern w:val="0"/>
        </w:rPr>
      </w:pPr>
      <w:r>
        <w:rPr>
          <w:rFonts w:ascii="Arial" w:hAnsi="Arial" w:cs="Arial"/>
          <w:b/>
          <w:kern w:val="0"/>
        </w:rPr>
        <w:t xml:space="preserve">      </w:t>
      </w:r>
      <w:r w:rsidR="00893BBF">
        <w:rPr>
          <w:noProof/>
          <w:lang w:val="en"/>
        </w:rPr>
        <w:drawing>
          <wp:inline distT="0" distB="0" distL="0" distR="0" wp14:anchorId="60E26166" wp14:editId="197DAE4C">
            <wp:extent cx="2141351" cy="230056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59723" cy="2320299"/>
                    </a:xfrm>
                    <a:prstGeom prst="rect">
                      <a:avLst/>
                    </a:prstGeom>
                    <a:noFill/>
                  </pic:spPr>
                </pic:pic>
              </a:graphicData>
            </a:graphic>
          </wp:inline>
        </w:drawing>
      </w:r>
      <w:r w:rsidR="00A206FC">
        <w:rPr>
          <w:lang w:val="en"/>
        </w:rPr>
        <w:br/>
      </w:r>
      <w:r w:rsidR="000E77E0" w:rsidRPr="00587C4E">
        <w:rPr>
          <w:rFonts w:ascii="Arial" w:hAnsi="Arial" w:cs="Arial"/>
          <w:b/>
          <w:kern w:val="0"/>
        </w:rPr>
        <w:t xml:space="preserve">FIGURE </w:t>
      </w:r>
      <w:r w:rsidR="000E77E0">
        <w:rPr>
          <w:rFonts w:ascii="Arial" w:hAnsi="Arial" w:cs="Arial"/>
          <w:b/>
          <w:kern w:val="0"/>
        </w:rPr>
        <w:t>4</w:t>
      </w:r>
      <w:r w:rsidR="000E77E0" w:rsidRPr="00587C4E">
        <w:rPr>
          <w:b/>
          <w:kern w:val="0"/>
        </w:rPr>
        <w:t>:</w:t>
      </w:r>
      <w:r w:rsidR="000E77E0">
        <w:rPr>
          <w:kern w:val="0"/>
          <w:sz w:val="18"/>
          <w:szCs w:val="18"/>
        </w:rPr>
        <w:t xml:space="preserve"> </w:t>
      </w:r>
      <w:r w:rsidR="001E1ABB">
        <w:rPr>
          <w:kern w:val="0"/>
          <w:sz w:val="18"/>
          <w:szCs w:val="18"/>
        </w:rPr>
        <w:t>THERMAL DAMAGE DEPTH IMAGE FROM STATIC LOADING WITH LINE PLOT.</w:t>
      </w:r>
    </w:p>
    <w:p w14:paraId="14B8E238" w14:textId="70FAF3A9" w:rsidR="00F80B51" w:rsidRDefault="00F80B51" w:rsidP="00F80B51">
      <w:pPr>
        <w:pStyle w:val="BodyTextIndent"/>
        <w:ind w:firstLine="0"/>
        <w:rPr>
          <w:noProof/>
          <w:lang w:val="en"/>
        </w:rPr>
      </w:pPr>
    </w:p>
    <w:p w14:paraId="2019A401" w14:textId="77777777" w:rsidR="0071022C" w:rsidRPr="00A206FC" w:rsidRDefault="0071022C" w:rsidP="0071022C">
      <w:pPr>
        <w:pStyle w:val="BodyTextIndent"/>
        <w:ind w:left="360" w:hanging="360"/>
        <w:rPr>
          <w:rFonts w:ascii="Arial" w:hAnsi="Arial" w:cs="Arial"/>
          <w:b/>
          <w:lang w:val="en"/>
        </w:rPr>
      </w:pPr>
      <w:r w:rsidRPr="00A206FC">
        <w:rPr>
          <w:rFonts w:ascii="Arial" w:hAnsi="Arial" w:cs="Arial"/>
          <w:b/>
          <w:lang w:val="en"/>
        </w:rPr>
        <w:t>CONCLUSION</w:t>
      </w:r>
    </w:p>
    <w:p w14:paraId="6662A037" w14:textId="52E28A34" w:rsidR="00F80B51" w:rsidRDefault="0071022C" w:rsidP="006D0498">
      <w:pPr>
        <w:ind w:firstLine="360"/>
      </w:pPr>
      <w:r w:rsidRPr="00893BBF">
        <w:rPr>
          <w:kern w:val="0"/>
        </w:rPr>
        <w:t>Passive thermography has been shown to be an effective real time NDE inspection technique to track damage onset and growth in composite single stringer panels during</w:t>
      </w:r>
      <w:r w:rsidR="00382E76">
        <w:rPr>
          <w:kern w:val="0"/>
        </w:rPr>
        <w:t xml:space="preserve"> both quasi-static and</w:t>
      </w:r>
      <w:r>
        <w:rPr>
          <w:kern w:val="0"/>
        </w:rPr>
        <w:t xml:space="preserve"> </w:t>
      </w:r>
      <w:r w:rsidRPr="00893BBF">
        <w:rPr>
          <w:kern w:val="0"/>
        </w:rPr>
        <w:t>fatigue loading.  The thermal data is processed for damage</w:t>
      </w:r>
      <w:r w:rsidR="007C01A5">
        <w:rPr>
          <w:kern w:val="0"/>
        </w:rPr>
        <w:t xml:space="preserve"> depth using both the </w:t>
      </w:r>
      <w:r w:rsidR="007C01A5">
        <w:t xml:space="preserve">instantaneous temperature rise which is due to </w:t>
      </w:r>
      <w:r w:rsidR="009D666C">
        <w:t>an irreversible</w:t>
      </w:r>
      <w:r w:rsidR="007C01A5">
        <w:t xml:space="preserve"> thermoelastic release of energy </w:t>
      </w:r>
      <w:r w:rsidR="007C01A5">
        <w:t>when the sample fails and the transient increase in temperature due to the buried heat generated at the interface of failure.  Using these two components, the damage depth can be imaged thermally.  This can potentially help test engineers by providing damage location, size and depth during composites load testing.</w:t>
      </w:r>
    </w:p>
    <w:p w14:paraId="6C5257FA" w14:textId="77777777" w:rsidR="001E1ABB" w:rsidRPr="001E1ABB" w:rsidRDefault="001E1ABB" w:rsidP="001E1ABB"/>
    <w:p w14:paraId="2930A98C" w14:textId="2B24182F" w:rsidR="00F80B51" w:rsidRDefault="0014240D" w:rsidP="00F80B51">
      <w:pPr>
        <w:pStyle w:val="BodyTextIndent"/>
        <w:ind w:firstLine="0"/>
        <w:rPr>
          <w:lang w:val="en"/>
        </w:rPr>
      </w:pPr>
      <w:r>
        <w:rPr>
          <w:noProof/>
          <w:lang w:val="en"/>
        </w:rPr>
        <w:drawing>
          <wp:inline distT="0" distB="0" distL="0" distR="0" wp14:anchorId="104F22FE" wp14:editId="2AD33DF4">
            <wp:extent cx="3212406" cy="1908658"/>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57583" cy="1935500"/>
                    </a:xfrm>
                    <a:prstGeom prst="rect">
                      <a:avLst/>
                    </a:prstGeom>
                    <a:noFill/>
                  </pic:spPr>
                </pic:pic>
              </a:graphicData>
            </a:graphic>
          </wp:inline>
        </w:drawing>
      </w:r>
    </w:p>
    <w:p w14:paraId="3E6EE2B1" w14:textId="3EFB6A8E" w:rsidR="000E77E0" w:rsidRDefault="000E77E0" w:rsidP="00F80B51">
      <w:pPr>
        <w:pStyle w:val="BodyTextIndent"/>
        <w:ind w:firstLine="0"/>
        <w:rPr>
          <w:lang w:val="en"/>
        </w:rPr>
      </w:pPr>
    </w:p>
    <w:p w14:paraId="2E19FDE2" w14:textId="788E45C3" w:rsidR="000E77E0" w:rsidRDefault="000E77E0" w:rsidP="001E1ABB">
      <w:pPr>
        <w:pStyle w:val="BodyTextIndent"/>
        <w:rPr>
          <w:kern w:val="0"/>
        </w:rPr>
      </w:pPr>
      <w:r w:rsidRPr="00587C4E">
        <w:rPr>
          <w:rFonts w:ascii="Arial" w:hAnsi="Arial" w:cs="Arial"/>
          <w:b/>
          <w:kern w:val="0"/>
        </w:rPr>
        <w:t xml:space="preserve">FIGURE </w:t>
      </w:r>
      <w:r>
        <w:rPr>
          <w:rFonts w:ascii="Arial" w:hAnsi="Arial" w:cs="Arial"/>
          <w:b/>
          <w:kern w:val="0"/>
        </w:rPr>
        <w:t>5</w:t>
      </w:r>
      <w:r w:rsidRPr="00587C4E">
        <w:rPr>
          <w:b/>
          <w:kern w:val="0"/>
        </w:rPr>
        <w:t>:</w:t>
      </w:r>
      <w:r>
        <w:rPr>
          <w:kern w:val="0"/>
          <w:sz w:val="18"/>
          <w:szCs w:val="18"/>
        </w:rPr>
        <w:t xml:space="preserve"> </w:t>
      </w:r>
      <w:r w:rsidR="001E1ABB">
        <w:rPr>
          <w:kern w:val="0"/>
          <w:sz w:val="18"/>
          <w:szCs w:val="18"/>
        </w:rPr>
        <w:t>INSTANTANEOUS THERMAL IMAGE</w:t>
      </w:r>
      <w:r w:rsidR="006D0498">
        <w:rPr>
          <w:kern w:val="0"/>
          <w:sz w:val="18"/>
          <w:szCs w:val="18"/>
        </w:rPr>
        <w:t xml:space="preserve"> FROM FATIGUE LOADING</w:t>
      </w:r>
      <w:r w:rsidR="001E1ABB">
        <w:rPr>
          <w:kern w:val="0"/>
          <w:sz w:val="18"/>
          <w:szCs w:val="18"/>
        </w:rPr>
        <w:t xml:space="preserve"> AND DAMAGE DEPTH IMAGE WITH LINE PLOT.</w:t>
      </w:r>
    </w:p>
    <w:p w14:paraId="5FB47285" w14:textId="77777777" w:rsidR="000E77E0" w:rsidRDefault="000E77E0" w:rsidP="001A6AE4">
      <w:pPr>
        <w:pStyle w:val="BodyTextIndent"/>
        <w:ind w:firstLine="0"/>
        <w:rPr>
          <w:kern w:val="0"/>
        </w:rPr>
      </w:pPr>
    </w:p>
    <w:p w14:paraId="41AE5E54" w14:textId="77777777" w:rsidR="00A206FC" w:rsidRPr="00A206FC" w:rsidRDefault="00A206FC" w:rsidP="007A5D1A">
      <w:pPr>
        <w:pStyle w:val="BodyTextIndent"/>
        <w:ind w:firstLine="0"/>
        <w:jc w:val="left"/>
        <w:rPr>
          <w:rFonts w:ascii="Arial" w:hAnsi="Arial" w:cs="Arial"/>
          <w:b/>
          <w:kern w:val="0"/>
        </w:rPr>
      </w:pPr>
      <w:r w:rsidRPr="00A206FC">
        <w:rPr>
          <w:rFonts w:ascii="Arial" w:hAnsi="Arial" w:cs="Arial"/>
          <w:b/>
          <w:kern w:val="0"/>
        </w:rPr>
        <w:t>ACKNOWLEDGEMENTS</w:t>
      </w:r>
    </w:p>
    <w:p w14:paraId="0EC8314B" w14:textId="77777777" w:rsidR="00867C55" w:rsidRPr="00A206FC" w:rsidRDefault="00867C55" w:rsidP="00867C55">
      <w:pPr>
        <w:pStyle w:val="BodyTextIndent"/>
        <w:jc w:val="left"/>
        <w:rPr>
          <w:rFonts w:ascii="Arial" w:hAnsi="Arial" w:cs="Arial"/>
          <w:b/>
          <w:kern w:val="0"/>
        </w:rPr>
      </w:pPr>
      <w:r>
        <w:t>This work was performed under NASA’s Advanced Composites Project.</w:t>
      </w:r>
    </w:p>
    <w:p w14:paraId="596585A5" w14:textId="27309B72" w:rsidR="00A206FC" w:rsidRDefault="00A206FC" w:rsidP="00A206FC">
      <w:pPr>
        <w:pStyle w:val="BodyTextIndent"/>
        <w:jc w:val="left"/>
        <w:rPr>
          <w:kern w:val="0"/>
        </w:rPr>
      </w:pPr>
      <w:r>
        <w:rPr>
          <w:kern w:val="0"/>
        </w:rPr>
        <w:br/>
      </w:r>
      <w:r w:rsidRPr="00A206FC">
        <w:rPr>
          <w:rFonts w:ascii="Arial" w:hAnsi="Arial" w:cs="Arial"/>
          <w:b/>
          <w:kern w:val="0"/>
        </w:rPr>
        <w:t>REFERENCES</w:t>
      </w:r>
    </w:p>
    <w:p w14:paraId="79EB50B8" w14:textId="3779E72E" w:rsidR="000E77E0" w:rsidRPr="003377C3" w:rsidRDefault="000E77E0" w:rsidP="000E77E0">
      <w:pPr>
        <w:pStyle w:val="SPIEreferencelisting"/>
      </w:pPr>
      <w:r w:rsidRPr="003377C3">
        <w:rPr>
          <w:lang w:eastAsia="zh-CN"/>
        </w:rPr>
        <w:t xml:space="preserve">Rose, C.A.; </w:t>
      </w:r>
      <w:proofErr w:type="spellStart"/>
      <w:r w:rsidRPr="003377C3">
        <w:rPr>
          <w:lang w:eastAsia="zh-CN"/>
        </w:rPr>
        <w:t>Dávila</w:t>
      </w:r>
      <w:proofErr w:type="spellEnd"/>
      <w:r w:rsidRPr="003377C3">
        <w:rPr>
          <w:lang w:eastAsia="zh-CN"/>
        </w:rPr>
        <w:t xml:space="preserve">, C.G.; Leone, F.A. </w:t>
      </w:r>
      <w:bookmarkStart w:id="2" w:name="OLE_LINK45"/>
      <w:r w:rsidRPr="003377C3">
        <w:rPr>
          <w:i/>
          <w:lang w:eastAsia="zh-CN"/>
        </w:rPr>
        <w:t>Analysis Methods for Progressive Damage of Composite Structures</w:t>
      </w:r>
      <w:bookmarkEnd w:id="2"/>
      <w:r w:rsidRPr="003377C3">
        <w:rPr>
          <w:lang w:eastAsia="zh-CN"/>
        </w:rPr>
        <w:t>; NASA/TM-2013-218024; NASA Langley Research Center: Hampton, VA, USA, 2013.</w:t>
      </w:r>
    </w:p>
    <w:p w14:paraId="03EA51CD" w14:textId="77777777" w:rsidR="000E77E0" w:rsidRPr="00B372E4" w:rsidRDefault="000E77E0" w:rsidP="000E77E0">
      <w:pPr>
        <w:pStyle w:val="SPIEreferencelisting"/>
        <w:rPr>
          <w:rStyle w:val="element-citation"/>
          <w:rFonts w:cs="Calibri"/>
        </w:rPr>
      </w:pPr>
      <w:r w:rsidRPr="00557442">
        <w:rPr>
          <w:rStyle w:val="element-citation"/>
        </w:rPr>
        <w:t xml:space="preserve">Roche, J.-M.; </w:t>
      </w:r>
      <w:proofErr w:type="spellStart"/>
      <w:r w:rsidRPr="00557442">
        <w:rPr>
          <w:rStyle w:val="element-citation"/>
        </w:rPr>
        <w:t>Balageas</w:t>
      </w:r>
      <w:proofErr w:type="spellEnd"/>
      <w:r w:rsidRPr="00557442">
        <w:rPr>
          <w:rStyle w:val="element-citation"/>
        </w:rPr>
        <w:t xml:space="preserve">, D.; </w:t>
      </w:r>
      <w:proofErr w:type="spellStart"/>
      <w:r w:rsidRPr="00557442">
        <w:rPr>
          <w:rStyle w:val="element-citation"/>
        </w:rPr>
        <w:t>Lamboul</w:t>
      </w:r>
      <w:proofErr w:type="spellEnd"/>
      <w:r w:rsidRPr="00557442">
        <w:rPr>
          <w:rStyle w:val="element-citation"/>
        </w:rPr>
        <w:t xml:space="preserve">, B.; Bai, G.; </w:t>
      </w:r>
      <w:proofErr w:type="spellStart"/>
      <w:r w:rsidRPr="00557442">
        <w:rPr>
          <w:rStyle w:val="element-citation"/>
        </w:rPr>
        <w:t>Passilly</w:t>
      </w:r>
      <w:proofErr w:type="spellEnd"/>
      <w:r w:rsidRPr="00557442">
        <w:rPr>
          <w:rStyle w:val="element-citation"/>
        </w:rPr>
        <w:t xml:space="preserve">, F.; </w:t>
      </w:r>
      <w:proofErr w:type="spellStart"/>
      <w:r w:rsidRPr="00557442">
        <w:rPr>
          <w:rStyle w:val="element-citation"/>
        </w:rPr>
        <w:t>Mavel</w:t>
      </w:r>
      <w:proofErr w:type="spellEnd"/>
      <w:r w:rsidRPr="00557442">
        <w:rPr>
          <w:rStyle w:val="element-citation"/>
        </w:rPr>
        <w:t xml:space="preserve">, A.; Grail, G. Passive and active thermography for in situ damage monitoring in woven composites during mechanical testing. </w:t>
      </w:r>
      <w:r w:rsidRPr="00557442">
        <w:t>In Proceedings of the</w:t>
      </w:r>
      <w:r w:rsidRPr="00557442">
        <w:rPr>
          <w:rStyle w:val="element-citation"/>
        </w:rPr>
        <w:t xml:space="preserve"> 39th Annual Review of Progress in Quantitative Nondestructive Evaluation, Baltimore, MD, USA, 21–26 July 2013; pp. 555–562.</w:t>
      </w:r>
    </w:p>
    <w:p w14:paraId="4F50C9D0" w14:textId="77777777" w:rsidR="000E77E0" w:rsidRPr="00B372E4" w:rsidRDefault="000E77E0" w:rsidP="000E77E0">
      <w:pPr>
        <w:pStyle w:val="SPIEreferencelisting"/>
      </w:pPr>
      <w:r>
        <w:t xml:space="preserve">Winfree, W. P., Zalameda, J. N., and Michael R. Horne, “Simulations of Thermal Signatures of Damage Measured during Quasi-Static Loading of a Single Stringer Panel”, AIP Conference Proceedings 2102, 120007 (2019); </w:t>
      </w:r>
      <w:hyperlink r:id="rId14" w:history="1">
        <w:r w:rsidRPr="00000772">
          <w:rPr>
            <w:rStyle w:val="Hyperlink"/>
          </w:rPr>
          <w:t>https://doi.org/10.1063/1.5099849</w:t>
        </w:r>
      </w:hyperlink>
      <w:r>
        <w:t>, Published Online: 08 May 2019.</w:t>
      </w:r>
    </w:p>
    <w:p w14:paraId="44276629" w14:textId="32C8AD1B" w:rsidR="007A5D1A" w:rsidRPr="00F10D0F" w:rsidRDefault="000E77E0" w:rsidP="0071022C">
      <w:pPr>
        <w:pStyle w:val="SPIEreferencelisting"/>
        <w:rPr>
          <w:rFonts w:cs="Calibri"/>
        </w:rPr>
      </w:pPr>
      <w:bookmarkStart w:id="3" w:name="_Hlk37068752"/>
      <w:r w:rsidRPr="00557442">
        <w:t>Zalameda, J.N.</w:t>
      </w:r>
      <w:r>
        <w:t>,</w:t>
      </w:r>
      <w:r w:rsidRPr="00557442">
        <w:t xml:space="preserve"> </w:t>
      </w:r>
      <w:r>
        <w:t>Jackson</w:t>
      </w:r>
      <w:r w:rsidRPr="00557442">
        <w:t xml:space="preserve">, </w:t>
      </w:r>
      <w:r>
        <w:t>W</w:t>
      </w:r>
      <w:r w:rsidRPr="00557442">
        <w:t>.</w:t>
      </w:r>
      <w:r>
        <w:t>C</w:t>
      </w:r>
      <w:r w:rsidRPr="00557442">
        <w:t>.</w:t>
      </w:r>
      <w:r>
        <w:t>, and Rose, C.A.,</w:t>
      </w:r>
      <w:r w:rsidRPr="00557442">
        <w:t xml:space="preserve"> </w:t>
      </w:r>
      <w:r>
        <w:t>Estimation of Delamination Crack Depth using Passive Thermography</w:t>
      </w:r>
      <w:r w:rsidRPr="00557442">
        <w:t xml:space="preserve">. </w:t>
      </w:r>
      <w:r w:rsidRPr="00557442">
        <w:rPr>
          <w:i/>
        </w:rPr>
        <w:t>Proc. SPIE</w:t>
      </w:r>
      <w:r w:rsidRPr="00557442">
        <w:t xml:space="preserve"> </w:t>
      </w:r>
      <w:r w:rsidRPr="00557442">
        <w:rPr>
          <w:b/>
        </w:rPr>
        <w:t>201</w:t>
      </w:r>
      <w:r>
        <w:rPr>
          <w:b/>
        </w:rPr>
        <w:t>9</w:t>
      </w:r>
      <w:r w:rsidRPr="00557442">
        <w:t xml:space="preserve">, </w:t>
      </w:r>
      <w:r>
        <w:t>11004</w:t>
      </w:r>
      <w:r w:rsidRPr="00557442">
        <w:t>, doi:10.1117/12.</w:t>
      </w:r>
      <w:r>
        <w:t>2520390</w:t>
      </w:r>
      <w:r w:rsidRPr="00557442">
        <w:t>.</w:t>
      </w:r>
    </w:p>
    <w:bookmarkEnd w:id="3"/>
    <w:p w14:paraId="1D5D55E4" w14:textId="4CF94F25" w:rsidR="007A5D1A" w:rsidRPr="008A2386" w:rsidRDefault="00F10D0F" w:rsidP="008A2386">
      <w:pPr>
        <w:pStyle w:val="SPIEreferencelisting"/>
      </w:pPr>
      <w:r w:rsidRPr="003377C3">
        <w:t>Winfree, W.P., Heath, D.M. Thermal diffusivity imaging of aerospace materials and structures. In Proceedings of the</w:t>
      </w:r>
      <w:r w:rsidRPr="003377C3">
        <w:rPr>
          <w:rStyle w:val="element-citation"/>
          <w:sz w:val="18"/>
        </w:rPr>
        <w:t xml:space="preserve"> </w:t>
      </w:r>
      <w:r w:rsidRPr="003377C3">
        <w:t>Aerospace/Defense Sensing and Controls, Orlando, FL, USA, 13–17 April 1998; pp. 282–290.</w:t>
      </w:r>
    </w:p>
    <w:sectPr w:rsidR="007A5D1A" w:rsidRPr="008A2386">
      <w:type w:val="continuous"/>
      <w:pgSz w:w="12240" w:h="15840"/>
      <w:pgMar w:top="1440" w:right="720" w:bottom="1440" w:left="720" w:header="720" w:footer="720" w:gutter="0"/>
      <w:cols w:num="2" w:space="540" w:equalWidth="0">
        <w:col w:w="5130" w:space="540"/>
        <w:col w:w="513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9DAC78" w14:textId="77777777" w:rsidR="00B067FE" w:rsidRDefault="00B067FE">
      <w:r>
        <w:separator/>
      </w:r>
    </w:p>
  </w:endnote>
  <w:endnote w:type="continuationSeparator" w:id="0">
    <w:p w14:paraId="21888C0C" w14:textId="77777777" w:rsidR="00B067FE" w:rsidRDefault="00B06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Libian SC">
    <w:altName w:val="Microsoft YaHei"/>
    <w:charset w:val="86"/>
    <w:family w:val="auto"/>
    <w:pitch w:val="variable"/>
    <w:sig w:usb0="80000287" w:usb1="280F3C52" w:usb2="00000016" w:usb3="00000000" w:csb0="0004001F" w:csb1="00000000"/>
  </w:font>
  <w:font w:name="Apple Symbols">
    <w:charset w:val="B1"/>
    <w:family w:val="auto"/>
    <w:pitch w:val="variable"/>
    <w:sig w:usb0="800008A3" w:usb1="08007BEB" w:usb2="01840034" w:usb3="00000000" w:csb0="000001FB"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63967" w14:textId="2BDD996B" w:rsidR="008B61D2" w:rsidRDefault="008B61D2">
    <w:pPr>
      <w:pStyle w:val="Footer"/>
    </w:pPr>
    <w:r>
      <w:tab/>
    </w:r>
    <w:r>
      <w:fldChar w:fldCharType="begin"/>
    </w:r>
    <w:r>
      <w:instrText xml:space="preserve"> PAGE  \* MERGEFORMAT </w:instrText>
    </w:r>
    <w:r>
      <w:fldChar w:fldCharType="separate"/>
    </w:r>
    <w:r w:rsidR="00F95BBE">
      <w:rPr>
        <w:noProof/>
      </w:rPr>
      <w:t>1</w:t>
    </w:r>
    <w: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35073B" w14:textId="77777777" w:rsidR="00B067FE" w:rsidRDefault="00B067FE">
      <w:r>
        <w:separator/>
      </w:r>
    </w:p>
  </w:footnote>
  <w:footnote w:type="continuationSeparator" w:id="0">
    <w:p w14:paraId="61E63A40" w14:textId="77777777" w:rsidR="00B067FE" w:rsidRDefault="00B067FE">
      <w:r>
        <w:continuationSeparator/>
      </w:r>
    </w:p>
  </w:footnote>
  <w:footnote w:id="1">
    <w:p w14:paraId="00C82B20" w14:textId="77777777" w:rsidR="00914B2E" w:rsidRPr="002F74F5" w:rsidRDefault="00914B2E" w:rsidP="00914B2E">
      <w:pPr>
        <w:pStyle w:val="FootnoteText"/>
        <w:rPr>
          <w:sz w:val="20"/>
        </w:rPr>
      </w:pPr>
      <w:r w:rsidRPr="002F74F5">
        <w:rPr>
          <w:rStyle w:val="FootnoteReference"/>
          <w:sz w:val="20"/>
        </w:rPr>
        <w:footnoteRef/>
      </w:r>
      <w:r w:rsidRPr="002F74F5">
        <w:rPr>
          <w:sz w:val="20"/>
        </w:rPr>
        <w:t xml:space="preserve"> Contact author: </w:t>
      </w:r>
      <w:r>
        <w:rPr>
          <w:sz w:val="20"/>
        </w:rPr>
        <w:t>joseph.n.zalameda</w:t>
      </w:r>
      <w:r w:rsidRPr="002F74F5">
        <w:rPr>
          <w:sz w:val="20"/>
        </w:rPr>
        <w:t>@</w:t>
      </w:r>
      <w:r>
        <w:rPr>
          <w:sz w:val="20"/>
        </w:rPr>
        <w:t>nasa</w:t>
      </w:r>
      <w:r w:rsidRPr="002F74F5">
        <w:rPr>
          <w:sz w:val="20"/>
        </w:rPr>
        <w:t>.</w:t>
      </w:r>
      <w:r>
        <w:rPr>
          <w:sz w:val="20"/>
        </w:rPr>
        <w:t>gov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2D497E"/>
    <w:multiLevelType w:val="hybridMultilevel"/>
    <w:tmpl w:val="5D68B3F2"/>
    <w:lvl w:ilvl="0" w:tplc="1B90CE3C">
      <w:start w:val="1"/>
      <w:numFmt w:val="decimal"/>
      <w:lvlText w:val="%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4B23DE"/>
    <w:multiLevelType w:val="hybridMultilevel"/>
    <w:tmpl w:val="C8A27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6A4DF8"/>
    <w:multiLevelType w:val="hybridMultilevel"/>
    <w:tmpl w:val="215E6A84"/>
    <w:lvl w:ilvl="0" w:tplc="AB38FAF0">
      <w:start w:val="1"/>
      <w:numFmt w:val="decimal"/>
      <w:pStyle w:val="SPIEreferencelisting"/>
      <w:lvlText w:val="[%1]"/>
      <w:lvlJc w:val="left"/>
      <w:pPr>
        <w:tabs>
          <w:tab w:val="num" w:pos="720"/>
        </w:tabs>
        <w:ind w:left="720" w:hanging="360"/>
      </w:pPr>
      <w:rPr>
        <w:rFonts w:hint="default"/>
        <w:vertAlign w:val="baseli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66DE1BE8"/>
    <w:multiLevelType w:val="hybridMultilevel"/>
    <w:tmpl w:val="27BE1B7A"/>
    <w:lvl w:ilvl="0" w:tplc="B68216A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NewFlag" w:val="Yes"/>
    <w:docVar w:name="CreateASMEToolbarFlag" w:val="-1"/>
    <w:docVar w:name="MarkTerritory" w:val="D:\ASME\proposal\AuthKit\version2\irvine7.doc by Howard Kaikow with template C:\msoffice\Templates\ASME.dot on 02/29/96 at 11:01"/>
    <w:docVar w:name="MarkTerritoryLocal" w:val="Document2 by Howard Kaikow with template C:\msoffice\Templates\ASME.dot on 02/29/96 at 10:39"/>
    <w:docVar w:name="SetStylesFlag" w:val="-1"/>
  </w:docVars>
  <w:rsids>
    <w:rsidRoot w:val="007B2BF3"/>
    <w:rsid w:val="00011326"/>
    <w:rsid w:val="000341DB"/>
    <w:rsid w:val="00034307"/>
    <w:rsid w:val="000552C1"/>
    <w:rsid w:val="00070814"/>
    <w:rsid w:val="000B25D3"/>
    <w:rsid w:val="000E77E0"/>
    <w:rsid w:val="0012344E"/>
    <w:rsid w:val="0014064C"/>
    <w:rsid w:val="0014240D"/>
    <w:rsid w:val="00150624"/>
    <w:rsid w:val="00154518"/>
    <w:rsid w:val="001620EF"/>
    <w:rsid w:val="001628A5"/>
    <w:rsid w:val="001A6AE4"/>
    <w:rsid w:val="001B6435"/>
    <w:rsid w:val="001B7B91"/>
    <w:rsid w:val="001D551E"/>
    <w:rsid w:val="001E1ABB"/>
    <w:rsid w:val="001E50B6"/>
    <w:rsid w:val="00241239"/>
    <w:rsid w:val="002A704C"/>
    <w:rsid w:val="002B4432"/>
    <w:rsid w:val="002C2D1B"/>
    <w:rsid w:val="002C3678"/>
    <w:rsid w:val="002C5C80"/>
    <w:rsid w:val="002F69E6"/>
    <w:rsid w:val="002F74F5"/>
    <w:rsid w:val="0030254D"/>
    <w:rsid w:val="00320E59"/>
    <w:rsid w:val="003226D6"/>
    <w:rsid w:val="00354732"/>
    <w:rsid w:val="00354C93"/>
    <w:rsid w:val="00374551"/>
    <w:rsid w:val="00382E76"/>
    <w:rsid w:val="00384EB5"/>
    <w:rsid w:val="00390A3A"/>
    <w:rsid w:val="003A57D7"/>
    <w:rsid w:val="003B37BC"/>
    <w:rsid w:val="003E27FF"/>
    <w:rsid w:val="003E611A"/>
    <w:rsid w:val="003F040C"/>
    <w:rsid w:val="00404BE0"/>
    <w:rsid w:val="004302C8"/>
    <w:rsid w:val="004305A8"/>
    <w:rsid w:val="00464996"/>
    <w:rsid w:val="004B7B30"/>
    <w:rsid w:val="004C64C5"/>
    <w:rsid w:val="00516F69"/>
    <w:rsid w:val="00567493"/>
    <w:rsid w:val="00577192"/>
    <w:rsid w:val="00583D39"/>
    <w:rsid w:val="00596A52"/>
    <w:rsid w:val="005E134D"/>
    <w:rsid w:val="005E1DDE"/>
    <w:rsid w:val="005F38ED"/>
    <w:rsid w:val="006053A4"/>
    <w:rsid w:val="00641FC6"/>
    <w:rsid w:val="00642EFB"/>
    <w:rsid w:val="0064338C"/>
    <w:rsid w:val="006452A7"/>
    <w:rsid w:val="006B13EA"/>
    <w:rsid w:val="006B57AE"/>
    <w:rsid w:val="006C611B"/>
    <w:rsid w:val="006D0498"/>
    <w:rsid w:val="006D4120"/>
    <w:rsid w:val="006D4945"/>
    <w:rsid w:val="006E1E81"/>
    <w:rsid w:val="006F2A22"/>
    <w:rsid w:val="007044EB"/>
    <w:rsid w:val="0071022C"/>
    <w:rsid w:val="00775118"/>
    <w:rsid w:val="007846C0"/>
    <w:rsid w:val="00784778"/>
    <w:rsid w:val="007A5D1A"/>
    <w:rsid w:val="007B2BF3"/>
    <w:rsid w:val="007B49C5"/>
    <w:rsid w:val="007C01A5"/>
    <w:rsid w:val="007E2257"/>
    <w:rsid w:val="00832A74"/>
    <w:rsid w:val="00860C3E"/>
    <w:rsid w:val="00867C55"/>
    <w:rsid w:val="00893BBF"/>
    <w:rsid w:val="008A2386"/>
    <w:rsid w:val="008B043D"/>
    <w:rsid w:val="008B61D2"/>
    <w:rsid w:val="008C095F"/>
    <w:rsid w:val="008D3F2B"/>
    <w:rsid w:val="00914B2E"/>
    <w:rsid w:val="00920657"/>
    <w:rsid w:val="00934A7A"/>
    <w:rsid w:val="00940364"/>
    <w:rsid w:val="0097317D"/>
    <w:rsid w:val="009A7280"/>
    <w:rsid w:val="009B6664"/>
    <w:rsid w:val="009D666C"/>
    <w:rsid w:val="009E4E9A"/>
    <w:rsid w:val="00A206FC"/>
    <w:rsid w:val="00A31548"/>
    <w:rsid w:val="00A35827"/>
    <w:rsid w:val="00A5037A"/>
    <w:rsid w:val="00A603D7"/>
    <w:rsid w:val="00A67F23"/>
    <w:rsid w:val="00A919B9"/>
    <w:rsid w:val="00AC576C"/>
    <w:rsid w:val="00AD4E35"/>
    <w:rsid w:val="00AE6FD9"/>
    <w:rsid w:val="00B067FE"/>
    <w:rsid w:val="00B06916"/>
    <w:rsid w:val="00B10083"/>
    <w:rsid w:val="00B12055"/>
    <w:rsid w:val="00B32E10"/>
    <w:rsid w:val="00B4758C"/>
    <w:rsid w:val="00B6176E"/>
    <w:rsid w:val="00B67CE2"/>
    <w:rsid w:val="00B90D99"/>
    <w:rsid w:val="00B92473"/>
    <w:rsid w:val="00BA5E35"/>
    <w:rsid w:val="00BA7705"/>
    <w:rsid w:val="00BF7838"/>
    <w:rsid w:val="00C92BC3"/>
    <w:rsid w:val="00C93189"/>
    <w:rsid w:val="00C93937"/>
    <w:rsid w:val="00CA7293"/>
    <w:rsid w:val="00CB27AF"/>
    <w:rsid w:val="00CC61F1"/>
    <w:rsid w:val="00CD3C5E"/>
    <w:rsid w:val="00CE4DE8"/>
    <w:rsid w:val="00CF4222"/>
    <w:rsid w:val="00D02522"/>
    <w:rsid w:val="00D45430"/>
    <w:rsid w:val="00D45470"/>
    <w:rsid w:val="00D769C4"/>
    <w:rsid w:val="00D85672"/>
    <w:rsid w:val="00D87E62"/>
    <w:rsid w:val="00D94231"/>
    <w:rsid w:val="00DB436A"/>
    <w:rsid w:val="00DE3605"/>
    <w:rsid w:val="00DF465D"/>
    <w:rsid w:val="00E036D8"/>
    <w:rsid w:val="00EC1D31"/>
    <w:rsid w:val="00EE0BDC"/>
    <w:rsid w:val="00F0141A"/>
    <w:rsid w:val="00F057E1"/>
    <w:rsid w:val="00F10D0F"/>
    <w:rsid w:val="00F142D0"/>
    <w:rsid w:val="00F27B7A"/>
    <w:rsid w:val="00F7469F"/>
    <w:rsid w:val="00F80B51"/>
    <w:rsid w:val="00F95BBE"/>
    <w:rsid w:val="00FC0532"/>
    <w:rsid w:val="00FE229B"/>
    <w:rsid w:val="00FF3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677BC"/>
  <w15:chartTrackingRefBased/>
  <w15:docId w15:val="{F2DF79A6-4439-4441-A3E5-694A5A2A0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overflowPunct w:val="0"/>
      <w:autoSpaceDE w:val="0"/>
      <w:autoSpaceDN w:val="0"/>
      <w:adjustRightInd w:val="0"/>
      <w:jc w:val="both"/>
      <w:textAlignment w:val="baseline"/>
    </w:pPr>
    <w:rPr>
      <w:kern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ClauseTitle">
    <w:name w:val="Abstract Clause Title"/>
    <w:basedOn w:val="Normal"/>
    <w:next w:val="BodyTextIndent"/>
    <w:pPr>
      <w:keepNext/>
    </w:pPr>
    <w:rPr>
      <w:rFonts w:ascii="Arial" w:hAnsi="Arial"/>
      <w:b/>
      <w:caps/>
    </w:rPr>
  </w:style>
  <w:style w:type="paragraph" w:styleId="BodyTextIndent">
    <w:name w:val="Body Text Indent"/>
    <w:basedOn w:val="Normal"/>
    <w:link w:val="BodyTextIndentChar"/>
    <w:pPr>
      <w:ind w:firstLine="360"/>
    </w:pPr>
  </w:style>
  <w:style w:type="paragraph" w:customStyle="1" w:styleId="AcknowledgmentsClauseTitle">
    <w:name w:val="Acknowledgments Clause Title"/>
    <w:basedOn w:val="Normal"/>
    <w:next w:val="BodyTextIndent"/>
    <w:pPr>
      <w:keepNext/>
      <w:spacing w:before="240"/>
    </w:pPr>
    <w:rPr>
      <w:rFonts w:ascii="Arial" w:hAnsi="Arial"/>
      <w:b/>
      <w:caps/>
    </w:rPr>
  </w:style>
  <w:style w:type="paragraph" w:customStyle="1" w:styleId="Affiliation">
    <w:name w:val="Affiliation"/>
    <w:basedOn w:val="Normal"/>
    <w:pPr>
      <w:jc w:val="center"/>
    </w:pPr>
    <w:rPr>
      <w:rFonts w:ascii="Arial" w:hAnsi="Arial"/>
    </w:rPr>
  </w:style>
  <w:style w:type="paragraph" w:customStyle="1" w:styleId="Author">
    <w:name w:val="Author"/>
    <w:basedOn w:val="Normal"/>
    <w:next w:val="Affiliation"/>
    <w:pPr>
      <w:keepNext/>
      <w:jc w:val="center"/>
    </w:pPr>
    <w:rPr>
      <w:rFonts w:ascii="Arial" w:hAnsi="Arial"/>
      <w:b/>
    </w:rPr>
  </w:style>
  <w:style w:type="paragraph" w:customStyle="1" w:styleId="DocumentNumber">
    <w:name w:val="Document Number"/>
    <w:basedOn w:val="Normal"/>
    <w:next w:val="BodyTextIndent"/>
    <w:pPr>
      <w:spacing w:before="900"/>
      <w:jc w:val="right"/>
    </w:pPr>
    <w:rPr>
      <w:rFonts w:ascii="Arial" w:hAnsi="Arial"/>
      <w:b/>
      <w:sz w:val="36"/>
    </w:rPr>
  </w:style>
  <w:style w:type="paragraph" w:customStyle="1" w:styleId="EquationNumber">
    <w:name w:val="Equation Number"/>
    <w:basedOn w:val="Normal"/>
    <w:next w:val="BodyTextIndent"/>
    <w:pPr>
      <w:jc w:val="right"/>
    </w:pPr>
  </w:style>
  <w:style w:type="paragraph" w:customStyle="1" w:styleId="FigureCaption">
    <w:name w:val="Figure Caption"/>
    <w:basedOn w:val="Normal"/>
    <w:next w:val="BodyTextIndent"/>
    <w:pPr>
      <w:jc w:val="center"/>
    </w:pPr>
    <w:rPr>
      <w:rFonts w:ascii="Arial" w:hAnsi="Arial"/>
      <w:b/>
    </w:rPr>
  </w:style>
  <w:style w:type="paragraph" w:styleId="Footer">
    <w:name w:val="footer"/>
    <w:basedOn w:val="Normal"/>
    <w:next w:val="Header"/>
    <w:pPr>
      <w:tabs>
        <w:tab w:val="center" w:pos="5760"/>
        <w:tab w:val="right" w:pos="10800"/>
      </w:tabs>
    </w:pPr>
  </w:style>
  <w:style w:type="paragraph" w:styleId="Header">
    <w:name w:val="header"/>
    <w:basedOn w:val="Normal"/>
    <w:next w:val="Footer"/>
  </w:style>
  <w:style w:type="paragraph" w:styleId="FootnoteText">
    <w:name w:val="footnote text"/>
    <w:basedOn w:val="Normal"/>
    <w:semiHidden/>
    <w:pPr>
      <w:ind w:firstLine="360"/>
    </w:pPr>
    <w:rPr>
      <w:sz w:val="16"/>
    </w:rPr>
  </w:style>
  <w:style w:type="paragraph" w:customStyle="1" w:styleId="NomenclatureClauseTitle">
    <w:name w:val="Nomenclature Clause Title"/>
    <w:basedOn w:val="Normal"/>
    <w:next w:val="BodyTextIndent"/>
    <w:pPr>
      <w:keepNext/>
      <w:spacing w:before="240"/>
    </w:pPr>
    <w:rPr>
      <w:rFonts w:ascii="Arial" w:hAnsi="Arial"/>
      <w:b/>
      <w:caps/>
    </w:rPr>
  </w:style>
  <w:style w:type="paragraph" w:customStyle="1" w:styleId="ReferencesClauseTitle">
    <w:name w:val="References Clause Title"/>
    <w:basedOn w:val="Normal"/>
    <w:next w:val="BodyTextIndent"/>
    <w:pPr>
      <w:keepNext/>
      <w:spacing w:before="240"/>
    </w:pPr>
    <w:rPr>
      <w:rFonts w:ascii="Arial" w:hAnsi="Arial"/>
      <w:b/>
      <w:caps/>
    </w:rPr>
  </w:style>
  <w:style w:type="paragraph" w:customStyle="1" w:styleId="TableCaption">
    <w:name w:val="Table Caption"/>
    <w:basedOn w:val="Normal"/>
    <w:next w:val="BodyTextIndent"/>
    <w:pPr>
      <w:jc w:val="center"/>
    </w:pPr>
    <w:rPr>
      <w:rFonts w:ascii="Arial" w:hAnsi="Arial"/>
      <w:b/>
    </w:rPr>
  </w:style>
  <w:style w:type="paragraph" w:customStyle="1" w:styleId="TextHeading1">
    <w:name w:val="Text Heading 1"/>
    <w:basedOn w:val="Normal"/>
    <w:next w:val="BodyTextIndent"/>
    <w:pPr>
      <w:keepNext/>
      <w:spacing w:before="240"/>
    </w:pPr>
    <w:rPr>
      <w:rFonts w:ascii="Arial" w:hAnsi="Arial"/>
      <w:b/>
      <w:caps/>
    </w:rPr>
  </w:style>
  <w:style w:type="paragraph" w:customStyle="1" w:styleId="TextHeading2">
    <w:name w:val="Text Heading 2"/>
    <w:basedOn w:val="Normal"/>
    <w:next w:val="BodyTextIndent"/>
    <w:pPr>
      <w:keepNext/>
      <w:spacing w:before="240"/>
    </w:pPr>
    <w:rPr>
      <w:rFonts w:ascii="Arial" w:hAnsi="Arial"/>
      <w:b/>
      <w:u w:val="single"/>
    </w:rPr>
  </w:style>
  <w:style w:type="paragraph" w:customStyle="1" w:styleId="TextHeading3">
    <w:name w:val="Text Heading 3"/>
    <w:basedOn w:val="Normal"/>
    <w:next w:val="BodyTextIndent"/>
    <w:pPr>
      <w:spacing w:before="240"/>
      <w:ind w:left="360"/>
    </w:pPr>
    <w:rPr>
      <w:rFonts w:ascii="Arial" w:hAnsi="Arial"/>
      <w:b/>
      <w:u w:val="single"/>
    </w:rPr>
  </w:style>
  <w:style w:type="paragraph" w:styleId="Title">
    <w:name w:val="Title"/>
    <w:basedOn w:val="Normal"/>
    <w:qFormat/>
    <w:pPr>
      <w:spacing w:before="760"/>
      <w:jc w:val="center"/>
    </w:pPr>
    <w:rPr>
      <w:rFonts w:ascii="Arial" w:hAnsi="Arial"/>
      <w:b/>
      <w:caps/>
      <w:sz w:val="24"/>
    </w:rPr>
  </w:style>
  <w:style w:type="paragraph" w:styleId="PlainText">
    <w:name w:val="Plain Text"/>
    <w:basedOn w:val="Normal"/>
    <w:pPr>
      <w:suppressAutoHyphens w:val="0"/>
      <w:overflowPunct/>
      <w:autoSpaceDE/>
      <w:autoSpaceDN/>
      <w:adjustRightInd/>
      <w:jc w:val="left"/>
      <w:textAlignment w:val="auto"/>
    </w:pPr>
    <w:rPr>
      <w:rFonts w:ascii="Courier New" w:hAnsi="Courier New" w:cs="Courier New"/>
      <w:kern w:val="0"/>
    </w:rPr>
  </w:style>
  <w:style w:type="character" w:styleId="FootnoteReference">
    <w:name w:val="footnote reference"/>
    <w:basedOn w:val="DefaultParagraphFont"/>
    <w:rsid w:val="0014064C"/>
    <w:rPr>
      <w:vertAlign w:val="superscript"/>
    </w:rPr>
  </w:style>
  <w:style w:type="paragraph" w:styleId="BalloonText">
    <w:name w:val="Balloon Text"/>
    <w:basedOn w:val="Normal"/>
    <w:link w:val="BalloonTextChar"/>
    <w:rsid w:val="00940364"/>
    <w:rPr>
      <w:rFonts w:ascii="Segoe UI" w:hAnsi="Segoe UI" w:cs="Segoe UI"/>
      <w:sz w:val="18"/>
      <w:szCs w:val="18"/>
    </w:rPr>
  </w:style>
  <w:style w:type="character" w:customStyle="1" w:styleId="BalloonTextChar">
    <w:name w:val="Balloon Text Char"/>
    <w:basedOn w:val="DefaultParagraphFont"/>
    <w:link w:val="BalloonText"/>
    <w:rsid w:val="00940364"/>
    <w:rPr>
      <w:rFonts w:ascii="Segoe UI" w:hAnsi="Segoe UI" w:cs="Segoe UI"/>
      <w:kern w:val="14"/>
      <w:sz w:val="18"/>
      <w:szCs w:val="18"/>
    </w:rPr>
  </w:style>
  <w:style w:type="paragraph" w:styleId="BodyText">
    <w:name w:val="Body Text"/>
    <w:basedOn w:val="Normal"/>
    <w:link w:val="BodyTextChar"/>
    <w:rsid w:val="002F74F5"/>
    <w:pPr>
      <w:spacing w:after="120"/>
    </w:pPr>
  </w:style>
  <w:style w:type="character" w:customStyle="1" w:styleId="BodyTextChar">
    <w:name w:val="Body Text Char"/>
    <w:basedOn w:val="DefaultParagraphFont"/>
    <w:link w:val="BodyText"/>
    <w:rsid w:val="002F74F5"/>
    <w:rPr>
      <w:kern w:val="14"/>
    </w:rPr>
  </w:style>
  <w:style w:type="paragraph" w:styleId="NormalWeb">
    <w:name w:val="Normal (Web)"/>
    <w:basedOn w:val="Normal"/>
    <w:uiPriority w:val="99"/>
    <w:unhideWhenUsed/>
    <w:rsid w:val="00AE6FD9"/>
    <w:pPr>
      <w:suppressAutoHyphens w:val="0"/>
      <w:overflowPunct/>
      <w:autoSpaceDE/>
      <w:autoSpaceDN/>
      <w:adjustRightInd/>
      <w:spacing w:before="100" w:beforeAutospacing="1" w:after="100" w:afterAutospacing="1"/>
      <w:jc w:val="left"/>
      <w:textAlignment w:val="auto"/>
    </w:pPr>
    <w:rPr>
      <w:rFonts w:eastAsiaTheme="minorHAnsi"/>
      <w:kern w:val="0"/>
      <w:sz w:val="24"/>
      <w:szCs w:val="24"/>
    </w:rPr>
  </w:style>
  <w:style w:type="character" w:styleId="Emphasis">
    <w:name w:val="Emphasis"/>
    <w:basedOn w:val="DefaultParagraphFont"/>
    <w:qFormat/>
    <w:rsid w:val="00A603D7"/>
    <w:rPr>
      <w:i/>
      <w:iCs/>
    </w:rPr>
  </w:style>
  <w:style w:type="character" w:customStyle="1" w:styleId="BodyTextIndentChar">
    <w:name w:val="Body Text Indent Char"/>
    <w:basedOn w:val="DefaultParagraphFont"/>
    <w:link w:val="BodyTextIndent"/>
    <w:rsid w:val="00B10083"/>
    <w:rPr>
      <w:kern w:val="14"/>
    </w:rPr>
  </w:style>
  <w:style w:type="paragraph" w:styleId="ListParagraph">
    <w:name w:val="List Paragraph"/>
    <w:basedOn w:val="Normal"/>
    <w:uiPriority w:val="34"/>
    <w:qFormat/>
    <w:rsid w:val="00B10083"/>
    <w:pPr>
      <w:ind w:left="720"/>
      <w:contextualSpacing/>
    </w:pPr>
  </w:style>
  <w:style w:type="character" w:styleId="Hyperlink">
    <w:name w:val="Hyperlink"/>
    <w:rsid w:val="000E77E0"/>
    <w:rPr>
      <w:color w:val="0000FF"/>
      <w:u w:val="single"/>
    </w:rPr>
  </w:style>
  <w:style w:type="paragraph" w:customStyle="1" w:styleId="SPIEreferencelisting">
    <w:name w:val="SPIE reference listing"/>
    <w:basedOn w:val="Normal"/>
    <w:rsid w:val="000E77E0"/>
    <w:pPr>
      <w:numPr>
        <w:numId w:val="4"/>
      </w:numPr>
      <w:suppressAutoHyphens w:val="0"/>
      <w:overflowPunct/>
      <w:autoSpaceDE/>
      <w:autoSpaceDN/>
      <w:adjustRightInd/>
      <w:textAlignment w:val="auto"/>
    </w:pPr>
    <w:rPr>
      <w:kern w:val="0"/>
    </w:rPr>
  </w:style>
  <w:style w:type="character" w:customStyle="1" w:styleId="element-citation">
    <w:name w:val="element-citation"/>
    <w:basedOn w:val="DefaultParagraphFont"/>
    <w:rsid w:val="000E7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605872">
      <w:bodyDiv w:val="1"/>
      <w:marLeft w:val="0"/>
      <w:marRight w:val="0"/>
      <w:marTop w:val="0"/>
      <w:marBottom w:val="0"/>
      <w:divBdr>
        <w:top w:val="none" w:sz="0" w:space="0" w:color="auto"/>
        <w:left w:val="none" w:sz="0" w:space="0" w:color="auto"/>
        <w:bottom w:val="none" w:sz="0" w:space="0" w:color="auto"/>
        <w:right w:val="none" w:sz="0" w:space="0" w:color="auto"/>
      </w:divBdr>
    </w:div>
    <w:div w:id="341780398">
      <w:bodyDiv w:val="1"/>
      <w:marLeft w:val="0"/>
      <w:marRight w:val="0"/>
      <w:marTop w:val="0"/>
      <w:marBottom w:val="0"/>
      <w:divBdr>
        <w:top w:val="none" w:sz="0" w:space="0" w:color="auto"/>
        <w:left w:val="none" w:sz="0" w:space="0" w:color="auto"/>
        <w:bottom w:val="none" w:sz="0" w:space="0" w:color="auto"/>
        <w:right w:val="none" w:sz="0" w:space="0" w:color="auto"/>
      </w:divBdr>
    </w:div>
    <w:div w:id="632639221">
      <w:bodyDiv w:val="1"/>
      <w:marLeft w:val="0"/>
      <w:marRight w:val="0"/>
      <w:marTop w:val="0"/>
      <w:marBottom w:val="0"/>
      <w:divBdr>
        <w:top w:val="none" w:sz="0" w:space="0" w:color="auto"/>
        <w:left w:val="none" w:sz="0" w:space="0" w:color="auto"/>
        <w:bottom w:val="none" w:sz="0" w:space="0" w:color="auto"/>
        <w:right w:val="none" w:sz="0" w:space="0" w:color="auto"/>
      </w:divBdr>
    </w:div>
    <w:div w:id="781536138">
      <w:bodyDiv w:val="1"/>
      <w:marLeft w:val="0"/>
      <w:marRight w:val="0"/>
      <w:marTop w:val="0"/>
      <w:marBottom w:val="0"/>
      <w:divBdr>
        <w:top w:val="none" w:sz="0" w:space="0" w:color="auto"/>
        <w:left w:val="none" w:sz="0" w:space="0" w:color="auto"/>
        <w:bottom w:val="none" w:sz="0" w:space="0" w:color="auto"/>
        <w:right w:val="none" w:sz="0" w:space="0" w:color="auto"/>
      </w:divBdr>
    </w:div>
    <w:div w:id="152929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063/1.509984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S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819D2-7029-4F9C-AF82-0BE845589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ASME.dot</Template>
  <TotalTime>0</TotalTime>
  <Pages>3</Pages>
  <Words>1664</Words>
  <Characters>9489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Proceedings of</vt:lpstr>
    </vt:vector>
  </TitlesOfParts>
  <Company> </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Proceedings of</dc:title>
  <dc:subject/>
  <dc:creator>Howard Kaikow</dc:creator>
  <cp:keywords/>
  <dc:description/>
  <cp:lastModifiedBy>Zalameda, Joseph N. (LARC-D313)</cp:lastModifiedBy>
  <cp:revision>2</cp:revision>
  <cp:lastPrinted>2020-04-06T21:11:00Z</cp:lastPrinted>
  <dcterms:created xsi:type="dcterms:W3CDTF">2020-07-10T16:04:00Z</dcterms:created>
  <dcterms:modified xsi:type="dcterms:W3CDTF">2020-07-10T16:04:00Z</dcterms:modified>
</cp:coreProperties>
</file>