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725A" w:rsidRDefault="00B77E44">
      <w:pPr>
        <w:pStyle w:val="AbstractTitle"/>
      </w:pPr>
      <w:r>
        <w:t>The Lunar Geophysical Network Mission</w:t>
      </w:r>
    </w:p>
    <w:p w:rsidR="00B77E44" w:rsidRPr="00B77E44" w:rsidRDefault="00B77E44" w:rsidP="00B77E44">
      <w:pPr>
        <w:pStyle w:val="AbstractNormalText"/>
        <w:rPr>
          <w:i/>
          <w:sz w:val="20"/>
        </w:rPr>
      </w:pPr>
      <w:r w:rsidRPr="00B77E44">
        <w:rPr>
          <w:i/>
          <w:sz w:val="20"/>
        </w:rPr>
        <w:t>R. C. Weber</w:t>
      </w:r>
      <w:r w:rsidRPr="00B77E44">
        <w:rPr>
          <w:i/>
          <w:sz w:val="20"/>
          <w:vertAlign w:val="superscript"/>
        </w:rPr>
        <w:t>1</w:t>
      </w:r>
      <w:r w:rsidRPr="00B77E44">
        <w:rPr>
          <w:i/>
          <w:sz w:val="20"/>
        </w:rPr>
        <w:t>, C. Neal</w:t>
      </w:r>
      <w:r w:rsidRPr="00B77E44">
        <w:rPr>
          <w:i/>
          <w:sz w:val="20"/>
          <w:vertAlign w:val="superscript"/>
        </w:rPr>
        <w:t>2</w:t>
      </w:r>
      <w:r w:rsidRPr="00B77E44">
        <w:rPr>
          <w:i/>
          <w:sz w:val="20"/>
        </w:rPr>
        <w:t>,  B. Banerdt</w:t>
      </w:r>
      <w:r w:rsidRPr="00B77E44">
        <w:rPr>
          <w:i/>
          <w:sz w:val="20"/>
          <w:vertAlign w:val="superscript"/>
        </w:rPr>
        <w:t>3</w:t>
      </w:r>
      <w:r w:rsidRPr="00B77E44">
        <w:rPr>
          <w:i/>
          <w:sz w:val="20"/>
        </w:rPr>
        <w:t>, C. Beghein</w:t>
      </w:r>
      <w:r w:rsidRPr="00B77E44">
        <w:rPr>
          <w:i/>
          <w:sz w:val="20"/>
          <w:vertAlign w:val="superscript"/>
        </w:rPr>
        <w:t>4</w:t>
      </w:r>
      <w:r w:rsidRPr="00B77E44">
        <w:rPr>
          <w:i/>
          <w:sz w:val="20"/>
        </w:rPr>
        <w:t>, P. Chi</w:t>
      </w:r>
      <w:r w:rsidRPr="00B77E44">
        <w:rPr>
          <w:i/>
          <w:sz w:val="20"/>
          <w:vertAlign w:val="superscript"/>
        </w:rPr>
        <w:t>4</w:t>
      </w:r>
      <w:r w:rsidRPr="00B77E44">
        <w:rPr>
          <w:i/>
          <w:sz w:val="20"/>
        </w:rPr>
        <w:t>, D. Currie</w:t>
      </w:r>
      <w:r w:rsidRPr="00B77E44">
        <w:rPr>
          <w:i/>
          <w:sz w:val="20"/>
          <w:vertAlign w:val="superscript"/>
        </w:rPr>
        <w:t>5</w:t>
      </w:r>
      <w:r w:rsidRPr="00B77E44">
        <w:rPr>
          <w:i/>
          <w:sz w:val="20"/>
        </w:rPr>
        <w:t>, S. Dell’Agnello</w:t>
      </w:r>
      <w:r w:rsidRPr="00B77E44">
        <w:rPr>
          <w:i/>
          <w:sz w:val="20"/>
          <w:vertAlign w:val="superscript"/>
        </w:rPr>
        <w:t>6</w:t>
      </w:r>
      <w:r w:rsidRPr="00B77E44">
        <w:rPr>
          <w:i/>
          <w:sz w:val="20"/>
        </w:rPr>
        <w:t>, R. Garcia</w:t>
      </w:r>
      <w:r w:rsidRPr="00B77E44">
        <w:rPr>
          <w:i/>
          <w:sz w:val="20"/>
          <w:vertAlign w:val="superscript"/>
        </w:rPr>
        <w:t>7</w:t>
      </w:r>
      <w:r w:rsidRPr="00B77E44">
        <w:rPr>
          <w:i/>
          <w:sz w:val="20"/>
        </w:rPr>
        <w:t>, I. Garrick-Bethell</w:t>
      </w:r>
      <w:r w:rsidRPr="00B77E44">
        <w:rPr>
          <w:i/>
          <w:sz w:val="20"/>
          <w:vertAlign w:val="superscript"/>
        </w:rPr>
        <w:t>8</w:t>
      </w:r>
      <w:r w:rsidRPr="00B77E44">
        <w:rPr>
          <w:i/>
          <w:sz w:val="20"/>
        </w:rPr>
        <w:t>, R. Grimm</w:t>
      </w:r>
      <w:r w:rsidRPr="00B77E44">
        <w:rPr>
          <w:i/>
          <w:sz w:val="20"/>
          <w:vertAlign w:val="superscript"/>
        </w:rPr>
        <w:t>9</w:t>
      </w:r>
      <w:r w:rsidRPr="00B77E44">
        <w:rPr>
          <w:i/>
          <w:sz w:val="20"/>
        </w:rPr>
        <w:t>, M. Grott</w:t>
      </w:r>
      <w:r w:rsidRPr="00B77E44">
        <w:rPr>
          <w:i/>
          <w:sz w:val="20"/>
          <w:vertAlign w:val="superscript"/>
        </w:rPr>
        <w:t>10</w:t>
      </w:r>
      <w:r w:rsidRPr="00B77E44">
        <w:rPr>
          <w:i/>
          <w:sz w:val="20"/>
        </w:rPr>
        <w:t>, H. Haviland</w:t>
      </w:r>
      <w:r w:rsidRPr="00B77E44">
        <w:rPr>
          <w:i/>
          <w:sz w:val="20"/>
          <w:vertAlign w:val="superscript"/>
        </w:rPr>
        <w:t>2</w:t>
      </w:r>
      <w:r w:rsidRPr="00B77E44">
        <w:rPr>
          <w:i/>
          <w:sz w:val="20"/>
        </w:rPr>
        <w:t>, T. Kawamura</w:t>
      </w:r>
      <w:r w:rsidRPr="00B77E44">
        <w:rPr>
          <w:i/>
          <w:sz w:val="20"/>
          <w:vertAlign w:val="superscript"/>
        </w:rPr>
        <w:t>11</w:t>
      </w:r>
      <w:r w:rsidRPr="00B77E44">
        <w:rPr>
          <w:i/>
          <w:sz w:val="20"/>
        </w:rPr>
        <w:t>, S. Kedar</w:t>
      </w:r>
      <w:r w:rsidRPr="00B77E44">
        <w:rPr>
          <w:i/>
          <w:sz w:val="20"/>
          <w:vertAlign w:val="superscript"/>
        </w:rPr>
        <w:t>3</w:t>
      </w:r>
      <w:r w:rsidRPr="00B77E44">
        <w:rPr>
          <w:i/>
          <w:sz w:val="20"/>
        </w:rPr>
        <w:t>, P. Lognonné</w:t>
      </w:r>
      <w:r w:rsidRPr="00B77E44">
        <w:rPr>
          <w:i/>
          <w:sz w:val="20"/>
          <w:vertAlign w:val="superscript"/>
        </w:rPr>
        <w:t>11</w:t>
      </w:r>
      <w:r w:rsidRPr="00B77E44">
        <w:rPr>
          <w:i/>
          <w:sz w:val="20"/>
        </w:rPr>
        <w:t>, S. Nagihara</w:t>
      </w:r>
      <w:r w:rsidRPr="00B77E44">
        <w:rPr>
          <w:i/>
          <w:sz w:val="20"/>
          <w:vertAlign w:val="superscript"/>
        </w:rPr>
        <w:t>12</w:t>
      </w:r>
      <w:r w:rsidRPr="00B77E44">
        <w:rPr>
          <w:i/>
          <w:sz w:val="20"/>
        </w:rPr>
        <w:t>, Y. Nakamura</w:t>
      </w:r>
      <w:r w:rsidRPr="00B77E44">
        <w:rPr>
          <w:i/>
          <w:sz w:val="20"/>
          <w:vertAlign w:val="superscript"/>
        </w:rPr>
        <w:t>13</w:t>
      </w:r>
      <w:r w:rsidRPr="00B77E44">
        <w:rPr>
          <w:i/>
          <w:sz w:val="20"/>
        </w:rPr>
        <w:t>, C. Nunn</w:t>
      </w:r>
      <w:r w:rsidRPr="00B77E44">
        <w:rPr>
          <w:i/>
          <w:sz w:val="20"/>
          <w:vertAlign w:val="superscript"/>
        </w:rPr>
        <w:t>3</w:t>
      </w:r>
      <w:r w:rsidRPr="00B77E44">
        <w:rPr>
          <w:i/>
          <w:sz w:val="20"/>
        </w:rPr>
        <w:t>, L. Ostrach</w:t>
      </w:r>
      <w:r w:rsidRPr="00B77E44">
        <w:rPr>
          <w:i/>
          <w:sz w:val="20"/>
          <w:vertAlign w:val="superscript"/>
        </w:rPr>
        <w:t>14</w:t>
      </w:r>
      <w:r w:rsidRPr="00B77E44">
        <w:rPr>
          <w:i/>
          <w:sz w:val="20"/>
        </w:rPr>
        <w:t>, M. Panning</w:t>
      </w:r>
      <w:r w:rsidRPr="00B77E44">
        <w:rPr>
          <w:i/>
          <w:sz w:val="20"/>
          <w:vertAlign w:val="superscript"/>
        </w:rPr>
        <w:t>3</w:t>
      </w:r>
      <w:r w:rsidRPr="00B77E44">
        <w:rPr>
          <w:i/>
          <w:sz w:val="20"/>
        </w:rPr>
        <w:t>, N. Petro</w:t>
      </w:r>
      <w:r w:rsidRPr="00B77E44">
        <w:rPr>
          <w:i/>
          <w:sz w:val="20"/>
          <w:vertAlign w:val="superscript"/>
        </w:rPr>
        <w:t>15</w:t>
      </w:r>
      <w:r w:rsidRPr="00B77E44">
        <w:rPr>
          <w:i/>
          <w:sz w:val="20"/>
        </w:rPr>
        <w:t>, N. Schmerr</w:t>
      </w:r>
      <w:r w:rsidRPr="00B77E44">
        <w:rPr>
          <w:i/>
          <w:sz w:val="20"/>
          <w:vertAlign w:val="superscript"/>
        </w:rPr>
        <w:t>5</w:t>
      </w:r>
      <w:r w:rsidRPr="00B77E44">
        <w:rPr>
          <w:i/>
          <w:sz w:val="20"/>
        </w:rPr>
        <w:t>, M. Siegler</w:t>
      </w:r>
      <w:r w:rsidRPr="00B77E44">
        <w:rPr>
          <w:i/>
          <w:sz w:val="20"/>
          <w:vertAlign w:val="superscript"/>
        </w:rPr>
        <w:t>16</w:t>
      </w:r>
      <w:r w:rsidRPr="00B77E44">
        <w:rPr>
          <w:i/>
          <w:sz w:val="20"/>
        </w:rPr>
        <w:t>, T. Watters</w:t>
      </w:r>
      <w:r w:rsidRPr="00B77E44">
        <w:rPr>
          <w:i/>
          <w:sz w:val="20"/>
          <w:vertAlign w:val="superscript"/>
        </w:rPr>
        <w:t>17</w:t>
      </w:r>
      <w:r w:rsidRPr="00B77E44">
        <w:rPr>
          <w:i/>
          <w:sz w:val="20"/>
        </w:rPr>
        <w:t>, M. Wieczorek</w:t>
      </w:r>
      <w:r w:rsidRPr="00B77E44">
        <w:rPr>
          <w:i/>
          <w:sz w:val="20"/>
          <w:vertAlign w:val="superscript"/>
        </w:rPr>
        <w:t>18</w:t>
      </w:r>
      <w:r w:rsidRPr="00B77E44">
        <w:rPr>
          <w:i/>
          <w:sz w:val="20"/>
        </w:rPr>
        <w:t>, and K. Zacny</w:t>
      </w:r>
      <w:r w:rsidRPr="00B77E44">
        <w:rPr>
          <w:i/>
          <w:sz w:val="20"/>
          <w:vertAlign w:val="superscript"/>
        </w:rPr>
        <w:t>19</w:t>
      </w:r>
      <w:r w:rsidRPr="00B77E44">
        <w:rPr>
          <w:i/>
          <w:sz w:val="20"/>
        </w:rPr>
        <w:t xml:space="preserve">. </w:t>
      </w:r>
      <w:r w:rsidRPr="00B77E44">
        <w:rPr>
          <w:i/>
          <w:sz w:val="20"/>
          <w:vertAlign w:val="superscript"/>
        </w:rPr>
        <w:t>1</w:t>
      </w:r>
      <w:r w:rsidRPr="00B77E44">
        <w:rPr>
          <w:i/>
          <w:sz w:val="20"/>
        </w:rPr>
        <w:t xml:space="preserve">NASA MSFC; </w:t>
      </w:r>
      <w:r w:rsidRPr="00B77E44">
        <w:rPr>
          <w:i/>
          <w:sz w:val="20"/>
          <w:vertAlign w:val="superscript"/>
        </w:rPr>
        <w:t>2</w:t>
      </w:r>
      <w:r w:rsidRPr="00B77E44">
        <w:rPr>
          <w:i/>
          <w:sz w:val="20"/>
        </w:rPr>
        <w:t xml:space="preserve">Univ. of Notre Dame; </w:t>
      </w:r>
      <w:r w:rsidRPr="00B77E44">
        <w:rPr>
          <w:i/>
          <w:sz w:val="20"/>
          <w:vertAlign w:val="superscript"/>
        </w:rPr>
        <w:t>3</w:t>
      </w:r>
      <w:r w:rsidRPr="00B77E44">
        <w:rPr>
          <w:i/>
          <w:sz w:val="20"/>
        </w:rPr>
        <w:t xml:space="preserve">NASA JPL; </w:t>
      </w:r>
      <w:r w:rsidRPr="00B77E44">
        <w:rPr>
          <w:i/>
          <w:sz w:val="20"/>
          <w:vertAlign w:val="superscript"/>
        </w:rPr>
        <w:t>4</w:t>
      </w:r>
      <w:r w:rsidRPr="00B77E44">
        <w:rPr>
          <w:i/>
          <w:sz w:val="20"/>
        </w:rPr>
        <w:t xml:space="preserve">UCLA; </w:t>
      </w:r>
      <w:r w:rsidRPr="00B77E44">
        <w:rPr>
          <w:i/>
          <w:sz w:val="20"/>
          <w:vertAlign w:val="superscript"/>
        </w:rPr>
        <w:t>5</w:t>
      </w:r>
      <w:r w:rsidRPr="00B77E44">
        <w:rPr>
          <w:i/>
          <w:sz w:val="20"/>
        </w:rPr>
        <w:t>Univ. of Maryland;</w:t>
      </w:r>
      <w:r w:rsidRPr="00B77E44">
        <w:rPr>
          <w:i/>
          <w:sz w:val="20"/>
          <w:vertAlign w:val="superscript"/>
        </w:rPr>
        <w:t xml:space="preserve"> 6</w:t>
      </w:r>
      <w:r w:rsidRPr="00B77E44">
        <w:rPr>
          <w:i/>
          <w:sz w:val="20"/>
        </w:rPr>
        <w:t xml:space="preserve">Laboratori </w:t>
      </w:r>
      <w:proofErr w:type="spellStart"/>
      <w:r w:rsidRPr="00B77E44">
        <w:rPr>
          <w:i/>
          <w:sz w:val="20"/>
        </w:rPr>
        <w:t>Nazionali</w:t>
      </w:r>
      <w:proofErr w:type="spellEnd"/>
      <w:r w:rsidRPr="00B77E44">
        <w:rPr>
          <w:i/>
          <w:sz w:val="20"/>
        </w:rPr>
        <w:t xml:space="preserve"> di Frascati </w:t>
      </w:r>
      <w:proofErr w:type="spellStart"/>
      <w:r w:rsidRPr="00B77E44">
        <w:rPr>
          <w:i/>
          <w:sz w:val="20"/>
        </w:rPr>
        <w:t>dell’INFN</w:t>
      </w:r>
      <w:proofErr w:type="spellEnd"/>
      <w:r w:rsidRPr="00B77E44">
        <w:rPr>
          <w:i/>
          <w:sz w:val="20"/>
        </w:rPr>
        <w:t xml:space="preserve">; </w:t>
      </w:r>
      <w:r w:rsidRPr="00B77E44">
        <w:rPr>
          <w:i/>
          <w:sz w:val="20"/>
          <w:vertAlign w:val="superscript"/>
        </w:rPr>
        <w:t>7</w:t>
      </w:r>
      <w:r w:rsidRPr="00B77E44">
        <w:rPr>
          <w:i/>
          <w:sz w:val="20"/>
        </w:rPr>
        <w:t xml:space="preserve">ISAE-SUPAERO, Univ. de Toulouse, France; </w:t>
      </w:r>
      <w:r w:rsidRPr="00B77E44">
        <w:rPr>
          <w:i/>
          <w:sz w:val="20"/>
          <w:vertAlign w:val="superscript"/>
        </w:rPr>
        <w:t>8</w:t>
      </w:r>
      <w:r w:rsidRPr="00B77E44">
        <w:rPr>
          <w:i/>
          <w:sz w:val="20"/>
        </w:rPr>
        <w:t xml:space="preserve">UC Santa Cruz; </w:t>
      </w:r>
      <w:r w:rsidRPr="00B77E44">
        <w:rPr>
          <w:i/>
          <w:sz w:val="20"/>
          <w:vertAlign w:val="superscript"/>
        </w:rPr>
        <w:t>9</w:t>
      </w:r>
      <w:r w:rsidRPr="00B77E44">
        <w:rPr>
          <w:i/>
          <w:sz w:val="20"/>
        </w:rPr>
        <w:t xml:space="preserve">SwRI; </w:t>
      </w:r>
      <w:r w:rsidRPr="00B77E44">
        <w:rPr>
          <w:i/>
          <w:sz w:val="20"/>
          <w:vertAlign w:val="superscript"/>
        </w:rPr>
        <w:t>10</w:t>
      </w:r>
      <w:r w:rsidRPr="00B77E44">
        <w:rPr>
          <w:i/>
          <w:sz w:val="20"/>
        </w:rPr>
        <w:t xml:space="preserve">DLR; </w:t>
      </w:r>
      <w:r w:rsidRPr="00B77E44">
        <w:rPr>
          <w:i/>
          <w:sz w:val="20"/>
          <w:vertAlign w:val="superscript"/>
        </w:rPr>
        <w:t>11</w:t>
      </w:r>
      <w:r w:rsidRPr="00B77E44">
        <w:rPr>
          <w:i/>
          <w:sz w:val="20"/>
        </w:rPr>
        <w:t xml:space="preserve">IPGP; </w:t>
      </w:r>
      <w:r w:rsidRPr="00B77E44">
        <w:rPr>
          <w:i/>
          <w:sz w:val="20"/>
          <w:vertAlign w:val="superscript"/>
        </w:rPr>
        <w:t>12</w:t>
      </w:r>
      <w:r w:rsidRPr="00B77E44">
        <w:rPr>
          <w:i/>
          <w:sz w:val="20"/>
        </w:rPr>
        <w:t xml:space="preserve">Texas Tech Univ.; </w:t>
      </w:r>
      <w:r w:rsidRPr="00B77E44">
        <w:rPr>
          <w:i/>
          <w:sz w:val="20"/>
          <w:vertAlign w:val="superscript"/>
        </w:rPr>
        <w:t>13</w:t>
      </w:r>
      <w:r w:rsidRPr="00B77E44">
        <w:rPr>
          <w:i/>
          <w:sz w:val="20"/>
        </w:rPr>
        <w:t xml:space="preserve">UT Austin; </w:t>
      </w:r>
      <w:r w:rsidRPr="00B77E44">
        <w:rPr>
          <w:i/>
          <w:sz w:val="20"/>
          <w:vertAlign w:val="superscript"/>
        </w:rPr>
        <w:t>14</w:t>
      </w:r>
      <w:r w:rsidRPr="00B77E44">
        <w:rPr>
          <w:i/>
          <w:sz w:val="20"/>
        </w:rPr>
        <w:t xml:space="preserve">USGS Flagstaff; </w:t>
      </w:r>
      <w:r w:rsidRPr="00B77E44">
        <w:rPr>
          <w:i/>
          <w:sz w:val="20"/>
          <w:vertAlign w:val="superscript"/>
        </w:rPr>
        <w:t>15</w:t>
      </w:r>
      <w:r w:rsidRPr="00B77E44">
        <w:rPr>
          <w:i/>
          <w:sz w:val="20"/>
        </w:rPr>
        <w:t xml:space="preserve">NASA GSFC; </w:t>
      </w:r>
      <w:r w:rsidRPr="00B77E44">
        <w:rPr>
          <w:i/>
          <w:sz w:val="20"/>
          <w:vertAlign w:val="superscript"/>
        </w:rPr>
        <w:t>16</w:t>
      </w:r>
      <w:r w:rsidRPr="00B77E44">
        <w:rPr>
          <w:i/>
          <w:sz w:val="20"/>
        </w:rPr>
        <w:t xml:space="preserve">PSI; </w:t>
      </w:r>
      <w:r w:rsidRPr="00B77E44">
        <w:rPr>
          <w:i/>
          <w:sz w:val="20"/>
          <w:vertAlign w:val="superscript"/>
        </w:rPr>
        <w:t>17</w:t>
      </w:r>
      <w:r w:rsidRPr="00B77E44">
        <w:rPr>
          <w:i/>
          <w:sz w:val="20"/>
        </w:rPr>
        <w:t xml:space="preserve">Smithsonian Institution; </w:t>
      </w:r>
      <w:r w:rsidRPr="00B77E44">
        <w:rPr>
          <w:i/>
          <w:sz w:val="20"/>
          <w:vertAlign w:val="superscript"/>
        </w:rPr>
        <w:t>18</w:t>
      </w:r>
      <w:r w:rsidRPr="00B77E44">
        <w:rPr>
          <w:i/>
          <w:sz w:val="20"/>
        </w:rPr>
        <w:t xml:space="preserve">Observatoire de la Côte d’Azur; </w:t>
      </w:r>
      <w:r w:rsidRPr="00B77E44">
        <w:rPr>
          <w:i/>
          <w:sz w:val="20"/>
          <w:vertAlign w:val="superscript"/>
        </w:rPr>
        <w:t>19</w:t>
      </w:r>
      <w:r w:rsidRPr="00B77E44">
        <w:rPr>
          <w:i/>
          <w:sz w:val="20"/>
        </w:rPr>
        <w:t>Honeybee Robotics.</w:t>
      </w:r>
    </w:p>
    <w:p w:rsidR="00E7725A" w:rsidRDefault="00E7725A">
      <w:pPr>
        <w:pStyle w:val="AbstractNormalText"/>
      </w:pPr>
    </w:p>
    <w:p w:rsidR="00E7725A" w:rsidRPr="00B62ECE" w:rsidRDefault="00E7725A">
      <w:pPr>
        <w:pStyle w:val="AbstractAuthors"/>
        <w:rPr>
          <w:sz w:val="18"/>
          <w:szCs w:val="18"/>
        </w:rPr>
        <w:sectPr w:rsidR="00E7725A" w:rsidRPr="00B62ECE">
          <w:headerReference w:type="default" r:id="rId7"/>
          <w:pgSz w:w="12240" w:h="15840" w:code="1"/>
          <w:pgMar w:top="2160" w:right="1440" w:bottom="2160" w:left="1440" w:header="720" w:footer="720" w:gutter="0"/>
          <w:cols w:space="720" w:equalWidth="0">
            <w:col w:w="9000"/>
          </w:cols>
          <w:titlePg/>
        </w:sectPr>
      </w:pPr>
    </w:p>
    <w:p w:rsidR="00E7725A" w:rsidRDefault="00E7725A">
      <w:pPr>
        <w:pStyle w:val="AbstractSectionHeading"/>
      </w:pPr>
      <w:r>
        <w:t>Summary</w:t>
      </w:r>
    </w:p>
    <w:p w:rsidR="00E7725A" w:rsidRPr="00B62ECE" w:rsidRDefault="00E7725A">
      <w:pPr>
        <w:pStyle w:val="AbstractNormalText"/>
        <w:rPr>
          <w:sz w:val="20"/>
        </w:rPr>
      </w:pPr>
    </w:p>
    <w:p w:rsidR="00B77E44" w:rsidRPr="00B77E44" w:rsidRDefault="00B77E44" w:rsidP="00B77E44">
      <w:pPr>
        <w:pStyle w:val="AbstractNormalText"/>
      </w:pPr>
      <w:r w:rsidRPr="00B77E44">
        <w:t xml:space="preserve">The </w:t>
      </w:r>
      <w:r>
        <w:t xml:space="preserve">National Academy’s </w:t>
      </w:r>
      <w:r w:rsidRPr="00B77E44">
        <w:t xml:space="preserve">current Planetary Decadal Survey </w:t>
      </w:r>
      <w:r w:rsidR="00820BB4">
        <w:t>(NRC, 2011)</w:t>
      </w:r>
      <w:r w:rsidRPr="00B77E44">
        <w:t xml:space="preserve"> prioritizes a future Lunar Geophysical Network (LGN) mission to gather new information that will permit us to better determine how the overall composition and structure of the Moon inform us about the initial differentiation and subsequent evolution of terrestrial planets. </w:t>
      </w:r>
    </w:p>
    <w:p w:rsidR="00E7725A" w:rsidRDefault="00E7725A">
      <w:pPr>
        <w:pStyle w:val="AbstractNormalText"/>
      </w:pPr>
    </w:p>
    <w:p w:rsidR="00E7725A" w:rsidRDefault="00E7725A">
      <w:pPr>
        <w:pStyle w:val="AbstractSectionHeading"/>
      </w:pPr>
      <w:r>
        <w:t>Introduction</w:t>
      </w:r>
    </w:p>
    <w:p w:rsidR="00E7725A" w:rsidRDefault="00E7725A">
      <w:pPr>
        <w:pStyle w:val="AbstractNormalText"/>
      </w:pPr>
    </w:p>
    <w:p w:rsidR="00E7725A" w:rsidRDefault="00B77E44">
      <w:pPr>
        <w:pStyle w:val="AbstractNormalText"/>
      </w:pPr>
      <w:r w:rsidRPr="00B77E44">
        <w:t>The Moon has been the cornerstone of our understanding of terrestrial planet formation and initial evolution since the Apollo surface investigations 50 years ago. Geophysical instruments deployed by astronauts as part of the Apollo Lunar Surface Experiment Package (ALSEP) contributed key information that advanced our knowledge of the lunar interior. Still, significant questions regarding the nature of the Moon’s global structure remain unanswered, including: the nature of the extinct lunar dynamo; the origin of the Moon’s crustal magnetic anomalies; unambiguous observations of a mid-mantle discontinuity, a partial melt layer, or an inner core; whether and how surface hemispherical dichotomies propagate into the interior; and the origin of shallow moonquakes.</w:t>
      </w:r>
    </w:p>
    <w:p w:rsidR="00E7725A" w:rsidRDefault="00E7725A">
      <w:pPr>
        <w:pStyle w:val="AbstractNormalText"/>
      </w:pPr>
    </w:p>
    <w:p w:rsidR="00B77E44" w:rsidRPr="00B77E44" w:rsidRDefault="00B77E44" w:rsidP="00B77E44">
      <w:pPr>
        <w:pStyle w:val="AbstractNormalText"/>
      </w:pPr>
      <w:r w:rsidRPr="00B77E44">
        <w:t>Terrestrial planets all share a common structural framework (crust, mantle, core) which is developed very shortly after formation and which determines subsequent evolution.</w:t>
      </w:r>
      <w:r>
        <w:t xml:space="preserve"> </w:t>
      </w:r>
      <w:r w:rsidRPr="00B77E44">
        <w:t>While much of Earth’s early structural evidence has been destroyed by plate tectonics, the so-called “ancient” planets, including the Moon, retain more information about their early interior structure, and are ideal bodies to explore to advance our understanding of all terrestrial planetary formation and evolution.</w:t>
      </w:r>
      <w:r>
        <w:t xml:space="preserve"> </w:t>
      </w:r>
      <w:r w:rsidRPr="00B77E44">
        <w:t xml:space="preserve">The heat engine that drove differentiation of the Moon waned after the first ~1.5 </w:t>
      </w:r>
      <w:proofErr w:type="spellStart"/>
      <w:r w:rsidRPr="00B77E44">
        <w:t>b.y</w:t>
      </w:r>
      <w:proofErr w:type="spellEnd"/>
      <w:r w:rsidRPr="00B77E44">
        <w:t>. of lunar history as the volume of magmatism decreased dramatically. Therefore, the Moon represents an end member in terrestrial planet evolution as it potentially preserves the initial differentiation stage through a magma ocean.</w:t>
      </w:r>
    </w:p>
    <w:p w:rsidR="00B77E44" w:rsidRPr="00B77E44" w:rsidRDefault="00B77E44" w:rsidP="00B77E44">
      <w:pPr>
        <w:pStyle w:val="AbstractNormalText"/>
      </w:pPr>
    </w:p>
    <w:p w:rsidR="00E7725A" w:rsidRDefault="00B77E44" w:rsidP="00B77E44">
      <w:pPr>
        <w:pStyle w:val="AbstractNormalText"/>
      </w:pPr>
      <w:r w:rsidRPr="00B77E44">
        <w:t xml:space="preserve">The structure and composition of the lunar interior therefore provides fundamental information on the initial evolution of </w:t>
      </w:r>
      <w:r w:rsidRPr="00B77E44">
        <w:t>any differentiated terrestrial planetary body</w:t>
      </w:r>
      <w:r w:rsidR="00820BB4">
        <w:t xml:space="preserve"> (Neal</w:t>
      </w:r>
      <w:r w:rsidR="00B26EE5">
        <w:t xml:space="preserve"> et al.</w:t>
      </w:r>
      <w:r w:rsidR="00820BB4">
        <w:t>, 2020)</w:t>
      </w:r>
      <w:r w:rsidRPr="00B77E44">
        <w:t>.</w:t>
      </w:r>
    </w:p>
    <w:p w:rsidR="00E7725A" w:rsidRDefault="00E7725A">
      <w:pPr>
        <w:pStyle w:val="AbstractNormalText"/>
      </w:pPr>
    </w:p>
    <w:p w:rsidR="00E7725A" w:rsidRDefault="00B77E44">
      <w:pPr>
        <w:pStyle w:val="AbstractSectionHeading"/>
      </w:pPr>
      <w:r w:rsidRPr="00B77E44">
        <w:t>Robotic vs. crewed</w:t>
      </w:r>
    </w:p>
    <w:p w:rsidR="00E7725A" w:rsidRDefault="00E7725A">
      <w:pPr>
        <w:pStyle w:val="AbstractNormalText"/>
      </w:pPr>
    </w:p>
    <w:p w:rsidR="00B77E44" w:rsidRDefault="00B77E44" w:rsidP="00B77E44">
      <w:pPr>
        <w:pStyle w:val="AbstractNormalText"/>
      </w:pPr>
      <w:r w:rsidRPr="00B77E44">
        <w:t>Currently in formulation for response to the anticipated NASA New Frontiers 5 Announcement of Opportunity, LGN consists of a globally distributed network of robotic landers, each of which deploys an identical suite of geophysical instruments: a seismometer, a heat flow probe, a laser</w:t>
      </w:r>
      <w:r>
        <w:t xml:space="preserve"> </w:t>
      </w:r>
      <w:r>
        <w:t xml:space="preserve">retroreflector, and a </w:t>
      </w:r>
      <w:proofErr w:type="spellStart"/>
      <w:r>
        <w:t>magnetotelluric</w:t>
      </w:r>
      <w:proofErr w:type="spellEnd"/>
      <w:r>
        <w:t xml:space="preserve"> sounder (Fig. 1). To maximize science return, the landers should operate continuously for a minimum of </w:t>
      </w:r>
      <w:r w:rsidR="00987814">
        <w:t>6</w:t>
      </w:r>
      <w:r>
        <w:t xml:space="preserve"> years</w:t>
      </w:r>
      <w:r w:rsidR="00987814">
        <w:t xml:space="preserve"> (with a goal of 10 years)</w:t>
      </w:r>
      <w:r>
        <w:t xml:space="preserve">, and at least one lander should be located on the lunar far side </w:t>
      </w:r>
      <w:r w:rsidR="00987814">
        <w:t>(NASA, 2009)</w:t>
      </w:r>
      <w:r>
        <w:t xml:space="preserve">. </w:t>
      </w:r>
    </w:p>
    <w:p w:rsidR="00A5142D" w:rsidRDefault="00A5142D" w:rsidP="00A5142D">
      <w:pPr>
        <w:pStyle w:val="AbstractFrame"/>
        <w:framePr w:h="4437" w:hRule="exact" w:hSpace="0" w:vSpace="0" w:wrap="notBeside" w:hAnchor="page" w:x="6561" w:y="167"/>
      </w:pPr>
      <w:r>
        <w:rPr>
          <w:noProof/>
        </w:rPr>
        <w:drawing>
          <wp:inline distT="0" distB="0" distL="0" distR="0" wp14:anchorId="03BCF197" wp14:editId="028CEBD3">
            <wp:extent cx="2743200" cy="2244738"/>
            <wp:effectExtent l="0" t="0" r="0" b="3175"/>
            <wp:docPr id="2" name="Picture 2" descr="A picture containing snow, outdoor,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nette.jpg"/>
                    <pic:cNvPicPr/>
                  </pic:nvPicPr>
                  <pic:blipFill>
                    <a:blip r:embed="rId8"/>
                    <a:stretch>
                      <a:fillRect/>
                    </a:stretch>
                  </pic:blipFill>
                  <pic:spPr>
                    <a:xfrm>
                      <a:off x="0" y="0"/>
                      <a:ext cx="2776028" cy="2271601"/>
                    </a:xfrm>
                    <a:prstGeom prst="rect">
                      <a:avLst/>
                    </a:prstGeom>
                  </pic:spPr>
                </pic:pic>
              </a:graphicData>
            </a:graphic>
          </wp:inline>
        </w:drawing>
      </w:r>
    </w:p>
    <w:p w:rsidR="00A5142D" w:rsidRDefault="00A5142D" w:rsidP="00A5142D">
      <w:pPr>
        <w:pStyle w:val="AbstractFrame"/>
        <w:framePr w:h="4437" w:hRule="exact" w:hSpace="0" w:vSpace="0" w:wrap="notBeside" w:hAnchor="page" w:x="6561" w:y="167"/>
      </w:pPr>
    </w:p>
    <w:p w:rsidR="00A5142D" w:rsidRDefault="00A5142D" w:rsidP="00A5142D">
      <w:pPr>
        <w:pStyle w:val="Caption"/>
        <w:framePr w:h="4437" w:hRule="exact" w:wrap="notBeside" w:vAnchor="text" w:hAnchor="page" w:x="6561" w:y="167"/>
        <w:pBdr>
          <w:top w:val="single" w:sz="6" w:space="1" w:color="auto"/>
          <w:left w:val="single" w:sz="6" w:space="1" w:color="auto"/>
          <w:bottom w:val="single" w:sz="6" w:space="1" w:color="auto"/>
          <w:right w:val="single" w:sz="6" w:space="1" w:color="auto"/>
        </w:pBd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w:t>
      </w:r>
      <w:r w:rsidRPr="00A5142D">
        <w:rPr>
          <w:noProof/>
        </w:rPr>
        <w:t xml:space="preserve">The LUNETTE mission concept </w:t>
      </w:r>
      <w:r w:rsidR="00B26EE5">
        <w:rPr>
          <w:noProof/>
        </w:rPr>
        <w:t>(Neal et al., 2010)</w:t>
      </w:r>
      <w:r w:rsidRPr="00A5142D">
        <w:rPr>
          <w:noProof/>
        </w:rPr>
        <w:t>, showing instruments robotically deployed to the surface.</w:t>
      </w:r>
    </w:p>
    <w:p w:rsidR="00B77E44" w:rsidRDefault="00B77E44" w:rsidP="00B77E44">
      <w:pPr>
        <w:pStyle w:val="AbstractNormalText"/>
      </w:pPr>
    </w:p>
    <w:p w:rsidR="00B77E44" w:rsidRDefault="00B77E44" w:rsidP="00B77E44">
      <w:pPr>
        <w:pStyle w:val="AbstractNormalText"/>
      </w:pPr>
      <w:r>
        <w:t xml:space="preserve">Terrestrial geophysical survey instruments are traditionally deployed by humans in situ. Seismometers, heat flow probes, and </w:t>
      </w:r>
      <w:proofErr w:type="spellStart"/>
      <w:r>
        <w:t>magnetotelluric</w:t>
      </w:r>
      <w:proofErr w:type="spellEnd"/>
      <w:r>
        <w:t xml:space="preserve"> sounders require good ground coupling and </w:t>
      </w:r>
      <w:r w:rsidR="00554356">
        <w:t xml:space="preserve">on Earth </w:t>
      </w:r>
      <w:r>
        <w:t xml:space="preserve">are almost universally buried, isolating them from atmospheric and anthropogenic noise, as well as diurnal temperature variations. They can require </w:t>
      </w:r>
      <w:r>
        <w:lastRenderedPageBreak/>
        <w:t>leveling and orientation with respect to geographic coordinates and sun angle.</w:t>
      </w:r>
    </w:p>
    <w:p w:rsidR="00B26EE5" w:rsidRDefault="00B26EE5" w:rsidP="00B26EE5">
      <w:pPr>
        <w:pStyle w:val="AbstractFrame"/>
        <w:framePr w:h="5198" w:hRule="exact" w:hSpace="0" w:vSpace="0" w:wrap="notBeside" w:hAnchor="page" w:x="1441" w:y="77"/>
      </w:pPr>
      <w:r w:rsidRPr="004B3DC1">
        <w:rPr>
          <w:noProof/>
          <w:sz w:val="20"/>
          <w:lang w:val="de-DE" w:eastAsia="de-DE"/>
        </w:rPr>
        <w:drawing>
          <wp:inline distT="0" distB="0" distL="0" distR="0" wp14:anchorId="0D342775" wp14:editId="24DA6B7B">
            <wp:extent cx="2743200" cy="2754925"/>
            <wp:effectExtent l="0" t="0" r="0" b="1270"/>
            <wp:docPr id="7" name="Picture 7" descr="A person standing in front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l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3990" cy="2815975"/>
                    </a:xfrm>
                    <a:prstGeom prst="rect">
                      <a:avLst/>
                    </a:prstGeom>
                  </pic:spPr>
                </pic:pic>
              </a:graphicData>
            </a:graphic>
          </wp:inline>
        </w:drawing>
      </w:r>
    </w:p>
    <w:p w:rsidR="00B26EE5" w:rsidRDefault="00B26EE5" w:rsidP="00B26EE5">
      <w:pPr>
        <w:pStyle w:val="AbstractFrame"/>
        <w:framePr w:h="5198" w:hRule="exact" w:hSpace="0" w:vSpace="0" w:wrap="notBeside" w:hAnchor="page" w:x="1441" w:y="77"/>
      </w:pPr>
    </w:p>
    <w:p w:rsidR="00B26EE5" w:rsidRDefault="00B26EE5" w:rsidP="00B26EE5">
      <w:pPr>
        <w:pStyle w:val="Caption"/>
        <w:framePr w:h="5198" w:hRule="exact" w:wrap="notBeside" w:vAnchor="text" w:hAnchor="page" w:x="1441" w:y="77"/>
        <w:pBdr>
          <w:top w:val="single" w:sz="6" w:space="1" w:color="auto"/>
          <w:left w:val="single" w:sz="6" w:space="1" w:color="auto"/>
          <w:bottom w:val="single" w:sz="6" w:space="1" w:color="auto"/>
          <w:right w:val="single" w:sz="6" w:space="1" w:color="auto"/>
        </w:pBdr>
      </w:pPr>
      <w:r>
        <w:t>Figure 2:</w:t>
      </w:r>
      <w:r>
        <w:rPr>
          <w:noProof/>
        </w:rPr>
        <w:t xml:space="preserve"> </w:t>
      </w:r>
      <w:r w:rsidRPr="00123B6E">
        <w:rPr>
          <w:noProof/>
        </w:rPr>
        <w:t>Manual deployment of an Apollo 15 heat flow probe into a predrilled borehole. The drill is shown next to the bore stem.</w:t>
      </w:r>
    </w:p>
    <w:p w:rsidR="00B77E44" w:rsidRDefault="00B77E44" w:rsidP="00B77E44">
      <w:pPr>
        <w:pStyle w:val="AbstractNormalText"/>
      </w:pPr>
    </w:p>
    <w:p w:rsidR="00F55817" w:rsidRDefault="00622D77" w:rsidP="00554356">
      <w:pPr>
        <w:pStyle w:val="AbstractFrame"/>
        <w:framePr w:w="9293" w:h="3661" w:hRule="exact" w:hSpace="0" w:vSpace="0" w:wrap="notBeside" w:hAnchor="page" w:x="1529" w:y="2202"/>
        <w:jc w:val="center"/>
      </w:pPr>
      <w:r>
        <w:rPr>
          <w:noProof/>
        </w:rPr>
        <w:drawing>
          <wp:inline distT="0" distB="0" distL="0" distR="0" wp14:anchorId="3ECAD0FD" wp14:editId="05C05B78">
            <wp:extent cx="3446360" cy="1966892"/>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ding_sites.jpg"/>
                    <pic:cNvPicPr/>
                  </pic:nvPicPr>
                  <pic:blipFill>
                    <a:blip r:embed="rId10"/>
                    <a:stretch>
                      <a:fillRect/>
                    </a:stretch>
                  </pic:blipFill>
                  <pic:spPr>
                    <a:xfrm>
                      <a:off x="0" y="0"/>
                      <a:ext cx="3528608" cy="2013832"/>
                    </a:xfrm>
                    <a:prstGeom prst="rect">
                      <a:avLst/>
                    </a:prstGeom>
                  </pic:spPr>
                </pic:pic>
              </a:graphicData>
            </a:graphic>
          </wp:inline>
        </w:drawing>
      </w:r>
    </w:p>
    <w:p w:rsidR="00F55817" w:rsidRDefault="00622D77" w:rsidP="00554356">
      <w:pPr>
        <w:pStyle w:val="Caption"/>
        <w:framePr w:w="9293" w:h="3661" w:hRule="exact" w:wrap="notBeside" w:vAnchor="text" w:hAnchor="page" w:x="1529" w:y="2202"/>
        <w:pBdr>
          <w:top w:val="single" w:sz="6" w:space="1" w:color="auto"/>
          <w:left w:val="single" w:sz="6" w:space="1" w:color="auto"/>
          <w:bottom w:val="single" w:sz="6" w:space="1" w:color="auto"/>
          <w:right w:val="single" w:sz="6" w:space="1" w:color="auto"/>
        </w:pBdr>
        <w:rPr>
          <w:noProof/>
        </w:rPr>
      </w:pPr>
      <w:r>
        <w:t xml:space="preserve">Figure 3: </w:t>
      </w:r>
      <w:r w:rsidRPr="00622D77">
        <w:t xml:space="preserve">LGN candidate landing sites. 1: PKT. 2: </w:t>
      </w:r>
      <w:proofErr w:type="spellStart"/>
      <w:r w:rsidRPr="00622D77">
        <w:t>Schickard</w:t>
      </w:r>
      <w:proofErr w:type="spellEnd"/>
      <w:r w:rsidRPr="00622D77">
        <w:t xml:space="preserve"> (antipode to A33 deep moonquake source). 3: In or near </w:t>
      </w:r>
      <w:proofErr w:type="spellStart"/>
      <w:r w:rsidRPr="00622D77">
        <w:t>Crisium</w:t>
      </w:r>
      <w:proofErr w:type="spellEnd"/>
      <w:r w:rsidRPr="00622D77">
        <w:t xml:space="preserve">. 4: Far side (antipode to A1 deep moonquake source). For further discussion see </w:t>
      </w:r>
      <w:proofErr w:type="spellStart"/>
      <w:r>
        <w:t>Jawin</w:t>
      </w:r>
      <w:proofErr w:type="spellEnd"/>
      <w:r>
        <w:t xml:space="preserve"> et al. (2019)</w:t>
      </w:r>
      <w:r w:rsidRPr="00622D77">
        <w:t>.</w:t>
      </w:r>
    </w:p>
    <w:p w:rsidR="00E7725A" w:rsidRDefault="00B77E44" w:rsidP="00B77E44">
      <w:pPr>
        <w:pStyle w:val="AbstractNormalText"/>
      </w:pPr>
      <w:r>
        <w:t xml:space="preserve">Completing these tasks robotically poses a technological challenge (and risk) to landed missions. While atmospheric noise is not an issue on the Moon, the extreme temperature variations are problematic and instruments still ideally need to operate in direct contact with the ground. Deployment mechanisms introduce cost and complexity to robotic missions, and are often not robust to unanticipated obstacles. The Mars InSight mission’s heat flow probe, for example, has not been able to penetrate to its intended depth despite repeated attempts </w:t>
      </w:r>
      <w:r w:rsidR="00377DDB">
        <w:t>(NASA, 2020)</w:t>
      </w:r>
      <w:r>
        <w:t xml:space="preserve">, and deployment would </w:t>
      </w:r>
      <w:r>
        <w:t>have been greatly facilitated by an astronaut, as was done during the Apollo missions (Fig. 2).</w:t>
      </w:r>
    </w:p>
    <w:p w:rsidR="001C799D" w:rsidRDefault="001C799D">
      <w:pPr>
        <w:pStyle w:val="AbstractNormalText"/>
        <w:rPr>
          <w:b/>
        </w:rPr>
      </w:pPr>
    </w:p>
    <w:p w:rsidR="00E7725A" w:rsidRDefault="00A5142D">
      <w:pPr>
        <w:pStyle w:val="AbstractNormalText"/>
        <w:rPr>
          <w:b/>
        </w:rPr>
      </w:pPr>
      <w:r w:rsidRPr="00A5142D">
        <w:rPr>
          <w:b/>
        </w:rPr>
        <w:t>Artemis enables LGN</w:t>
      </w:r>
    </w:p>
    <w:p w:rsidR="00A5142D" w:rsidRDefault="00A5142D">
      <w:pPr>
        <w:pStyle w:val="AbstractNormalText"/>
      </w:pPr>
    </w:p>
    <w:p w:rsidR="00A5142D" w:rsidRDefault="00A5142D" w:rsidP="00A5142D">
      <w:pPr>
        <w:pStyle w:val="AbstractNormalText"/>
      </w:pPr>
      <w:r>
        <w:t xml:space="preserve">Many of the instruments in development for LGN will soon fly to the Moon under NASA’s Commercial Lunar Payload Services (CLPS) program </w:t>
      </w:r>
      <w:r w:rsidR="00377DDB">
        <w:t xml:space="preserve">(UMD, 2019; </w:t>
      </w:r>
      <w:proofErr w:type="spellStart"/>
      <w:r w:rsidR="00377DDB">
        <w:t>Nagihara</w:t>
      </w:r>
      <w:proofErr w:type="spellEnd"/>
      <w:r w:rsidR="00377DDB">
        <w:t xml:space="preserve"> et al., 2019; Grimm et al., 2019)</w:t>
      </w:r>
      <w:r>
        <w:t xml:space="preserve">. Others are in work under NASA’s Development </w:t>
      </w:r>
      <w:r w:rsidR="00622D77">
        <w:t>and</w:t>
      </w:r>
      <w:r>
        <w:t xml:space="preserve"> Advancement of Lunar Instrumentation (DALI) program </w:t>
      </w:r>
      <w:r w:rsidR="00377DDB">
        <w:t>(Weber et al., 2019; Yu et al., 2018)</w:t>
      </w:r>
      <w:r>
        <w:t>. Our goal is to have all LGN primary payloads at TRL 6 (or higher) in time to be responsive to an anticipated AO in 2022.</w:t>
      </w:r>
    </w:p>
    <w:p w:rsidR="001C799D" w:rsidRDefault="001C799D" w:rsidP="00A5142D">
      <w:pPr>
        <w:pStyle w:val="AbstractNormalText"/>
      </w:pPr>
    </w:p>
    <w:p w:rsidR="00E7725A" w:rsidRDefault="00A5142D" w:rsidP="00A5142D">
      <w:pPr>
        <w:pStyle w:val="AbstractNormalText"/>
      </w:pPr>
      <w:r>
        <w:t>Humans will land at the south pole of the Moon in 2024, during LGN’s Phase B. A human-deployed station at the south pole would enable an evaluation of seismic risk to a future lunar outpost, and be a fantastic addition to a robotically deployed LGN. Multiple human landings, likely spread across several years, and located at a geographically diverse set of landing sites (Fig. 3), would be required to establish an Artemis geophysical network. For comparison, the Apollo network of long-lived instruments was deployed over a period of 2.5 years (Apollo 12 to Apollo 16). All four stations only operated concurrently for an additional five years.</w:t>
      </w:r>
    </w:p>
    <w:p w:rsidR="00E7725A" w:rsidRDefault="00E7725A">
      <w:pPr>
        <w:pStyle w:val="AbstractNormalText"/>
      </w:pPr>
    </w:p>
    <w:p w:rsidR="00377DDB" w:rsidRDefault="00377DDB" w:rsidP="00377DDB">
      <w:pPr>
        <w:pStyle w:val="AbstractNormalText"/>
      </w:pPr>
      <w:bookmarkStart w:id="0" w:name="_978521874"/>
      <w:bookmarkEnd w:id="0"/>
      <w:r w:rsidRPr="00A5142D">
        <w:t>Artemis can reduce risk for LGN through a variety of means: 1) by raising the TRL of instruments; 2) by crew testing candidate deployment mechanisms; 3) by crew establishing the first node of a long-lived network which LGN can later augment. LGN likewise enables future long-term lunar exploration via monitoring of seismic and impact hazards. Artemis and LGN jointly provide a unique opportunity to open a new era of lunar planetary geophysical exploration.</w:t>
      </w:r>
    </w:p>
    <w:p w:rsidR="00E7725A" w:rsidRDefault="00E7725A">
      <w:pPr>
        <w:pStyle w:val="AbstractNormalText"/>
      </w:pPr>
    </w:p>
    <w:p w:rsidR="009848D8" w:rsidRDefault="009848D8" w:rsidP="009848D8">
      <w:pPr>
        <w:tabs>
          <w:tab w:val="clear" w:pos="504"/>
        </w:tabs>
        <w:jc w:val="left"/>
        <w:rPr>
          <w:b/>
          <w:color w:val="CC3300"/>
        </w:rPr>
      </w:pPr>
    </w:p>
    <w:p w:rsidR="009848D8" w:rsidRDefault="009848D8" w:rsidP="009848D8">
      <w:pPr>
        <w:tabs>
          <w:tab w:val="clear" w:pos="504"/>
        </w:tabs>
        <w:jc w:val="left"/>
        <w:rPr>
          <w:b/>
          <w:color w:val="CC3300"/>
        </w:rPr>
      </w:pPr>
    </w:p>
    <w:p w:rsidR="009848D8" w:rsidRDefault="009848D8" w:rsidP="009848D8">
      <w:pPr>
        <w:pStyle w:val="AbstractNormalText"/>
        <w:rPr>
          <w:b/>
        </w:rPr>
      </w:pPr>
      <w:r>
        <w:rPr>
          <w:b/>
        </w:rPr>
        <w:lastRenderedPageBreak/>
        <w:t>Conclusions</w:t>
      </w:r>
    </w:p>
    <w:p w:rsidR="009848D8" w:rsidRDefault="009848D8" w:rsidP="009848D8">
      <w:pPr>
        <w:tabs>
          <w:tab w:val="clear" w:pos="504"/>
        </w:tabs>
        <w:jc w:val="left"/>
        <w:rPr>
          <w:b/>
          <w:color w:val="CC3300"/>
        </w:rPr>
      </w:pPr>
    </w:p>
    <w:p w:rsidR="009848D8" w:rsidRDefault="009848D8" w:rsidP="009848D8">
      <w:pPr>
        <w:tabs>
          <w:tab w:val="clear" w:pos="504"/>
        </w:tabs>
        <w:rPr>
          <w:bCs/>
          <w:color w:val="000000" w:themeColor="text1"/>
        </w:rPr>
      </w:pPr>
      <w:r w:rsidRPr="009848D8">
        <w:rPr>
          <w:bCs/>
          <w:color w:val="000000" w:themeColor="text1"/>
        </w:rPr>
        <w:t>In the past decade, lunar science has made multiple advancements in our understanding of the Moon’s interior.</w:t>
      </w:r>
      <w:r w:rsidR="009F74BC">
        <w:rPr>
          <w:bCs/>
          <w:color w:val="000000" w:themeColor="text1"/>
        </w:rPr>
        <w:t xml:space="preserve"> </w:t>
      </w:r>
      <w:r>
        <w:rPr>
          <w:bCs/>
          <w:color w:val="000000" w:themeColor="text1"/>
        </w:rPr>
        <w:t>In 2018, NASA chartered the</w:t>
      </w:r>
      <w:r w:rsidRPr="009848D8">
        <w:rPr>
          <w:bCs/>
          <w:color w:val="000000" w:themeColor="text1"/>
        </w:rPr>
        <w:t xml:space="preserve"> L</w:t>
      </w:r>
      <w:r>
        <w:rPr>
          <w:bCs/>
          <w:color w:val="000000" w:themeColor="text1"/>
        </w:rPr>
        <w:t xml:space="preserve">unar </w:t>
      </w:r>
      <w:r w:rsidRPr="009848D8">
        <w:rPr>
          <w:bCs/>
          <w:color w:val="000000" w:themeColor="text1"/>
        </w:rPr>
        <w:t>E</w:t>
      </w:r>
      <w:r>
        <w:rPr>
          <w:bCs/>
          <w:color w:val="000000" w:themeColor="text1"/>
        </w:rPr>
        <w:t xml:space="preserve">xploration </w:t>
      </w:r>
      <w:r w:rsidRPr="009848D8">
        <w:rPr>
          <w:bCs/>
          <w:color w:val="000000" w:themeColor="text1"/>
        </w:rPr>
        <w:t>A</w:t>
      </w:r>
      <w:r>
        <w:rPr>
          <w:bCs/>
          <w:color w:val="000000" w:themeColor="text1"/>
        </w:rPr>
        <w:t xml:space="preserve">nalysis </w:t>
      </w:r>
      <w:r w:rsidRPr="009848D8">
        <w:rPr>
          <w:bCs/>
          <w:color w:val="000000" w:themeColor="text1"/>
        </w:rPr>
        <w:t>G</w:t>
      </w:r>
      <w:r>
        <w:rPr>
          <w:bCs/>
          <w:color w:val="000000" w:themeColor="text1"/>
        </w:rPr>
        <w:t>roup</w:t>
      </w:r>
      <w:r w:rsidRPr="009848D8">
        <w:rPr>
          <w:bCs/>
          <w:color w:val="000000" w:themeColor="text1"/>
        </w:rPr>
        <w:t xml:space="preserve"> </w:t>
      </w:r>
      <w:r>
        <w:rPr>
          <w:bCs/>
          <w:color w:val="000000" w:themeColor="text1"/>
        </w:rPr>
        <w:t xml:space="preserve">to form a </w:t>
      </w:r>
      <w:r w:rsidRPr="009848D8">
        <w:rPr>
          <w:bCs/>
          <w:color w:val="000000" w:themeColor="text1"/>
        </w:rPr>
        <w:t>Special Action Team</w:t>
      </w:r>
      <w:r>
        <w:rPr>
          <w:bCs/>
          <w:color w:val="000000" w:themeColor="text1"/>
        </w:rPr>
        <w:t>,</w:t>
      </w:r>
      <w:r w:rsidRPr="009848D8">
        <w:rPr>
          <w:bCs/>
          <w:color w:val="000000" w:themeColor="text1"/>
        </w:rPr>
        <w:t xml:space="preserve"> Advancing Science of the Moon, which was </w:t>
      </w:r>
      <w:r>
        <w:rPr>
          <w:bCs/>
          <w:color w:val="000000" w:themeColor="text1"/>
        </w:rPr>
        <w:t>tasked</w:t>
      </w:r>
      <w:r w:rsidRPr="009848D8">
        <w:rPr>
          <w:bCs/>
          <w:color w:val="000000" w:themeColor="text1"/>
        </w:rPr>
        <w:t xml:space="preserve"> </w:t>
      </w:r>
      <w:r>
        <w:rPr>
          <w:bCs/>
          <w:color w:val="000000" w:themeColor="text1"/>
        </w:rPr>
        <w:t>with</w:t>
      </w:r>
      <w:r w:rsidRPr="009848D8">
        <w:rPr>
          <w:bCs/>
          <w:color w:val="000000" w:themeColor="text1"/>
        </w:rPr>
        <w:t xml:space="preserve"> re-evaluat</w:t>
      </w:r>
      <w:r>
        <w:rPr>
          <w:bCs/>
          <w:color w:val="000000" w:themeColor="text1"/>
        </w:rPr>
        <w:t>ing</w:t>
      </w:r>
      <w:r w:rsidRPr="009848D8">
        <w:rPr>
          <w:bCs/>
          <w:color w:val="000000" w:themeColor="text1"/>
        </w:rPr>
        <w:t xml:space="preserve"> the 2007 National Academy Of Science report on the Scientific Context For The Exploration Of The Moon.</w:t>
      </w:r>
    </w:p>
    <w:p w:rsidR="009F74BC" w:rsidRPr="009F74BC" w:rsidRDefault="009F74BC" w:rsidP="009F74BC">
      <w:pPr>
        <w:tabs>
          <w:tab w:val="clear" w:pos="504"/>
        </w:tabs>
        <w:rPr>
          <w:bCs/>
          <w:color w:val="000000" w:themeColor="text1"/>
        </w:rPr>
      </w:pPr>
    </w:p>
    <w:p w:rsidR="009F74BC" w:rsidRDefault="009F74BC" w:rsidP="009F74BC">
      <w:pPr>
        <w:tabs>
          <w:tab w:val="clear" w:pos="504"/>
        </w:tabs>
        <w:rPr>
          <w:bCs/>
          <w:color w:val="000000" w:themeColor="text1"/>
        </w:rPr>
      </w:pPr>
      <w:r w:rsidRPr="009F74BC">
        <w:rPr>
          <w:bCs/>
          <w:color w:val="000000" w:themeColor="text1"/>
        </w:rPr>
        <w:t>The</w:t>
      </w:r>
      <w:r>
        <w:rPr>
          <w:bCs/>
          <w:color w:val="000000" w:themeColor="text1"/>
        </w:rPr>
        <w:t xml:space="preserve"> recent</w:t>
      </w:r>
      <w:r w:rsidRPr="009F74BC">
        <w:rPr>
          <w:bCs/>
          <w:color w:val="000000" w:themeColor="text1"/>
        </w:rPr>
        <w:t xml:space="preserve"> Gravity Recovery and Interior Laboratory</w:t>
      </w:r>
      <w:r>
        <w:rPr>
          <w:bCs/>
          <w:color w:val="000000" w:themeColor="text1"/>
        </w:rPr>
        <w:t xml:space="preserve"> (</w:t>
      </w:r>
      <w:r w:rsidRPr="009F74BC">
        <w:rPr>
          <w:bCs/>
          <w:color w:val="000000" w:themeColor="text1"/>
        </w:rPr>
        <w:t>GRAIL</w:t>
      </w:r>
      <w:r>
        <w:rPr>
          <w:bCs/>
          <w:color w:val="000000" w:themeColor="text1"/>
        </w:rPr>
        <w:t>)</w:t>
      </w:r>
      <w:r w:rsidRPr="009F74BC">
        <w:rPr>
          <w:bCs/>
          <w:color w:val="000000" w:themeColor="text1"/>
        </w:rPr>
        <w:t xml:space="preserve"> </w:t>
      </w:r>
      <w:r>
        <w:rPr>
          <w:bCs/>
          <w:color w:val="000000" w:themeColor="text1"/>
        </w:rPr>
        <w:t>mission</w:t>
      </w:r>
      <w:r w:rsidRPr="009F74BC">
        <w:rPr>
          <w:bCs/>
          <w:color w:val="000000" w:themeColor="text1"/>
        </w:rPr>
        <w:t xml:space="preserve"> </w:t>
      </w:r>
      <w:r>
        <w:rPr>
          <w:bCs/>
          <w:color w:val="000000" w:themeColor="text1"/>
        </w:rPr>
        <w:t xml:space="preserve">drastically </w:t>
      </w:r>
      <w:r w:rsidRPr="009F74BC">
        <w:rPr>
          <w:bCs/>
          <w:color w:val="000000" w:themeColor="text1"/>
        </w:rPr>
        <w:t xml:space="preserve">improved </w:t>
      </w:r>
      <w:r>
        <w:rPr>
          <w:bCs/>
          <w:color w:val="000000" w:themeColor="text1"/>
        </w:rPr>
        <w:t xml:space="preserve">the </w:t>
      </w:r>
      <w:r w:rsidRPr="009F74BC">
        <w:rPr>
          <w:bCs/>
          <w:color w:val="000000" w:themeColor="text1"/>
        </w:rPr>
        <w:t xml:space="preserve">lunar gravity field and revealed features of the lunar crust in unprecedented detail, including fractures and other tectonic structures, </w:t>
      </w:r>
      <w:proofErr w:type="spellStart"/>
      <w:r w:rsidRPr="009F74BC">
        <w:rPr>
          <w:bCs/>
          <w:color w:val="000000" w:themeColor="text1"/>
        </w:rPr>
        <w:t>mascons</w:t>
      </w:r>
      <w:proofErr w:type="spellEnd"/>
      <w:r w:rsidRPr="009F74BC">
        <w:rPr>
          <w:bCs/>
          <w:color w:val="000000" w:themeColor="text1"/>
        </w:rPr>
        <w:t>, lava tubes and other volcanic landforms, impact basin rings, and the shape and size of complex to peak-ring lunar craters.</w:t>
      </w:r>
      <w:r>
        <w:rPr>
          <w:bCs/>
          <w:color w:val="000000" w:themeColor="text1"/>
        </w:rPr>
        <w:t xml:space="preserve"> </w:t>
      </w:r>
    </w:p>
    <w:p w:rsidR="009F74BC" w:rsidRDefault="009F74BC" w:rsidP="009F74BC">
      <w:pPr>
        <w:tabs>
          <w:tab w:val="clear" w:pos="504"/>
        </w:tabs>
        <w:rPr>
          <w:bCs/>
          <w:color w:val="000000" w:themeColor="text1"/>
        </w:rPr>
      </w:pPr>
    </w:p>
    <w:p w:rsidR="009F74BC" w:rsidRDefault="009F74BC" w:rsidP="009F74BC">
      <w:pPr>
        <w:tabs>
          <w:tab w:val="clear" w:pos="504"/>
        </w:tabs>
        <w:rPr>
          <w:bCs/>
          <w:color w:val="000000" w:themeColor="text1"/>
        </w:rPr>
      </w:pPr>
      <w:r w:rsidRPr="009F74BC">
        <w:rPr>
          <w:bCs/>
          <w:color w:val="000000" w:themeColor="text1"/>
        </w:rPr>
        <w:t>GRAIL analysis produced a family of core models consistent with geodetic parameters (including constraints from LLR), but gravity data alone have not yet definitively identified the presence of an inner core. Laser ranging data suggest the lunar core is liquid, although combining gravity, topography and laser ranging data to model the deep interior of the Moon produces a solid inner core and total core size akin to the core modeled using Apollo seismic data. Additional laser ranging stations would provide significant scientific return</w:t>
      </w:r>
      <w:r>
        <w:rPr>
          <w:bCs/>
          <w:color w:val="000000" w:themeColor="text1"/>
        </w:rPr>
        <w:t>.</w:t>
      </w:r>
    </w:p>
    <w:p w:rsidR="009F74BC" w:rsidRPr="009F74BC" w:rsidRDefault="009F74BC" w:rsidP="009F74BC">
      <w:pPr>
        <w:tabs>
          <w:tab w:val="clear" w:pos="504"/>
        </w:tabs>
        <w:rPr>
          <w:bCs/>
          <w:color w:val="000000" w:themeColor="text1"/>
        </w:rPr>
      </w:pPr>
    </w:p>
    <w:p w:rsidR="009F74BC" w:rsidRPr="009F74BC" w:rsidRDefault="009F74BC" w:rsidP="009F74BC">
      <w:pPr>
        <w:tabs>
          <w:tab w:val="clear" w:pos="504"/>
        </w:tabs>
        <w:rPr>
          <w:bCs/>
          <w:color w:val="000000" w:themeColor="text1"/>
        </w:rPr>
      </w:pPr>
      <w:r>
        <w:rPr>
          <w:bCs/>
          <w:color w:val="000000" w:themeColor="text1"/>
        </w:rPr>
        <w:t>The presence of</w:t>
      </w:r>
      <w:r w:rsidRPr="009F74BC">
        <w:rPr>
          <w:bCs/>
          <w:color w:val="000000" w:themeColor="text1"/>
        </w:rPr>
        <w:t xml:space="preserve"> Th in the </w:t>
      </w:r>
      <w:r>
        <w:rPr>
          <w:bCs/>
          <w:color w:val="000000" w:themeColor="text1"/>
        </w:rPr>
        <w:t xml:space="preserve">Moon’s nearside heat-producing crustal terrane (the </w:t>
      </w:r>
      <w:proofErr w:type="spellStart"/>
      <w:r w:rsidRPr="009F74BC">
        <w:rPr>
          <w:bCs/>
          <w:color w:val="000000" w:themeColor="text1"/>
        </w:rPr>
        <w:t>Procellarum</w:t>
      </w:r>
      <w:proofErr w:type="spellEnd"/>
      <w:r w:rsidRPr="009F74BC">
        <w:rPr>
          <w:bCs/>
          <w:color w:val="000000" w:themeColor="text1"/>
        </w:rPr>
        <w:t xml:space="preserve"> KREEP Terrane</w:t>
      </w:r>
      <w:r>
        <w:rPr>
          <w:bCs/>
          <w:color w:val="000000" w:themeColor="text1"/>
        </w:rPr>
        <w:t>, or PKT)</w:t>
      </w:r>
      <w:r w:rsidRPr="009F74BC">
        <w:rPr>
          <w:bCs/>
          <w:color w:val="000000" w:themeColor="text1"/>
        </w:rPr>
        <w:t xml:space="preserve"> would lead to asymmetric mantle temperatures and cause a giant “mantle plume” below the PKT; the influence of ilmenite on mantle overturn may have also permitted a single upwelling plume. GRAIL data revealed a dyke system surrounding the PKT, calling into question the long-standing theory that the PKT is an ancient impact basin. Rather this work suggests it may be a magmatic-tectonic feature overlying the nearside “magma plumbing system” that supplied the mare with their basaltic infills. A thermal asymmetry that extended into the mantle may have produced true polar wander.  Continued modeling efforts help define new hypotheses for heat-producing element distribution and updated landing site considerations</w:t>
      </w:r>
      <w:r>
        <w:rPr>
          <w:bCs/>
          <w:color w:val="000000" w:themeColor="text1"/>
        </w:rPr>
        <w:t>.</w:t>
      </w:r>
    </w:p>
    <w:p w:rsidR="009F74BC" w:rsidRDefault="009F74BC" w:rsidP="009F74BC">
      <w:pPr>
        <w:tabs>
          <w:tab w:val="clear" w:pos="504"/>
        </w:tabs>
        <w:rPr>
          <w:bCs/>
          <w:color w:val="000000" w:themeColor="text1"/>
        </w:rPr>
      </w:pPr>
    </w:p>
    <w:p w:rsidR="009F74BC" w:rsidRPr="009848D8" w:rsidRDefault="009F74BC" w:rsidP="009F74BC">
      <w:pPr>
        <w:tabs>
          <w:tab w:val="clear" w:pos="504"/>
        </w:tabs>
        <w:rPr>
          <w:bCs/>
          <w:color w:val="000000" w:themeColor="text1"/>
        </w:rPr>
      </w:pPr>
      <w:r w:rsidRPr="009F74BC">
        <w:rPr>
          <w:bCs/>
          <w:color w:val="000000" w:themeColor="text1"/>
        </w:rPr>
        <w:t xml:space="preserve">Paleomagnetic studies of Apollo samples have demonstrated that the Moon had surface magnetic fields of ~30–100 </w:t>
      </w:r>
      <w:proofErr w:type="spellStart"/>
      <w:r w:rsidRPr="009F74BC">
        <w:rPr>
          <w:bCs/>
          <w:color w:val="000000" w:themeColor="text1"/>
        </w:rPr>
        <w:t>μT</w:t>
      </w:r>
      <w:proofErr w:type="spellEnd"/>
      <w:r w:rsidRPr="009F74BC">
        <w:rPr>
          <w:bCs/>
          <w:color w:val="000000" w:themeColor="text1"/>
        </w:rPr>
        <w:t xml:space="preserve"> between at least 4.2 and 3.56 Ga. The widely accepted theory for the generation of this field is an ancient core dynamo. While large surface impacts can also generate transient magnetic fields, recent analyses of Apollo samples require a slow cooling timescale that excludes impact field origins. Sample studies continue to make surprising discoveries about the lunar dynamo, but need the global context of an LGN type mission</w:t>
      </w:r>
      <w:r>
        <w:rPr>
          <w:bCs/>
          <w:color w:val="000000" w:themeColor="text1"/>
        </w:rPr>
        <w:t>.</w:t>
      </w:r>
    </w:p>
    <w:p w:rsidR="009848D8" w:rsidRPr="009848D8" w:rsidRDefault="009848D8" w:rsidP="009848D8">
      <w:pPr>
        <w:tabs>
          <w:tab w:val="clear" w:pos="504"/>
        </w:tabs>
        <w:rPr>
          <w:bCs/>
          <w:color w:val="000000" w:themeColor="text1"/>
        </w:rPr>
      </w:pPr>
    </w:p>
    <w:p w:rsidR="009848D8" w:rsidRPr="009848D8" w:rsidRDefault="009848D8" w:rsidP="009848D8">
      <w:pPr>
        <w:tabs>
          <w:tab w:val="clear" w:pos="504"/>
        </w:tabs>
        <w:rPr>
          <w:bCs/>
          <w:color w:val="000000" w:themeColor="text1"/>
        </w:rPr>
      </w:pPr>
      <w:r w:rsidRPr="009848D8">
        <w:rPr>
          <w:bCs/>
          <w:color w:val="000000" w:themeColor="text1"/>
        </w:rPr>
        <w:t>When taking into account advancements from the GRAIL mission, from improved analysis and modeling techniques, and from paleomagnetic sample analyses, it’s clear that a more nuanced view of the lunar interior drives new questions to be answered by LGN.</w:t>
      </w:r>
    </w:p>
    <w:p w:rsidR="009848D8" w:rsidRDefault="009848D8" w:rsidP="009848D8">
      <w:pPr>
        <w:tabs>
          <w:tab w:val="clear" w:pos="504"/>
        </w:tabs>
        <w:jc w:val="left"/>
        <w:rPr>
          <w:b/>
          <w:color w:val="CC3300"/>
        </w:rPr>
      </w:pPr>
    </w:p>
    <w:p w:rsidR="009F74BC" w:rsidRDefault="009F74BC">
      <w:pPr>
        <w:tabs>
          <w:tab w:val="clear" w:pos="504"/>
        </w:tabs>
        <w:jc w:val="left"/>
        <w:rPr>
          <w:b/>
          <w:color w:val="CC3300"/>
        </w:rPr>
      </w:pPr>
      <w:r>
        <w:rPr>
          <w:b/>
          <w:color w:val="CC3300"/>
        </w:rPr>
        <w:br w:type="page"/>
      </w:r>
    </w:p>
    <w:p w:rsidR="00D06CB7" w:rsidRPr="009848D8" w:rsidRDefault="00D06CB7" w:rsidP="009848D8">
      <w:pPr>
        <w:tabs>
          <w:tab w:val="clear" w:pos="504"/>
        </w:tabs>
        <w:jc w:val="left"/>
        <w:rPr>
          <w:b/>
          <w:color w:val="CC3300"/>
        </w:rPr>
      </w:pPr>
      <w:r>
        <w:rPr>
          <w:b/>
          <w:color w:val="CC3300"/>
        </w:rPr>
        <w:lastRenderedPageBreak/>
        <w:t>REFERENCE CHANGE</w:t>
      </w:r>
      <w:r w:rsidRPr="002D3A66">
        <w:rPr>
          <w:b/>
          <w:color w:val="CC3300"/>
        </w:rPr>
        <w:t>:</w:t>
      </w:r>
      <w:r w:rsidRPr="002D3A66">
        <w:rPr>
          <w:color w:val="CC3300"/>
        </w:rPr>
        <w:t xml:space="preserve"> </w:t>
      </w:r>
      <w:r>
        <w:t xml:space="preserve"> Reference</w:t>
      </w:r>
      <w:r w:rsidR="00C80F0A">
        <w:t xml:space="preserve"> lists</w:t>
      </w:r>
      <w:r>
        <w:t xml:space="preserve"> </w:t>
      </w:r>
      <w:r w:rsidRPr="002D3A66">
        <w:rPr>
          <w:b/>
        </w:rPr>
        <w:t>will not</w:t>
      </w:r>
      <w:r w:rsidRPr="002D3A66">
        <w:t xml:space="preserve"> </w:t>
      </w:r>
      <w:r>
        <w:t xml:space="preserve">be included in the expanded abstract, but should be prepared separately and entered during the submission process in the online form.  </w:t>
      </w:r>
    </w:p>
    <w:p w:rsidR="00E7725A" w:rsidRDefault="00E7725A">
      <w:pPr>
        <w:pStyle w:val="AbstractNormalText"/>
      </w:pPr>
    </w:p>
    <w:p w:rsidR="00622D77" w:rsidRDefault="00622D77" w:rsidP="00622D77">
      <w:pPr>
        <w:pStyle w:val="AbstractNormalText"/>
      </w:pPr>
      <w:r w:rsidRPr="00F55817">
        <w:t>Grimm, R. E. et al</w:t>
      </w:r>
      <w:r>
        <w:t xml:space="preserve">., </w:t>
      </w:r>
      <w:r w:rsidRPr="00F55817">
        <w:t>2019</w:t>
      </w:r>
      <w:r>
        <w:t xml:space="preserve">, </w:t>
      </w:r>
      <w:r w:rsidRPr="00937601">
        <w:t xml:space="preserve">Lunar </w:t>
      </w:r>
      <w:proofErr w:type="spellStart"/>
      <w:r w:rsidRPr="00937601">
        <w:t>Magnetotelluric</w:t>
      </w:r>
      <w:proofErr w:type="spellEnd"/>
      <w:r w:rsidRPr="00937601">
        <w:t xml:space="preserve"> Sounder</w:t>
      </w:r>
      <w:r>
        <w:t>.</w:t>
      </w:r>
      <w:r w:rsidRPr="00F55817">
        <w:t xml:space="preserve"> L</w:t>
      </w:r>
      <w:r>
        <w:t xml:space="preserve">unar </w:t>
      </w:r>
      <w:r w:rsidRPr="00F55817">
        <w:t>E</w:t>
      </w:r>
      <w:r>
        <w:t xml:space="preserve">xploration </w:t>
      </w:r>
      <w:r w:rsidRPr="00F55817">
        <w:t>A</w:t>
      </w:r>
      <w:r>
        <w:t xml:space="preserve">nalysis </w:t>
      </w:r>
      <w:r w:rsidRPr="00F55817">
        <w:t>G</w:t>
      </w:r>
      <w:r>
        <w:t>roup annual meeting, Abstract</w:t>
      </w:r>
      <w:r w:rsidRPr="00F55817">
        <w:t xml:space="preserve"> #5026. </w:t>
      </w:r>
    </w:p>
    <w:p w:rsidR="00622D77" w:rsidRDefault="00622D77" w:rsidP="00622D77">
      <w:pPr>
        <w:pStyle w:val="AbstractNormalText"/>
      </w:pPr>
    </w:p>
    <w:p w:rsidR="00622D77" w:rsidRDefault="00622D77" w:rsidP="00622D77">
      <w:pPr>
        <w:pStyle w:val="AbstractNormalText"/>
      </w:pPr>
      <w:proofErr w:type="spellStart"/>
      <w:r w:rsidRPr="00F55817">
        <w:t>Jawin</w:t>
      </w:r>
      <w:proofErr w:type="spellEnd"/>
      <w:r w:rsidRPr="00F55817">
        <w:t>, E. R. et al.</w:t>
      </w:r>
      <w:r>
        <w:t xml:space="preserve">, </w:t>
      </w:r>
      <w:r w:rsidRPr="00F55817">
        <w:t>2019</w:t>
      </w:r>
      <w:r>
        <w:t>, Lunar Science for Landed Missions Workshop Findings Report.</w:t>
      </w:r>
      <w:r w:rsidRPr="00F55817">
        <w:t xml:space="preserve"> Earth &amp; Space Sci. 6, 2–40.</w:t>
      </w:r>
    </w:p>
    <w:p w:rsidR="00622D77" w:rsidRDefault="00622D77" w:rsidP="00622D77">
      <w:pPr>
        <w:pStyle w:val="AbstractNormalText"/>
      </w:pPr>
    </w:p>
    <w:p w:rsidR="00622D77" w:rsidRDefault="00622D77" w:rsidP="00622D77">
      <w:pPr>
        <w:pStyle w:val="AbstractNormalText"/>
      </w:pPr>
      <w:proofErr w:type="spellStart"/>
      <w:r w:rsidRPr="00F55817">
        <w:t>Nagihara</w:t>
      </w:r>
      <w:proofErr w:type="spellEnd"/>
      <w:r w:rsidRPr="00F55817">
        <w:t>, S. et al.</w:t>
      </w:r>
      <w:r>
        <w:t xml:space="preserve">, </w:t>
      </w:r>
      <w:r w:rsidRPr="00F55817">
        <w:t>2019</w:t>
      </w:r>
      <w:r>
        <w:t>, H</w:t>
      </w:r>
      <w:r w:rsidRPr="00A508AD">
        <w:t>eat flow probe for short-duration lunar missions on small landers</w:t>
      </w:r>
      <w:r>
        <w:t>.</w:t>
      </w:r>
      <w:r w:rsidRPr="00F55817">
        <w:t xml:space="preserve"> L</w:t>
      </w:r>
      <w:r>
        <w:t xml:space="preserve">unar and </w:t>
      </w:r>
      <w:r w:rsidRPr="00F55817">
        <w:t>P</w:t>
      </w:r>
      <w:r>
        <w:t xml:space="preserve">lanetary </w:t>
      </w:r>
      <w:r w:rsidRPr="00F55817">
        <w:t>S</w:t>
      </w:r>
      <w:r>
        <w:t xml:space="preserve">cience </w:t>
      </w:r>
      <w:r w:rsidRPr="00F55817">
        <w:t>C</w:t>
      </w:r>
      <w:r>
        <w:t>onference Abstract</w:t>
      </w:r>
      <w:r w:rsidRPr="00F55817">
        <w:t xml:space="preserve"> #1557. </w:t>
      </w:r>
    </w:p>
    <w:p w:rsidR="00622D77" w:rsidRDefault="00622D77" w:rsidP="00622D77">
      <w:pPr>
        <w:pStyle w:val="AbstractNormalText"/>
      </w:pPr>
    </w:p>
    <w:p w:rsidR="00622D77" w:rsidRDefault="00622D77" w:rsidP="00622D77">
      <w:pPr>
        <w:pStyle w:val="AbstractNormalText"/>
      </w:pPr>
      <w:r>
        <w:t xml:space="preserve">NASA, </w:t>
      </w:r>
      <w:r w:rsidRPr="00F55817">
        <w:t>Science Definition Team for the ILN Anchor Nodes</w:t>
      </w:r>
      <w:r>
        <w:t xml:space="preserve">, 2009, </w:t>
      </w:r>
      <w:r w:rsidRPr="00F55817">
        <w:t>I</w:t>
      </w:r>
      <w:r>
        <w:t xml:space="preserve">nternational </w:t>
      </w:r>
      <w:r w:rsidRPr="00F55817">
        <w:t>L</w:t>
      </w:r>
      <w:r>
        <w:t xml:space="preserve">unar </w:t>
      </w:r>
      <w:r w:rsidRPr="00F55817">
        <w:t>N</w:t>
      </w:r>
      <w:r>
        <w:t>etwork</w:t>
      </w:r>
      <w:r w:rsidRPr="00F55817">
        <w:t xml:space="preserve"> Final Report. </w:t>
      </w:r>
    </w:p>
    <w:p w:rsidR="00622D77" w:rsidRDefault="00622D77" w:rsidP="00622D77">
      <w:pPr>
        <w:pStyle w:val="AbstractNormalText"/>
      </w:pPr>
    </w:p>
    <w:p w:rsidR="00622D77" w:rsidRDefault="00622D77" w:rsidP="00622D77">
      <w:pPr>
        <w:pStyle w:val="AbstractNormalText"/>
      </w:pPr>
      <w:r>
        <w:t xml:space="preserve">NASA InSight Mission News, Feb. 21, 2020, </w:t>
      </w:r>
      <w:r w:rsidRPr="00F55817">
        <w:t xml:space="preserve">Common Questions About </w:t>
      </w:r>
      <w:proofErr w:type="spellStart"/>
      <w:r w:rsidRPr="00F55817">
        <w:t>InSight’s</w:t>
      </w:r>
      <w:proofErr w:type="spellEnd"/>
      <w:r w:rsidRPr="00F55817">
        <w:t xml:space="preserve"> ‘Mole.’</w:t>
      </w:r>
      <w:r>
        <w:t xml:space="preserve"> </w:t>
      </w:r>
    </w:p>
    <w:p w:rsidR="00622D77" w:rsidRDefault="00622D77" w:rsidP="00622D77">
      <w:pPr>
        <w:pStyle w:val="AbstractNormalText"/>
      </w:pPr>
      <w:r w:rsidRPr="00A508AD">
        <w:t>https://mars.nasa.gov/news/8444/common-questions-about-insights-mole/?site=insight</w:t>
      </w:r>
      <w:r w:rsidRPr="00F55817">
        <w:t xml:space="preserve"> </w:t>
      </w:r>
    </w:p>
    <w:p w:rsidR="00622D77" w:rsidRDefault="00622D77">
      <w:pPr>
        <w:pStyle w:val="AbstractNormalText"/>
      </w:pPr>
    </w:p>
    <w:p w:rsidR="00A622E3" w:rsidRDefault="00A622E3">
      <w:pPr>
        <w:pStyle w:val="AbstractNormalText"/>
      </w:pPr>
      <w:r w:rsidRPr="00A622E3">
        <w:t>National Research Council</w:t>
      </w:r>
      <w:r>
        <w:t>,</w:t>
      </w:r>
      <w:r w:rsidRPr="00A622E3">
        <w:t xml:space="preserve"> 2011. Vision and Voyages for Planetary Science in the Decade 2013-2022. Washington, DC: The National Academies Press. https://doi.org/10.17226/13117.</w:t>
      </w:r>
    </w:p>
    <w:p w:rsidR="00F55817" w:rsidRDefault="00F55817">
      <w:pPr>
        <w:pStyle w:val="AbstractNormalText"/>
      </w:pPr>
    </w:p>
    <w:p w:rsidR="00622D77" w:rsidRDefault="00622D77" w:rsidP="00622D77">
      <w:pPr>
        <w:pStyle w:val="AbstractNormalText"/>
      </w:pPr>
      <w:r w:rsidRPr="00F55817">
        <w:t>Neal, C. et al.</w:t>
      </w:r>
      <w:r>
        <w:t>,</w:t>
      </w:r>
      <w:r w:rsidRPr="00F55817">
        <w:t xml:space="preserve"> 2010</w:t>
      </w:r>
      <w:r>
        <w:t xml:space="preserve">, LUNETTE: Establishing a Lunar Geophysical Network via a Discovery-class mission. </w:t>
      </w:r>
      <w:r w:rsidRPr="00F55817">
        <w:t xml:space="preserve">Ground-based Geophysics on the Moon </w:t>
      </w:r>
      <w:r>
        <w:t xml:space="preserve">Workshop, Abstract </w:t>
      </w:r>
      <w:r w:rsidRPr="00F55817">
        <w:t xml:space="preserve">#3036. </w:t>
      </w:r>
    </w:p>
    <w:p w:rsidR="00622D77" w:rsidRDefault="00622D77">
      <w:pPr>
        <w:pStyle w:val="AbstractNormalText"/>
      </w:pPr>
    </w:p>
    <w:p w:rsidR="00F55817" w:rsidRDefault="00F55817" w:rsidP="00A622E3">
      <w:pPr>
        <w:pStyle w:val="AbstractNormalText"/>
      </w:pPr>
      <w:r w:rsidRPr="00F55817">
        <w:t>Neal, C. et al.</w:t>
      </w:r>
      <w:r w:rsidR="00A622E3">
        <w:t xml:space="preserve">, </w:t>
      </w:r>
      <w:r w:rsidRPr="00F55817">
        <w:t>2020</w:t>
      </w:r>
      <w:r w:rsidR="00A622E3">
        <w:t>, The Lunar Geophysical Network (LGN) is critical for solar system science and human exploration.</w:t>
      </w:r>
      <w:r w:rsidRPr="00F55817">
        <w:t xml:space="preserve"> L</w:t>
      </w:r>
      <w:r w:rsidR="00A622E3">
        <w:t xml:space="preserve">unar and </w:t>
      </w:r>
      <w:r w:rsidRPr="00F55817">
        <w:t>P</w:t>
      </w:r>
      <w:r w:rsidR="00A622E3">
        <w:t xml:space="preserve">lanetary </w:t>
      </w:r>
      <w:r w:rsidRPr="00F55817">
        <w:t>S</w:t>
      </w:r>
      <w:r w:rsidR="00A622E3">
        <w:t xml:space="preserve">cience </w:t>
      </w:r>
      <w:r w:rsidRPr="00F55817">
        <w:t>C</w:t>
      </w:r>
      <w:r w:rsidR="00A622E3">
        <w:t>onference, Abstract</w:t>
      </w:r>
      <w:r w:rsidRPr="00F55817">
        <w:t xml:space="preserve"> #2355. </w:t>
      </w:r>
    </w:p>
    <w:p w:rsidR="00F55817" w:rsidRDefault="00F55817">
      <w:pPr>
        <w:pStyle w:val="AbstractNormalText"/>
      </w:pPr>
    </w:p>
    <w:p w:rsidR="00F55817" w:rsidRDefault="00A508AD">
      <w:pPr>
        <w:pStyle w:val="AbstractNormalText"/>
      </w:pPr>
      <w:r>
        <w:t xml:space="preserve">Univ. of Maryland News Release, July 11, 2019, </w:t>
      </w:r>
      <w:r w:rsidR="00F55817" w:rsidRPr="00F55817">
        <w:t>UMD Physicist for Apollo Experiment Gets Chance to Send Next Gen Version to Moon.</w:t>
      </w:r>
    </w:p>
    <w:p w:rsidR="00F55817" w:rsidRDefault="00A508AD">
      <w:pPr>
        <w:pStyle w:val="AbstractNormalText"/>
      </w:pPr>
      <w:r w:rsidRPr="00A508AD">
        <w:t>https://umdrightnow.umd.edu/news/umd-physicist-apollo-experiment-gets-chance-send-next-gen-version-moon</w:t>
      </w:r>
    </w:p>
    <w:p w:rsidR="00F55817" w:rsidRDefault="00F55817">
      <w:pPr>
        <w:pStyle w:val="AbstractNormalText"/>
      </w:pPr>
    </w:p>
    <w:p w:rsidR="00F55817" w:rsidRDefault="00F55817">
      <w:pPr>
        <w:pStyle w:val="AbstractNormalText"/>
      </w:pPr>
      <w:r w:rsidRPr="00F55817">
        <w:t>Weber, R. C. et al.</w:t>
      </w:r>
      <w:r w:rsidR="00937601">
        <w:t>,</w:t>
      </w:r>
      <w:r w:rsidRPr="00F55817">
        <w:t xml:space="preserve"> 2019</w:t>
      </w:r>
      <w:r w:rsidR="00937601">
        <w:t xml:space="preserve">, </w:t>
      </w:r>
      <w:r w:rsidR="00937601" w:rsidRPr="00937601">
        <w:t>Seismometer for Lunar Network</w:t>
      </w:r>
      <w:r w:rsidR="00937601">
        <w:t>.</w:t>
      </w:r>
      <w:r w:rsidRPr="00F55817">
        <w:t xml:space="preserve"> A</w:t>
      </w:r>
      <w:r w:rsidR="00937601">
        <w:t xml:space="preserve">merican </w:t>
      </w:r>
      <w:r w:rsidRPr="00F55817">
        <w:t>G</w:t>
      </w:r>
      <w:r w:rsidR="00937601">
        <w:t xml:space="preserve">eophysical </w:t>
      </w:r>
      <w:r w:rsidRPr="00F55817">
        <w:t>U</w:t>
      </w:r>
      <w:r w:rsidR="00937601">
        <w:t>nion Fall Meeting, Abstract</w:t>
      </w:r>
      <w:r w:rsidRPr="00F55817">
        <w:t xml:space="preserve"> #P33D-07. </w:t>
      </w:r>
    </w:p>
    <w:p w:rsidR="00622D77" w:rsidRDefault="00622D77">
      <w:pPr>
        <w:pStyle w:val="AbstractNormalText"/>
      </w:pPr>
    </w:p>
    <w:p w:rsidR="004D128F" w:rsidRDefault="00F55817">
      <w:pPr>
        <w:pStyle w:val="AbstractNormalText"/>
      </w:pPr>
      <w:r w:rsidRPr="00F55817">
        <w:t>Yu, N. et al</w:t>
      </w:r>
      <w:r w:rsidR="004D128F">
        <w:t>.,</w:t>
      </w:r>
      <w:r w:rsidRPr="00F55817">
        <w:t xml:space="preserve"> 2018</w:t>
      </w:r>
      <w:r w:rsidR="004D128F">
        <w:t xml:space="preserve">, </w:t>
      </w:r>
      <w:r w:rsidR="004D128F" w:rsidRPr="004D128F">
        <w:t>Lunar Super Low-Frequency Atomic Seismometer</w:t>
      </w:r>
      <w:r w:rsidR="004D128F">
        <w:t>.</w:t>
      </w:r>
      <w:r w:rsidRPr="00F55817">
        <w:t xml:space="preserve"> </w:t>
      </w:r>
      <w:r w:rsidR="004D128F">
        <w:t xml:space="preserve">NASA </w:t>
      </w:r>
      <w:r w:rsidRPr="00F55817">
        <w:t>D</w:t>
      </w:r>
      <w:r w:rsidR="004D128F">
        <w:t xml:space="preserve">evelopment of </w:t>
      </w:r>
      <w:r w:rsidRPr="00F55817">
        <w:t>A</w:t>
      </w:r>
      <w:r w:rsidR="004D128F">
        <w:t xml:space="preserve">dvanced </w:t>
      </w:r>
      <w:r w:rsidRPr="00F55817">
        <w:t>L</w:t>
      </w:r>
      <w:r w:rsidR="004D128F">
        <w:t xml:space="preserve">unar </w:t>
      </w:r>
      <w:r w:rsidRPr="00F55817">
        <w:t>I</w:t>
      </w:r>
      <w:r w:rsidR="004D128F">
        <w:t>nstrumentation selection</w:t>
      </w:r>
      <w:r w:rsidRPr="00F55817">
        <w:t xml:space="preserve"> abstracts (p.11).</w:t>
      </w:r>
    </w:p>
    <w:p w:rsidR="00F55817" w:rsidRDefault="004D128F">
      <w:pPr>
        <w:pStyle w:val="AbstractNormalText"/>
      </w:pPr>
      <w:r w:rsidRPr="004D128F">
        <w:t>https://nspires.nasaprs.com/external/viewrepositorydocument/cmdocumentid=659252/solicitationId=%7B07F905CA-C287-12CB-B7E5-</w:t>
      </w:r>
      <w:r w:rsidRPr="004D128F">
        <w:t>AEF4EDBD3FC4%7D/viewSolicitationDocument=1/DALI18%20Abstracts.pdf</w:t>
      </w:r>
      <w:r w:rsidR="00F55817" w:rsidRPr="00F55817">
        <w:t xml:space="preserve"> </w:t>
      </w:r>
    </w:p>
    <w:p w:rsidR="00F55817" w:rsidRDefault="00F55817">
      <w:pPr>
        <w:pStyle w:val="AbstractNormalText"/>
      </w:pPr>
    </w:p>
    <w:p w:rsidR="00E7725A" w:rsidRDefault="00E7725A" w:rsidP="004D128F">
      <w:pPr>
        <w:pStyle w:val="AbstractNormalText"/>
      </w:pPr>
    </w:p>
    <w:p w:rsidR="00E7725A" w:rsidRDefault="00E7725A">
      <w:pPr>
        <w:pStyle w:val="AbstractNormalText"/>
      </w:pPr>
    </w:p>
    <w:p w:rsidR="00E7725A" w:rsidRDefault="00E7725A">
      <w:pPr>
        <w:pStyle w:val="AbstractNormalText"/>
      </w:pPr>
    </w:p>
    <w:p w:rsidR="00E7725A" w:rsidRDefault="00E7725A">
      <w:pPr>
        <w:pStyle w:val="AbstractNormalText"/>
      </w:pPr>
    </w:p>
    <w:p w:rsidR="00E7725A" w:rsidRDefault="00E7725A">
      <w:pPr>
        <w:pStyle w:val="AbstractNormalText"/>
      </w:pPr>
    </w:p>
    <w:p w:rsidR="009106F5" w:rsidRDefault="009106F5">
      <w:pPr>
        <w:pStyle w:val="AbstractNormalText"/>
      </w:pPr>
    </w:p>
    <w:sectPr w:rsidR="009106F5" w:rsidSect="00DD2F6A">
      <w:type w:val="continuous"/>
      <w:pgSz w:w="12240" w:h="15840" w:code="1"/>
      <w:pgMar w:top="2160" w:right="1440" w:bottom="2160" w:left="1440" w:header="1440" w:footer="720" w:gutter="0"/>
      <w:cols w:num="2"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750D" w:rsidRDefault="00C8750D">
      <w:r>
        <w:separator/>
      </w:r>
    </w:p>
  </w:endnote>
  <w:endnote w:type="continuationSeparator" w:id="0">
    <w:p w:rsidR="00C8750D" w:rsidRDefault="00C87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750D" w:rsidRDefault="00C8750D">
      <w:r>
        <w:separator/>
      </w:r>
    </w:p>
  </w:footnote>
  <w:footnote w:type="continuationSeparator" w:id="0">
    <w:p w:rsidR="00C8750D" w:rsidRDefault="00C87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142D" w:rsidRPr="00A5142D" w:rsidRDefault="00A5142D" w:rsidP="00A5142D">
    <w:pPr>
      <w:pStyle w:val="Header"/>
      <w:jc w:val="center"/>
      <w:rPr>
        <w:b/>
        <w:sz w:val="20"/>
      </w:rPr>
    </w:pPr>
    <w:r w:rsidRPr="00A5142D">
      <w:rPr>
        <w:b/>
        <w:sz w:val="20"/>
      </w:rPr>
      <w:t>The Lunar Geophysical Network 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num w:numId="1">
    <w:abstractNumId w:val="0"/>
    <w:lvlOverride w:ilvl="0">
      <w:lvl w:ilvl="0">
        <w:start w:val="1"/>
        <w:numFmt w:val="bullet"/>
        <w:lvlText w:val=""/>
        <w:legacy w:legacy="1" w:legacySpace="0" w:legacyIndent="216"/>
        <w:lvlJc w:val="left"/>
        <w:pPr>
          <w:ind w:left="216" w:hanging="216"/>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5A"/>
    <w:rsid w:val="000313D9"/>
    <w:rsid w:val="00123B6E"/>
    <w:rsid w:val="001455A4"/>
    <w:rsid w:val="001C799D"/>
    <w:rsid w:val="001E1403"/>
    <w:rsid w:val="002450BD"/>
    <w:rsid w:val="00270CF1"/>
    <w:rsid w:val="002D3A66"/>
    <w:rsid w:val="003221EC"/>
    <w:rsid w:val="00352EC2"/>
    <w:rsid w:val="00377DDB"/>
    <w:rsid w:val="00395AD9"/>
    <w:rsid w:val="00475B9C"/>
    <w:rsid w:val="004D128F"/>
    <w:rsid w:val="00554356"/>
    <w:rsid w:val="00622D77"/>
    <w:rsid w:val="006753BE"/>
    <w:rsid w:val="006D7FDE"/>
    <w:rsid w:val="00820BB4"/>
    <w:rsid w:val="009106F5"/>
    <w:rsid w:val="00937601"/>
    <w:rsid w:val="0098258A"/>
    <w:rsid w:val="009848D8"/>
    <w:rsid w:val="00987814"/>
    <w:rsid w:val="009F74BC"/>
    <w:rsid w:val="00A508AD"/>
    <w:rsid w:val="00A5142D"/>
    <w:rsid w:val="00A622E3"/>
    <w:rsid w:val="00A94AEE"/>
    <w:rsid w:val="00B26EE5"/>
    <w:rsid w:val="00B62ECE"/>
    <w:rsid w:val="00B7325D"/>
    <w:rsid w:val="00B77E44"/>
    <w:rsid w:val="00B97CDD"/>
    <w:rsid w:val="00C80F0A"/>
    <w:rsid w:val="00C8750D"/>
    <w:rsid w:val="00D06CB7"/>
    <w:rsid w:val="00DA696E"/>
    <w:rsid w:val="00DD2F6A"/>
    <w:rsid w:val="00E13810"/>
    <w:rsid w:val="00E32F54"/>
    <w:rsid w:val="00E7725A"/>
    <w:rsid w:val="00EF00A5"/>
    <w:rsid w:val="00F11F7F"/>
    <w:rsid w:val="00F5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E0E0C"/>
  <w15:docId w15:val="{D833B2BC-4076-4F29-9593-04148B39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F6A"/>
    <w:pPr>
      <w:tabs>
        <w:tab w:val="left" w:pos="504"/>
      </w:tabs>
      <w:jc w:val="both"/>
    </w:pPr>
    <w:rPr>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F6A"/>
    <w:pPr>
      <w:tabs>
        <w:tab w:val="clear" w:pos="504"/>
        <w:tab w:val="center" w:pos="4320"/>
        <w:tab w:val="right" w:pos="8640"/>
      </w:tabs>
    </w:pPr>
  </w:style>
  <w:style w:type="paragraph" w:customStyle="1" w:styleId="AbstractTitle">
    <w:name w:val="Abstract_Title"/>
    <w:basedOn w:val="AbstractNormalText"/>
    <w:rsid w:val="00DD2F6A"/>
    <w:pPr>
      <w:jc w:val="left"/>
    </w:pPr>
    <w:rPr>
      <w:b/>
      <w:sz w:val="22"/>
    </w:rPr>
  </w:style>
  <w:style w:type="paragraph" w:customStyle="1" w:styleId="AbstractAuthors">
    <w:name w:val="Abstract_Authors"/>
    <w:basedOn w:val="AbstractNormalText"/>
    <w:rsid w:val="00DD2F6A"/>
    <w:pPr>
      <w:jc w:val="left"/>
    </w:pPr>
    <w:rPr>
      <w:i/>
      <w:sz w:val="20"/>
    </w:rPr>
  </w:style>
  <w:style w:type="paragraph" w:customStyle="1" w:styleId="AbstractSectionHeading">
    <w:name w:val="Abstract_Section_Heading"/>
    <w:basedOn w:val="AbstractNormalText"/>
    <w:rsid w:val="00DD2F6A"/>
    <w:pPr>
      <w:jc w:val="left"/>
    </w:pPr>
    <w:rPr>
      <w:b/>
    </w:rPr>
  </w:style>
  <w:style w:type="paragraph" w:customStyle="1" w:styleId="AbstractNormalText">
    <w:name w:val="Abstract_Normal_Text"/>
    <w:basedOn w:val="Normal"/>
    <w:rsid w:val="00DD2F6A"/>
  </w:style>
  <w:style w:type="paragraph" w:styleId="Footer">
    <w:name w:val="footer"/>
    <w:basedOn w:val="Normal"/>
    <w:rsid w:val="00DD2F6A"/>
    <w:pPr>
      <w:tabs>
        <w:tab w:val="clear" w:pos="504"/>
        <w:tab w:val="center" w:pos="4320"/>
        <w:tab w:val="right" w:pos="8640"/>
      </w:tabs>
    </w:pPr>
  </w:style>
  <w:style w:type="character" w:styleId="CommentReference">
    <w:name w:val="annotation reference"/>
    <w:basedOn w:val="DefaultParagraphFont"/>
    <w:semiHidden/>
    <w:rsid w:val="00DD2F6A"/>
    <w:rPr>
      <w:sz w:val="16"/>
    </w:rPr>
  </w:style>
  <w:style w:type="paragraph" w:styleId="CommentText">
    <w:name w:val="annotation text"/>
    <w:basedOn w:val="Normal"/>
    <w:semiHidden/>
    <w:rsid w:val="00DD2F6A"/>
    <w:rPr>
      <w:sz w:val="20"/>
    </w:rPr>
  </w:style>
  <w:style w:type="paragraph" w:styleId="Caption">
    <w:name w:val="caption"/>
    <w:aliases w:val="Abstract_Caption"/>
    <w:basedOn w:val="AbstractNormalText"/>
    <w:qFormat/>
    <w:rsid w:val="00DD2F6A"/>
    <w:pPr>
      <w:spacing w:before="80"/>
    </w:pPr>
    <w:rPr>
      <w:sz w:val="16"/>
    </w:rPr>
  </w:style>
  <w:style w:type="paragraph" w:customStyle="1" w:styleId="AbstractFrame">
    <w:name w:val="Abstract_Frame"/>
    <w:basedOn w:val="Normal"/>
    <w:rsid w:val="00DD2F6A"/>
    <w:pPr>
      <w:framePr w:h="2016" w:hSpace="187" w:vSpace="187" w:wrap="notBeside" w:vAnchor="text" w:hAnchor="text" w:xAlign="center" w:y="188"/>
      <w:pBdr>
        <w:top w:val="single" w:sz="6" w:space="1" w:color="auto"/>
        <w:left w:val="single" w:sz="6" w:space="1" w:color="auto"/>
        <w:bottom w:val="single" w:sz="6" w:space="1" w:color="auto"/>
        <w:right w:val="single" w:sz="6" w:space="1" w:color="auto"/>
      </w:pBdr>
    </w:pPr>
  </w:style>
  <w:style w:type="paragraph" w:customStyle="1" w:styleId="AbstractHeader">
    <w:name w:val="Abstract_Header"/>
    <w:basedOn w:val="AbstractNormalText"/>
    <w:rsid w:val="00DD2F6A"/>
    <w:rPr>
      <w:b/>
      <w:sz w:val="20"/>
    </w:rPr>
  </w:style>
  <w:style w:type="paragraph" w:styleId="BalloonText">
    <w:name w:val="Balloon Text"/>
    <w:basedOn w:val="Normal"/>
    <w:link w:val="BalloonTextChar"/>
    <w:semiHidden/>
    <w:unhideWhenUsed/>
    <w:rsid w:val="00937601"/>
    <w:rPr>
      <w:szCs w:val="18"/>
    </w:rPr>
  </w:style>
  <w:style w:type="character" w:customStyle="1" w:styleId="BalloonTextChar">
    <w:name w:val="Balloon Text Char"/>
    <w:basedOn w:val="DefaultParagraphFont"/>
    <w:link w:val="BalloonText"/>
    <w:semiHidden/>
    <w:rsid w:val="009376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9286">
      <w:bodyDiv w:val="1"/>
      <w:marLeft w:val="0"/>
      <w:marRight w:val="0"/>
      <w:marTop w:val="0"/>
      <w:marBottom w:val="0"/>
      <w:divBdr>
        <w:top w:val="none" w:sz="0" w:space="0" w:color="auto"/>
        <w:left w:val="none" w:sz="0" w:space="0" w:color="auto"/>
        <w:bottom w:val="none" w:sz="0" w:space="0" w:color="auto"/>
        <w:right w:val="none" w:sz="0" w:space="0" w:color="auto"/>
      </w:divBdr>
    </w:div>
    <w:div w:id="58795784">
      <w:bodyDiv w:val="1"/>
      <w:marLeft w:val="0"/>
      <w:marRight w:val="0"/>
      <w:marTop w:val="0"/>
      <w:marBottom w:val="0"/>
      <w:divBdr>
        <w:top w:val="none" w:sz="0" w:space="0" w:color="auto"/>
        <w:left w:val="none" w:sz="0" w:space="0" w:color="auto"/>
        <w:bottom w:val="none" w:sz="0" w:space="0" w:color="auto"/>
        <w:right w:val="none" w:sz="0" w:space="0" w:color="auto"/>
      </w:divBdr>
    </w:div>
    <w:div w:id="197202843">
      <w:bodyDiv w:val="1"/>
      <w:marLeft w:val="0"/>
      <w:marRight w:val="0"/>
      <w:marTop w:val="0"/>
      <w:marBottom w:val="0"/>
      <w:divBdr>
        <w:top w:val="none" w:sz="0" w:space="0" w:color="auto"/>
        <w:left w:val="none" w:sz="0" w:space="0" w:color="auto"/>
        <w:bottom w:val="none" w:sz="0" w:space="0" w:color="auto"/>
        <w:right w:val="none" w:sz="0" w:space="0" w:color="auto"/>
      </w:divBdr>
    </w:div>
    <w:div w:id="316420400">
      <w:bodyDiv w:val="1"/>
      <w:marLeft w:val="0"/>
      <w:marRight w:val="0"/>
      <w:marTop w:val="0"/>
      <w:marBottom w:val="0"/>
      <w:divBdr>
        <w:top w:val="none" w:sz="0" w:space="0" w:color="auto"/>
        <w:left w:val="none" w:sz="0" w:space="0" w:color="auto"/>
        <w:bottom w:val="none" w:sz="0" w:space="0" w:color="auto"/>
        <w:right w:val="none" w:sz="0" w:space="0" w:color="auto"/>
      </w:divBdr>
    </w:div>
    <w:div w:id="903295847">
      <w:bodyDiv w:val="1"/>
      <w:marLeft w:val="0"/>
      <w:marRight w:val="0"/>
      <w:marTop w:val="0"/>
      <w:marBottom w:val="0"/>
      <w:divBdr>
        <w:top w:val="none" w:sz="0" w:space="0" w:color="auto"/>
        <w:left w:val="none" w:sz="0" w:space="0" w:color="auto"/>
        <w:bottom w:val="none" w:sz="0" w:space="0" w:color="auto"/>
        <w:right w:val="none" w:sz="0" w:space="0" w:color="auto"/>
      </w:divBdr>
    </w:div>
    <w:div w:id="1124422187">
      <w:bodyDiv w:val="1"/>
      <w:marLeft w:val="0"/>
      <w:marRight w:val="0"/>
      <w:marTop w:val="0"/>
      <w:marBottom w:val="0"/>
      <w:divBdr>
        <w:top w:val="none" w:sz="0" w:space="0" w:color="auto"/>
        <w:left w:val="none" w:sz="0" w:space="0" w:color="auto"/>
        <w:bottom w:val="none" w:sz="0" w:space="0" w:color="auto"/>
        <w:right w:val="none" w:sz="0" w:space="0" w:color="auto"/>
      </w:divBdr>
    </w:div>
    <w:div w:id="1275284627">
      <w:bodyDiv w:val="1"/>
      <w:marLeft w:val="0"/>
      <w:marRight w:val="0"/>
      <w:marTop w:val="0"/>
      <w:marBottom w:val="0"/>
      <w:divBdr>
        <w:top w:val="none" w:sz="0" w:space="0" w:color="auto"/>
        <w:left w:val="none" w:sz="0" w:space="0" w:color="auto"/>
        <w:bottom w:val="none" w:sz="0" w:space="0" w:color="auto"/>
        <w:right w:val="none" w:sz="0" w:space="0" w:color="auto"/>
      </w:divBdr>
    </w:div>
    <w:div w:id="1324163561">
      <w:bodyDiv w:val="1"/>
      <w:marLeft w:val="0"/>
      <w:marRight w:val="0"/>
      <w:marTop w:val="0"/>
      <w:marBottom w:val="0"/>
      <w:divBdr>
        <w:top w:val="none" w:sz="0" w:space="0" w:color="auto"/>
        <w:left w:val="none" w:sz="0" w:space="0" w:color="auto"/>
        <w:bottom w:val="none" w:sz="0" w:space="0" w:color="auto"/>
        <w:right w:val="none" w:sz="0" w:space="0" w:color="auto"/>
      </w:divBdr>
    </w:div>
    <w:div w:id="1337807834">
      <w:bodyDiv w:val="1"/>
      <w:marLeft w:val="0"/>
      <w:marRight w:val="0"/>
      <w:marTop w:val="0"/>
      <w:marBottom w:val="0"/>
      <w:divBdr>
        <w:top w:val="none" w:sz="0" w:space="0" w:color="auto"/>
        <w:left w:val="none" w:sz="0" w:space="0" w:color="auto"/>
        <w:bottom w:val="none" w:sz="0" w:space="0" w:color="auto"/>
        <w:right w:val="none" w:sz="0" w:space="0" w:color="auto"/>
      </w:divBdr>
    </w:div>
    <w:div w:id="1436176153">
      <w:bodyDiv w:val="1"/>
      <w:marLeft w:val="0"/>
      <w:marRight w:val="0"/>
      <w:marTop w:val="0"/>
      <w:marBottom w:val="0"/>
      <w:divBdr>
        <w:top w:val="none" w:sz="0" w:space="0" w:color="auto"/>
        <w:left w:val="none" w:sz="0" w:space="0" w:color="auto"/>
        <w:bottom w:val="none" w:sz="0" w:space="0" w:color="auto"/>
        <w:right w:val="none" w:sz="0" w:space="0" w:color="auto"/>
      </w:divBdr>
    </w:div>
    <w:div w:id="1459452349">
      <w:bodyDiv w:val="1"/>
      <w:marLeft w:val="0"/>
      <w:marRight w:val="0"/>
      <w:marTop w:val="0"/>
      <w:marBottom w:val="0"/>
      <w:divBdr>
        <w:top w:val="none" w:sz="0" w:space="0" w:color="auto"/>
        <w:left w:val="none" w:sz="0" w:space="0" w:color="auto"/>
        <w:bottom w:val="none" w:sz="0" w:space="0" w:color="auto"/>
        <w:right w:val="none" w:sz="0" w:space="0" w:color="auto"/>
      </w:divBdr>
    </w:div>
    <w:div w:id="1539195901">
      <w:bodyDiv w:val="1"/>
      <w:marLeft w:val="0"/>
      <w:marRight w:val="0"/>
      <w:marTop w:val="0"/>
      <w:marBottom w:val="0"/>
      <w:divBdr>
        <w:top w:val="none" w:sz="0" w:space="0" w:color="auto"/>
        <w:left w:val="none" w:sz="0" w:space="0" w:color="auto"/>
        <w:bottom w:val="none" w:sz="0" w:space="0" w:color="auto"/>
        <w:right w:val="none" w:sz="0" w:space="0" w:color="auto"/>
      </w:divBdr>
    </w:div>
    <w:div w:id="1651788653">
      <w:bodyDiv w:val="1"/>
      <w:marLeft w:val="0"/>
      <w:marRight w:val="0"/>
      <w:marTop w:val="0"/>
      <w:marBottom w:val="0"/>
      <w:divBdr>
        <w:top w:val="none" w:sz="0" w:space="0" w:color="auto"/>
        <w:left w:val="none" w:sz="0" w:space="0" w:color="auto"/>
        <w:bottom w:val="none" w:sz="0" w:space="0" w:color="auto"/>
        <w:right w:val="none" w:sz="0" w:space="0" w:color="auto"/>
      </w:divBdr>
      <w:divsChild>
        <w:div w:id="660888504">
          <w:marLeft w:val="360"/>
          <w:marRight w:val="0"/>
          <w:marTop w:val="0"/>
          <w:marBottom w:val="120"/>
          <w:divBdr>
            <w:top w:val="none" w:sz="0" w:space="0" w:color="auto"/>
            <w:left w:val="none" w:sz="0" w:space="0" w:color="auto"/>
            <w:bottom w:val="none" w:sz="0" w:space="0" w:color="auto"/>
            <w:right w:val="none" w:sz="0" w:space="0" w:color="auto"/>
          </w:divBdr>
        </w:div>
        <w:div w:id="538392561">
          <w:marLeft w:val="1080"/>
          <w:marRight w:val="0"/>
          <w:marTop w:val="0"/>
          <w:marBottom w:val="120"/>
          <w:divBdr>
            <w:top w:val="none" w:sz="0" w:space="0" w:color="auto"/>
            <w:left w:val="none" w:sz="0" w:space="0" w:color="auto"/>
            <w:bottom w:val="none" w:sz="0" w:space="0" w:color="auto"/>
            <w:right w:val="none" w:sz="0" w:space="0" w:color="auto"/>
          </w:divBdr>
        </w:div>
        <w:div w:id="1920165918">
          <w:marLeft w:val="360"/>
          <w:marRight w:val="0"/>
          <w:marTop w:val="0"/>
          <w:marBottom w:val="120"/>
          <w:divBdr>
            <w:top w:val="none" w:sz="0" w:space="0" w:color="auto"/>
            <w:left w:val="none" w:sz="0" w:space="0" w:color="auto"/>
            <w:bottom w:val="none" w:sz="0" w:space="0" w:color="auto"/>
            <w:right w:val="none" w:sz="0" w:space="0" w:color="auto"/>
          </w:divBdr>
        </w:div>
        <w:div w:id="319507790">
          <w:marLeft w:val="1080"/>
          <w:marRight w:val="0"/>
          <w:marTop w:val="0"/>
          <w:marBottom w:val="120"/>
          <w:divBdr>
            <w:top w:val="none" w:sz="0" w:space="0" w:color="auto"/>
            <w:left w:val="none" w:sz="0" w:space="0" w:color="auto"/>
            <w:bottom w:val="none" w:sz="0" w:space="0" w:color="auto"/>
            <w:right w:val="none" w:sz="0" w:space="0" w:color="auto"/>
          </w:divBdr>
        </w:div>
        <w:div w:id="1832065915">
          <w:marLeft w:val="360"/>
          <w:marRight w:val="0"/>
          <w:marTop w:val="0"/>
          <w:marBottom w:val="120"/>
          <w:divBdr>
            <w:top w:val="none" w:sz="0" w:space="0" w:color="auto"/>
            <w:left w:val="none" w:sz="0" w:space="0" w:color="auto"/>
            <w:bottom w:val="none" w:sz="0" w:space="0" w:color="auto"/>
            <w:right w:val="none" w:sz="0" w:space="0" w:color="auto"/>
          </w:divBdr>
        </w:div>
        <w:div w:id="190384706">
          <w:marLeft w:val="1080"/>
          <w:marRight w:val="0"/>
          <w:marTop w:val="0"/>
          <w:marBottom w:val="120"/>
          <w:divBdr>
            <w:top w:val="none" w:sz="0" w:space="0" w:color="auto"/>
            <w:left w:val="none" w:sz="0" w:space="0" w:color="auto"/>
            <w:bottom w:val="none" w:sz="0" w:space="0" w:color="auto"/>
            <w:right w:val="none" w:sz="0" w:space="0" w:color="auto"/>
          </w:divBdr>
        </w:div>
        <w:div w:id="1951623447">
          <w:marLeft w:val="360"/>
          <w:marRight w:val="0"/>
          <w:marTop w:val="0"/>
          <w:marBottom w:val="120"/>
          <w:divBdr>
            <w:top w:val="none" w:sz="0" w:space="0" w:color="auto"/>
            <w:left w:val="none" w:sz="0" w:space="0" w:color="auto"/>
            <w:bottom w:val="none" w:sz="0" w:space="0" w:color="auto"/>
            <w:right w:val="none" w:sz="0" w:space="0" w:color="auto"/>
          </w:divBdr>
        </w:div>
        <w:div w:id="2116096094">
          <w:marLeft w:val="1080"/>
          <w:marRight w:val="0"/>
          <w:marTop w:val="0"/>
          <w:marBottom w:val="120"/>
          <w:divBdr>
            <w:top w:val="none" w:sz="0" w:space="0" w:color="auto"/>
            <w:left w:val="none" w:sz="0" w:space="0" w:color="auto"/>
            <w:bottom w:val="none" w:sz="0" w:space="0" w:color="auto"/>
            <w:right w:val="none" w:sz="0" w:space="0" w:color="auto"/>
          </w:divBdr>
        </w:div>
        <w:div w:id="1564173560">
          <w:marLeft w:val="360"/>
          <w:marRight w:val="0"/>
          <w:marTop w:val="0"/>
          <w:marBottom w:val="120"/>
          <w:divBdr>
            <w:top w:val="none" w:sz="0" w:space="0" w:color="auto"/>
            <w:left w:val="none" w:sz="0" w:space="0" w:color="auto"/>
            <w:bottom w:val="none" w:sz="0" w:space="0" w:color="auto"/>
            <w:right w:val="none" w:sz="0" w:space="0" w:color="auto"/>
          </w:divBdr>
        </w:div>
        <w:div w:id="1024983293">
          <w:marLeft w:val="1080"/>
          <w:marRight w:val="0"/>
          <w:marTop w:val="0"/>
          <w:marBottom w:val="120"/>
          <w:divBdr>
            <w:top w:val="none" w:sz="0" w:space="0" w:color="auto"/>
            <w:left w:val="none" w:sz="0" w:space="0" w:color="auto"/>
            <w:bottom w:val="none" w:sz="0" w:space="0" w:color="auto"/>
            <w:right w:val="none" w:sz="0" w:space="0" w:color="auto"/>
          </w:divBdr>
        </w:div>
      </w:divsChild>
    </w:div>
    <w:div w:id="1901817808">
      <w:bodyDiv w:val="1"/>
      <w:marLeft w:val="0"/>
      <w:marRight w:val="0"/>
      <w:marTop w:val="0"/>
      <w:marBottom w:val="0"/>
      <w:divBdr>
        <w:top w:val="none" w:sz="0" w:space="0" w:color="auto"/>
        <w:left w:val="none" w:sz="0" w:space="0" w:color="auto"/>
        <w:bottom w:val="none" w:sz="0" w:space="0" w:color="auto"/>
        <w:right w:val="none" w:sz="0" w:space="0" w:color="auto"/>
      </w:divBdr>
    </w:div>
    <w:div w:id="1920825346">
      <w:bodyDiv w:val="1"/>
      <w:marLeft w:val="0"/>
      <w:marRight w:val="0"/>
      <w:marTop w:val="0"/>
      <w:marBottom w:val="0"/>
      <w:divBdr>
        <w:top w:val="none" w:sz="0" w:space="0" w:color="auto"/>
        <w:left w:val="none" w:sz="0" w:space="0" w:color="auto"/>
        <w:bottom w:val="none" w:sz="0" w:space="0" w:color="auto"/>
        <w:right w:val="none" w:sz="0" w:space="0" w:color="auto"/>
      </w:divBdr>
    </w:div>
    <w:div w:id="1946186941">
      <w:bodyDiv w:val="1"/>
      <w:marLeft w:val="0"/>
      <w:marRight w:val="0"/>
      <w:marTop w:val="0"/>
      <w:marBottom w:val="0"/>
      <w:divBdr>
        <w:top w:val="none" w:sz="0" w:space="0" w:color="auto"/>
        <w:left w:val="none" w:sz="0" w:space="0" w:color="auto"/>
        <w:bottom w:val="none" w:sz="0" w:space="0" w:color="auto"/>
        <w:right w:val="none" w:sz="0" w:space="0" w:color="auto"/>
      </w:divBdr>
    </w:div>
    <w:div w:id="202378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BOOKOUT\LOCALS~1\TEMP\word98_ma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C:\DOCUME~1\ABOOKOUT\LOCALS~1\TEMP\word98_mac-1.dot</Template>
  <TotalTime>86</TotalTime>
  <Pages>4</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This is the title of an example SEG abstract using Microsoft Word 11-point bold type</vt:lpstr>
    </vt:vector>
  </TitlesOfParts>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title of an example SEG abstract using Microsoft Word 11-point bold type</dc:title>
  <dc:subject/>
  <dc:creator>Amy Bookout</dc:creator>
  <cp:keywords/>
  <dc:description/>
  <cp:lastModifiedBy>Weber, Renee C. (MSFC-ST01)</cp:lastModifiedBy>
  <cp:revision>10</cp:revision>
  <cp:lastPrinted>1998-02-25T20:47:00Z</cp:lastPrinted>
  <dcterms:created xsi:type="dcterms:W3CDTF">2019-12-17T22:24:00Z</dcterms:created>
  <dcterms:modified xsi:type="dcterms:W3CDTF">2020-04-14T21:11:00Z</dcterms:modified>
</cp:coreProperties>
</file>