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1DAFD2" w14:textId="77777777" w:rsidR="00132F11" w:rsidRDefault="00B2238F">
      <w:pPr>
        <w:spacing w:after="0" w:line="240" w:lineRule="auto"/>
        <w:jc w:val="right"/>
        <w:rPr>
          <w:rFonts w:ascii="Garamond" w:eastAsia="Garamond" w:hAnsi="Garamond" w:cs="Garamond"/>
          <w:color w:val="000000"/>
          <w:sz w:val="40"/>
          <w:szCs w:val="40"/>
        </w:rPr>
      </w:pPr>
      <w:r>
        <w:rPr>
          <w:rFonts w:ascii="Garamond" w:eastAsia="Garamond" w:hAnsi="Garamond" w:cs="Garamond"/>
          <w:sz w:val="40"/>
          <w:szCs w:val="40"/>
        </w:rPr>
        <w:t xml:space="preserve"> </w:t>
      </w:r>
      <w:r>
        <w:rPr>
          <w:rFonts w:ascii="Garamond" w:eastAsia="Garamond" w:hAnsi="Garamond" w:cs="Garamond"/>
          <w:color w:val="000000"/>
          <w:sz w:val="40"/>
          <w:szCs w:val="40"/>
        </w:rPr>
        <w:t>Central Valley Water Resources</w:t>
      </w:r>
    </w:p>
    <w:p w14:paraId="05EEEAFA" w14:textId="77777777" w:rsidR="00132F11" w:rsidRDefault="00B2238F">
      <w:pPr>
        <w:pBdr>
          <w:top w:val="nil"/>
          <w:left w:val="nil"/>
          <w:bottom w:val="nil"/>
          <w:right w:val="nil"/>
          <w:between w:val="nil"/>
        </w:pBdr>
        <w:spacing w:after="0" w:line="240" w:lineRule="auto"/>
        <w:ind w:firstLine="2610"/>
        <w:jc w:val="right"/>
        <w:rPr>
          <w:rFonts w:ascii="Times New Roman" w:eastAsia="Times New Roman" w:hAnsi="Times New Roman" w:cs="Times New Roman"/>
          <w:color w:val="000000"/>
          <w:sz w:val="24"/>
          <w:szCs w:val="24"/>
        </w:rPr>
      </w:pPr>
      <w:r>
        <w:rPr>
          <w:rFonts w:ascii="Garamond" w:eastAsia="Garamond" w:hAnsi="Garamond" w:cs="Garamond"/>
          <w:color w:val="000000"/>
          <w:sz w:val="28"/>
          <w:szCs w:val="28"/>
        </w:rPr>
        <w:t>Improving California Groundwater Assessments using GRACE and InSAR Datasets for Water Resource Management</w:t>
      </w:r>
    </w:p>
    <w:p w14:paraId="39B92A93" w14:textId="77777777" w:rsidR="00132F11" w:rsidRDefault="00132F11">
      <w:pPr>
        <w:spacing w:after="0" w:line="240" w:lineRule="auto"/>
        <w:rPr>
          <w:rFonts w:ascii="Garamond" w:eastAsia="Garamond" w:hAnsi="Garamond" w:cs="Garamond"/>
          <w:sz w:val="32"/>
          <w:szCs w:val="32"/>
        </w:rPr>
      </w:pPr>
    </w:p>
    <w:p w14:paraId="0FA31442" w14:textId="77777777" w:rsidR="00132F11" w:rsidRDefault="00132F11">
      <w:pPr>
        <w:spacing w:after="0" w:line="240" w:lineRule="auto"/>
        <w:rPr>
          <w:rFonts w:ascii="Garamond" w:eastAsia="Garamond" w:hAnsi="Garamond" w:cs="Garamond"/>
          <w:sz w:val="32"/>
          <w:szCs w:val="32"/>
        </w:rPr>
      </w:pPr>
    </w:p>
    <w:p w14:paraId="7E4CED0F" w14:textId="77777777" w:rsidR="00132F11" w:rsidRDefault="00132F11">
      <w:pPr>
        <w:spacing w:after="0" w:line="240" w:lineRule="auto"/>
        <w:rPr>
          <w:rFonts w:ascii="Garamond" w:eastAsia="Garamond" w:hAnsi="Garamond" w:cs="Garamond"/>
          <w:sz w:val="32"/>
          <w:szCs w:val="32"/>
        </w:rPr>
      </w:pPr>
    </w:p>
    <w:p w14:paraId="682F446B" w14:textId="77777777" w:rsidR="00132F11" w:rsidRDefault="00132F11">
      <w:pPr>
        <w:spacing w:after="0" w:line="240" w:lineRule="auto"/>
        <w:rPr>
          <w:rFonts w:ascii="Garamond" w:eastAsia="Garamond" w:hAnsi="Garamond" w:cs="Garamond"/>
          <w:sz w:val="32"/>
          <w:szCs w:val="32"/>
        </w:rPr>
      </w:pPr>
    </w:p>
    <w:p w14:paraId="7860B354" w14:textId="77777777" w:rsidR="00132F11" w:rsidRDefault="00132F11">
      <w:pPr>
        <w:spacing w:after="0" w:line="240" w:lineRule="auto"/>
        <w:jc w:val="center"/>
        <w:rPr>
          <w:rFonts w:ascii="Garamond" w:eastAsia="Garamond" w:hAnsi="Garamond" w:cs="Garamond"/>
          <w:b/>
          <w:sz w:val="32"/>
          <w:szCs w:val="32"/>
        </w:rPr>
      </w:pPr>
    </w:p>
    <w:p w14:paraId="30CCA463" w14:textId="77777777" w:rsidR="00132F11" w:rsidRDefault="00132F11">
      <w:pPr>
        <w:spacing w:after="0" w:line="240" w:lineRule="auto"/>
        <w:jc w:val="center"/>
        <w:rPr>
          <w:rFonts w:ascii="Garamond" w:eastAsia="Garamond" w:hAnsi="Garamond" w:cs="Garamond"/>
          <w:b/>
          <w:sz w:val="32"/>
          <w:szCs w:val="32"/>
        </w:rPr>
      </w:pPr>
    </w:p>
    <w:p w14:paraId="35CB4202" w14:textId="77777777" w:rsidR="00132F11" w:rsidRDefault="00B2238F">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58240" behindDoc="0" locked="0" layoutInCell="1" hidden="0" allowOverlap="1" wp14:anchorId="1A11D2DC" wp14:editId="38D303A2">
            <wp:simplePos x="0" y="0"/>
            <wp:positionH relativeFrom="column">
              <wp:posOffset>1628140</wp:posOffset>
            </wp:positionH>
            <wp:positionV relativeFrom="paragraph">
              <wp:posOffset>56432</wp:posOffset>
            </wp:positionV>
            <wp:extent cx="968735" cy="182880"/>
            <wp:effectExtent l="0" t="0" r="0" b="0"/>
            <wp:wrapNone/>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968735" cy="182880"/>
                    </a:xfrm>
                    <a:prstGeom prst="rect">
                      <a:avLst/>
                    </a:prstGeom>
                    <a:ln/>
                  </pic:spPr>
                </pic:pic>
              </a:graphicData>
            </a:graphic>
          </wp:anchor>
        </w:drawing>
      </w:r>
    </w:p>
    <w:p w14:paraId="51B00A9C" w14:textId="77777777" w:rsidR="00132F11" w:rsidRDefault="00B2238F">
      <w:pPr>
        <w:spacing w:after="0" w:line="240" w:lineRule="auto"/>
        <w:jc w:val="center"/>
        <w:rPr>
          <w:rFonts w:ascii="Garamond" w:eastAsia="Garamond" w:hAnsi="Garamond" w:cs="Garamond"/>
          <w:sz w:val="28"/>
          <w:szCs w:val="28"/>
        </w:rPr>
      </w:pPr>
      <w:r w:rsidRPr="00BC2FAD">
        <w:rPr>
          <w:rFonts w:ascii="Garamond" w:eastAsia="Garamond" w:hAnsi="Garamond" w:cs="Garamond"/>
          <w:sz w:val="28"/>
          <w:szCs w:val="28"/>
        </w:rPr>
        <w:t>Final Draft – April 2</w:t>
      </w:r>
      <w:r w:rsidRPr="00BC2FAD">
        <w:rPr>
          <w:rFonts w:ascii="Garamond" w:eastAsia="Garamond" w:hAnsi="Garamond" w:cs="Garamond"/>
          <w:sz w:val="28"/>
          <w:szCs w:val="28"/>
          <w:vertAlign w:val="superscript"/>
        </w:rPr>
        <w:t>nd</w:t>
      </w:r>
      <w:r w:rsidRPr="00BC2FAD">
        <w:rPr>
          <w:rFonts w:ascii="Garamond" w:eastAsia="Garamond" w:hAnsi="Garamond" w:cs="Garamond"/>
          <w:sz w:val="28"/>
          <w:szCs w:val="28"/>
        </w:rPr>
        <w:t>, 2020</w:t>
      </w:r>
    </w:p>
    <w:p w14:paraId="6993F23D" w14:textId="77777777" w:rsidR="00132F11" w:rsidRDefault="00132F11">
      <w:pPr>
        <w:spacing w:after="0" w:line="240" w:lineRule="auto"/>
        <w:jc w:val="center"/>
        <w:rPr>
          <w:rFonts w:ascii="Garamond" w:eastAsia="Garamond" w:hAnsi="Garamond" w:cs="Garamond"/>
          <w:sz w:val="20"/>
          <w:szCs w:val="20"/>
        </w:rPr>
      </w:pPr>
    </w:p>
    <w:p w14:paraId="6BC0F9C1" w14:textId="77777777" w:rsidR="00132F11" w:rsidRDefault="00B2238F">
      <w:pPr>
        <w:spacing w:after="0" w:line="240" w:lineRule="auto"/>
        <w:jc w:val="center"/>
        <w:rPr>
          <w:rFonts w:ascii="Times New Roman" w:eastAsia="Times New Roman" w:hAnsi="Times New Roman" w:cs="Times New Roman"/>
          <w:sz w:val="20"/>
          <w:szCs w:val="20"/>
        </w:rPr>
      </w:pPr>
      <w:r>
        <w:rPr>
          <w:rFonts w:ascii="Garamond" w:eastAsia="Garamond" w:hAnsi="Garamond" w:cs="Garamond"/>
          <w:color w:val="000000"/>
          <w:sz w:val="20"/>
          <w:szCs w:val="20"/>
        </w:rPr>
        <w:t>Forrest Corcoran (Project Lead)</w:t>
      </w:r>
    </w:p>
    <w:p w14:paraId="653A5B05" w14:textId="77777777" w:rsidR="00132F11" w:rsidRDefault="00B2238F">
      <w:pPr>
        <w:spacing w:after="0" w:line="240" w:lineRule="auto"/>
        <w:jc w:val="center"/>
        <w:rPr>
          <w:rFonts w:ascii="Times New Roman" w:eastAsia="Times New Roman" w:hAnsi="Times New Roman" w:cs="Times New Roman"/>
          <w:sz w:val="20"/>
          <w:szCs w:val="20"/>
        </w:rPr>
      </w:pPr>
      <w:r>
        <w:rPr>
          <w:rFonts w:ascii="Garamond" w:eastAsia="Garamond" w:hAnsi="Garamond" w:cs="Garamond"/>
          <w:color w:val="000000"/>
          <w:sz w:val="20"/>
          <w:szCs w:val="20"/>
        </w:rPr>
        <w:t>Marissa Dudek</w:t>
      </w:r>
    </w:p>
    <w:p w14:paraId="0AC2BD0A" w14:textId="77777777" w:rsidR="00132F11" w:rsidRDefault="00B2238F">
      <w:pPr>
        <w:spacing w:after="0" w:line="240" w:lineRule="auto"/>
        <w:jc w:val="center"/>
        <w:rPr>
          <w:rFonts w:ascii="Times New Roman" w:eastAsia="Times New Roman" w:hAnsi="Times New Roman" w:cs="Times New Roman"/>
          <w:sz w:val="20"/>
          <w:szCs w:val="20"/>
        </w:rPr>
      </w:pPr>
      <w:r>
        <w:rPr>
          <w:rFonts w:ascii="Garamond" w:eastAsia="Garamond" w:hAnsi="Garamond" w:cs="Garamond"/>
          <w:color w:val="000000"/>
          <w:sz w:val="20"/>
          <w:szCs w:val="20"/>
        </w:rPr>
        <w:t>James Kitchens</w:t>
      </w:r>
    </w:p>
    <w:p w14:paraId="6BDAE386" w14:textId="77777777" w:rsidR="00132F11" w:rsidRDefault="00B2238F">
      <w:pPr>
        <w:spacing w:after="0" w:line="240" w:lineRule="auto"/>
        <w:jc w:val="center"/>
        <w:rPr>
          <w:rFonts w:ascii="Times New Roman" w:eastAsia="Times New Roman" w:hAnsi="Times New Roman" w:cs="Times New Roman"/>
          <w:sz w:val="20"/>
          <w:szCs w:val="20"/>
        </w:rPr>
      </w:pPr>
      <w:r>
        <w:rPr>
          <w:rFonts w:ascii="Garamond" w:eastAsia="Garamond" w:hAnsi="Garamond" w:cs="Garamond"/>
          <w:color w:val="000000"/>
          <w:sz w:val="20"/>
          <w:szCs w:val="20"/>
        </w:rPr>
        <w:t>Patrick Saylor</w:t>
      </w:r>
    </w:p>
    <w:p w14:paraId="4757830A" w14:textId="77777777" w:rsidR="00132F11" w:rsidRDefault="00132F11">
      <w:pPr>
        <w:spacing w:after="0" w:line="240" w:lineRule="auto"/>
        <w:rPr>
          <w:rFonts w:ascii="Times New Roman" w:eastAsia="Times New Roman" w:hAnsi="Times New Roman" w:cs="Times New Roman"/>
          <w:sz w:val="20"/>
          <w:szCs w:val="20"/>
        </w:rPr>
      </w:pPr>
    </w:p>
    <w:p w14:paraId="034AFE1D" w14:textId="77777777" w:rsidR="00132F11" w:rsidRDefault="00B2238F">
      <w:pPr>
        <w:spacing w:after="0" w:line="240" w:lineRule="auto"/>
        <w:jc w:val="center"/>
        <w:rPr>
          <w:rFonts w:ascii="Times New Roman" w:eastAsia="Times New Roman" w:hAnsi="Times New Roman" w:cs="Times New Roman"/>
          <w:sz w:val="20"/>
          <w:szCs w:val="20"/>
        </w:rPr>
      </w:pPr>
      <w:r>
        <w:rPr>
          <w:rFonts w:ascii="Garamond" w:eastAsia="Garamond" w:hAnsi="Garamond" w:cs="Garamond"/>
          <w:color w:val="000000"/>
          <w:sz w:val="20"/>
          <w:szCs w:val="20"/>
        </w:rPr>
        <w:t xml:space="preserve">Zhen Liu, Ph.D., </w:t>
      </w:r>
      <w:r>
        <w:rPr>
          <w:rFonts w:ascii="Garamond" w:eastAsia="Garamond" w:hAnsi="Garamond" w:cs="Garamond"/>
          <w:sz w:val="20"/>
          <w:szCs w:val="20"/>
        </w:rPr>
        <w:t>NASA Jet Propulsion Laboratory, California Institute of Technology (Science Advisor)</w:t>
      </w:r>
    </w:p>
    <w:p w14:paraId="6F034C17" w14:textId="77777777" w:rsidR="00132F11" w:rsidRDefault="00B2238F">
      <w:pPr>
        <w:spacing w:after="0" w:line="240" w:lineRule="auto"/>
        <w:jc w:val="center"/>
        <w:rPr>
          <w:rFonts w:ascii="Garamond" w:eastAsia="Garamond" w:hAnsi="Garamond" w:cs="Garamond"/>
          <w:sz w:val="20"/>
          <w:szCs w:val="20"/>
        </w:rPr>
      </w:pPr>
      <w:r>
        <w:rPr>
          <w:rFonts w:ascii="Garamond" w:eastAsia="Garamond" w:hAnsi="Garamond" w:cs="Garamond"/>
          <w:color w:val="000000"/>
          <w:sz w:val="20"/>
          <w:szCs w:val="20"/>
        </w:rPr>
        <w:t xml:space="preserve">Kyra Kim, Ph.D., </w:t>
      </w:r>
      <w:r>
        <w:rPr>
          <w:rFonts w:ascii="Garamond" w:eastAsia="Garamond" w:hAnsi="Garamond" w:cs="Garamond"/>
          <w:sz w:val="20"/>
          <w:szCs w:val="20"/>
        </w:rPr>
        <w:t>NASA Jet Propulsion Laboratory, California Institute of Technology (Science Advisor)</w:t>
      </w:r>
    </w:p>
    <w:p w14:paraId="6C8AF8FA" w14:textId="77777777" w:rsidR="00132F11" w:rsidRDefault="00B2238F">
      <w:pPr>
        <w:spacing w:after="0" w:line="240" w:lineRule="auto"/>
        <w:jc w:val="center"/>
        <w:rPr>
          <w:rFonts w:ascii="Garamond" w:eastAsia="Garamond" w:hAnsi="Garamond" w:cs="Garamond"/>
          <w:sz w:val="20"/>
          <w:szCs w:val="20"/>
        </w:rPr>
      </w:pPr>
      <w:r>
        <w:rPr>
          <w:rFonts w:ascii="Garamond" w:eastAsia="Garamond" w:hAnsi="Garamond" w:cs="Garamond"/>
          <w:sz w:val="20"/>
          <w:szCs w:val="20"/>
        </w:rPr>
        <w:t>John T. Reager, Ph.D., NASA Jet Propulsion Laboratory, California Institute of Technology (Science Advisor)</w:t>
      </w:r>
    </w:p>
    <w:p w14:paraId="2A7E91DF" w14:textId="77777777" w:rsidR="00132F11" w:rsidRDefault="00B2238F">
      <w:pPr>
        <w:spacing w:after="0" w:line="240" w:lineRule="auto"/>
        <w:rPr>
          <w:rFonts w:ascii="Garamond" w:eastAsia="Garamond" w:hAnsi="Garamond" w:cs="Garamond"/>
          <w:sz w:val="20"/>
          <w:szCs w:val="20"/>
        </w:rPr>
      </w:pPr>
      <w:r>
        <w:br w:type="page"/>
      </w:r>
    </w:p>
    <w:p w14:paraId="54AEE603" w14:textId="77777777" w:rsidR="00132F11" w:rsidRDefault="00B2238F">
      <w:pPr>
        <w:pStyle w:val="Heading1"/>
        <w:spacing w:before="0" w:line="240" w:lineRule="auto"/>
        <w:rPr>
          <w:rFonts w:ascii="Garamond" w:eastAsia="Garamond" w:hAnsi="Garamond" w:cs="Garamond"/>
        </w:rPr>
      </w:pPr>
      <w:r>
        <w:rPr>
          <w:rFonts w:ascii="Garamond" w:eastAsia="Garamond" w:hAnsi="Garamond" w:cs="Garamond"/>
        </w:rPr>
        <w:lastRenderedPageBreak/>
        <w:t>1. Abstract</w:t>
      </w:r>
    </w:p>
    <w:p w14:paraId="54BADE4D" w14:textId="649C6D4F" w:rsidR="00132F11" w:rsidRDefault="00B2238F">
      <w:pPr>
        <w:spacing w:after="0" w:line="240" w:lineRule="auto"/>
        <w:jc w:val="both"/>
        <w:rPr>
          <w:rFonts w:ascii="Garamond" w:eastAsia="Garamond" w:hAnsi="Garamond" w:cs="Garamond"/>
        </w:rPr>
      </w:pPr>
      <w:r>
        <w:rPr>
          <w:rFonts w:ascii="Garamond" w:eastAsia="Garamond" w:hAnsi="Garamond" w:cs="Garamond"/>
        </w:rPr>
        <w:t>California’s Central Valley is one of the most productive agricultural areas in the world, producing approximately $20 billion in crops annually. The recent California droughts of 2007-2010 and 2012-2019 resulted in increased groundwater pumping in the Central Valley to adequately irrigate farmland. Overdrafting of the Central Valley aquifer results in groundwater depletion, land subsidence, and permanent loss of groundwater storage. In 2014, depletion of groundwater led the state of California to enact the Sustainable Groundwater Management Act (SGMA), requiring critically overdrafted, high, and medium priority sub-basins to reach sustainable levels of groundwater pumping and recharge by 2042. SGMA allows local Groundwater Sustainability Agencies (GSAs) the authority to create Groundwater Sustainability Plans (GSPs) at the sub-basin level. To assist California’s Department of Water Resources (DWR), this project quantified groundwater change and land subsidence in Central Valley sub-basins with sparse or unreliable well and Geographic Positioning Systems (GPS) data. This was done using NASA’s Gravity Recovery and Climate Experiment (GRACE), GRACE Follow</w:t>
      </w:r>
      <w:r w:rsidR="00AD1C7D">
        <w:rPr>
          <w:rFonts w:ascii="Garamond" w:eastAsia="Garamond" w:hAnsi="Garamond" w:cs="Garamond"/>
        </w:rPr>
        <w:t>-</w:t>
      </w:r>
      <w:r>
        <w:rPr>
          <w:rFonts w:ascii="Garamond" w:eastAsia="Garamond" w:hAnsi="Garamond" w:cs="Garamond"/>
        </w:rPr>
        <w:t>On (GRACE-FO), and interferograms derived from Sentinel-1 C-band Synthetic Aperture Radar (C-SAR) and Advanced Land Observing Satellite 2 (ALOS-2) Phased Array L-band Synthetic Aperture Radar 2 (PALSAR-2). Time series of the GRACE and InSAR data were compared with well and GPS data in data-dense sub-basins to determine the feasibility of these datasets for groundwater storage and subsidence monitoring. We found that GRACE and InSAR data are effective tools for determining groundwater change and land subsidence and can be used on their own to monitor sub-basins in the absence of well and GPS data.</w:t>
      </w:r>
    </w:p>
    <w:p w14:paraId="1FEF0851" w14:textId="77777777" w:rsidR="00132F11" w:rsidRDefault="00132F11">
      <w:pPr>
        <w:spacing w:after="0" w:line="240" w:lineRule="auto"/>
        <w:rPr>
          <w:rFonts w:ascii="Garamond" w:eastAsia="Garamond" w:hAnsi="Garamond" w:cs="Garamond"/>
        </w:rPr>
      </w:pPr>
    </w:p>
    <w:p w14:paraId="301EC4D2" w14:textId="77777777" w:rsidR="00132F11" w:rsidRDefault="00B2238F">
      <w:pPr>
        <w:spacing w:after="0" w:line="240" w:lineRule="auto"/>
        <w:rPr>
          <w:rFonts w:ascii="Garamond" w:eastAsia="Garamond" w:hAnsi="Garamond" w:cs="Garamond"/>
          <w:b/>
        </w:rPr>
      </w:pPr>
      <w:r>
        <w:rPr>
          <w:rFonts w:ascii="Garamond" w:eastAsia="Garamond" w:hAnsi="Garamond" w:cs="Garamond"/>
          <w:b/>
        </w:rPr>
        <w:t>Keywords</w:t>
      </w:r>
    </w:p>
    <w:p w14:paraId="27718B60" w14:textId="77777777" w:rsidR="00132F11" w:rsidRDefault="00B2238F">
      <w:pPr>
        <w:spacing w:after="0" w:line="240" w:lineRule="auto"/>
        <w:rPr>
          <w:rFonts w:ascii="Garamond" w:eastAsia="Garamond" w:hAnsi="Garamond" w:cs="Garamond"/>
          <w:color w:val="000000"/>
        </w:rPr>
      </w:pPr>
      <w:r>
        <w:rPr>
          <w:rFonts w:ascii="Garamond" w:eastAsia="Garamond" w:hAnsi="Garamond" w:cs="Garamond"/>
        </w:rPr>
        <w:t>r</w:t>
      </w:r>
      <w:r>
        <w:rPr>
          <w:rFonts w:ascii="Garamond" w:eastAsia="Garamond" w:hAnsi="Garamond" w:cs="Garamond"/>
          <w:color w:val="000000"/>
        </w:rPr>
        <w:t xml:space="preserve">emote </w:t>
      </w:r>
      <w:r>
        <w:rPr>
          <w:rFonts w:ascii="Garamond" w:eastAsia="Garamond" w:hAnsi="Garamond" w:cs="Garamond"/>
        </w:rPr>
        <w:t>s</w:t>
      </w:r>
      <w:r>
        <w:rPr>
          <w:rFonts w:ascii="Garamond" w:eastAsia="Garamond" w:hAnsi="Garamond" w:cs="Garamond"/>
          <w:color w:val="000000"/>
        </w:rPr>
        <w:t xml:space="preserve">ensing, </w:t>
      </w:r>
      <w:r>
        <w:rPr>
          <w:rFonts w:ascii="Garamond" w:eastAsia="Garamond" w:hAnsi="Garamond" w:cs="Garamond"/>
        </w:rPr>
        <w:t>g</w:t>
      </w:r>
      <w:r>
        <w:rPr>
          <w:rFonts w:ascii="Garamond" w:eastAsia="Garamond" w:hAnsi="Garamond" w:cs="Garamond"/>
          <w:color w:val="000000"/>
        </w:rPr>
        <w:t xml:space="preserve">roundwater, </w:t>
      </w:r>
      <w:r>
        <w:rPr>
          <w:rFonts w:ascii="Garamond" w:eastAsia="Garamond" w:hAnsi="Garamond" w:cs="Garamond"/>
        </w:rPr>
        <w:t>s</w:t>
      </w:r>
      <w:r>
        <w:rPr>
          <w:rFonts w:ascii="Garamond" w:eastAsia="Garamond" w:hAnsi="Garamond" w:cs="Garamond"/>
          <w:color w:val="000000"/>
        </w:rPr>
        <w:t>ubsidence, GRACE, InSAR, time series</w:t>
      </w:r>
    </w:p>
    <w:p w14:paraId="49FCA89B" w14:textId="77777777" w:rsidR="00132F11" w:rsidRDefault="00132F11">
      <w:pPr>
        <w:spacing w:after="0" w:line="240" w:lineRule="auto"/>
        <w:rPr>
          <w:rFonts w:ascii="Garamond" w:eastAsia="Garamond" w:hAnsi="Garamond" w:cs="Garamond"/>
        </w:rPr>
      </w:pPr>
    </w:p>
    <w:p w14:paraId="7CDD2E21" w14:textId="77777777" w:rsidR="00132F11" w:rsidRDefault="00B2238F">
      <w:pPr>
        <w:pStyle w:val="Heading1"/>
        <w:spacing w:before="0"/>
      </w:pPr>
      <w:r>
        <w:rPr>
          <w:rFonts w:ascii="Garamond" w:eastAsia="Garamond" w:hAnsi="Garamond" w:cs="Garamond"/>
        </w:rPr>
        <w:t>2. Introduction</w:t>
      </w:r>
    </w:p>
    <w:p w14:paraId="4C3F9070" w14:textId="77777777" w:rsidR="00132F11" w:rsidRDefault="00B2238F">
      <w:pPr>
        <w:pBdr>
          <w:top w:val="nil"/>
          <w:left w:val="nil"/>
          <w:bottom w:val="nil"/>
          <w:right w:val="nil"/>
          <w:between w:val="nil"/>
        </w:pBdr>
        <w:spacing w:after="0" w:line="240" w:lineRule="auto"/>
        <w:rPr>
          <w:rFonts w:ascii="Garamond" w:eastAsia="Garamond" w:hAnsi="Garamond" w:cs="Garamond"/>
          <w:b/>
          <w:i/>
          <w:color w:val="000000"/>
        </w:rPr>
      </w:pPr>
      <w:r>
        <w:rPr>
          <w:rFonts w:ascii="Garamond" w:eastAsia="Garamond" w:hAnsi="Garamond" w:cs="Garamond"/>
          <w:b/>
          <w:i/>
          <w:color w:val="000000"/>
        </w:rPr>
        <w:t>2.1 Background Information</w:t>
      </w:r>
    </w:p>
    <w:sdt>
      <w:sdtPr>
        <w:tag w:val="goog_rdk_0"/>
        <w:id w:val="-693461235"/>
      </w:sdtPr>
      <w:sdtEndPr/>
      <w:sdtContent>
        <w:p w14:paraId="3D94FA9F" w14:textId="48761703" w:rsidR="00132F11" w:rsidRPr="00BC2FAD" w:rsidRDefault="00B2238F">
          <w:pPr>
            <w:pBdr>
              <w:top w:val="nil"/>
              <w:left w:val="nil"/>
              <w:bottom w:val="nil"/>
              <w:right w:val="nil"/>
              <w:between w:val="nil"/>
            </w:pBdr>
            <w:spacing w:after="0" w:line="240" w:lineRule="auto"/>
            <w:jc w:val="both"/>
          </w:pPr>
          <w:r>
            <w:rPr>
              <w:rFonts w:ascii="Garamond" w:eastAsia="Garamond" w:hAnsi="Garamond" w:cs="Garamond"/>
            </w:rPr>
            <w:t>The Central Valley is an approximately 20,000 square mile region of California (Faunt, 2009) that serves as one of the most productive agricultural regions in the world. The Central Valley produces approximately $20 billion worth of crops annually (Faunt, 2016), including over 250 different crops. The region accounts for 17% of all U.S. irrigated land (Faunt, 2009), and produces nearly half of the nation’s nuts, fruits, and vegetable supply (USGS, 2020). Taking up only 11% of California’s total land area, the Central Valley aquifer provides roughly 65% of the state’s water supply and provides 20% of the nation’s demand for groundwater, making it the second-most-pumped-aquifer in the U.S. (USGS, 2020). The Central Valley also supports a rapidly growing residential population, which has more than tripled in size from two million residents to 6.5 million since 1980 (Faunt, 2009). </w:t>
          </w:r>
          <w:r w:rsidR="006D1686">
            <w:rPr>
              <w:rFonts w:ascii="Garamond" w:eastAsia="Garamond" w:hAnsi="Garamond" w:cs="Garamond"/>
            </w:rPr>
            <w:t>The California Department of Water Resources (</w:t>
          </w:r>
          <w:r>
            <w:rPr>
              <w:rFonts w:ascii="Garamond" w:eastAsia="Garamond" w:hAnsi="Garamond" w:cs="Garamond"/>
            </w:rPr>
            <w:t>DWR</w:t>
          </w:r>
          <w:r w:rsidR="006D1686">
            <w:rPr>
              <w:rFonts w:ascii="Garamond" w:eastAsia="Garamond" w:hAnsi="Garamond" w:cs="Garamond"/>
            </w:rPr>
            <w:t>)</w:t>
          </w:r>
          <w:r>
            <w:rPr>
              <w:rFonts w:ascii="Garamond" w:eastAsia="Garamond" w:hAnsi="Garamond" w:cs="Garamond"/>
            </w:rPr>
            <w:t xml:space="preserve"> has classified three b</w:t>
          </w:r>
          <w:r w:rsidR="00857B2B">
            <w:rPr>
              <w:rFonts w:ascii="Garamond" w:eastAsia="Garamond" w:hAnsi="Garamond" w:cs="Garamond"/>
            </w:rPr>
            <w:t>asins within the Central Valley:</w:t>
          </w:r>
          <w:r>
            <w:rPr>
              <w:rFonts w:ascii="Garamond" w:eastAsia="Garamond" w:hAnsi="Garamond" w:cs="Garamond"/>
            </w:rPr>
            <w:t xml:space="preserve"> the Lower Sacramento River, San Joaquin River, and the Tulare Lake Basin. These three hydrologic basins of the region are further divided into 39 sub-basins. </w:t>
          </w:r>
        </w:p>
      </w:sdtContent>
    </w:sdt>
    <w:p w14:paraId="175F68C0" w14:textId="77777777" w:rsidR="00132F11" w:rsidRDefault="00132F11">
      <w:pPr>
        <w:pBdr>
          <w:top w:val="nil"/>
          <w:left w:val="nil"/>
          <w:bottom w:val="nil"/>
          <w:right w:val="nil"/>
          <w:between w:val="nil"/>
        </w:pBdr>
        <w:spacing w:after="0" w:line="240" w:lineRule="auto"/>
        <w:jc w:val="both"/>
        <w:rPr>
          <w:rFonts w:ascii="Garamond" w:eastAsia="Garamond" w:hAnsi="Garamond" w:cs="Garamond"/>
        </w:rPr>
      </w:pPr>
    </w:p>
    <w:p w14:paraId="05064624" w14:textId="4CF4ECC0" w:rsidR="00132F11" w:rsidRPr="00857B2B" w:rsidRDefault="00B2238F">
      <w:pPr>
        <w:pBdr>
          <w:top w:val="nil"/>
          <w:left w:val="nil"/>
          <w:bottom w:val="nil"/>
          <w:right w:val="nil"/>
          <w:between w:val="nil"/>
        </w:pBdr>
        <w:spacing w:after="0" w:line="240" w:lineRule="auto"/>
        <w:jc w:val="both"/>
        <w:rPr>
          <w:rFonts w:ascii="Garamond" w:eastAsia="Garamond" w:hAnsi="Garamond" w:cs="Garamond"/>
        </w:rPr>
      </w:pPr>
      <w:r>
        <w:rPr>
          <w:rFonts w:ascii="Garamond" w:eastAsia="Garamond" w:hAnsi="Garamond" w:cs="Garamond"/>
        </w:rPr>
        <w:t>This project used downscaled Gravity Recovery and Climate Experiment (GRACE) and GRACE Follow-On (GRACE-FO) data to create maps of water storage change in the Central Valley. The work was coupled with previously processed Interferometric Synthetic Aperture Radar (InSAR) data processed by NASA’s Jet Propulsion Laboratory (JPL) to map surface elevation subsidence at the millimeter scale. Cali</w:t>
      </w:r>
      <w:r w:rsidR="006D1686">
        <w:rPr>
          <w:rFonts w:ascii="Garamond" w:eastAsia="Garamond" w:hAnsi="Garamond" w:cs="Garamond"/>
        </w:rPr>
        <w:t>fornia DWR</w:t>
      </w:r>
      <w:r>
        <w:rPr>
          <w:rFonts w:ascii="Garamond" w:eastAsia="Garamond" w:hAnsi="Garamond" w:cs="Garamond"/>
        </w:rPr>
        <w:t xml:space="preserve"> will be able to use the GRACE and InSAR data to confirm the validity of groundwater assessments and groundwater sustainability plans. The remotely sensed GRACE and InSAR data, coupled with in-situ groundwater and elevation data, will help build the capacity of the DWR to apply these methods in the future.</w:t>
      </w:r>
    </w:p>
    <w:p w14:paraId="5CBD7BC3" w14:textId="77777777" w:rsidR="00132F11" w:rsidRDefault="00132F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6C41D9E1" w14:textId="77777777" w:rsidR="00132F11" w:rsidRDefault="00B2238F">
      <w:pPr>
        <w:pBdr>
          <w:top w:val="nil"/>
          <w:left w:val="nil"/>
          <w:bottom w:val="nil"/>
          <w:right w:val="nil"/>
          <w:between w:val="nil"/>
        </w:pBdr>
        <w:spacing w:after="0" w:line="240" w:lineRule="auto"/>
        <w:rPr>
          <w:rFonts w:ascii="Garamond" w:eastAsia="Garamond" w:hAnsi="Garamond" w:cs="Garamond"/>
          <w:i/>
        </w:rPr>
      </w:pPr>
      <w:r>
        <w:rPr>
          <w:rFonts w:ascii="Garamond" w:eastAsia="Garamond" w:hAnsi="Garamond" w:cs="Garamond"/>
          <w:i/>
        </w:rPr>
        <w:t xml:space="preserve">2.1.1 </w:t>
      </w:r>
      <w:r>
        <w:rPr>
          <w:rFonts w:ascii="Garamond" w:eastAsia="Garamond" w:hAnsi="Garamond" w:cs="Garamond"/>
          <w:i/>
          <w:color w:val="000000"/>
        </w:rPr>
        <w:t xml:space="preserve">Geologic and </w:t>
      </w:r>
      <w:r>
        <w:rPr>
          <w:rFonts w:ascii="Garamond" w:eastAsia="Garamond" w:hAnsi="Garamond" w:cs="Garamond"/>
          <w:i/>
        </w:rPr>
        <w:t xml:space="preserve">Hydrologic </w:t>
      </w:r>
      <w:r>
        <w:rPr>
          <w:rFonts w:ascii="Garamond" w:eastAsia="Garamond" w:hAnsi="Garamond" w:cs="Garamond"/>
          <w:i/>
          <w:color w:val="000000"/>
        </w:rPr>
        <w:t>Setting</w:t>
      </w:r>
    </w:p>
    <w:p w14:paraId="3550781D" w14:textId="77777777" w:rsidR="00132F11" w:rsidRDefault="00B2238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Garamond" w:eastAsia="Garamond" w:hAnsi="Garamond" w:cs="Garamond"/>
          <w:color w:val="000000"/>
        </w:rPr>
        <w:t>The Central Valley is a sediment-filled structural trough located between the Coast Ranges to the west and the Sierra Nevada mountains to the east. The consolidated crystalline rocks of the mountains surrounding the Central Valley act as a bowl, collecting and storing water in underground aquifers made up of unconsolidated marine, deltaic, and c</w:t>
      </w:r>
      <w:r>
        <w:rPr>
          <w:rFonts w:ascii="Garamond" w:eastAsia="Garamond" w:hAnsi="Garamond" w:cs="Garamond"/>
        </w:rPr>
        <w:t xml:space="preserve">lastic </w:t>
      </w:r>
      <w:r>
        <w:rPr>
          <w:rFonts w:ascii="Garamond" w:eastAsia="Garamond" w:hAnsi="Garamond" w:cs="Garamond"/>
          <w:color w:val="000000"/>
        </w:rPr>
        <w:t>sediment.</w:t>
      </w:r>
      <w:r>
        <w:rPr>
          <w:rFonts w:ascii="Garamond" w:eastAsia="Garamond" w:hAnsi="Garamond" w:cs="Garamond"/>
        </w:rPr>
        <w:t xml:space="preserve"> Due to the western dip of the Sierra Nevada block, the sediment thickness ranges from zero meters on the eastern edge to more than fifteen kilometers on the western edge (Faunt, 2009). </w:t>
      </w:r>
      <w:r>
        <w:rPr>
          <w:rFonts w:ascii="Garamond" w:eastAsia="Garamond" w:hAnsi="Garamond" w:cs="Garamond"/>
        </w:rPr>
        <w:lastRenderedPageBreak/>
        <w:t>The Central Valley aquifer system is made up of confined, unconfined, and semi-confined aquifers</w:t>
      </w:r>
      <w:r>
        <w:rPr>
          <w:rFonts w:ascii="Garamond" w:eastAsia="Garamond" w:hAnsi="Garamond" w:cs="Garamond"/>
          <w:color w:val="000000"/>
        </w:rPr>
        <w:t xml:space="preserve">. </w:t>
      </w:r>
      <w:r>
        <w:rPr>
          <w:rFonts w:ascii="Garamond" w:eastAsia="Garamond" w:hAnsi="Garamond" w:cs="Garamond"/>
        </w:rPr>
        <w:t xml:space="preserve">The Corcoran Clay, extending throughout the southern and central area of the Central Valley, makes up approximately half of the sediment fill within the valley. See </w:t>
      </w:r>
      <w:r>
        <w:rPr>
          <w:rFonts w:ascii="Garamond" w:eastAsia="Garamond" w:hAnsi="Garamond" w:cs="Garamond"/>
          <w:i/>
        </w:rPr>
        <w:t>Figure 1</w:t>
      </w:r>
      <w:r>
        <w:rPr>
          <w:rFonts w:ascii="Garamond" w:eastAsia="Garamond" w:hAnsi="Garamond" w:cs="Garamond"/>
        </w:rPr>
        <w:t xml:space="preserve"> for an overview of the study area, including the extent of the study area.</w:t>
      </w:r>
    </w:p>
    <w:p w14:paraId="6B1CAF3F" w14:textId="77777777" w:rsidR="00132F11" w:rsidRDefault="00132F11">
      <w:pPr>
        <w:spacing w:after="0" w:line="240" w:lineRule="auto"/>
        <w:jc w:val="both"/>
      </w:pPr>
    </w:p>
    <w:p w14:paraId="467C055D" w14:textId="2B580A99" w:rsidR="00132F11" w:rsidRDefault="00B2238F">
      <w:pPr>
        <w:pBdr>
          <w:top w:val="nil"/>
          <w:left w:val="nil"/>
          <w:bottom w:val="nil"/>
          <w:right w:val="nil"/>
          <w:between w:val="nil"/>
        </w:pBdr>
        <w:spacing w:after="0" w:line="240" w:lineRule="auto"/>
        <w:jc w:val="both"/>
        <w:rPr>
          <w:rFonts w:ascii="Garamond" w:eastAsia="Garamond" w:hAnsi="Garamond" w:cs="Garamond"/>
          <w:color w:val="000000"/>
        </w:rPr>
      </w:pPr>
      <w:r>
        <w:rPr>
          <w:rFonts w:ascii="Garamond" w:eastAsia="Garamond" w:hAnsi="Garamond" w:cs="Garamond"/>
          <w:color w:val="000000"/>
        </w:rPr>
        <w:t>Aquifers of the Central Valley are naturally recharged from precipitation, stream seepage, snowmelt, and channel runoff from the surrounding mountains, with the majority of recharge taking place at the margins of the valley as water flows towards lower elevation. Natural discharge of the aquifers flow</w:t>
      </w:r>
      <w:r w:rsidR="00F0061A">
        <w:rPr>
          <w:rFonts w:ascii="Garamond" w:eastAsia="Garamond" w:hAnsi="Garamond" w:cs="Garamond"/>
          <w:color w:val="000000"/>
        </w:rPr>
        <w:t>s</w:t>
      </w:r>
      <w:r>
        <w:rPr>
          <w:rFonts w:ascii="Garamond" w:eastAsia="Garamond" w:hAnsi="Garamond" w:cs="Garamond"/>
          <w:color w:val="000000"/>
        </w:rPr>
        <w:t xml:space="preserve"> into lakes, marshes, and rivers near the central axis of the valley (Faunt, 2009). Unnatural discharge of the aquifer is due to human</w:t>
      </w:r>
      <w:r w:rsidR="00F0061A">
        <w:rPr>
          <w:rFonts w:ascii="Garamond" w:eastAsia="Garamond" w:hAnsi="Garamond" w:cs="Garamond"/>
          <w:color w:val="000000"/>
        </w:rPr>
        <w:t>-</w:t>
      </w:r>
      <w:r>
        <w:rPr>
          <w:rFonts w:ascii="Garamond" w:eastAsia="Garamond" w:hAnsi="Garamond" w:cs="Garamond"/>
          <w:color w:val="000000"/>
        </w:rPr>
        <w:t>induced pumping for public and agricultural use</w:t>
      </w:r>
      <w:r>
        <w:rPr>
          <w:rFonts w:ascii="Garamond" w:eastAsia="Garamond" w:hAnsi="Garamond" w:cs="Garamond"/>
        </w:rPr>
        <w:t>.</w:t>
      </w:r>
      <w:r>
        <w:rPr>
          <w:rFonts w:ascii="Garamond" w:eastAsia="Garamond" w:hAnsi="Garamond" w:cs="Garamond"/>
          <w:color w:val="FF0000"/>
        </w:rPr>
        <w:t xml:space="preserve"> </w:t>
      </w:r>
      <w:r>
        <w:rPr>
          <w:rFonts w:ascii="Garamond" w:eastAsia="Garamond" w:hAnsi="Garamond" w:cs="Garamond"/>
          <w:color w:val="000000"/>
        </w:rPr>
        <w:t xml:space="preserve">Land surface subsidence in the Central Valley occurs when subsurface pore pressure is exceeded by the pressure of overlying material, often as a result of groundwater depletion. </w:t>
      </w:r>
      <w:r>
        <w:rPr>
          <w:rFonts w:ascii="Garamond" w:eastAsia="Garamond" w:hAnsi="Garamond" w:cs="Garamond"/>
        </w:rPr>
        <w:t>This loss in surface elevation can be recovered during elastic subsidence, while the loss of surface elevation is permanent during inelastic subsidence. In</w:t>
      </w:r>
      <w:r>
        <w:rPr>
          <w:rFonts w:ascii="Garamond" w:eastAsia="Garamond" w:hAnsi="Garamond" w:cs="Garamond"/>
          <w:color w:val="000000"/>
        </w:rPr>
        <w:t xml:space="preserve">elastic subsidence </w:t>
      </w:r>
      <w:r>
        <w:rPr>
          <w:rFonts w:ascii="Garamond" w:eastAsia="Garamond" w:hAnsi="Garamond" w:cs="Garamond"/>
        </w:rPr>
        <w:t>permanently</w:t>
      </w:r>
      <w:r>
        <w:rPr>
          <w:rFonts w:ascii="Garamond" w:eastAsia="Garamond" w:hAnsi="Garamond" w:cs="Garamond"/>
          <w:color w:val="000000"/>
        </w:rPr>
        <w:t xml:space="preserve"> reduces the total volume of water that can be stored within </w:t>
      </w:r>
      <w:r>
        <w:rPr>
          <w:rFonts w:ascii="Garamond" w:eastAsia="Garamond" w:hAnsi="Garamond" w:cs="Garamond"/>
        </w:rPr>
        <w:t xml:space="preserve">an </w:t>
      </w:r>
      <w:r>
        <w:rPr>
          <w:rFonts w:ascii="Garamond" w:eastAsia="Garamond" w:hAnsi="Garamond" w:cs="Garamond"/>
          <w:color w:val="000000"/>
        </w:rPr>
        <w:t>aquifer.</w:t>
      </w:r>
      <w:r>
        <w:rPr>
          <w:rFonts w:ascii="Garamond" w:eastAsia="Garamond" w:hAnsi="Garamond" w:cs="Garamond"/>
        </w:rPr>
        <w:t xml:space="preserve"> Over extended periods of time, as large volumes of water are pumped out for public and agricultural use, the Central Valley experiences greater subsidence more quickly than would naturally occur. </w:t>
      </w:r>
      <w:r>
        <w:rPr>
          <w:rFonts w:ascii="Garamond" w:eastAsia="Garamond" w:hAnsi="Garamond" w:cs="Garamond"/>
          <w:color w:val="000000"/>
        </w:rPr>
        <w:t xml:space="preserve">To ensure the health and longevity of the Central Valley water resources, groundwater storage and surface subsidence are monitored by in-situ water surface elevation from well data, ground surface elevation from </w:t>
      </w:r>
      <w:r>
        <w:rPr>
          <w:rFonts w:ascii="Garamond" w:eastAsia="Garamond" w:hAnsi="Garamond" w:cs="Garamond"/>
        </w:rPr>
        <w:t>GPS</w:t>
      </w:r>
      <w:r>
        <w:rPr>
          <w:rFonts w:ascii="Garamond" w:eastAsia="Garamond" w:hAnsi="Garamond" w:cs="Garamond"/>
          <w:color w:val="000000"/>
        </w:rPr>
        <w:t xml:space="preserve"> data, and remote sensing Earth observations of gravitational anomalies a</w:t>
      </w:r>
      <w:r>
        <w:rPr>
          <w:rFonts w:ascii="Garamond" w:eastAsia="Garamond" w:hAnsi="Garamond" w:cs="Garamond"/>
        </w:rPr>
        <w:t>nd elevation</w:t>
      </w:r>
      <w:r>
        <w:rPr>
          <w:rFonts w:ascii="Garamond" w:eastAsia="Garamond" w:hAnsi="Garamond" w:cs="Garamond"/>
          <w:color w:val="000000"/>
        </w:rPr>
        <w:t>. </w:t>
      </w:r>
    </w:p>
    <w:p w14:paraId="1EE695D5" w14:textId="77777777" w:rsidR="00132F11" w:rsidRDefault="00132F11">
      <w:pPr>
        <w:pBdr>
          <w:top w:val="nil"/>
          <w:left w:val="nil"/>
          <w:bottom w:val="nil"/>
          <w:right w:val="nil"/>
          <w:between w:val="nil"/>
        </w:pBdr>
        <w:spacing w:after="0" w:line="240" w:lineRule="auto"/>
        <w:jc w:val="both"/>
        <w:rPr>
          <w:rFonts w:ascii="Garamond" w:eastAsia="Garamond" w:hAnsi="Garamond" w:cs="Garamond"/>
        </w:rPr>
      </w:pPr>
    </w:p>
    <w:p w14:paraId="0F0EC614" w14:textId="77777777" w:rsidR="00132F11" w:rsidRDefault="00B2238F">
      <w:pPr>
        <w:spacing w:after="0" w:line="240" w:lineRule="auto"/>
        <w:rPr>
          <w:rFonts w:ascii="Garamond" w:eastAsia="Garamond" w:hAnsi="Garamond" w:cs="Garamond"/>
        </w:rPr>
      </w:pPr>
      <w:r>
        <w:rPr>
          <w:rFonts w:ascii="Garamond" w:eastAsia="Garamond" w:hAnsi="Garamond" w:cs="Garamond"/>
          <w:i/>
        </w:rPr>
        <w:t>2.1.2 Community Concerns</w:t>
      </w:r>
    </w:p>
    <w:p w14:paraId="44D19B7F" w14:textId="77777777" w:rsidR="00132F11" w:rsidRDefault="00B2238F">
      <w:pPr>
        <w:spacing w:after="0" w:line="240" w:lineRule="auto"/>
        <w:jc w:val="both"/>
        <w:rPr>
          <w:rFonts w:ascii="Garamond" w:eastAsia="Garamond" w:hAnsi="Garamond" w:cs="Garamond"/>
        </w:rPr>
      </w:pPr>
      <w:r>
        <w:rPr>
          <w:rFonts w:ascii="Garamond" w:eastAsia="Garamond" w:hAnsi="Garamond" w:cs="Garamond"/>
        </w:rPr>
        <w:t>Over the past two decades, the Central Valley has been acutely affected by the widespread California droughts</w:t>
      </w:r>
      <w:r>
        <w:rPr>
          <w:rFonts w:ascii="Garamond" w:eastAsia="Garamond" w:hAnsi="Garamond" w:cs="Garamond"/>
          <w:color w:val="FF0000"/>
        </w:rPr>
        <w:t xml:space="preserve"> </w:t>
      </w:r>
      <w:r>
        <w:rPr>
          <w:rFonts w:ascii="Garamond" w:eastAsia="Garamond" w:hAnsi="Garamond" w:cs="Garamond"/>
        </w:rPr>
        <w:t xml:space="preserve">(Faunt et al., 2016). The most recent drought was one of the most intense in California’s history, lasting 376 weeks, from December 27, 2011 to March 5, 2019. As a result of these droughts, as well as the agricultural and residential reliance on groundwater, the Central Valley aquifer was pumped at levels exceeding the rate of recharge from precipitation and runoff. This overdrafting has led to substantial drops in head pressure for many wells across the valley as well as land subsidence (Liu et al., 2019). </w:t>
      </w:r>
    </w:p>
    <w:p w14:paraId="384733C0" w14:textId="77777777" w:rsidR="00132F11" w:rsidRDefault="00132F11">
      <w:pPr>
        <w:spacing w:after="0" w:line="240" w:lineRule="auto"/>
        <w:jc w:val="both"/>
        <w:rPr>
          <w:rFonts w:ascii="Garamond" w:eastAsia="Garamond" w:hAnsi="Garamond" w:cs="Garamond"/>
        </w:rPr>
      </w:pPr>
    </w:p>
    <w:p w14:paraId="1E9913B6" w14:textId="3F023F30" w:rsidR="00132F11" w:rsidRDefault="00B2238F">
      <w:pPr>
        <w:spacing w:after="0" w:line="240" w:lineRule="auto"/>
        <w:jc w:val="both"/>
        <w:rPr>
          <w:rFonts w:ascii="Garamond" w:eastAsia="Garamond" w:hAnsi="Garamond" w:cs="Garamond"/>
        </w:rPr>
      </w:pPr>
      <w:r>
        <w:rPr>
          <w:rFonts w:ascii="Garamond" w:eastAsia="Garamond" w:hAnsi="Garamond" w:cs="Garamond"/>
        </w:rPr>
        <w:t xml:space="preserve">In 2014, California Governor Jerry Brown signed the Sustainable Groundwater Management Act (SGMA) into law. With the threat of decreasing water levels, governments and water agencies of high and medium priority sub-basins are required by law to have a Groundwater Sustainability Plan (GSP) in place by 2024 and to bring groundwater storage into balanced levels of pumping and recharge by 2042. Critically overdrafted basins have goals to reach sustainable levels by the year 2040. Within each sub-basin, Groundwater Sustainability Agencies (GSAs) are responsible for enforcing local GSPs. See </w:t>
      </w:r>
      <w:r>
        <w:rPr>
          <w:rFonts w:ascii="Garamond" w:eastAsia="Garamond" w:hAnsi="Garamond" w:cs="Garamond"/>
          <w:i/>
        </w:rPr>
        <w:t>Figure 1</w:t>
      </w:r>
      <w:r>
        <w:rPr>
          <w:rFonts w:ascii="Garamond" w:eastAsia="Garamond" w:hAnsi="Garamond" w:cs="Garamond"/>
        </w:rPr>
        <w:t xml:space="preserve"> for each GSA’s SGMA groundwater sustainability priority level. Unfortunately, most California groundwater basins are unmanaged and pumping from basins is unmeasured to this day (Dickinson &amp; Pavley, 2014). </w:t>
      </w:r>
    </w:p>
    <w:p w14:paraId="7195E11D" w14:textId="77777777" w:rsidR="00132F11" w:rsidRDefault="00132F11">
      <w:pPr>
        <w:spacing w:after="0" w:line="240" w:lineRule="auto"/>
        <w:jc w:val="both"/>
        <w:rPr>
          <w:rFonts w:ascii="Garamond" w:eastAsia="Garamond" w:hAnsi="Garamond" w:cs="Garamond"/>
        </w:rPr>
      </w:pPr>
    </w:p>
    <w:p w14:paraId="1DEA17FD" w14:textId="77777777" w:rsidR="00132F11" w:rsidRDefault="00B2238F">
      <w:pPr>
        <w:spacing w:line="240" w:lineRule="auto"/>
        <w:jc w:val="center"/>
        <w:rPr>
          <w:rFonts w:ascii="Garamond" w:eastAsia="Garamond" w:hAnsi="Garamond" w:cs="Garamond"/>
          <w:i/>
        </w:rPr>
      </w:pPr>
      <w:r>
        <w:rPr>
          <w:rFonts w:ascii="Garamond" w:eastAsia="Garamond" w:hAnsi="Garamond" w:cs="Garamond"/>
          <w:i/>
          <w:noProof/>
        </w:rPr>
        <w:lastRenderedPageBreak/>
        <w:drawing>
          <wp:inline distT="114300" distB="114300" distL="114300" distR="114300" wp14:anchorId="123F4328" wp14:editId="20001F30">
            <wp:extent cx="2933700" cy="3424238"/>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2933700" cy="3424238"/>
                    </a:xfrm>
                    <a:prstGeom prst="rect">
                      <a:avLst/>
                    </a:prstGeom>
                    <a:ln/>
                  </pic:spPr>
                </pic:pic>
              </a:graphicData>
            </a:graphic>
          </wp:inline>
        </w:drawing>
      </w:r>
      <w:r>
        <w:rPr>
          <w:rFonts w:ascii="Garamond" w:eastAsia="Garamond" w:hAnsi="Garamond" w:cs="Garamond"/>
          <w:i/>
        </w:rPr>
        <w:t xml:space="preserve">   </w:t>
      </w:r>
      <w:r>
        <w:rPr>
          <w:rFonts w:ascii="Garamond" w:eastAsia="Garamond" w:hAnsi="Garamond" w:cs="Garamond"/>
          <w:noProof/>
        </w:rPr>
        <w:drawing>
          <wp:inline distT="114300" distB="114300" distL="114300" distR="114300" wp14:anchorId="3FB93D1E" wp14:editId="406A8915">
            <wp:extent cx="2743200" cy="3414713"/>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743200" cy="3414713"/>
                    </a:xfrm>
                    <a:prstGeom prst="rect">
                      <a:avLst/>
                    </a:prstGeom>
                    <a:ln/>
                  </pic:spPr>
                </pic:pic>
              </a:graphicData>
            </a:graphic>
          </wp:inline>
        </w:drawing>
      </w:r>
    </w:p>
    <w:p w14:paraId="38A70187" w14:textId="203254A8" w:rsidR="00132F11" w:rsidRDefault="00B2238F">
      <w:pPr>
        <w:spacing w:line="240" w:lineRule="auto"/>
        <w:ind w:left="180" w:right="180"/>
        <w:jc w:val="center"/>
        <w:rPr>
          <w:rFonts w:ascii="Garamond" w:eastAsia="Garamond" w:hAnsi="Garamond" w:cs="Garamond"/>
          <w:b/>
          <w:i/>
        </w:rPr>
      </w:pPr>
      <w:r>
        <w:rPr>
          <w:rFonts w:ascii="Garamond" w:eastAsia="Garamond" w:hAnsi="Garamond" w:cs="Garamond"/>
          <w:i/>
        </w:rPr>
        <w:t>Figure 1</w:t>
      </w:r>
      <w:r>
        <w:rPr>
          <w:rFonts w:ascii="Garamond" w:eastAsia="Garamond" w:hAnsi="Garamond" w:cs="Garamond"/>
        </w:rPr>
        <w:t>. Left: Map of the study area showing the location of the Central Valley within the context of the state of California, and a submap showing the Central Valley within the context of the continental United States. Right: Map of the DWR hydrologic sub-basins</w:t>
      </w:r>
      <w:r w:rsidR="009E6D2D">
        <w:rPr>
          <w:rFonts w:ascii="Garamond" w:eastAsia="Garamond" w:hAnsi="Garamond" w:cs="Garamond"/>
        </w:rPr>
        <w:t>. C</w:t>
      </w:r>
      <w:r>
        <w:rPr>
          <w:rFonts w:ascii="Garamond" w:eastAsia="Garamond" w:hAnsi="Garamond" w:cs="Garamond"/>
        </w:rPr>
        <w:t>olors indicate each Gro</w:t>
      </w:r>
      <w:r w:rsidR="009E6D2D">
        <w:rPr>
          <w:rFonts w:ascii="Garamond" w:eastAsia="Garamond" w:hAnsi="Garamond" w:cs="Garamond"/>
        </w:rPr>
        <w:t>undwater Sustainability Agency’s</w:t>
      </w:r>
      <w:r>
        <w:rPr>
          <w:rFonts w:ascii="Garamond" w:eastAsia="Garamond" w:hAnsi="Garamond" w:cs="Garamond"/>
        </w:rPr>
        <w:t xml:space="preserve"> (GSA) groundwater sustainability priority level. Very high priority sub-basins have been classified as critically overdrafted. </w:t>
      </w:r>
    </w:p>
    <w:p w14:paraId="79F26FDB" w14:textId="77777777" w:rsidR="00132F11" w:rsidRDefault="00B2238F">
      <w:pPr>
        <w:spacing w:after="0" w:line="240" w:lineRule="auto"/>
      </w:pPr>
      <w:r>
        <w:rPr>
          <w:rFonts w:ascii="Garamond" w:eastAsia="Garamond" w:hAnsi="Garamond" w:cs="Garamond"/>
          <w:b/>
          <w:i/>
          <w:color w:val="000000"/>
        </w:rPr>
        <w:t>2.2 Project Partners &amp; Objectives</w:t>
      </w:r>
    </w:p>
    <w:p w14:paraId="64BA2043" w14:textId="77777777" w:rsidR="00132F11" w:rsidRDefault="00B2238F">
      <w:pPr>
        <w:spacing w:after="0" w:line="240" w:lineRule="auto"/>
        <w:jc w:val="both"/>
        <w:rPr>
          <w:rFonts w:ascii="Garamond" w:eastAsia="Garamond" w:hAnsi="Garamond" w:cs="Garamond"/>
        </w:rPr>
      </w:pPr>
      <w:r>
        <w:rPr>
          <w:rFonts w:ascii="Garamond" w:eastAsia="Garamond" w:hAnsi="Garamond" w:cs="Garamond"/>
        </w:rPr>
        <w:t xml:space="preserve">This project partnered with the DWR, as well as collaborators from California State University, Los Angeles (CSU-LA), to determine the feasibility of using Earth observations to monitor groundwater storage change and land surface subsidence. See </w:t>
      </w:r>
      <w:r>
        <w:rPr>
          <w:rFonts w:ascii="Garamond" w:eastAsia="Garamond" w:hAnsi="Garamond" w:cs="Garamond"/>
          <w:i/>
        </w:rPr>
        <w:t>Table 1</w:t>
      </w:r>
      <w:r>
        <w:rPr>
          <w:rFonts w:ascii="Garamond" w:eastAsia="Garamond" w:hAnsi="Garamond" w:cs="Garamond"/>
        </w:rPr>
        <w:t xml:space="preserve"> for more information on project partners and collaborators.</w:t>
      </w:r>
    </w:p>
    <w:p w14:paraId="5374A658" w14:textId="77777777" w:rsidR="00132F11" w:rsidRDefault="00132F11">
      <w:pPr>
        <w:spacing w:after="0" w:line="240" w:lineRule="auto"/>
        <w:jc w:val="both"/>
        <w:rPr>
          <w:rFonts w:ascii="Garamond" w:eastAsia="Garamond" w:hAnsi="Garamond" w:cs="Garamond"/>
        </w:rPr>
      </w:pPr>
    </w:p>
    <w:p w14:paraId="3D1E6F69" w14:textId="77777777" w:rsidR="00132F11" w:rsidRDefault="00B2238F">
      <w:pPr>
        <w:spacing w:after="0" w:line="240" w:lineRule="auto"/>
        <w:jc w:val="both"/>
        <w:rPr>
          <w:rFonts w:ascii="Garamond" w:eastAsia="Garamond" w:hAnsi="Garamond" w:cs="Garamond"/>
        </w:rPr>
      </w:pPr>
      <w:r>
        <w:rPr>
          <w:rFonts w:ascii="Garamond" w:eastAsia="Garamond" w:hAnsi="Garamond" w:cs="Garamond"/>
        </w:rPr>
        <w:t>The California DWR has established 39 sub-basins and 188 GSAs in the Central Valley. Within sub-basins, local level GSAs are responsible for enacting and enforcing sustainable groundwater practices, with the ultimate goal of reaching sustainable levels in accordance with SGMA (Dickinson &amp; Pavley, 2014). The objective of this project was to assist California DWR’s South Central Region Office (SRCO), Southern Region Office (SRO), and North Central Region Office (NCRO) by providing remotely sensed estimates of terrestrial water storage and surface elevation change in the Central Valley region of California. The SCRO, SRO, and NCRO provide GSAs with in-situ groundwater and elevation data in populated areas; however, in-situ data is sparse in rural areas.</w:t>
      </w:r>
    </w:p>
    <w:p w14:paraId="53A4E922" w14:textId="77777777" w:rsidR="00132F11" w:rsidRDefault="00132F11">
      <w:pPr>
        <w:spacing w:after="0" w:line="240" w:lineRule="auto"/>
        <w:jc w:val="both"/>
        <w:rPr>
          <w:rFonts w:ascii="Garamond" w:eastAsia="Garamond" w:hAnsi="Garamond" w:cs="Garamond"/>
        </w:rPr>
      </w:pPr>
    </w:p>
    <w:p w14:paraId="78909CF5" w14:textId="77777777" w:rsidR="00132F11" w:rsidRDefault="00B2238F">
      <w:pPr>
        <w:spacing w:after="0" w:line="240" w:lineRule="auto"/>
        <w:rPr>
          <w:rFonts w:ascii="Garamond" w:eastAsia="Garamond" w:hAnsi="Garamond" w:cs="Garamond"/>
        </w:rPr>
      </w:pPr>
      <w:r>
        <w:rPr>
          <w:rFonts w:ascii="Garamond" w:eastAsia="Garamond" w:hAnsi="Garamond" w:cs="Garamond"/>
        </w:rPr>
        <w:t>Table 1</w:t>
      </w:r>
    </w:p>
    <w:p w14:paraId="5EE25A83" w14:textId="77777777" w:rsidR="00132F11" w:rsidRDefault="00B2238F">
      <w:pPr>
        <w:spacing w:after="0" w:line="240" w:lineRule="auto"/>
        <w:rPr>
          <w:rFonts w:ascii="Garamond" w:eastAsia="Garamond" w:hAnsi="Garamond" w:cs="Garamond"/>
          <w:i/>
        </w:rPr>
      </w:pPr>
      <w:r>
        <w:rPr>
          <w:rFonts w:ascii="Garamond" w:eastAsia="Garamond" w:hAnsi="Garamond" w:cs="Garamond"/>
          <w:i/>
        </w:rPr>
        <w:t>Partners involved in the project</w:t>
      </w:r>
    </w:p>
    <w:p w14:paraId="2CB74901" w14:textId="77777777" w:rsidR="00132F11" w:rsidRDefault="00132F11">
      <w:pPr>
        <w:spacing w:after="0" w:line="240" w:lineRule="auto"/>
        <w:rPr>
          <w:rFonts w:ascii="Garamond" w:eastAsia="Garamond" w:hAnsi="Garamond" w:cs="Garamond"/>
          <w:i/>
          <w:sz w:val="6"/>
          <w:szCs w:val="6"/>
        </w:rPr>
      </w:pPr>
    </w:p>
    <w:tbl>
      <w:tblPr>
        <w:tblStyle w:val="a2"/>
        <w:tblW w:w="936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0"/>
        <w:gridCol w:w="4785"/>
        <w:gridCol w:w="1515"/>
      </w:tblGrid>
      <w:tr w:rsidR="00132F11" w14:paraId="111D3F4C" w14:textId="77777777">
        <w:tc>
          <w:tcPr>
            <w:tcW w:w="306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0E78770B" w14:textId="77777777" w:rsidR="00132F11" w:rsidRDefault="00B2238F">
            <w:pPr>
              <w:rPr>
                <w:rFonts w:ascii="Garamond" w:eastAsia="Garamond" w:hAnsi="Garamond" w:cs="Garamond"/>
                <w:b/>
              </w:rPr>
            </w:pPr>
            <w:r>
              <w:rPr>
                <w:rFonts w:ascii="Garamond" w:eastAsia="Garamond" w:hAnsi="Garamond" w:cs="Garamond"/>
                <w:b/>
              </w:rPr>
              <w:t>Partner Organization</w:t>
            </w:r>
          </w:p>
        </w:tc>
        <w:tc>
          <w:tcPr>
            <w:tcW w:w="478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3E7BA601" w14:textId="77777777" w:rsidR="00132F11" w:rsidRDefault="00B2238F">
            <w:pPr>
              <w:rPr>
                <w:rFonts w:ascii="Garamond" w:eastAsia="Garamond" w:hAnsi="Garamond" w:cs="Garamond"/>
                <w:b/>
              </w:rPr>
            </w:pPr>
            <w:r>
              <w:rPr>
                <w:rFonts w:ascii="Garamond" w:eastAsia="Garamond" w:hAnsi="Garamond" w:cs="Garamond"/>
                <w:b/>
              </w:rPr>
              <w:t>Point of Contact</w:t>
            </w:r>
          </w:p>
        </w:tc>
        <w:tc>
          <w:tcPr>
            <w:tcW w:w="151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289C595E" w14:textId="77777777" w:rsidR="00132F11" w:rsidRDefault="00B2238F">
            <w:pPr>
              <w:rPr>
                <w:rFonts w:ascii="Garamond" w:eastAsia="Garamond" w:hAnsi="Garamond" w:cs="Garamond"/>
                <w:b/>
              </w:rPr>
            </w:pPr>
            <w:r>
              <w:rPr>
                <w:rFonts w:ascii="Garamond" w:eastAsia="Garamond" w:hAnsi="Garamond" w:cs="Garamond"/>
                <w:b/>
              </w:rPr>
              <w:t>Partner Role</w:t>
            </w:r>
          </w:p>
        </w:tc>
      </w:tr>
      <w:tr w:rsidR="00132F11" w14:paraId="3E5B7C35" w14:textId="77777777">
        <w:tc>
          <w:tcPr>
            <w:tcW w:w="306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2A11F96A" w14:textId="14925EA6" w:rsidR="00132F11" w:rsidRDefault="00B2238F">
            <w:pPr>
              <w:rPr>
                <w:rFonts w:ascii="Garamond" w:eastAsia="Garamond" w:hAnsi="Garamond" w:cs="Garamond"/>
              </w:rPr>
            </w:pPr>
            <w:r>
              <w:rPr>
                <w:rFonts w:ascii="Garamond" w:eastAsia="Garamond" w:hAnsi="Garamond" w:cs="Garamond"/>
              </w:rPr>
              <w:t>California, Department of Water Resourc</w:t>
            </w:r>
            <w:r w:rsidR="00F97731">
              <w:rPr>
                <w:rFonts w:ascii="Garamond" w:eastAsia="Garamond" w:hAnsi="Garamond" w:cs="Garamond"/>
              </w:rPr>
              <w:t>es, Southern Region Office</w:t>
            </w:r>
          </w:p>
        </w:tc>
        <w:tc>
          <w:tcPr>
            <w:tcW w:w="478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0E9A10D5" w14:textId="77777777" w:rsidR="00132F11" w:rsidRDefault="00B2238F">
            <w:pPr>
              <w:rPr>
                <w:rFonts w:ascii="Garamond" w:eastAsia="Garamond" w:hAnsi="Garamond" w:cs="Garamond"/>
              </w:rPr>
            </w:pPr>
            <w:r>
              <w:rPr>
                <w:rFonts w:ascii="Garamond" w:eastAsia="Garamond" w:hAnsi="Garamond" w:cs="Garamond"/>
              </w:rPr>
              <w:t>Timothy Ross, Ph.D., Senior Engineering Geologist, SRO Section Lead; Jack Tung, Engineering Geologist</w:t>
            </w:r>
          </w:p>
        </w:tc>
        <w:tc>
          <w:tcPr>
            <w:tcW w:w="151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47846D22" w14:textId="5DAC5DE0" w:rsidR="00132F11" w:rsidRDefault="00F97731">
            <w:pPr>
              <w:rPr>
                <w:rFonts w:ascii="Garamond" w:eastAsia="Garamond" w:hAnsi="Garamond" w:cs="Garamond"/>
              </w:rPr>
            </w:pPr>
            <w:r>
              <w:rPr>
                <w:rFonts w:ascii="Garamond" w:eastAsia="Garamond" w:hAnsi="Garamond" w:cs="Garamond"/>
              </w:rPr>
              <w:t xml:space="preserve">End </w:t>
            </w:r>
            <w:r w:rsidR="00B2238F">
              <w:rPr>
                <w:rFonts w:ascii="Garamond" w:eastAsia="Garamond" w:hAnsi="Garamond" w:cs="Garamond"/>
              </w:rPr>
              <w:t>User</w:t>
            </w:r>
          </w:p>
        </w:tc>
      </w:tr>
      <w:tr w:rsidR="00132F11" w14:paraId="470966E7" w14:textId="77777777">
        <w:tc>
          <w:tcPr>
            <w:tcW w:w="306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56B8C256" w14:textId="550EAD15" w:rsidR="00132F11" w:rsidRDefault="00B2238F">
            <w:pPr>
              <w:rPr>
                <w:rFonts w:ascii="Garamond" w:eastAsia="Garamond" w:hAnsi="Garamond" w:cs="Garamond"/>
              </w:rPr>
            </w:pPr>
            <w:r>
              <w:rPr>
                <w:rFonts w:ascii="Garamond" w:eastAsia="Garamond" w:hAnsi="Garamond" w:cs="Garamond"/>
              </w:rPr>
              <w:lastRenderedPageBreak/>
              <w:t>California, Department of Water Resources, No</w:t>
            </w:r>
            <w:r w:rsidR="00F97731">
              <w:rPr>
                <w:rFonts w:ascii="Garamond" w:eastAsia="Garamond" w:hAnsi="Garamond" w:cs="Garamond"/>
              </w:rPr>
              <w:t>rth Central Region Office</w:t>
            </w:r>
          </w:p>
        </w:tc>
        <w:tc>
          <w:tcPr>
            <w:tcW w:w="478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09044938" w14:textId="77777777" w:rsidR="00132F11" w:rsidRDefault="00B2238F">
            <w:pPr>
              <w:rPr>
                <w:rFonts w:ascii="Garamond" w:eastAsia="Garamond" w:hAnsi="Garamond" w:cs="Garamond"/>
              </w:rPr>
            </w:pPr>
            <w:r>
              <w:rPr>
                <w:rFonts w:ascii="Garamond" w:eastAsia="Garamond" w:hAnsi="Garamond" w:cs="Garamond"/>
              </w:rPr>
              <w:t>Bill Brewster, Senior Engineering Geologist, NCRO Section Lead</w:t>
            </w:r>
          </w:p>
        </w:tc>
        <w:tc>
          <w:tcPr>
            <w:tcW w:w="151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04799302" w14:textId="7A597FEE" w:rsidR="00132F11" w:rsidRDefault="00F97731">
            <w:pPr>
              <w:rPr>
                <w:rFonts w:ascii="Garamond" w:eastAsia="Garamond" w:hAnsi="Garamond" w:cs="Garamond"/>
              </w:rPr>
            </w:pPr>
            <w:r>
              <w:rPr>
                <w:rFonts w:ascii="Garamond" w:eastAsia="Garamond" w:hAnsi="Garamond" w:cs="Garamond"/>
              </w:rPr>
              <w:t xml:space="preserve">End </w:t>
            </w:r>
            <w:r w:rsidR="00B2238F">
              <w:rPr>
                <w:rFonts w:ascii="Garamond" w:eastAsia="Garamond" w:hAnsi="Garamond" w:cs="Garamond"/>
              </w:rPr>
              <w:t>User</w:t>
            </w:r>
          </w:p>
        </w:tc>
      </w:tr>
      <w:tr w:rsidR="00132F11" w14:paraId="2D841EAD" w14:textId="77777777">
        <w:tc>
          <w:tcPr>
            <w:tcW w:w="306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4EBD8814" w14:textId="75DB537A" w:rsidR="00132F11" w:rsidRDefault="00B2238F">
            <w:pPr>
              <w:rPr>
                <w:rFonts w:ascii="Garamond" w:eastAsia="Garamond" w:hAnsi="Garamond" w:cs="Garamond"/>
              </w:rPr>
            </w:pPr>
            <w:r>
              <w:rPr>
                <w:rFonts w:ascii="Garamond" w:eastAsia="Garamond" w:hAnsi="Garamond" w:cs="Garamond"/>
              </w:rPr>
              <w:t>California, Department of Water Resources, So</w:t>
            </w:r>
            <w:r w:rsidR="00F97731">
              <w:rPr>
                <w:rFonts w:ascii="Garamond" w:eastAsia="Garamond" w:hAnsi="Garamond" w:cs="Garamond"/>
              </w:rPr>
              <w:t>uth Central Region Office</w:t>
            </w:r>
          </w:p>
        </w:tc>
        <w:tc>
          <w:tcPr>
            <w:tcW w:w="478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581A5123" w14:textId="77777777" w:rsidR="00132F11" w:rsidRDefault="00B2238F">
            <w:pPr>
              <w:rPr>
                <w:rFonts w:ascii="Garamond" w:eastAsia="Garamond" w:hAnsi="Garamond" w:cs="Garamond"/>
              </w:rPr>
            </w:pPr>
            <w:r>
              <w:rPr>
                <w:rFonts w:ascii="Garamond" w:eastAsia="Garamond" w:hAnsi="Garamond" w:cs="Garamond"/>
              </w:rPr>
              <w:t>Mike McKenzie, Senior Engineering Geologist, SCRO Section Lead</w:t>
            </w:r>
          </w:p>
        </w:tc>
        <w:tc>
          <w:tcPr>
            <w:tcW w:w="151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04A79ECF" w14:textId="51DC3AE2" w:rsidR="00132F11" w:rsidRDefault="00F97731">
            <w:pPr>
              <w:rPr>
                <w:rFonts w:ascii="Garamond" w:eastAsia="Garamond" w:hAnsi="Garamond" w:cs="Garamond"/>
              </w:rPr>
            </w:pPr>
            <w:r>
              <w:rPr>
                <w:rFonts w:ascii="Garamond" w:eastAsia="Garamond" w:hAnsi="Garamond" w:cs="Garamond"/>
              </w:rPr>
              <w:t xml:space="preserve">End </w:t>
            </w:r>
            <w:r w:rsidR="00B2238F">
              <w:rPr>
                <w:rFonts w:ascii="Garamond" w:eastAsia="Garamond" w:hAnsi="Garamond" w:cs="Garamond"/>
              </w:rPr>
              <w:t>User</w:t>
            </w:r>
          </w:p>
        </w:tc>
      </w:tr>
      <w:tr w:rsidR="00132F11" w14:paraId="55A8F4EF" w14:textId="77777777">
        <w:tc>
          <w:tcPr>
            <w:tcW w:w="306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4099A485" w14:textId="7CD4925F" w:rsidR="00132F11" w:rsidRDefault="00B2238F">
            <w:pPr>
              <w:rPr>
                <w:rFonts w:ascii="Garamond" w:eastAsia="Garamond" w:hAnsi="Garamond" w:cs="Garamond"/>
              </w:rPr>
            </w:pPr>
            <w:r>
              <w:rPr>
                <w:rFonts w:ascii="Garamond" w:eastAsia="Garamond" w:hAnsi="Garamond" w:cs="Garamond"/>
              </w:rPr>
              <w:t>California State University, Los Ange</w:t>
            </w:r>
            <w:r w:rsidR="00F97731">
              <w:rPr>
                <w:rFonts w:ascii="Garamond" w:eastAsia="Garamond" w:hAnsi="Garamond" w:cs="Garamond"/>
              </w:rPr>
              <w:t>les</w:t>
            </w:r>
          </w:p>
        </w:tc>
        <w:tc>
          <w:tcPr>
            <w:tcW w:w="478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61495BB4" w14:textId="77777777" w:rsidR="00132F11" w:rsidRDefault="00B2238F">
            <w:pPr>
              <w:rPr>
                <w:rFonts w:ascii="Garamond" w:eastAsia="Garamond" w:hAnsi="Garamond" w:cs="Garamond"/>
              </w:rPr>
            </w:pPr>
            <w:r>
              <w:rPr>
                <w:rFonts w:ascii="Garamond" w:eastAsia="Garamond" w:hAnsi="Garamond" w:cs="Garamond"/>
              </w:rPr>
              <w:t>Charles Hays, Ph.D., Lecturer; Jingjing Li, Ph.D., Assistant Professor</w:t>
            </w:r>
          </w:p>
        </w:tc>
        <w:tc>
          <w:tcPr>
            <w:tcW w:w="151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564FFCFA" w14:textId="77777777" w:rsidR="00132F11" w:rsidRDefault="00B2238F">
            <w:pPr>
              <w:rPr>
                <w:rFonts w:ascii="Garamond" w:eastAsia="Garamond" w:hAnsi="Garamond" w:cs="Garamond"/>
              </w:rPr>
            </w:pPr>
            <w:r>
              <w:rPr>
                <w:rFonts w:ascii="Garamond" w:eastAsia="Garamond" w:hAnsi="Garamond" w:cs="Garamond"/>
              </w:rPr>
              <w:t>Collaborator</w:t>
            </w:r>
          </w:p>
        </w:tc>
      </w:tr>
    </w:tbl>
    <w:p w14:paraId="4DC9672A" w14:textId="77777777" w:rsidR="00132F11" w:rsidRDefault="00132F11">
      <w:pPr>
        <w:spacing w:after="0" w:line="240" w:lineRule="auto"/>
        <w:rPr>
          <w:rFonts w:ascii="Garamond" w:eastAsia="Garamond" w:hAnsi="Garamond" w:cs="Garamond"/>
        </w:rPr>
      </w:pPr>
    </w:p>
    <w:p w14:paraId="42879724" w14:textId="77777777" w:rsidR="00132F11" w:rsidRDefault="00B2238F">
      <w:pPr>
        <w:spacing w:after="0" w:line="240" w:lineRule="auto"/>
        <w:rPr>
          <w:rFonts w:ascii="Times New Roman" w:eastAsia="Times New Roman" w:hAnsi="Times New Roman" w:cs="Times New Roman"/>
          <w:sz w:val="24"/>
          <w:szCs w:val="24"/>
        </w:rPr>
      </w:pPr>
      <w:r>
        <w:rPr>
          <w:rFonts w:ascii="Garamond" w:eastAsia="Garamond" w:hAnsi="Garamond" w:cs="Garamond"/>
          <w:b/>
          <w:i/>
        </w:rPr>
        <w:t>2.3 Study Period</w:t>
      </w:r>
    </w:p>
    <w:p w14:paraId="66BE1498" w14:textId="77777777" w:rsidR="00132F11" w:rsidRDefault="00B2238F">
      <w:pPr>
        <w:spacing w:after="0" w:line="240" w:lineRule="auto"/>
        <w:jc w:val="both"/>
        <w:rPr>
          <w:rFonts w:ascii="Garamond" w:eastAsia="Garamond" w:hAnsi="Garamond" w:cs="Garamond"/>
        </w:rPr>
      </w:pPr>
      <w:r>
        <w:rPr>
          <w:rFonts w:ascii="Garamond" w:eastAsia="Garamond" w:hAnsi="Garamond" w:cs="Garamond"/>
        </w:rPr>
        <w:t xml:space="preserve">This study focused on the period between January 2003 - December 2019. This period was chosen due to the availability of GRACE/GRACE-FO data, which was launched in 2003. While in-situ well station data dates back several decades, data before 2003 were found to be spatially sparse, sporadically measured, and unreliable. As one of the main objectives of this project was to present DWR with groundwater depletion and land subsidence data with respect to individual GSAs since the implementation of SGMA, we chose a study period which paralleled those of sub-basin GSPs. Within the study period, dates leading up to, during, and following heavy drought seasons were of particular interest to study the groundwater storage susceptibility and resilience to overdrafting of the Central Valley aquifer. See </w:t>
      </w:r>
      <w:r>
        <w:rPr>
          <w:rFonts w:ascii="Garamond" w:eastAsia="Garamond" w:hAnsi="Garamond" w:cs="Garamond"/>
          <w:i/>
        </w:rPr>
        <w:t xml:space="preserve">Figure 2 </w:t>
      </w:r>
      <w:r>
        <w:rPr>
          <w:rFonts w:ascii="Garamond" w:eastAsia="Garamond" w:hAnsi="Garamond" w:cs="Garamond"/>
        </w:rPr>
        <w:t xml:space="preserve">for a timeline of the study period including time spans of droughts, SGMA, and data sets used in this study. </w:t>
      </w:r>
    </w:p>
    <w:p w14:paraId="2529073A" w14:textId="77777777" w:rsidR="00132F11" w:rsidRDefault="00132F11">
      <w:pPr>
        <w:spacing w:after="0" w:line="240" w:lineRule="auto"/>
        <w:jc w:val="both"/>
        <w:rPr>
          <w:rFonts w:ascii="Garamond" w:eastAsia="Garamond" w:hAnsi="Garamond" w:cs="Garamond"/>
        </w:rPr>
      </w:pPr>
    </w:p>
    <w:p w14:paraId="32070726" w14:textId="77777777" w:rsidR="00132F11" w:rsidRDefault="00B2238F">
      <w:pPr>
        <w:spacing w:after="0" w:line="240" w:lineRule="auto"/>
        <w:jc w:val="center"/>
        <w:rPr>
          <w:rFonts w:ascii="Garamond" w:eastAsia="Garamond" w:hAnsi="Garamond" w:cs="Garamond"/>
        </w:rPr>
      </w:pPr>
      <w:r>
        <w:rPr>
          <w:rFonts w:ascii="Garamond" w:eastAsia="Garamond" w:hAnsi="Garamond" w:cs="Garamond"/>
          <w:noProof/>
        </w:rPr>
        <w:drawing>
          <wp:inline distT="0" distB="0" distL="0" distR="0" wp14:anchorId="5219B4A8" wp14:editId="3F347C8E">
            <wp:extent cx="5853113" cy="2438400"/>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853113" cy="2438400"/>
                    </a:xfrm>
                    <a:prstGeom prst="rect">
                      <a:avLst/>
                    </a:prstGeom>
                    <a:ln/>
                  </pic:spPr>
                </pic:pic>
              </a:graphicData>
            </a:graphic>
          </wp:inline>
        </w:drawing>
      </w:r>
    </w:p>
    <w:p w14:paraId="52AA16CB" w14:textId="77777777" w:rsidR="00132F11" w:rsidRDefault="00132F11">
      <w:pPr>
        <w:spacing w:after="0" w:line="240" w:lineRule="auto"/>
        <w:jc w:val="center"/>
        <w:rPr>
          <w:rFonts w:ascii="Garamond" w:eastAsia="Garamond" w:hAnsi="Garamond" w:cs="Garamond"/>
        </w:rPr>
      </w:pPr>
    </w:p>
    <w:p w14:paraId="6239495A" w14:textId="342268A3" w:rsidR="00132F11" w:rsidRDefault="00B2238F">
      <w:pPr>
        <w:spacing w:after="0" w:line="240" w:lineRule="auto"/>
        <w:ind w:left="180" w:right="180"/>
        <w:jc w:val="center"/>
        <w:rPr>
          <w:rFonts w:ascii="Garamond" w:eastAsia="Garamond" w:hAnsi="Garamond" w:cs="Garamond"/>
        </w:rPr>
      </w:pPr>
      <w:r>
        <w:rPr>
          <w:rFonts w:ascii="Garamond" w:eastAsia="Garamond" w:hAnsi="Garamond" w:cs="Garamond"/>
          <w:i/>
        </w:rPr>
        <w:t xml:space="preserve">Figure 2. </w:t>
      </w:r>
      <w:r>
        <w:rPr>
          <w:rFonts w:ascii="Garamond" w:eastAsia="Garamond" w:hAnsi="Garamond" w:cs="Garamond"/>
        </w:rPr>
        <w:t>Timeline of the study period. Droughts: Timespan of major droughts in California. SGMA: SGMA enacted in 2014 requires all GSAs to have GSPs in place by 2022. GRACE: Timespan of GRACE and GRACE-FO data. InSAR: Timespan of Sentinel</w:t>
      </w:r>
      <w:r w:rsidR="00E31922">
        <w:rPr>
          <w:rFonts w:ascii="Garamond" w:eastAsia="Garamond" w:hAnsi="Garamond" w:cs="Garamond"/>
        </w:rPr>
        <w:t>-</w:t>
      </w:r>
      <w:r>
        <w:rPr>
          <w:rFonts w:ascii="Garamond" w:eastAsia="Garamond" w:hAnsi="Garamond" w:cs="Garamond"/>
        </w:rPr>
        <w:t>1 &amp; ALOS-2 InSAR data. In-Situ Data: In-situ well water surface elevation and GPS surface elevation data. Study Period: Timespan of data collected in this project. Shaded: All data included within the study period.</w:t>
      </w:r>
    </w:p>
    <w:p w14:paraId="4ABFF935" w14:textId="77777777" w:rsidR="00132F11" w:rsidRDefault="00132F11">
      <w:pPr>
        <w:spacing w:after="0" w:line="240" w:lineRule="auto"/>
        <w:ind w:left="180" w:right="180"/>
        <w:jc w:val="center"/>
        <w:rPr>
          <w:rFonts w:ascii="Garamond" w:eastAsia="Garamond" w:hAnsi="Garamond" w:cs="Garamond"/>
        </w:rPr>
      </w:pPr>
    </w:p>
    <w:p w14:paraId="41C8353B" w14:textId="77777777" w:rsidR="00132F11" w:rsidRDefault="00B2238F">
      <w:pPr>
        <w:pStyle w:val="Heading1"/>
        <w:spacing w:before="0" w:line="240" w:lineRule="auto"/>
        <w:rPr>
          <w:rFonts w:ascii="Garamond" w:eastAsia="Garamond" w:hAnsi="Garamond" w:cs="Garamond"/>
        </w:rPr>
      </w:pPr>
      <w:bookmarkStart w:id="0" w:name="_heading=h.30j0zll" w:colFirst="0" w:colLast="0"/>
      <w:bookmarkEnd w:id="0"/>
      <w:r>
        <w:rPr>
          <w:rFonts w:ascii="Garamond" w:eastAsia="Garamond" w:hAnsi="Garamond" w:cs="Garamond"/>
        </w:rPr>
        <w:t>3. Methodology</w:t>
      </w:r>
    </w:p>
    <w:p w14:paraId="38AEDD25" w14:textId="77777777" w:rsidR="00132F11" w:rsidRDefault="00B2238F">
      <w:pPr>
        <w:spacing w:after="0" w:line="240" w:lineRule="auto"/>
        <w:rPr>
          <w:rFonts w:ascii="Garamond" w:eastAsia="Garamond" w:hAnsi="Garamond" w:cs="Garamond"/>
          <w:b/>
          <w:i/>
        </w:rPr>
      </w:pPr>
      <w:r>
        <w:rPr>
          <w:rFonts w:ascii="Garamond" w:eastAsia="Garamond" w:hAnsi="Garamond" w:cs="Garamond"/>
          <w:b/>
          <w:i/>
        </w:rPr>
        <w:t xml:space="preserve">3.1 Data Acquisition </w:t>
      </w:r>
    </w:p>
    <w:p w14:paraId="27669D93" w14:textId="77777777" w:rsidR="00132F11" w:rsidRDefault="00B2238F">
      <w:pPr>
        <w:pBdr>
          <w:top w:val="nil"/>
          <w:left w:val="nil"/>
          <w:bottom w:val="nil"/>
          <w:right w:val="nil"/>
          <w:between w:val="nil"/>
        </w:pBdr>
        <w:spacing w:after="0" w:line="240" w:lineRule="auto"/>
        <w:jc w:val="both"/>
        <w:rPr>
          <w:rFonts w:ascii="Garamond" w:eastAsia="Garamond" w:hAnsi="Garamond" w:cs="Garamond"/>
          <w:color w:val="000000"/>
        </w:rPr>
      </w:pPr>
      <w:r>
        <w:rPr>
          <w:rFonts w:ascii="Garamond" w:eastAsia="Garamond" w:hAnsi="Garamond" w:cs="Garamond"/>
        </w:rPr>
        <w:t xml:space="preserve">A shapefile </w:t>
      </w:r>
      <w:r>
        <w:rPr>
          <w:rFonts w:ascii="Garamond" w:eastAsia="Garamond" w:hAnsi="Garamond" w:cs="Garamond"/>
          <w:color w:val="000000"/>
        </w:rPr>
        <w:t xml:space="preserve">containing basins, </w:t>
      </w:r>
      <w:r>
        <w:rPr>
          <w:rFonts w:ascii="Garamond" w:eastAsia="Garamond" w:hAnsi="Garamond" w:cs="Garamond"/>
        </w:rPr>
        <w:t>sub-basin</w:t>
      </w:r>
      <w:r>
        <w:rPr>
          <w:rFonts w:ascii="Garamond" w:eastAsia="Garamond" w:hAnsi="Garamond" w:cs="Garamond"/>
          <w:color w:val="000000"/>
        </w:rPr>
        <w:t xml:space="preserve">s, and GSAs within the Central Valley was acquired through the California DWR Bulletin 118 and associated Open Data Portal. The team located in-situ well and </w:t>
      </w:r>
      <w:r>
        <w:rPr>
          <w:rFonts w:ascii="Garamond" w:eastAsia="Garamond" w:hAnsi="Garamond" w:cs="Garamond"/>
        </w:rPr>
        <w:t>GPS</w:t>
      </w:r>
      <w:r>
        <w:rPr>
          <w:rFonts w:ascii="Garamond" w:eastAsia="Garamond" w:hAnsi="Garamond" w:cs="Garamond"/>
          <w:color w:val="000000"/>
        </w:rPr>
        <w:t xml:space="preserve"> station measurements </w:t>
      </w:r>
      <w:r>
        <w:rPr>
          <w:rFonts w:ascii="Garamond" w:eastAsia="Garamond" w:hAnsi="Garamond" w:cs="Garamond"/>
        </w:rPr>
        <w:t xml:space="preserve">from </w:t>
      </w:r>
      <w:r>
        <w:rPr>
          <w:rFonts w:ascii="Garamond" w:eastAsia="Garamond" w:hAnsi="Garamond" w:cs="Garamond"/>
          <w:color w:val="000000"/>
        </w:rPr>
        <w:t xml:space="preserve">the DWR and </w:t>
      </w:r>
      <w:r>
        <w:rPr>
          <w:rFonts w:ascii="Garamond" w:eastAsia="Garamond" w:hAnsi="Garamond" w:cs="Garamond"/>
        </w:rPr>
        <w:t>Nevada Geodetic Laboratory (NGL)</w:t>
      </w:r>
      <w:r>
        <w:rPr>
          <w:rFonts w:ascii="Garamond" w:eastAsia="Garamond" w:hAnsi="Garamond" w:cs="Garamond"/>
          <w:color w:val="000000"/>
        </w:rPr>
        <w:t xml:space="preserve"> databases, respectively. Within the </w:t>
      </w:r>
      <w:r>
        <w:rPr>
          <w:rFonts w:ascii="Garamond" w:eastAsia="Garamond" w:hAnsi="Garamond" w:cs="Garamond"/>
        </w:rPr>
        <w:t xml:space="preserve">California Statewide Groundwater Elevation Monitoring Program (CASGEM) </w:t>
      </w:r>
      <w:r>
        <w:rPr>
          <w:rFonts w:ascii="Garamond" w:eastAsia="Garamond" w:hAnsi="Garamond" w:cs="Garamond"/>
          <w:color w:val="000000"/>
        </w:rPr>
        <w:t>Open</w:t>
      </w:r>
      <w:r>
        <w:rPr>
          <w:rFonts w:ascii="Garamond" w:eastAsia="Garamond" w:hAnsi="Garamond" w:cs="Garamond"/>
        </w:rPr>
        <w:t xml:space="preserve"> Data Portal, the team found three datasets containing well measurements over the time period of our study: continuous, monthly, and periodic. For this study</w:t>
      </w:r>
      <w:r>
        <w:rPr>
          <w:rFonts w:ascii="Garamond" w:eastAsia="Garamond" w:hAnsi="Garamond" w:cs="Garamond"/>
          <w:color w:val="000000"/>
        </w:rPr>
        <w:t xml:space="preserve">, </w:t>
      </w:r>
      <w:r>
        <w:rPr>
          <w:rFonts w:ascii="Garamond" w:eastAsia="Garamond" w:hAnsi="Garamond" w:cs="Garamond"/>
        </w:rPr>
        <w:t xml:space="preserve">the team </w:t>
      </w:r>
      <w:r>
        <w:rPr>
          <w:rFonts w:ascii="Garamond" w:eastAsia="Garamond" w:hAnsi="Garamond" w:cs="Garamond"/>
          <w:color w:val="000000"/>
        </w:rPr>
        <w:t>use</w:t>
      </w:r>
      <w:r>
        <w:rPr>
          <w:rFonts w:ascii="Garamond" w:eastAsia="Garamond" w:hAnsi="Garamond" w:cs="Garamond"/>
        </w:rPr>
        <w:t>d a combination of</w:t>
      </w:r>
      <w:r>
        <w:rPr>
          <w:rFonts w:ascii="Garamond" w:eastAsia="Garamond" w:hAnsi="Garamond" w:cs="Garamond"/>
          <w:color w:val="000000"/>
        </w:rPr>
        <w:t xml:space="preserve"> DWR and USGS datasets</w:t>
      </w:r>
      <w:r>
        <w:rPr>
          <w:rFonts w:ascii="Garamond" w:eastAsia="Garamond" w:hAnsi="Garamond" w:cs="Garamond"/>
        </w:rPr>
        <w:t xml:space="preserve"> in order to provide the </w:t>
      </w:r>
      <w:r>
        <w:rPr>
          <w:rFonts w:ascii="Garamond" w:eastAsia="Garamond" w:hAnsi="Garamond" w:cs="Garamond"/>
        </w:rPr>
        <w:lastRenderedPageBreak/>
        <w:t>most</w:t>
      </w:r>
      <w:r>
        <w:rPr>
          <w:rFonts w:ascii="Garamond" w:eastAsia="Garamond" w:hAnsi="Garamond" w:cs="Garamond"/>
          <w:color w:val="000000"/>
        </w:rPr>
        <w:t xml:space="preserve"> consistent spatial and temporal coverage across th</w:t>
      </w:r>
      <w:r>
        <w:rPr>
          <w:rFonts w:ascii="Garamond" w:eastAsia="Garamond" w:hAnsi="Garamond" w:cs="Garamond"/>
        </w:rPr>
        <w:t xml:space="preserve">e </w:t>
      </w:r>
      <w:r>
        <w:rPr>
          <w:rFonts w:ascii="Garamond" w:eastAsia="Garamond" w:hAnsi="Garamond" w:cs="Garamond"/>
          <w:color w:val="000000"/>
        </w:rPr>
        <w:t>Central Valley. The well and GPS measurements include periodic measurements of water surface elevation (WSE) and ground surface elevation, respectively, over the study period and area</w:t>
      </w:r>
      <w:r>
        <w:rPr>
          <w:rFonts w:ascii="Garamond" w:eastAsia="Garamond" w:hAnsi="Garamond" w:cs="Garamond"/>
        </w:rPr>
        <w:t>.</w:t>
      </w:r>
      <w:r>
        <w:rPr>
          <w:rFonts w:ascii="Garamond" w:eastAsia="Garamond" w:hAnsi="Garamond" w:cs="Garamond"/>
          <w:color w:val="000000"/>
        </w:rPr>
        <w:t xml:space="preserve"> </w:t>
      </w:r>
    </w:p>
    <w:p w14:paraId="26B7CEAB" w14:textId="77777777" w:rsidR="00132F11" w:rsidRDefault="00132F11">
      <w:pPr>
        <w:pBdr>
          <w:top w:val="nil"/>
          <w:left w:val="nil"/>
          <w:bottom w:val="nil"/>
          <w:right w:val="nil"/>
          <w:between w:val="nil"/>
        </w:pBdr>
        <w:spacing w:after="0" w:line="240" w:lineRule="auto"/>
        <w:jc w:val="both"/>
        <w:rPr>
          <w:rFonts w:ascii="Garamond" w:eastAsia="Garamond" w:hAnsi="Garamond" w:cs="Garamond"/>
        </w:rPr>
      </w:pPr>
    </w:p>
    <w:p w14:paraId="74804DC9" w14:textId="219DF7E5" w:rsidR="00132F11" w:rsidRDefault="00B2238F">
      <w:pPr>
        <w:spacing w:after="0" w:line="240" w:lineRule="auto"/>
        <w:jc w:val="both"/>
        <w:rPr>
          <w:rFonts w:ascii="Garamond" w:eastAsia="Garamond" w:hAnsi="Garamond" w:cs="Garamond"/>
        </w:rPr>
      </w:pPr>
      <w:r>
        <w:rPr>
          <w:rFonts w:ascii="Garamond" w:eastAsia="Garamond" w:hAnsi="Garamond" w:cs="Garamond"/>
        </w:rPr>
        <w:t>The team acquired downscaled GRACE data from NASA’s Goddard Space</w:t>
      </w:r>
      <w:r w:rsidR="00E32CEB">
        <w:rPr>
          <w:rFonts w:ascii="Garamond" w:eastAsia="Garamond" w:hAnsi="Garamond" w:cs="Garamond"/>
        </w:rPr>
        <w:t xml:space="preserve"> Flight</w:t>
      </w:r>
      <w:r>
        <w:rPr>
          <w:rFonts w:ascii="Garamond" w:eastAsia="Garamond" w:hAnsi="Garamond" w:cs="Garamond"/>
        </w:rPr>
        <w:t xml:space="preserve"> Center. Originally collected by NASA’s GRACE and GRACE Follow</w:t>
      </w:r>
      <w:r w:rsidR="001147DD">
        <w:rPr>
          <w:rFonts w:ascii="Garamond" w:eastAsia="Garamond" w:hAnsi="Garamond" w:cs="Garamond"/>
        </w:rPr>
        <w:t>-</w:t>
      </w:r>
      <w:r>
        <w:rPr>
          <w:rFonts w:ascii="Garamond" w:eastAsia="Garamond" w:hAnsi="Garamond" w:cs="Garamond"/>
        </w:rPr>
        <w:t xml:space="preserve">On (GRACE-FO) missions, NASA’s Goddard Space Flight Center downscaled the satellite data to a </w:t>
      </w:r>
      <w:r w:rsidR="00304098">
        <w:rPr>
          <w:rFonts w:ascii="Garamond" w:eastAsia="Garamond" w:hAnsi="Garamond" w:cs="Garamond"/>
        </w:rPr>
        <w:t xml:space="preserve">spatial </w:t>
      </w:r>
      <w:r>
        <w:rPr>
          <w:rFonts w:ascii="Garamond" w:eastAsia="Garamond" w:hAnsi="Garamond" w:cs="Garamond"/>
        </w:rPr>
        <w:t>resolution of approximately 12.5</w:t>
      </w:r>
      <w:r w:rsidR="00304098">
        <w:rPr>
          <w:rFonts w:ascii="Garamond" w:eastAsia="Garamond" w:hAnsi="Garamond" w:cs="Garamond"/>
        </w:rPr>
        <w:t xml:space="preserve"> </w:t>
      </w:r>
      <w:r>
        <w:rPr>
          <w:rFonts w:ascii="Garamond" w:eastAsia="Garamond" w:hAnsi="Garamond" w:cs="Garamond"/>
        </w:rPr>
        <w:t>km per pixel using NASA’s North American Land Data Assimilation System (NLDAS) Version 2.</w:t>
      </w:r>
      <w:r w:rsidR="00304098">
        <w:rPr>
          <w:rFonts w:ascii="Garamond" w:eastAsia="Garamond" w:hAnsi="Garamond" w:cs="Garamond"/>
        </w:rPr>
        <w:t xml:space="preserve"> </w:t>
      </w:r>
      <w:r>
        <w:rPr>
          <w:rFonts w:ascii="Garamond" w:eastAsia="Garamond" w:hAnsi="Garamond" w:cs="Garamond"/>
        </w:rPr>
        <w:t>The team</w:t>
      </w:r>
      <w:r>
        <w:rPr>
          <w:rFonts w:ascii="Garamond" w:eastAsia="Garamond" w:hAnsi="Garamond" w:cs="Garamond"/>
          <w:color w:val="000000"/>
        </w:rPr>
        <w:t xml:space="preserve"> obtained processed interferograms of Sentinel-1 C-band Synthetic Aperture Radar (C-SAR) and Advanced Land Observing Sat</w:t>
      </w:r>
      <w:r>
        <w:rPr>
          <w:rFonts w:ascii="Garamond" w:eastAsia="Garamond" w:hAnsi="Garamond" w:cs="Garamond"/>
        </w:rPr>
        <w:t>ellite 2 (ALOS-2)</w:t>
      </w:r>
      <w:r>
        <w:rPr>
          <w:rFonts w:ascii="Garamond" w:eastAsia="Garamond" w:hAnsi="Garamond" w:cs="Garamond"/>
          <w:color w:val="000000"/>
        </w:rPr>
        <w:t xml:space="preserve"> Phase</w:t>
      </w:r>
      <w:r>
        <w:rPr>
          <w:rFonts w:ascii="Garamond" w:eastAsia="Garamond" w:hAnsi="Garamond" w:cs="Garamond"/>
        </w:rPr>
        <w:t>d Array L-Band Synthetic Aperture Radar</w:t>
      </w:r>
      <w:r w:rsidR="009478E9">
        <w:rPr>
          <w:rFonts w:ascii="Garamond" w:eastAsia="Garamond" w:hAnsi="Garamond" w:cs="Garamond"/>
        </w:rPr>
        <w:t xml:space="preserve"> 2</w:t>
      </w:r>
      <w:r>
        <w:rPr>
          <w:rFonts w:ascii="Garamond" w:eastAsia="Garamond" w:hAnsi="Garamond" w:cs="Garamond"/>
        </w:rPr>
        <w:t xml:space="preserve"> (PALSAR</w:t>
      </w:r>
      <w:r w:rsidR="009478E9">
        <w:rPr>
          <w:rFonts w:ascii="Garamond" w:eastAsia="Garamond" w:hAnsi="Garamond" w:cs="Garamond"/>
        </w:rPr>
        <w:t>-2</w:t>
      </w:r>
      <w:r>
        <w:rPr>
          <w:rFonts w:ascii="Garamond" w:eastAsia="Garamond" w:hAnsi="Garamond" w:cs="Garamond"/>
        </w:rPr>
        <w:t xml:space="preserve">) </w:t>
      </w:r>
      <w:r>
        <w:rPr>
          <w:rFonts w:ascii="Garamond" w:eastAsia="Garamond" w:hAnsi="Garamond" w:cs="Garamond"/>
          <w:color w:val="000000"/>
        </w:rPr>
        <w:t>data from</w:t>
      </w:r>
      <w:r>
        <w:rPr>
          <w:rFonts w:ascii="Garamond" w:eastAsia="Garamond" w:hAnsi="Garamond" w:cs="Garamond"/>
        </w:rPr>
        <w:t xml:space="preserve"> Dr. Zhen Liu at </w:t>
      </w:r>
      <w:r>
        <w:rPr>
          <w:rFonts w:ascii="Garamond" w:eastAsia="Garamond" w:hAnsi="Garamond" w:cs="Garamond"/>
          <w:color w:val="000000"/>
        </w:rPr>
        <w:t>NASA’s Jet Propulsion Laboratory (JPL). These InSAR datasets were collected by the European Space Agency’s (ESA) Sentinel-1 C-SAR</w:t>
      </w:r>
      <w:r>
        <w:rPr>
          <w:rFonts w:ascii="Garamond" w:eastAsia="Garamond" w:hAnsi="Garamond" w:cs="Garamond"/>
        </w:rPr>
        <w:t xml:space="preserve"> and Japanese Aerospace Exploration Agency’s (JAXA) ALOS-2 PALSAR</w:t>
      </w:r>
      <w:r w:rsidR="009478E9">
        <w:rPr>
          <w:rFonts w:ascii="Garamond" w:eastAsia="Garamond" w:hAnsi="Garamond" w:cs="Garamond"/>
        </w:rPr>
        <w:t>-2</w:t>
      </w:r>
      <w:r>
        <w:rPr>
          <w:rFonts w:ascii="Garamond" w:eastAsia="Garamond" w:hAnsi="Garamond" w:cs="Garamond"/>
        </w:rPr>
        <w:t xml:space="preserve"> </w:t>
      </w:r>
      <w:r>
        <w:rPr>
          <w:rFonts w:ascii="Garamond" w:eastAsia="Garamond" w:hAnsi="Garamond" w:cs="Garamond"/>
          <w:color w:val="000000"/>
        </w:rPr>
        <w:t>before being processed to produce raster</w:t>
      </w:r>
      <w:r>
        <w:rPr>
          <w:rFonts w:ascii="Garamond" w:eastAsia="Garamond" w:hAnsi="Garamond" w:cs="Garamond"/>
        </w:rPr>
        <w:t>ized data</w:t>
      </w:r>
      <w:r>
        <w:rPr>
          <w:rFonts w:ascii="Garamond" w:eastAsia="Garamond" w:hAnsi="Garamond" w:cs="Garamond"/>
          <w:color w:val="000000"/>
        </w:rPr>
        <w:t xml:space="preserve"> of land surface elevation change over time. </w:t>
      </w:r>
    </w:p>
    <w:p w14:paraId="793505C9" w14:textId="77777777" w:rsidR="00132F11" w:rsidRDefault="00132F11">
      <w:pPr>
        <w:pBdr>
          <w:top w:val="nil"/>
          <w:left w:val="nil"/>
          <w:bottom w:val="nil"/>
          <w:right w:val="nil"/>
          <w:between w:val="nil"/>
        </w:pBdr>
        <w:spacing w:after="0" w:line="240" w:lineRule="auto"/>
        <w:jc w:val="both"/>
        <w:rPr>
          <w:rFonts w:ascii="Garamond" w:eastAsia="Garamond" w:hAnsi="Garamond" w:cs="Garamond"/>
        </w:rPr>
      </w:pPr>
    </w:p>
    <w:p w14:paraId="022BF446" w14:textId="77777777" w:rsidR="00132F11" w:rsidRDefault="00B2238F">
      <w:pPr>
        <w:spacing w:after="0" w:line="240" w:lineRule="auto"/>
        <w:rPr>
          <w:rFonts w:ascii="Garamond" w:eastAsia="Garamond" w:hAnsi="Garamond" w:cs="Garamond"/>
          <w:b/>
          <w:i/>
        </w:rPr>
      </w:pPr>
      <w:r>
        <w:rPr>
          <w:rFonts w:ascii="Garamond" w:eastAsia="Garamond" w:hAnsi="Garamond" w:cs="Garamond"/>
          <w:b/>
          <w:i/>
        </w:rPr>
        <w:t>3.2 Data Processing</w:t>
      </w:r>
    </w:p>
    <w:p w14:paraId="6B46C578" w14:textId="77777777" w:rsidR="00132F11" w:rsidRDefault="00B2238F">
      <w:pPr>
        <w:spacing w:after="0" w:line="240" w:lineRule="auto"/>
        <w:rPr>
          <w:rFonts w:ascii="Garamond" w:eastAsia="Garamond" w:hAnsi="Garamond" w:cs="Garamond"/>
          <w:i/>
        </w:rPr>
      </w:pPr>
      <w:r>
        <w:rPr>
          <w:rFonts w:ascii="Garamond" w:eastAsia="Garamond" w:hAnsi="Garamond" w:cs="Garamond"/>
          <w:i/>
        </w:rPr>
        <w:t>3.2.1 In-situ groundwater well data</w:t>
      </w:r>
    </w:p>
    <w:p w14:paraId="15127499" w14:textId="7477BE3E" w:rsidR="00132F11" w:rsidRDefault="00B2238F">
      <w:pPr>
        <w:spacing w:after="0" w:line="240" w:lineRule="auto"/>
        <w:jc w:val="both"/>
        <w:rPr>
          <w:rFonts w:ascii="Garamond" w:eastAsia="Garamond" w:hAnsi="Garamond" w:cs="Garamond"/>
        </w:rPr>
      </w:pPr>
      <w:r>
        <w:rPr>
          <w:rFonts w:ascii="Garamond" w:eastAsia="Garamond" w:hAnsi="Garamond" w:cs="Garamond"/>
        </w:rPr>
        <w:t xml:space="preserve">Many in-situ groundwater observation databases exist for the state of California. However, well identification codes, data formatting and individual wells catalogued in each database are inconsistent. This creates a challenge in generating a holistic assessment of groundwater in the state of California. Here, the team integrated and merged selected wells across five in-situ groundwater well datasets obtained from the USGS and DWR. Two databases were obtained from DWR: </w:t>
      </w:r>
      <w:r w:rsidR="00AE7795">
        <w:rPr>
          <w:rFonts w:ascii="Garamond" w:eastAsia="Garamond" w:hAnsi="Garamond" w:cs="Garamond"/>
        </w:rPr>
        <w:t>Continuous Well Monitoring Data</w:t>
      </w:r>
      <w:r>
        <w:rPr>
          <w:rFonts w:ascii="Garamond" w:eastAsia="Garamond" w:hAnsi="Garamond" w:cs="Garamond"/>
        </w:rPr>
        <w:t xml:space="preserve"> and Periodic Well Monitoring Data. Three additional databases were accessed from the USGS: the groundwater level (GWL) database from the National Water Information System (NWIS), a subset of USGS wells documented in Liu et al. 2019, and the National Groundwater Monitoring Network, </w:t>
      </w:r>
      <w:r w:rsidR="00F0061A">
        <w:rPr>
          <w:rFonts w:ascii="Garamond" w:eastAsia="Garamond" w:hAnsi="Garamond" w:cs="Garamond"/>
        </w:rPr>
        <w:t xml:space="preserve">a </w:t>
      </w:r>
      <w:r>
        <w:rPr>
          <w:rFonts w:ascii="Garamond" w:eastAsia="Garamond" w:hAnsi="Garamond" w:cs="Garamond"/>
        </w:rPr>
        <w:t xml:space="preserve">product of Federal Advisory Committee on Water Information (ACWI NGWMN). See Table 2 for the total number of stations and observations per dataset. </w:t>
      </w:r>
    </w:p>
    <w:p w14:paraId="000FE0A3" w14:textId="77777777" w:rsidR="00132F11" w:rsidRDefault="00132F11">
      <w:pPr>
        <w:spacing w:after="0" w:line="240" w:lineRule="auto"/>
        <w:jc w:val="both"/>
        <w:rPr>
          <w:rFonts w:ascii="Garamond" w:eastAsia="Garamond" w:hAnsi="Garamond" w:cs="Garamond"/>
        </w:rPr>
      </w:pPr>
    </w:p>
    <w:p w14:paraId="7C297287" w14:textId="77777777" w:rsidR="00132F11" w:rsidRDefault="00B2238F">
      <w:pPr>
        <w:spacing w:after="0" w:line="240" w:lineRule="auto"/>
        <w:jc w:val="both"/>
        <w:rPr>
          <w:rFonts w:ascii="Garamond" w:eastAsia="Garamond" w:hAnsi="Garamond" w:cs="Garamond"/>
        </w:rPr>
      </w:pPr>
      <w:r>
        <w:rPr>
          <w:rFonts w:ascii="Garamond" w:eastAsia="Garamond" w:hAnsi="Garamond" w:cs="Garamond"/>
        </w:rPr>
        <w:t>Table 2</w:t>
      </w:r>
    </w:p>
    <w:p w14:paraId="5D1B906A" w14:textId="77777777" w:rsidR="00132F11" w:rsidRDefault="00B2238F">
      <w:pPr>
        <w:spacing w:after="0" w:line="240" w:lineRule="auto"/>
        <w:jc w:val="both"/>
        <w:rPr>
          <w:rFonts w:ascii="Garamond" w:eastAsia="Garamond" w:hAnsi="Garamond" w:cs="Garamond"/>
          <w:i/>
        </w:rPr>
      </w:pPr>
      <w:r>
        <w:rPr>
          <w:rFonts w:ascii="Garamond" w:eastAsia="Garamond" w:hAnsi="Garamond" w:cs="Garamond"/>
          <w:i/>
        </w:rPr>
        <w:t xml:space="preserve">Groundwater well input datasets. </w:t>
      </w:r>
    </w:p>
    <w:tbl>
      <w:tblPr>
        <w:tblStyle w:val="a3"/>
        <w:tblW w:w="933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2910"/>
        <w:gridCol w:w="3090"/>
      </w:tblGrid>
      <w:tr w:rsidR="00132F11" w14:paraId="1BA604A9" w14:textId="77777777">
        <w:tc>
          <w:tcPr>
            <w:tcW w:w="3330" w:type="dxa"/>
            <w:shd w:val="clear" w:color="auto" w:fill="auto"/>
            <w:tcMar>
              <w:top w:w="43" w:type="dxa"/>
              <w:left w:w="43" w:type="dxa"/>
              <w:bottom w:w="43" w:type="dxa"/>
              <w:right w:w="43" w:type="dxa"/>
            </w:tcMar>
          </w:tcPr>
          <w:p w14:paraId="0580253A" w14:textId="77777777" w:rsidR="00132F11" w:rsidRDefault="00B2238F">
            <w:pPr>
              <w:widowControl w:val="0"/>
              <w:pBdr>
                <w:top w:val="nil"/>
                <w:left w:val="nil"/>
                <w:bottom w:val="nil"/>
                <w:right w:val="nil"/>
                <w:between w:val="nil"/>
              </w:pBdr>
              <w:spacing w:after="0" w:line="240" w:lineRule="auto"/>
              <w:rPr>
                <w:rFonts w:ascii="Garamond" w:eastAsia="Garamond" w:hAnsi="Garamond" w:cs="Garamond"/>
                <w:b/>
              </w:rPr>
            </w:pPr>
            <w:r>
              <w:rPr>
                <w:rFonts w:ascii="Garamond" w:eastAsia="Garamond" w:hAnsi="Garamond" w:cs="Garamond"/>
                <w:b/>
              </w:rPr>
              <w:t>Dataset</w:t>
            </w:r>
          </w:p>
        </w:tc>
        <w:tc>
          <w:tcPr>
            <w:tcW w:w="2910" w:type="dxa"/>
            <w:shd w:val="clear" w:color="auto" w:fill="auto"/>
            <w:tcMar>
              <w:top w:w="43" w:type="dxa"/>
              <w:left w:w="43" w:type="dxa"/>
              <w:bottom w:w="43" w:type="dxa"/>
              <w:right w:w="43" w:type="dxa"/>
            </w:tcMar>
          </w:tcPr>
          <w:p w14:paraId="2020D912" w14:textId="77777777" w:rsidR="00132F11" w:rsidRDefault="00B2238F">
            <w:pPr>
              <w:widowControl w:val="0"/>
              <w:pBdr>
                <w:top w:val="nil"/>
                <w:left w:val="nil"/>
                <w:bottom w:val="nil"/>
                <w:right w:val="nil"/>
                <w:between w:val="nil"/>
              </w:pBdr>
              <w:spacing w:after="0" w:line="240" w:lineRule="auto"/>
              <w:rPr>
                <w:rFonts w:ascii="Garamond" w:eastAsia="Garamond" w:hAnsi="Garamond" w:cs="Garamond"/>
                <w:b/>
              </w:rPr>
            </w:pPr>
            <w:r>
              <w:rPr>
                <w:rFonts w:ascii="Garamond" w:eastAsia="Garamond" w:hAnsi="Garamond" w:cs="Garamond"/>
                <w:b/>
              </w:rPr>
              <w:t>Number of Stations</w:t>
            </w:r>
          </w:p>
        </w:tc>
        <w:tc>
          <w:tcPr>
            <w:tcW w:w="3090" w:type="dxa"/>
            <w:shd w:val="clear" w:color="auto" w:fill="auto"/>
            <w:tcMar>
              <w:top w:w="43" w:type="dxa"/>
              <w:left w:w="43" w:type="dxa"/>
              <w:bottom w:w="43" w:type="dxa"/>
              <w:right w:w="43" w:type="dxa"/>
            </w:tcMar>
          </w:tcPr>
          <w:p w14:paraId="27344774" w14:textId="77777777" w:rsidR="00132F11" w:rsidRDefault="00B2238F">
            <w:pPr>
              <w:widowControl w:val="0"/>
              <w:pBdr>
                <w:top w:val="nil"/>
                <w:left w:val="nil"/>
                <w:bottom w:val="nil"/>
                <w:right w:val="nil"/>
                <w:between w:val="nil"/>
              </w:pBdr>
              <w:spacing w:after="0" w:line="240" w:lineRule="auto"/>
              <w:rPr>
                <w:rFonts w:ascii="Garamond" w:eastAsia="Garamond" w:hAnsi="Garamond" w:cs="Garamond"/>
                <w:b/>
              </w:rPr>
            </w:pPr>
            <w:r>
              <w:rPr>
                <w:rFonts w:ascii="Garamond" w:eastAsia="Garamond" w:hAnsi="Garamond" w:cs="Garamond"/>
                <w:b/>
              </w:rPr>
              <w:t>Number of Observations</w:t>
            </w:r>
          </w:p>
        </w:tc>
      </w:tr>
      <w:tr w:rsidR="00132F11" w14:paraId="1714EA2E" w14:textId="77777777">
        <w:tc>
          <w:tcPr>
            <w:tcW w:w="3330" w:type="dxa"/>
            <w:shd w:val="clear" w:color="auto" w:fill="auto"/>
            <w:tcMar>
              <w:top w:w="43" w:type="dxa"/>
              <w:left w:w="43" w:type="dxa"/>
              <w:bottom w:w="43" w:type="dxa"/>
              <w:right w:w="43" w:type="dxa"/>
            </w:tcMar>
          </w:tcPr>
          <w:p w14:paraId="4B0D80DD" w14:textId="77777777" w:rsidR="00132F11" w:rsidRDefault="00B2238F">
            <w:pPr>
              <w:widowControl w:val="0"/>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DWR continuous daily</w:t>
            </w:r>
          </w:p>
        </w:tc>
        <w:tc>
          <w:tcPr>
            <w:tcW w:w="2910" w:type="dxa"/>
            <w:shd w:val="clear" w:color="auto" w:fill="auto"/>
            <w:tcMar>
              <w:top w:w="43" w:type="dxa"/>
              <w:left w:w="43" w:type="dxa"/>
              <w:bottom w:w="43" w:type="dxa"/>
              <w:right w:w="43" w:type="dxa"/>
            </w:tcMar>
          </w:tcPr>
          <w:p w14:paraId="60158456" w14:textId="77777777" w:rsidR="00132F11" w:rsidRDefault="00B2238F">
            <w:pPr>
              <w:widowControl w:val="0"/>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407</w:t>
            </w:r>
          </w:p>
        </w:tc>
        <w:tc>
          <w:tcPr>
            <w:tcW w:w="3090" w:type="dxa"/>
            <w:shd w:val="clear" w:color="auto" w:fill="auto"/>
            <w:tcMar>
              <w:top w:w="43" w:type="dxa"/>
              <w:left w:w="43" w:type="dxa"/>
              <w:bottom w:w="43" w:type="dxa"/>
              <w:right w:w="43" w:type="dxa"/>
            </w:tcMar>
          </w:tcPr>
          <w:p w14:paraId="3482C038" w14:textId="77777777" w:rsidR="00132F11" w:rsidRDefault="00B2238F">
            <w:pPr>
              <w:widowControl w:val="0"/>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1158739</w:t>
            </w:r>
          </w:p>
        </w:tc>
      </w:tr>
      <w:tr w:rsidR="00132F11" w14:paraId="465C1C8C" w14:textId="77777777">
        <w:tc>
          <w:tcPr>
            <w:tcW w:w="3330" w:type="dxa"/>
            <w:shd w:val="clear" w:color="auto" w:fill="auto"/>
            <w:tcMar>
              <w:top w:w="43" w:type="dxa"/>
              <w:left w:w="43" w:type="dxa"/>
              <w:bottom w:w="43" w:type="dxa"/>
              <w:right w:w="43" w:type="dxa"/>
            </w:tcMar>
          </w:tcPr>
          <w:p w14:paraId="1868A547" w14:textId="77777777" w:rsidR="00132F11" w:rsidRDefault="00B2238F">
            <w:pPr>
              <w:widowControl w:val="0"/>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DWR periodic</w:t>
            </w:r>
          </w:p>
        </w:tc>
        <w:tc>
          <w:tcPr>
            <w:tcW w:w="2910" w:type="dxa"/>
            <w:shd w:val="clear" w:color="auto" w:fill="auto"/>
            <w:tcMar>
              <w:top w:w="43" w:type="dxa"/>
              <w:left w:w="43" w:type="dxa"/>
              <w:bottom w:w="43" w:type="dxa"/>
              <w:right w:w="43" w:type="dxa"/>
            </w:tcMar>
          </w:tcPr>
          <w:p w14:paraId="019961F9" w14:textId="77777777" w:rsidR="00132F11" w:rsidRDefault="00B2238F">
            <w:pPr>
              <w:widowControl w:val="0"/>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16279</w:t>
            </w:r>
          </w:p>
        </w:tc>
        <w:tc>
          <w:tcPr>
            <w:tcW w:w="3090" w:type="dxa"/>
            <w:shd w:val="clear" w:color="auto" w:fill="auto"/>
            <w:tcMar>
              <w:top w:w="43" w:type="dxa"/>
              <w:left w:w="43" w:type="dxa"/>
              <w:bottom w:w="43" w:type="dxa"/>
              <w:right w:w="43" w:type="dxa"/>
            </w:tcMar>
          </w:tcPr>
          <w:p w14:paraId="74504460" w14:textId="77777777" w:rsidR="00132F11" w:rsidRDefault="00B2238F">
            <w:pPr>
              <w:widowControl w:val="0"/>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640274</w:t>
            </w:r>
          </w:p>
        </w:tc>
      </w:tr>
      <w:tr w:rsidR="00132F11" w14:paraId="4B11DB30" w14:textId="77777777">
        <w:tc>
          <w:tcPr>
            <w:tcW w:w="3330" w:type="dxa"/>
            <w:shd w:val="clear" w:color="auto" w:fill="auto"/>
            <w:tcMar>
              <w:top w:w="43" w:type="dxa"/>
              <w:left w:w="43" w:type="dxa"/>
              <w:bottom w:w="43" w:type="dxa"/>
              <w:right w:w="43" w:type="dxa"/>
            </w:tcMar>
          </w:tcPr>
          <w:p w14:paraId="56C00E09" w14:textId="77777777" w:rsidR="00132F11" w:rsidRDefault="00B2238F">
            <w:pPr>
              <w:widowControl w:val="0"/>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USGS GWL</w:t>
            </w:r>
          </w:p>
        </w:tc>
        <w:tc>
          <w:tcPr>
            <w:tcW w:w="2910" w:type="dxa"/>
            <w:shd w:val="clear" w:color="auto" w:fill="auto"/>
            <w:tcMar>
              <w:top w:w="43" w:type="dxa"/>
              <w:left w:w="43" w:type="dxa"/>
              <w:bottom w:w="43" w:type="dxa"/>
              <w:right w:w="43" w:type="dxa"/>
            </w:tcMar>
          </w:tcPr>
          <w:p w14:paraId="20E74DAE" w14:textId="77777777" w:rsidR="00132F11" w:rsidRDefault="00B2238F">
            <w:pPr>
              <w:widowControl w:val="0"/>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4003</w:t>
            </w:r>
          </w:p>
        </w:tc>
        <w:tc>
          <w:tcPr>
            <w:tcW w:w="3090" w:type="dxa"/>
            <w:shd w:val="clear" w:color="auto" w:fill="auto"/>
            <w:tcMar>
              <w:top w:w="43" w:type="dxa"/>
              <w:left w:w="43" w:type="dxa"/>
              <w:bottom w:w="43" w:type="dxa"/>
              <w:right w:w="43" w:type="dxa"/>
            </w:tcMar>
          </w:tcPr>
          <w:p w14:paraId="649BE0F4" w14:textId="77777777" w:rsidR="00132F11" w:rsidRDefault="00B2238F">
            <w:pPr>
              <w:widowControl w:val="0"/>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30000</w:t>
            </w:r>
          </w:p>
        </w:tc>
      </w:tr>
      <w:tr w:rsidR="00132F11" w14:paraId="6D4DB579" w14:textId="77777777">
        <w:tc>
          <w:tcPr>
            <w:tcW w:w="3330" w:type="dxa"/>
            <w:shd w:val="clear" w:color="auto" w:fill="auto"/>
            <w:tcMar>
              <w:top w:w="43" w:type="dxa"/>
              <w:left w:w="43" w:type="dxa"/>
              <w:bottom w:w="43" w:type="dxa"/>
              <w:right w:w="43" w:type="dxa"/>
            </w:tcMar>
          </w:tcPr>
          <w:p w14:paraId="0712A585" w14:textId="77777777" w:rsidR="00132F11" w:rsidRDefault="00B2238F">
            <w:pPr>
              <w:widowControl w:val="0"/>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[USGS] Liu et al. 2019</w:t>
            </w:r>
          </w:p>
        </w:tc>
        <w:tc>
          <w:tcPr>
            <w:tcW w:w="2910" w:type="dxa"/>
            <w:shd w:val="clear" w:color="auto" w:fill="auto"/>
            <w:tcMar>
              <w:top w:w="43" w:type="dxa"/>
              <w:left w:w="43" w:type="dxa"/>
              <w:bottom w:w="43" w:type="dxa"/>
              <w:right w:w="43" w:type="dxa"/>
            </w:tcMar>
          </w:tcPr>
          <w:p w14:paraId="71649410" w14:textId="77777777" w:rsidR="00132F11" w:rsidRDefault="00B2238F">
            <w:pPr>
              <w:widowControl w:val="0"/>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9</w:t>
            </w:r>
          </w:p>
        </w:tc>
        <w:tc>
          <w:tcPr>
            <w:tcW w:w="3090" w:type="dxa"/>
            <w:shd w:val="clear" w:color="auto" w:fill="auto"/>
            <w:tcMar>
              <w:top w:w="43" w:type="dxa"/>
              <w:left w:w="43" w:type="dxa"/>
              <w:bottom w:w="43" w:type="dxa"/>
              <w:right w:w="43" w:type="dxa"/>
            </w:tcMar>
          </w:tcPr>
          <w:p w14:paraId="3A912538" w14:textId="77777777" w:rsidR="00132F11" w:rsidRDefault="00B2238F">
            <w:pPr>
              <w:widowControl w:val="0"/>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540</w:t>
            </w:r>
          </w:p>
        </w:tc>
      </w:tr>
      <w:tr w:rsidR="00132F11" w14:paraId="0CEFBBD9" w14:textId="77777777">
        <w:trPr>
          <w:trHeight w:val="240"/>
        </w:trPr>
        <w:tc>
          <w:tcPr>
            <w:tcW w:w="3330" w:type="dxa"/>
            <w:shd w:val="clear" w:color="auto" w:fill="auto"/>
            <w:tcMar>
              <w:top w:w="43" w:type="dxa"/>
              <w:left w:w="43" w:type="dxa"/>
              <w:bottom w:w="43" w:type="dxa"/>
              <w:right w:w="43" w:type="dxa"/>
            </w:tcMar>
          </w:tcPr>
          <w:p w14:paraId="5937E4E2" w14:textId="77777777" w:rsidR="00132F11" w:rsidRDefault="00B2238F">
            <w:pPr>
              <w:widowControl w:val="0"/>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USGS-ACWI-NGWMN</w:t>
            </w:r>
          </w:p>
        </w:tc>
        <w:tc>
          <w:tcPr>
            <w:tcW w:w="2910" w:type="dxa"/>
            <w:shd w:val="clear" w:color="auto" w:fill="auto"/>
            <w:tcMar>
              <w:top w:w="43" w:type="dxa"/>
              <w:left w:w="43" w:type="dxa"/>
              <w:bottom w:w="43" w:type="dxa"/>
              <w:right w:w="43" w:type="dxa"/>
            </w:tcMar>
          </w:tcPr>
          <w:p w14:paraId="50548ABE" w14:textId="77777777" w:rsidR="00132F11" w:rsidRDefault="00B2238F">
            <w:pPr>
              <w:widowControl w:val="0"/>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60</w:t>
            </w:r>
          </w:p>
        </w:tc>
        <w:tc>
          <w:tcPr>
            <w:tcW w:w="3090" w:type="dxa"/>
            <w:shd w:val="clear" w:color="auto" w:fill="auto"/>
            <w:tcMar>
              <w:top w:w="43" w:type="dxa"/>
              <w:left w:w="43" w:type="dxa"/>
              <w:bottom w:w="43" w:type="dxa"/>
              <w:right w:w="43" w:type="dxa"/>
            </w:tcMar>
          </w:tcPr>
          <w:p w14:paraId="565B704A" w14:textId="77777777" w:rsidR="00132F11" w:rsidRDefault="00B2238F">
            <w:pPr>
              <w:widowControl w:val="0"/>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26383</w:t>
            </w:r>
          </w:p>
        </w:tc>
      </w:tr>
    </w:tbl>
    <w:p w14:paraId="64063C10" w14:textId="77777777" w:rsidR="00132F11" w:rsidRDefault="00132F11">
      <w:pPr>
        <w:spacing w:after="0" w:line="240" w:lineRule="auto"/>
        <w:jc w:val="both"/>
        <w:rPr>
          <w:rFonts w:ascii="Garamond" w:eastAsia="Garamond" w:hAnsi="Garamond" w:cs="Garamond"/>
        </w:rPr>
      </w:pPr>
    </w:p>
    <w:p w14:paraId="5E3B0F8C" w14:textId="6CD2CA8F" w:rsidR="00132F11" w:rsidRDefault="00B2238F">
      <w:pPr>
        <w:spacing w:after="0" w:line="240" w:lineRule="auto"/>
        <w:jc w:val="both"/>
        <w:rPr>
          <w:rFonts w:ascii="Garamond" w:eastAsia="Garamond" w:hAnsi="Garamond" w:cs="Garamond"/>
        </w:rPr>
      </w:pPr>
      <w:r>
        <w:rPr>
          <w:rFonts w:ascii="Garamond" w:eastAsia="Garamond" w:hAnsi="Garamond" w:cs="Garamond"/>
        </w:rPr>
        <w:t>Processing and cleaning of each database was conducted primarily based on quality assurance and quality control (QA/QC) codes provided with each database. Due to the large volume of data ingested, and the unique nature of each dataset, each dataset was quality controlled individually. Across all databases, only data passing quality control as designated by the collecting agency was included in this study (if QC were provided). Further cleaning was conducted to ensure internally consistent nomenclature. Missing data and erroneous recordings were removed to ensure uniformity in each database. Finally, data w</w:t>
      </w:r>
      <w:r w:rsidR="00F0061A">
        <w:rPr>
          <w:rFonts w:ascii="Garamond" w:eastAsia="Garamond" w:hAnsi="Garamond" w:cs="Garamond"/>
        </w:rPr>
        <w:t>ere</w:t>
      </w:r>
      <w:r>
        <w:rPr>
          <w:rFonts w:ascii="Garamond" w:eastAsia="Garamond" w:hAnsi="Garamond" w:cs="Garamond"/>
        </w:rPr>
        <w:t xml:space="preserve"> selected from January 1 2003</w:t>
      </w:r>
      <w:r w:rsidR="00AE0EDA">
        <w:rPr>
          <w:rFonts w:ascii="Garamond" w:eastAsia="Garamond" w:hAnsi="Garamond" w:cs="Garamond"/>
        </w:rPr>
        <w:t xml:space="preserve"> – December 31, 2019</w:t>
      </w:r>
      <w:commentRangeStart w:id="1"/>
      <w:commentRangeEnd w:id="1"/>
      <w:r>
        <w:rPr>
          <w:rFonts w:ascii="Garamond" w:eastAsia="Garamond" w:hAnsi="Garamond" w:cs="Garamond"/>
        </w:rPr>
        <w:t xml:space="preserve"> for evaluation in this study. Each dataset was then brought to a standard format and merged into a master database. However, it should be noted that USGS data and DWR do not have a shared groundwater identification nomenclature. Further, individual wells cannot be matched up or uniquely identified by location, as the GPS coordinates provided in each database do not provide sufficient resolution to avoid overlap. As a result, to identify a unique and consistent database for analysis that integrates all data sources, a gridding and scoring system was implemented to select the highest quality, unique data. </w:t>
      </w:r>
    </w:p>
    <w:p w14:paraId="1AD0509E" w14:textId="77777777" w:rsidR="00132F11" w:rsidRDefault="00132F11">
      <w:pPr>
        <w:spacing w:after="0" w:line="240" w:lineRule="auto"/>
        <w:rPr>
          <w:rFonts w:ascii="Garamond" w:eastAsia="Garamond" w:hAnsi="Garamond" w:cs="Garamond"/>
        </w:rPr>
      </w:pPr>
    </w:p>
    <w:p w14:paraId="44B1804F" w14:textId="0B1A0F6A" w:rsidR="00132F11" w:rsidRDefault="00B2238F">
      <w:pPr>
        <w:spacing w:after="0" w:line="240" w:lineRule="auto"/>
        <w:jc w:val="both"/>
        <w:rPr>
          <w:rFonts w:ascii="Garamond" w:eastAsia="Garamond" w:hAnsi="Garamond" w:cs="Garamond"/>
        </w:rPr>
      </w:pPr>
      <w:r>
        <w:rPr>
          <w:rFonts w:ascii="Garamond" w:eastAsia="Garamond" w:hAnsi="Garamond" w:cs="Garamond"/>
        </w:rPr>
        <w:lastRenderedPageBreak/>
        <w:t>An approximately 1 km grid system (1/100th decimal degree) was established for California. At each grid location, the master well database was queried to identify all wells at that location. A scoring system was then implemented to select a representative well based on the following criteria: number of observations, number of months in the study window with observations, and mean observations per month. Criteria were normalized across the available wells and uniformly weighted. See</w:t>
      </w:r>
      <w:r>
        <w:rPr>
          <w:rFonts w:ascii="Garamond" w:eastAsia="Garamond" w:hAnsi="Garamond" w:cs="Garamond"/>
          <w:i/>
        </w:rPr>
        <w:t xml:space="preserve"> Figure 3</w:t>
      </w:r>
      <w:r>
        <w:rPr>
          <w:rFonts w:ascii="Garamond" w:eastAsia="Garamond" w:hAnsi="Garamond" w:cs="Garamond"/>
        </w:rPr>
        <w:t xml:space="preserve"> for a visualization of the data aggregation and data selection with the scorecard method. The highest</w:t>
      </w:r>
      <w:r w:rsidR="00F0061A">
        <w:rPr>
          <w:rFonts w:ascii="Garamond" w:eastAsia="Garamond" w:hAnsi="Garamond" w:cs="Garamond"/>
        </w:rPr>
        <w:t>-</w:t>
      </w:r>
      <w:r>
        <w:rPr>
          <w:rFonts w:ascii="Garamond" w:eastAsia="Garamond" w:hAnsi="Garamond" w:cs="Garamond"/>
        </w:rPr>
        <w:t>ranking well was then selected as the groundwater observation representative of that grid cell. Through this method, we avoided duplication of well data across databases and maintained uniformity and consistency in spatial sampling. The criteria were selected to balance both quanti</w:t>
      </w:r>
      <w:r w:rsidR="00A96A48">
        <w:rPr>
          <w:rFonts w:ascii="Garamond" w:eastAsia="Garamond" w:hAnsi="Garamond" w:cs="Garamond"/>
        </w:rPr>
        <w:t>ty and temporal spread available data</w:t>
      </w:r>
      <w:r>
        <w:rPr>
          <w:rFonts w:ascii="Garamond" w:eastAsia="Garamond" w:hAnsi="Garamond" w:cs="Garamond"/>
        </w:rPr>
        <w:t xml:space="preserve"> at each location. Final well station locations used in this project are shown in </w:t>
      </w:r>
      <w:r>
        <w:rPr>
          <w:rFonts w:ascii="Garamond" w:eastAsia="Garamond" w:hAnsi="Garamond" w:cs="Garamond"/>
          <w:i/>
        </w:rPr>
        <w:t>Figure 4</w:t>
      </w:r>
      <w:r>
        <w:rPr>
          <w:rFonts w:ascii="Garamond" w:eastAsia="Garamond" w:hAnsi="Garamond" w:cs="Garamond"/>
        </w:rPr>
        <w:t xml:space="preserve">, with a qualitative look at the relative station density per sub-basin and the number of observations per station, and </w:t>
      </w:r>
      <w:r>
        <w:rPr>
          <w:rFonts w:ascii="Garamond" w:eastAsia="Garamond" w:hAnsi="Garamond" w:cs="Garamond"/>
          <w:i/>
        </w:rPr>
        <w:t>Table 3</w:t>
      </w:r>
      <w:r>
        <w:rPr>
          <w:rFonts w:ascii="Garamond" w:eastAsia="Garamond" w:hAnsi="Garamond" w:cs="Garamond"/>
        </w:rPr>
        <w:t xml:space="preserve"> for well station statistics. </w:t>
      </w:r>
    </w:p>
    <w:p w14:paraId="68943867" w14:textId="77777777" w:rsidR="00132F11" w:rsidRDefault="00B2238F">
      <w:pPr>
        <w:spacing w:after="0" w:line="240" w:lineRule="auto"/>
        <w:jc w:val="center"/>
        <w:rPr>
          <w:rFonts w:ascii="Garamond" w:eastAsia="Garamond" w:hAnsi="Garamond" w:cs="Garamond"/>
        </w:rPr>
      </w:pPr>
      <w:r>
        <w:rPr>
          <w:rFonts w:ascii="Garamond" w:eastAsia="Garamond" w:hAnsi="Garamond" w:cs="Garamond"/>
        </w:rPr>
        <w:t xml:space="preserve">         </w:t>
      </w:r>
      <w:r>
        <w:rPr>
          <w:rFonts w:ascii="Garamond" w:eastAsia="Garamond" w:hAnsi="Garamond" w:cs="Garamond"/>
          <w:noProof/>
        </w:rPr>
        <w:drawing>
          <wp:inline distT="114300" distB="114300" distL="114300" distR="114300" wp14:anchorId="5B9B2029" wp14:editId="692DB728">
            <wp:extent cx="4251988" cy="4043363"/>
            <wp:effectExtent l="0" t="0" r="0" b="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251988" cy="4043363"/>
                    </a:xfrm>
                    <a:prstGeom prst="rect">
                      <a:avLst/>
                    </a:prstGeom>
                    <a:ln/>
                  </pic:spPr>
                </pic:pic>
              </a:graphicData>
            </a:graphic>
          </wp:inline>
        </w:drawing>
      </w:r>
    </w:p>
    <w:p w14:paraId="1944C23A" w14:textId="77777777" w:rsidR="00132F11" w:rsidRDefault="00B2238F">
      <w:pPr>
        <w:spacing w:after="0" w:line="240" w:lineRule="auto"/>
        <w:ind w:left="180" w:right="180"/>
        <w:jc w:val="center"/>
        <w:rPr>
          <w:rFonts w:ascii="Garamond" w:eastAsia="Garamond" w:hAnsi="Garamond" w:cs="Garamond"/>
        </w:rPr>
      </w:pPr>
      <w:r>
        <w:rPr>
          <w:rFonts w:ascii="Garamond" w:eastAsia="Garamond" w:hAnsi="Garamond" w:cs="Garamond"/>
          <w:i/>
        </w:rPr>
        <w:t>Figure 3</w:t>
      </w:r>
      <w:r>
        <w:rPr>
          <w:rFonts w:ascii="Garamond" w:eastAsia="Garamond" w:hAnsi="Garamond" w:cs="Garamond"/>
        </w:rPr>
        <w:t>. Flow chart showing the datasets that were individually cleaned and processed and aggregated into a master database with a common index. Then a grid and scorecard method was applied to select the most appropriate well for analysis within each 1km</w:t>
      </w:r>
      <w:r>
        <w:rPr>
          <w:rFonts w:ascii="Garamond" w:eastAsia="Garamond" w:hAnsi="Garamond" w:cs="Garamond"/>
          <w:vertAlign w:val="superscript"/>
        </w:rPr>
        <w:t>2</w:t>
      </w:r>
      <w:r>
        <w:rPr>
          <w:rFonts w:ascii="Garamond" w:eastAsia="Garamond" w:hAnsi="Garamond" w:cs="Garamond"/>
        </w:rPr>
        <w:t xml:space="preserve"> cell. Highest scoring wells were then added to the analysis database.</w:t>
      </w:r>
    </w:p>
    <w:p w14:paraId="7DDBF9BE" w14:textId="77777777" w:rsidR="00132F11" w:rsidRDefault="00132F11">
      <w:pPr>
        <w:spacing w:after="0" w:line="240" w:lineRule="auto"/>
        <w:jc w:val="both"/>
        <w:rPr>
          <w:rFonts w:ascii="Garamond" w:eastAsia="Garamond" w:hAnsi="Garamond" w:cs="Garamond"/>
        </w:rPr>
      </w:pPr>
    </w:p>
    <w:p w14:paraId="7B08E395" w14:textId="77777777" w:rsidR="00132F11" w:rsidRDefault="00B2238F">
      <w:pPr>
        <w:spacing w:after="0" w:line="240" w:lineRule="auto"/>
        <w:jc w:val="center"/>
        <w:rPr>
          <w:rFonts w:ascii="Garamond" w:eastAsia="Garamond" w:hAnsi="Garamond" w:cs="Garamond"/>
        </w:rPr>
      </w:pPr>
      <w:r>
        <w:rPr>
          <w:rFonts w:ascii="Garamond" w:eastAsia="Garamond" w:hAnsi="Garamond" w:cs="Garamond"/>
          <w:noProof/>
        </w:rPr>
        <w:lastRenderedPageBreak/>
        <w:drawing>
          <wp:inline distT="114300" distB="114300" distL="114300" distR="114300" wp14:anchorId="19D879D0" wp14:editId="20C5D2D7">
            <wp:extent cx="4521994" cy="3014663"/>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4521994" cy="3014663"/>
                    </a:xfrm>
                    <a:prstGeom prst="rect">
                      <a:avLst/>
                    </a:prstGeom>
                    <a:ln/>
                  </pic:spPr>
                </pic:pic>
              </a:graphicData>
            </a:graphic>
          </wp:inline>
        </w:drawing>
      </w:r>
    </w:p>
    <w:p w14:paraId="1F0FCB2F" w14:textId="77777777" w:rsidR="00132F11" w:rsidRDefault="00B2238F">
      <w:pPr>
        <w:spacing w:after="0" w:line="240" w:lineRule="auto"/>
        <w:ind w:left="180" w:right="180"/>
        <w:jc w:val="center"/>
        <w:rPr>
          <w:rFonts w:ascii="Garamond" w:eastAsia="Garamond" w:hAnsi="Garamond" w:cs="Garamond"/>
        </w:rPr>
      </w:pPr>
      <w:r>
        <w:rPr>
          <w:rFonts w:ascii="Garamond" w:eastAsia="Garamond" w:hAnsi="Garamond" w:cs="Garamond"/>
          <w:i/>
        </w:rPr>
        <w:t xml:space="preserve">Figure 4. </w:t>
      </w:r>
      <w:r>
        <w:rPr>
          <w:rFonts w:ascii="Garamond" w:eastAsia="Garamond" w:hAnsi="Garamond" w:cs="Garamond"/>
        </w:rPr>
        <w:t>Maps of well station locations used in this project (left), relative station density with dark areas representing a high density (middle), and number of total observations within the study period at each station with the size of the circle representing the number of observations (right).</w:t>
      </w:r>
    </w:p>
    <w:p w14:paraId="3BF28DE3" w14:textId="77777777" w:rsidR="00132F11" w:rsidRDefault="00132F11">
      <w:pPr>
        <w:spacing w:after="0" w:line="240" w:lineRule="auto"/>
        <w:rPr>
          <w:rFonts w:ascii="Garamond" w:eastAsia="Garamond" w:hAnsi="Garamond" w:cs="Garamond"/>
        </w:rPr>
      </w:pPr>
    </w:p>
    <w:p w14:paraId="6339FFB3" w14:textId="77777777" w:rsidR="00132F11" w:rsidRDefault="00B2238F">
      <w:pPr>
        <w:spacing w:after="0" w:line="240" w:lineRule="auto"/>
        <w:rPr>
          <w:rFonts w:ascii="Garamond" w:eastAsia="Garamond" w:hAnsi="Garamond" w:cs="Garamond"/>
        </w:rPr>
      </w:pPr>
      <w:r>
        <w:rPr>
          <w:rFonts w:ascii="Garamond" w:eastAsia="Garamond" w:hAnsi="Garamond" w:cs="Garamond"/>
        </w:rPr>
        <w:t>Table 3</w:t>
      </w:r>
    </w:p>
    <w:p w14:paraId="431365BF" w14:textId="77777777" w:rsidR="00132F11" w:rsidRDefault="00B2238F">
      <w:pPr>
        <w:spacing w:after="0" w:line="240" w:lineRule="auto"/>
        <w:rPr>
          <w:rFonts w:ascii="Garamond" w:eastAsia="Garamond" w:hAnsi="Garamond" w:cs="Garamond"/>
          <w:i/>
        </w:rPr>
      </w:pPr>
      <w:r>
        <w:rPr>
          <w:rFonts w:ascii="Garamond" w:eastAsia="Garamond" w:hAnsi="Garamond" w:cs="Garamond"/>
          <w:i/>
        </w:rPr>
        <w:t>Statistics of well station and observations used in this study after data cleaning</w:t>
      </w:r>
    </w:p>
    <w:tbl>
      <w:tblPr>
        <w:tblStyle w:val="a4"/>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5"/>
        <w:gridCol w:w="1785"/>
        <w:gridCol w:w="1350"/>
        <w:gridCol w:w="1245"/>
        <w:gridCol w:w="1335"/>
        <w:gridCol w:w="1185"/>
        <w:gridCol w:w="1200"/>
      </w:tblGrid>
      <w:tr w:rsidR="00132F11" w14:paraId="72707CAF" w14:textId="77777777">
        <w:trPr>
          <w:trHeight w:val="420"/>
        </w:trPr>
        <w:tc>
          <w:tcPr>
            <w:tcW w:w="1275" w:type="dxa"/>
            <w:vMerge w:val="restart"/>
            <w:shd w:val="clear" w:color="auto" w:fill="auto"/>
            <w:tcMar>
              <w:top w:w="100" w:type="dxa"/>
              <w:left w:w="100" w:type="dxa"/>
              <w:bottom w:w="100" w:type="dxa"/>
              <w:right w:w="100" w:type="dxa"/>
            </w:tcMar>
          </w:tcPr>
          <w:p w14:paraId="5A33238E" w14:textId="77777777" w:rsidR="00132F11" w:rsidRDefault="00B2238F">
            <w:pPr>
              <w:widowControl w:val="0"/>
              <w:rPr>
                <w:rFonts w:ascii="Garamond" w:eastAsia="Garamond" w:hAnsi="Garamond" w:cs="Garamond"/>
              </w:rPr>
            </w:pPr>
            <w:r>
              <w:rPr>
                <w:rFonts w:ascii="Garamond" w:eastAsia="Garamond" w:hAnsi="Garamond" w:cs="Garamond"/>
                <w:b/>
              </w:rPr>
              <w:t>Number of Well Stations</w:t>
            </w:r>
          </w:p>
        </w:tc>
        <w:tc>
          <w:tcPr>
            <w:tcW w:w="1785" w:type="dxa"/>
            <w:vMerge w:val="restart"/>
            <w:shd w:val="clear" w:color="auto" w:fill="auto"/>
            <w:tcMar>
              <w:top w:w="100" w:type="dxa"/>
              <w:left w:w="100" w:type="dxa"/>
              <w:bottom w:w="100" w:type="dxa"/>
              <w:right w:w="100" w:type="dxa"/>
            </w:tcMar>
          </w:tcPr>
          <w:p w14:paraId="76E7F040" w14:textId="77777777" w:rsidR="00132F11" w:rsidRDefault="00B2238F">
            <w:pPr>
              <w:widowControl w:val="0"/>
              <w:rPr>
                <w:rFonts w:ascii="Garamond" w:eastAsia="Garamond" w:hAnsi="Garamond" w:cs="Garamond"/>
              </w:rPr>
            </w:pPr>
            <w:r>
              <w:rPr>
                <w:rFonts w:ascii="Garamond" w:eastAsia="Garamond" w:hAnsi="Garamond" w:cs="Garamond"/>
                <w:b/>
              </w:rPr>
              <w:t>Number of Observations (total)</w:t>
            </w:r>
          </w:p>
        </w:tc>
        <w:tc>
          <w:tcPr>
            <w:tcW w:w="6315" w:type="dxa"/>
            <w:gridSpan w:val="5"/>
            <w:shd w:val="clear" w:color="auto" w:fill="auto"/>
            <w:tcMar>
              <w:top w:w="100" w:type="dxa"/>
              <w:left w:w="100" w:type="dxa"/>
              <w:bottom w:w="100" w:type="dxa"/>
              <w:right w:w="100" w:type="dxa"/>
            </w:tcMar>
          </w:tcPr>
          <w:p w14:paraId="3AF8B625" w14:textId="77777777" w:rsidR="00132F11" w:rsidRDefault="00B2238F">
            <w:pPr>
              <w:widowControl w:val="0"/>
              <w:jc w:val="center"/>
              <w:rPr>
                <w:rFonts w:ascii="Garamond" w:eastAsia="Garamond" w:hAnsi="Garamond" w:cs="Garamond"/>
              </w:rPr>
            </w:pPr>
            <w:r>
              <w:rPr>
                <w:rFonts w:ascii="Garamond" w:eastAsia="Garamond" w:hAnsi="Garamond" w:cs="Garamond"/>
                <w:b/>
              </w:rPr>
              <w:t>Number of Observations (per stations)</w:t>
            </w:r>
          </w:p>
        </w:tc>
      </w:tr>
      <w:tr w:rsidR="00132F11" w14:paraId="4B20E702" w14:textId="77777777">
        <w:trPr>
          <w:trHeight w:val="285"/>
        </w:trPr>
        <w:tc>
          <w:tcPr>
            <w:tcW w:w="1275" w:type="dxa"/>
            <w:vMerge/>
            <w:shd w:val="clear" w:color="auto" w:fill="auto"/>
            <w:tcMar>
              <w:top w:w="100" w:type="dxa"/>
              <w:left w:w="100" w:type="dxa"/>
              <w:bottom w:w="100" w:type="dxa"/>
              <w:right w:w="100" w:type="dxa"/>
            </w:tcMar>
          </w:tcPr>
          <w:p w14:paraId="606C3E35" w14:textId="77777777" w:rsidR="00132F11" w:rsidRDefault="00132F11">
            <w:pPr>
              <w:widowControl w:val="0"/>
              <w:spacing w:line="276" w:lineRule="auto"/>
              <w:rPr>
                <w:rFonts w:ascii="Garamond" w:eastAsia="Garamond" w:hAnsi="Garamond" w:cs="Garamond"/>
              </w:rPr>
            </w:pPr>
          </w:p>
        </w:tc>
        <w:tc>
          <w:tcPr>
            <w:tcW w:w="1785" w:type="dxa"/>
            <w:vMerge/>
            <w:shd w:val="clear" w:color="auto" w:fill="auto"/>
            <w:tcMar>
              <w:top w:w="100" w:type="dxa"/>
              <w:left w:w="100" w:type="dxa"/>
              <w:bottom w:w="100" w:type="dxa"/>
              <w:right w:w="100" w:type="dxa"/>
            </w:tcMar>
          </w:tcPr>
          <w:p w14:paraId="339B622D" w14:textId="77777777" w:rsidR="00132F11" w:rsidRDefault="00132F11">
            <w:pPr>
              <w:widowControl w:val="0"/>
              <w:spacing w:line="276" w:lineRule="auto"/>
              <w:rPr>
                <w:rFonts w:ascii="Garamond" w:eastAsia="Garamond" w:hAnsi="Garamond" w:cs="Garamond"/>
              </w:rPr>
            </w:pPr>
          </w:p>
        </w:tc>
        <w:tc>
          <w:tcPr>
            <w:tcW w:w="1350" w:type="dxa"/>
            <w:shd w:val="clear" w:color="auto" w:fill="auto"/>
            <w:tcMar>
              <w:top w:w="100" w:type="dxa"/>
              <w:left w:w="100" w:type="dxa"/>
              <w:bottom w:w="100" w:type="dxa"/>
              <w:right w:w="100" w:type="dxa"/>
            </w:tcMar>
          </w:tcPr>
          <w:p w14:paraId="6B1239E7" w14:textId="77777777" w:rsidR="00132F11" w:rsidRDefault="00B2238F">
            <w:pPr>
              <w:widowControl w:val="0"/>
              <w:rPr>
                <w:rFonts w:ascii="Garamond" w:eastAsia="Garamond" w:hAnsi="Garamond" w:cs="Garamond"/>
                <w:b/>
              </w:rPr>
            </w:pPr>
            <w:r>
              <w:rPr>
                <w:rFonts w:ascii="Garamond" w:eastAsia="Garamond" w:hAnsi="Garamond" w:cs="Garamond"/>
                <w:b/>
              </w:rPr>
              <w:t xml:space="preserve">Max. </w:t>
            </w:r>
          </w:p>
        </w:tc>
        <w:tc>
          <w:tcPr>
            <w:tcW w:w="1245" w:type="dxa"/>
            <w:shd w:val="clear" w:color="auto" w:fill="auto"/>
            <w:tcMar>
              <w:top w:w="100" w:type="dxa"/>
              <w:left w:w="100" w:type="dxa"/>
              <w:bottom w:w="100" w:type="dxa"/>
              <w:right w:w="100" w:type="dxa"/>
            </w:tcMar>
          </w:tcPr>
          <w:p w14:paraId="35443FCA" w14:textId="77777777" w:rsidR="00132F11" w:rsidRDefault="00B2238F">
            <w:pPr>
              <w:widowControl w:val="0"/>
              <w:rPr>
                <w:rFonts w:ascii="Garamond" w:eastAsia="Garamond" w:hAnsi="Garamond" w:cs="Garamond"/>
                <w:b/>
              </w:rPr>
            </w:pPr>
            <w:r>
              <w:rPr>
                <w:rFonts w:ascii="Garamond" w:eastAsia="Garamond" w:hAnsi="Garamond" w:cs="Garamond"/>
                <w:b/>
              </w:rPr>
              <w:t>Mean</w:t>
            </w:r>
          </w:p>
        </w:tc>
        <w:tc>
          <w:tcPr>
            <w:tcW w:w="1335" w:type="dxa"/>
            <w:shd w:val="clear" w:color="auto" w:fill="auto"/>
            <w:tcMar>
              <w:top w:w="100" w:type="dxa"/>
              <w:left w:w="100" w:type="dxa"/>
              <w:bottom w:w="100" w:type="dxa"/>
              <w:right w:w="100" w:type="dxa"/>
            </w:tcMar>
          </w:tcPr>
          <w:p w14:paraId="164FFF61" w14:textId="77777777" w:rsidR="00132F11" w:rsidRDefault="00B2238F">
            <w:pPr>
              <w:widowControl w:val="0"/>
              <w:rPr>
                <w:rFonts w:ascii="Garamond" w:eastAsia="Garamond" w:hAnsi="Garamond" w:cs="Garamond"/>
                <w:b/>
              </w:rPr>
            </w:pPr>
            <w:r>
              <w:rPr>
                <w:rFonts w:ascii="Garamond" w:eastAsia="Garamond" w:hAnsi="Garamond" w:cs="Garamond"/>
                <w:b/>
              </w:rPr>
              <w:t>Median</w:t>
            </w:r>
          </w:p>
        </w:tc>
        <w:tc>
          <w:tcPr>
            <w:tcW w:w="1185" w:type="dxa"/>
            <w:shd w:val="clear" w:color="auto" w:fill="auto"/>
            <w:tcMar>
              <w:top w:w="100" w:type="dxa"/>
              <w:left w:w="100" w:type="dxa"/>
              <w:bottom w:w="100" w:type="dxa"/>
              <w:right w:w="100" w:type="dxa"/>
            </w:tcMar>
          </w:tcPr>
          <w:p w14:paraId="1604DB4C" w14:textId="77777777" w:rsidR="00132F11" w:rsidRDefault="00B2238F">
            <w:pPr>
              <w:widowControl w:val="0"/>
              <w:rPr>
                <w:rFonts w:ascii="Garamond" w:eastAsia="Garamond" w:hAnsi="Garamond" w:cs="Garamond"/>
                <w:b/>
              </w:rPr>
            </w:pPr>
            <w:r>
              <w:rPr>
                <w:rFonts w:ascii="Garamond" w:eastAsia="Garamond" w:hAnsi="Garamond" w:cs="Garamond"/>
                <w:b/>
              </w:rPr>
              <w:t xml:space="preserve">Min. </w:t>
            </w:r>
          </w:p>
        </w:tc>
        <w:tc>
          <w:tcPr>
            <w:tcW w:w="1200" w:type="dxa"/>
            <w:shd w:val="clear" w:color="auto" w:fill="auto"/>
            <w:tcMar>
              <w:top w:w="100" w:type="dxa"/>
              <w:left w:w="100" w:type="dxa"/>
              <w:bottom w:w="100" w:type="dxa"/>
              <w:right w:w="100" w:type="dxa"/>
            </w:tcMar>
          </w:tcPr>
          <w:p w14:paraId="535DA8C8" w14:textId="77777777" w:rsidR="00132F11" w:rsidRDefault="00B2238F">
            <w:pPr>
              <w:widowControl w:val="0"/>
              <w:rPr>
                <w:rFonts w:ascii="Garamond" w:eastAsia="Garamond" w:hAnsi="Garamond" w:cs="Garamond"/>
                <w:b/>
              </w:rPr>
            </w:pPr>
            <w:r>
              <w:rPr>
                <w:rFonts w:ascii="Garamond" w:eastAsia="Garamond" w:hAnsi="Garamond" w:cs="Garamond"/>
                <w:b/>
              </w:rPr>
              <w:t>St. Dev.</w:t>
            </w:r>
          </w:p>
        </w:tc>
      </w:tr>
      <w:tr w:rsidR="00132F11" w14:paraId="1016A86D" w14:textId="77777777">
        <w:trPr>
          <w:trHeight w:val="60"/>
        </w:trPr>
        <w:tc>
          <w:tcPr>
            <w:tcW w:w="1275" w:type="dxa"/>
            <w:shd w:val="clear" w:color="auto" w:fill="auto"/>
            <w:tcMar>
              <w:top w:w="100" w:type="dxa"/>
              <w:left w:w="100" w:type="dxa"/>
              <w:bottom w:w="100" w:type="dxa"/>
              <w:right w:w="100" w:type="dxa"/>
            </w:tcMar>
          </w:tcPr>
          <w:p w14:paraId="484B1636" w14:textId="77777777" w:rsidR="00132F11" w:rsidRDefault="00B2238F">
            <w:pPr>
              <w:widowControl w:val="0"/>
              <w:rPr>
                <w:rFonts w:ascii="Garamond" w:eastAsia="Garamond" w:hAnsi="Garamond" w:cs="Garamond"/>
              </w:rPr>
            </w:pPr>
            <w:r>
              <w:rPr>
                <w:rFonts w:ascii="Garamond" w:eastAsia="Garamond" w:hAnsi="Garamond" w:cs="Garamond"/>
              </w:rPr>
              <w:t>7,706</w:t>
            </w:r>
          </w:p>
        </w:tc>
        <w:tc>
          <w:tcPr>
            <w:tcW w:w="1785" w:type="dxa"/>
            <w:shd w:val="clear" w:color="auto" w:fill="auto"/>
            <w:tcMar>
              <w:top w:w="100" w:type="dxa"/>
              <w:left w:w="100" w:type="dxa"/>
              <w:bottom w:w="100" w:type="dxa"/>
              <w:right w:w="100" w:type="dxa"/>
            </w:tcMar>
          </w:tcPr>
          <w:p w14:paraId="039FF155" w14:textId="77777777" w:rsidR="00132F11" w:rsidRDefault="00B2238F">
            <w:pPr>
              <w:widowControl w:val="0"/>
              <w:rPr>
                <w:rFonts w:ascii="Garamond" w:eastAsia="Garamond" w:hAnsi="Garamond" w:cs="Garamond"/>
              </w:rPr>
            </w:pPr>
            <w:r>
              <w:rPr>
                <w:rFonts w:ascii="Garamond" w:eastAsia="Garamond" w:hAnsi="Garamond" w:cs="Garamond"/>
              </w:rPr>
              <w:t>642,736</w:t>
            </w:r>
          </w:p>
        </w:tc>
        <w:tc>
          <w:tcPr>
            <w:tcW w:w="1350" w:type="dxa"/>
            <w:shd w:val="clear" w:color="auto" w:fill="auto"/>
            <w:tcMar>
              <w:top w:w="100" w:type="dxa"/>
              <w:left w:w="100" w:type="dxa"/>
              <w:bottom w:w="100" w:type="dxa"/>
              <w:right w:w="100" w:type="dxa"/>
            </w:tcMar>
          </w:tcPr>
          <w:p w14:paraId="29FA09F2" w14:textId="77777777" w:rsidR="00132F11" w:rsidRDefault="00B2238F">
            <w:pPr>
              <w:widowControl w:val="0"/>
              <w:rPr>
                <w:rFonts w:ascii="Garamond" w:eastAsia="Garamond" w:hAnsi="Garamond" w:cs="Garamond"/>
              </w:rPr>
            </w:pPr>
            <w:r>
              <w:rPr>
                <w:rFonts w:ascii="Garamond" w:eastAsia="Garamond" w:hAnsi="Garamond" w:cs="Garamond"/>
              </w:rPr>
              <w:t>13,949</w:t>
            </w:r>
          </w:p>
        </w:tc>
        <w:tc>
          <w:tcPr>
            <w:tcW w:w="1245" w:type="dxa"/>
            <w:shd w:val="clear" w:color="auto" w:fill="auto"/>
            <w:tcMar>
              <w:top w:w="100" w:type="dxa"/>
              <w:left w:w="100" w:type="dxa"/>
              <w:bottom w:w="100" w:type="dxa"/>
              <w:right w:w="100" w:type="dxa"/>
            </w:tcMar>
          </w:tcPr>
          <w:p w14:paraId="785C4800" w14:textId="77777777" w:rsidR="00132F11" w:rsidRDefault="00B2238F">
            <w:pPr>
              <w:widowControl w:val="0"/>
              <w:rPr>
                <w:rFonts w:ascii="Garamond" w:eastAsia="Garamond" w:hAnsi="Garamond" w:cs="Garamond"/>
              </w:rPr>
            </w:pPr>
            <w:r>
              <w:rPr>
                <w:rFonts w:ascii="Garamond" w:eastAsia="Garamond" w:hAnsi="Garamond" w:cs="Garamond"/>
              </w:rPr>
              <w:t>83.4</w:t>
            </w:r>
          </w:p>
        </w:tc>
        <w:tc>
          <w:tcPr>
            <w:tcW w:w="1335" w:type="dxa"/>
            <w:shd w:val="clear" w:color="auto" w:fill="auto"/>
            <w:tcMar>
              <w:top w:w="100" w:type="dxa"/>
              <w:left w:w="100" w:type="dxa"/>
              <w:bottom w:w="100" w:type="dxa"/>
              <w:right w:w="100" w:type="dxa"/>
            </w:tcMar>
          </w:tcPr>
          <w:p w14:paraId="074325F5" w14:textId="77777777" w:rsidR="00132F11" w:rsidRDefault="00B2238F">
            <w:pPr>
              <w:widowControl w:val="0"/>
              <w:rPr>
                <w:rFonts w:ascii="Garamond" w:eastAsia="Garamond" w:hAnsi="Garamond" w:cs="Garamond"/>
              </w:rPr>
            </w:pPr>
            <w:r>
              <w:rPr>
                <w:rFonts w:ascii="Garamond" w:eastAsia="Garamond" w:hAnsi="Garamond" w:cs="Garamond"/>
              </w:rPr>
              <w:t>11</w:t>
            </w:r>
          </w:p>
        </w:tc>
        <w:tc>
          <w:tcPr>
            <w:tcW w:w="1185" w:type="dxa"/>
            <w:shd w:val="clear" w:color="auto" w:fill="auto"/>
            <w:tcMar>
              <w:top w:w="100" w:type="dxa"/>
              <w:left w:w="100" w:type="dxa"/>
              <w:bottom w:w="100" w:type="dxa"/>
              <w:right w:w="100" w:type="dxa"/>
            </w:tcMar>
          </w:tcPr>
          <w:p w14:paraId="3613E885" w14:textId="77777777" w:rsidR="00132F11" w:rsidRDefault="00B2238F">
            <w:pPr>
              <w:widowControl w:val="0"/>
              <w:rPr>
                <w:rFonts w:ascii="Garamond" w:eastAsia="Garamond" w:hAnsi="Garamond" w:cs="Garamond"/>
              </w:rPr>
            </w:pPr>
            <w:r>
              <w:rPr>
                <w:rFonts w:ascii="Garamond" w:eastAsia="Garamond" w:hAnsi="Garamond" w:cs="Garamond"/>
              </w:rPr>
              <w:t>1</w:t>
            </w:r>
          </w:p>
        </w:tc>
        <w:tc>
          <w:tcPr>
            <w:tcW w:w="1200" w:type="dxa"/>
            <w:shd w:val="clear" w:color="auto" w:fill="auto"/>
            <w:tcMar>
              <w:top w:w="100" w:type="dxa"/>
              <w:left w:w="100" w:type="dxa"/>
              <w:bottom w:w="100" w:type="dxa"/>
              <w:right w:w="100" w:type="dxa"/>
            </w:tcMar>
          </w:tcPr>
          <w:p w14:paraId="34CBF8DB" w14:textId="77777777" w:rsidR="00132F11" w:rsidRDefault="00B2238F">
            <w:pPr>
              <w:widowControl w:val="0"/>
              <w:rPr>
                <w:rFonts w:ascii="Garamond" w:eastAsia="Garamond" w:hAnsi="Garamond" w:cs="Garamond"/>
              </w:rPr>
            </w:pPr>
            <w:r>
              <w:rPr>
                <w:rFonts w:ascii="Garamond" w:eastAsia="Garamond" w:hAnsi="Garamond" w:cs="Garamond"/>
              </w:rPr>
              <w:t>501.06</w:t>
            </w:r>
          </w:p>
        </w:tc>
      </w:tr>
    </w:tbl>
    <w:p w14:paraId="50482048" w14:textId="77777777" w:rsidR="00132F11" w:rsidRDefault="00132F11">
      <w:pPr>
        <w:spacing w:after="0" w:line="240" w:lineRule="auto"/>
        <w:rPr>
          <w:rFonts w:ascii="Garamond" w:eastAsia="Garamond" w:hAnsi="Garamond" w:cs="Garamond"/>
        </w:rPr>
      </w:pPr>
    </w:p>
    <w:p w14:paraId="7A0B5D51" w14:textId="77777777" w:rsidR="00132F11" w:rsidRDefault="00B2238F">
      <w:pPr>
        <w:spacing w:after="0" w:line="240" w:lineRule="auto"/>
        <w:rPr>
          <w:rFonts w:ascii="Garamond" w:eastAsia="Garamond" w:hAnsi="Garamond" w:cs="Garamond"/>
          <w:i/>
        </w:rPr>
      </w:pPr>
      <w:r>
        <w:rPr>
          <w:rFonts w:ascii="Garamond" w:eastAsia="Garamond" w:hAnsi="Garamond" w:cs="Garamond"/>
          <w:i/>
        </w:rPr>
        <w:t>3.2.2 In-situ GPS Data</w:t>
      </w:r>
    </w:p>
    <w:p w14:paraId="2107F399" w14:textId="26AB550B" w:rsidR="00132F11" w:rsidRDefault="00B2238F">
      <w:pPr>
        <w:spacing w:after="0" w:line="240" w:lineRule="auto"/>
        <w:jc w:val="both"/>
        <w:rPr>
          <w:rFonts w:ascii="Garamond" w:eastAsia="Garamond" w:hAnsi="Garamond" w:cs="Garamond"/>
        </w:rPr>
      </w:pPr>
      <w:r>
        <w:rPr>
          <w:rFonts w:ascii="Garamond" w:eastAsia="Garamond" w:hAnsi="Garamond" w:cs="Garamond"/>
        </w:rPr>
        <w:t xml:space="preserve">GPS ground stations from the NGL were accessed to serve as in-situ measurements of ground surface elevation change (Blewitt et al., 2018), with the 2014 International Global Navigation Satellite System (GNSS) Service reference frame (IGS14). Daily IGS14 easting, northing, and vertical readings from a total of 125 GPS stations were collected within the study area. The vertical component of station movement was isolated for analysis, as horizontal translation is assumed to be a negligible contribution to </w:t>
      </w:r>
      <w:r w:rsidR="00F0061A">
        <w:rPr>
          <w:rFonts w:ascii="Garamond" w:eastAsia="Garamond" w:hAnsi="Garamond" w:cs="Garamond"/>
        </w:rPr>
        <w:t xml:space="preserve">the </w:t>
      </w:r>
      <w:r>
        <w:rPr>
          <w:rFonts w:ascii="Garamond" w:eastAsia="Garamond" w:hAnsi="Garamond" w:cs="Garamond"/>
        </w:rPr>
        <w:t>evaluation of surface subsidence. In order to compare the GPS and InSAR measurements, the vertical component of the GPS data was converted to Line of</w:t>
      </w:r>
      <w:r w:rsidR="005C62D8">
        <w:rPr>
          <w:rFonts w:ascii="Garamond" w:eastAsia="Garamond" w:hAnsi="Garamond" w:cs="Garamond"/>
        </w:rPr>
        <w:t xml:space="preserve"> Sight (LOS) for Sentinel-1, as shown in</w:t>
      </w:r>
      <w:r>
        <w:rPr>
          <w:rFonts w:ascii="Garamond" w:eastAsia="Garamond" w:hAnsi="Garamond" w:cs="Garamond"/>
        </w:rPr>
        <w:t xml:space="preserve"> </w:t>
      </w:r>
      <w:r>
        <w:rPr>
          <w:rFonts w:ascii="Garamond" w:eastAsia="Garamond" w:hAnsi="Garamond" w:cs="Garamond"/>
          <w:i/>
        </w:rPr>
        <w:t>Figure 5</w:t>
      </w:r>
      <w:r w:rsidR="005C62D8">
        <w:rPr>
          <w:rFonts w:ascii="Garamond" w:eastAsia="Garamond" w:hAnsi="Garamond" w:cs="Garamond"/>
          <w:i/>
        </w:rPr>
        <w:t>.</w:t>
      </w:r>
      <w:r>
        <w:rPr>
          <w:rFonts w:ascii="Garamond" w:eastAsia="Garamond" w:hAnsi="Garamond" w:cs="Garamond"/>
        </w:rPr>
        <w:t xml:space="preserve"> This was done using Equation 1, where</w:t>
      </w:r>
      <w:r w:rsidR="005C62D8">
        <w:rPr>
          <w:rFonts w:ascii="Garamond" w:eastAsia="Garamond" w:hAnsi="Garamond" w:cs="Garamond"/>
        </w:rPr>
        <w:t xml:space="preserve"> </w:t>
      </w:r>
      <m:oMath>
        <m:r>
          <w:rPr>
            <w:rFonts w:ascii="Cambria Math" w:eastAsia="Garamond" w:hAnsi="Cambria Math" w:cs="Garamond"/>
          </w:rPr>
          <m:t>θ</m:t>
        </m:r>
      </m:oMath>
      <w:r>
        <w:rPr>
          <w:rFonts w:ascii="Garamond" w:eastAsia="Garamond" w:hAnsi="Garamond" w:cs="Garamond"/>
        </w:rPr>
        <w:t xml:space="preserve"> was assumed to be 37 degrees for all GPS stations in the Central Valley. GPS station locations used in this project are shown in </w:t>
      </w:r>
      <w:r>
        <w:rPr>
          <w:rFonts w:ascii="Garamond" w:eastAsia="Garamond" w:hAnsi="Garamond" w:cs="Garamond"/>
          <w:i/>
        </w:rPr>
        <w:t>Figure 6</w:t>
      </w:r>
      <w:r>
        <w:rPr>
          <w:rFonts w:ascii="Garamond" w:eastAsia="Garamond" w:hAnsi="Garamond" w:cs="Garamond"/>
        </w:rPr>
        <w:t>, with a qualitative look at the relative station density per sub-basin and the number of observations per station. Across the 125 stations, a total of 359,800 observations were analyzed, with a mean number of obs</w:t>
      </w:r>
      <w:r w:rsidR="00F97731">
        <w:rPr>
          <w:rFonts w:ascii="Garamond" w:eastAsia="Garamond" w:hAnsi="Garamond" w:cs="Garamond"/>
        </w:rPr>
        <w:t>ervations of 2,878 per station.</w:t>
      </w:r>
      <w:r>
        <w:rPr>
          <w:rFonts w:ascii="Garamond" w:eastAsia="Garamond" w:hAnsi="Garamond" w:cs="Garamond"/>
        </w:rPr>
        <w:t xml:space="preserve"> See </w:t>
      </w:r>
      <w:r>
        <w:rPr>
          <w:rFonts w:ascii="Garamond" w:eastAsia="Garamond" w:hAnsi="Garamond" w:cs="Garamond"/>
          <w:i/>
        </w:rPr>
        <w:t>Table 4</w:t>
      </w:r>
      <w:r>
        <w:rPr>
          <w:rFonts w:ascii="Garamond" w:eastAsia="Garamond" w:hAnsi="Garamond" w:cs="Garamond"/>
        </w:rPr>
        <w:t xml:space="preserve"> for quantitative information on the number of well stations and WSE observations per station. </w:t>
      </w:r>
    </w:p>
    <w:p w14:paraId="49190222" w14:textId="77777777" w:rsidR="00132F11" w:rsidRDefault="00132F11">
      <w:pPr>
        <w:spacing w:after="0" w:line="240" w:lineRule="auto"/>
        <w:jc w:val="both"/>
        <w:rPr>
          <w:rFonts w:ascii="Garamond" w:eastAsia="Garamond" w:hAnsi="Garamond" w:cs="Garamond"/>
        </w:rPr>
      </w:pPr>
    </w:p>
    <w:p w14:paraId="5F73AC1D" w14:textId="77777777" w:rsidR="00132F11" w:rsidRDefault="005C62D8">
      <w:pPr>
        <w:spacing w:after="0" w:line="240" w:lineRule="auto"/>
        <w:jc w:val="right"/>
        <w:rPr>
          <w:rFonts w:ascii="Garamond" w:eastAsia="Garamond" w:hAnsi="Garamond" w:cs="Garamond"/>
          <w:i/>
        </w:rPr>
      </w:pPr>
      <m:oMath>
        <m:r>
          <w:rPr>
            <w:rFonts w:ascii="Cambria Math" w:eastAsia="Garamond" w:hAnsi="Cambria Math" w:cs="Garamond"/>
          </w:rPr>
          <m:t xml:space="preserve">LOS= </m:t>
        </m:r>
        <m:f>
          <m:fPr>
            <m:type m:val="skw"/>
            <m:ctrlPr>
              <w:rPr>
                <w:rFonts w:ascii="Cambria Math" w:eastAsia="Garamond" w:hAnsi="Cambria Math" w:cs="Garamond"/>
                <w:i/>
              </w:rPr>
            </m:ctrlPr>
          </m:fPr>
          <m:num>
            <m:r>
              <w:rPr>
                <w:rFonts w:ascii="Cambria Math" w:eastAsia="Garamond" w:hAnsi="Cambria Math" w:cs="Garamond"/>
              </w:rPr>
              <m:t>Z</m:t>
            </m:r>
          </m:num>
          <m:den>
            <m:r>
              <m:rPr>
                <m:sty m:val="p"/>
              </m:rPr>
              <w:rPr>
                <w:rFonts w:ascii="Cambria Math" w:eastAsia="Garamond" w:hAnsi="Cambria Math" w:cs="Garamond"/>
              </w:rPr>
              <m:t>cos⁡</m:t>
            </m:r>
            <m:r>
              <w:rPr>
                <w:rFonts w:ascii="Cambria Math" w:eastAsia="Garamond" w:hAnsi="Cambria Math" w:cs="Garamond"/>
              </w:rPr>
              <m:t>(θ)</m:t>
            </m:r>
          </m:den>
        </m:f>
      </m:oMath>
      <w:r w:rsidR="00B2238F">
        <w:rPr>
          <w:rFonts w:ascii="Garamond" w:eastAsia="Garamond" w:hAnsi="Garamond" w:cs="Garamond"/>
        </w:rPr>
        <w:tab/>
      </w:r>
      <w:r w:rsidR="00B2238F">
        <w:rPr>
          <w:rFonts w:ascii="Garamond" w:eastAsia="Garamond" w:hAnsi="Garamond" w:cs="Garamond"/>
        </w:rPr>
        <w:tab/>
      </w:r>
      <w:r w:rsidR="00B2238F">
        <w:rPr>
          <w:rFonts w:ascii="Garamond" w:eastAsia="Garamond" w:hAnsi="Garamond" w:cs="Garamond"/>
        </w:rPr>
        <w:tab/>
      </w:r>
      <w:r w:rsidR="00B2238F">
        <w:rPr>
          <w:rFonts w:ascii="Garamond" w:eastAsia="Garamond" w:hAnsi="Garamond" w:cs="Garamond"/>
        </w:rPr>
        <w:tab/>
      </w:r>
      <w:r w:rsidR="00B2238F">
        <w:rPr>
          <w:rFonts w:ascii="Garamond" w:eastAsia="Garamond" w:hAnsi="Garamond" w:cs="Garamond"/>
        </w:rPr>
        <w:tab/>
      </w:r>
      <w:r w:rsidR="00B2238F">
        <w:rPr>
          <w:rFonts w:ascii="Garamond" w:eastAsia="Garamond" w:hAnsi="Garamond" w:cs="Garamond"/>
          <w:b/>
        </w:rPr>
        <w:t>(1)</w:t>
      </w:r>
    </w:p>
    <w:p w14:paraId="739EC599" w14:textId="77777777" w:rsidR="00132F11" w:rsidRDefault="00B2238F">
      <w:pPr>
        <w:spacing w:after="0" w:line="240" w:lineRule="auto"/>
        <w:jc w:val="center"/>
        <w:rPr>
          <w:rFonts w:ascii="Garamond" w:eastAsia="Garamond" w:hAnsi="Garamond" w:cs="Garamond"/>
        </w:rPr>
      </w:pPr>
      <w:r>
        <w:rPr>
          <w:rFonts w:ascii="Garamond" w:eastAsia="Garamond" w:hAnsi="Garamond" w:cs="Garamond"/>
          <w:noProof/>
        </w:rPr>
        <w:lastRenderedPageBreak/>
        <w:drawing>
          <wp:inline distT="114300" distB="114300" distL="114300" distR="114300" wp14:anchorId="6036575F" wp14:editId="1FC2CC7A">
            <wp:extent cx="4019550" cy="1410835"/>
            <wp:effectExtent l="0" t="0" r="0" b="0"/>
            <wp:docPr id="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4019550" cy="1410835"/>
                    </a:xfrm>
                    <a:prstGeom prst="rect">
                      <a:avLst/>
                    </a:prstGeom>
                    <a:ln/>
                  </pic:spPr>
                </pic:pic>
              </a:graphicData>
            </a:graphic>
          </wp:inline>
        </w:drawing>
      </w:r>
    </w:p>
    <w:p w14:paraId="2D0F8275" w14:textId="77777777" w:rsidR="00132F11" w:rsidRDefault="00B2238F">
      <w:pPr>
        <w:spacing w:after="0" w:line="240" w:lineRule="auto"/>
        <w:ind w:left="180" w:right="180"/>
        <w:jc w:val="center"/>
        <w:rPr>
          <w:rFonts w:ascii="Garamond" w:eastAsia="Garamond" w:hAnsi="Garamond" w:cs="Garamond"/>
          <w:i/>
        </w:rPr>
      </w:pPr>
      <w:r>
        <w:rPr>
          <w:rFonts w:ascii="Garamond" w:eastAsia="Garamond" w:hAnsi="Garamond" w:cs="Garamond"/>
          <w:i/>
        </w:rPr>
        <w:t>Figure 5</w:t>
      </w:r>
      <w:r>
        <w:rPr>
          <w:rFonts w:ascii="Garamond" w:eastAsia="Garamond" w:hAnsi="Garamond" w:cs="Garamond"/>
        </w:rPr>
        <w:t>. GPS measurements evaluating the displacement of the sensor in three dimensions were isolated to evaluate only the vertical component as horizontal changes were assumed negligible in contributing to subsidence. InSAR data collected from Sentinel-1 is measured from an oblique angle, known as a Line of Sight (LOS) swath measurement. Therefore, in order to compare GPS ground stations with LOS measurements, all vertical GPS measurements were converted to LOS (</w:t>
      </w:r>
      <w:r>
        <w:rPr>
          <w:rFonts w:ascii="Garamond" w:eastAsia="Garamond" w:hAnsi="Garamond" w:cs="Garamond"/>
          <w:i/>
        </w:rPr>
        <w:t>Equation 1</w:t>
      </w:r>
      <w:r>
        <w:rPr>
          <w:rFonts w:ascii="Garamond" w:eastAsia="Garamond" w:hAnsi="Garamond" w:cs="Garamond"/>
        </w:rPr>
        <w:t>).</w:t>
      </w:r>
    </w:p>
    <w:p w14:paraId="470C905B" w14:textId="77777777" w:rsidR="00132F11" w:rsidRDefault="00132F11">
      <w:pPr>
        <w:spacing w:after="0" w:line="240" w:lineRule="auto"/>
        <w:rPr>
          <w:rFonts w:ascii="Garamond" w:eastAsia="Garamond" w:hAnsi="Garamond" w:cs="Garamond"/>
          <w:i/>
        </w:rPr>
      </w:pPr>
    </w:p>
    <w:p w14:paraId="480AC255" w14:textId="77777777" w:rsidR="00132F11" w:rsidRDefault="00B2238F">
      <w:pPr>
        <w:spacing w:after="0" w:line="240" w:lineRule="auto"/>
        <w:jc w:val="center"/>
        <w:rPr>
          <w:rFonts w:ascii="Garamond" w:eastAsia="Garamond" w:hAnsi="Garamond" w:cs="Garamond"/>
          <w:i/>
        </w:rPr>
      </w:pPr>
      <w:r>
        <w:rPr>
          <w:rFonts w:ascii="Garamond" w:eastAsia="Garamond" w:hAnsi="Garamond" w:cs="Garamond"/>
          <w:i/>
          <w:noProof/>
        </w:rPr>
        <w:drawing>
          <wp:inline distT="114300" distB="114300" distL="114300" distR="114300" wp14:anchorId="0F2B2C8E" wp14:editId="0658FAF6">
            <wp:extent cx="4502668" cy="2919413"/>
            <wp:effectExtent l="0" t="0" r="0" b="0"/>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502668" cy="2919413"/>
                    </a:xfrm>
                    <a:prstGeom prst="rect">
                      <a:avLst/>
                    </a:prstGeom>
                    <a:ln/>
                  </pic:spPr>
                </pic:pic>
              </a:graphicData>
            </a:graphic>
          </wp:inline>
        </w:drawing>
      </w:r>
    </w:p>
    <w:p w14:paraId="5FCE1776" w14:textId="77777777" w:rsidR="00132F11" w:rsidRDefault="00B2238F">
      <w:pPr>
        <w:spacing w:after="0" w:line="240" w:lineRule="auto"/>
        <w:ind w:left="180" w:right="180"/>
        <w:jc w:val="center"/>
        <w:rPr>
          <w:rFonts w:ascii="Garamond" w:eastAsia="Garamond" w:hAnsi="Garamond" w:cs="Garamond"/>
        </w:rPr>
      </w:pPr>
      <w:r>
        <w:rPr>
          <w:rFonts w:ascii="Garamond" w:eastAsia="Garamond" w:hAnsi="Garamond" w:cs="Garamond"/>
          <w:i/>
        </w:rPr>
        <w:t xml:space="preserve">Figure 6. </w:t>
      </w:r>
      <w:r>
        <w:rPr>
          <w:rFonts w:ascii="Garamond" w:eastAsia="Garamond" w:hAnsi="Garamond" w:cs="Garamond"/>
        </w:rPr>
        <w:t>Maps of GPS station locations used in this project (left), relative station density with dark areas representing a high density (middle), and number of total observations within the study period at each station with the size of the circle representing the number of observations (right).</w:t>
      </w:r>
    </w:p>
    <w:p w14:paraId="0066E8E1" w14:textId="77777777" w:rsidR="00132F11" w:rsidRDefault="00132F11">
      <w:pPr>
        <w:spacing w:after="0" w:line="240" w:lineRule="auto"/>
        <w:rPr>
          <w:rFonts w:ascii="Garamond" w:eastAsia="Garamond" w:hAnsi="Garamond" w:cs="Garamond"/>
        </w:rPr>
      </w:pPr>
    </w:p>
    <w:p w14:paraId="0700BF82" w14:textId="77777777" w:rsidR="00132F11" w:rsidRDefault="00B2238F">
      <w:pPr>
        <w:spacing w:after="0" w:line="240" w:lineRule="auto"/>
        <w:rPr>
          <w:rFonts w:ascii="Garamond" w:eastAsia="Garamond" w:hAnsi="Garamond" w:cs="Garamond"/>
          <w:i/>
        </w:rPr>
      </w:pPr>
      <w:r>
        <w:rPr>
          <w:rFonts w:ascii="Garamond" w:eastAsia="Garamond" w:hAnsi="Garamond" w:cs="Garamond"/>
          <w:i/>
        </w:rPr>
        <w:t>Table 4</w:t>
      </w:r>
    </w:p>
    <w:p w14:paraId="42BF8172" w14:textId="77777777" w:rsidR="00132F11" w:rsidRDefault="00B2238F">
      <w:pPr>
        <w:spacing w:after="0" w:line="240" w:lineRule="auto"/>
        <w:rPr>
          <w:rFonts w:ascii="Garamond" w:eastAsia="Garamond" w:hAnsi="Garamond" w:cs="Garamond"/>
          <w:i/>
        </w:rPr>
      </w:pPr>
      <w:r>
        <w:rPr>
          <w:rFonts w:ascii="Garamond" w:eastAsia="Garamond" w:hAnsi="Garamond" w:cs="Garamond"/>
          <w:i/>
        </w:rPr>
        <w:t>Statistics of GPS station and observations used in this study</w:t>
      </w:r>
    </w:p>
    <w:tbl>
      <w:tblPr>
        <w:tblStyle w:val="a5"/>
        <w:tblW w:w="93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6"/>
        <w:gridCol w:w="1606"/>
        <w:gridCol w:w="1238"/>
        <w:gridCol w:w="1355"/>
        <w:gridCol w:w="1460"/>
        <w:gridCol w:w="1068"/>
        <w:gridCol w:w="1238"/>
      </w:tblGrid>
      <w:tr w:rsidR="00132F11" w14:paraId="03FB54DB" w14:textId="77777777">
        <w:trPr>
          <w:trHeight w:val="420"/>
        </w:trPr>
        <w:tc>
          <w:tcPr>
            <w:tcW w:w="1395" w:type="dxa"/>
            <w:vMerge w:val="restart"/>
            <w:shd w:val="clear" w:color="auto" w:fill="auto"/>
            <w:tcMar>
              <w:top w:w="100" w:type="dxa"/>
              <w:left w:w="100" w:type="dxa"/>
              <w:bottom w:w="100" w:type="dxa"/>
              <w:right w:w="100" w:type="dxa"/>
            </w:tcMar>
          </w:tcPr>
          <w:p w14:paraId="47D5C281" w14:textId="77777777" w:rsidR="00132F11" w:rsidRDefault="00B2238F">
            <w:pPr>
              <w:widowControl w:val="0"/>
              <w:rPr>
                <w:rFonts w:ascii="Garamond" w:eastAsia="Garamond" w:hAnsi="Garamond" w:cs="Garamond"/>
              </w:rPr>
            </w:pPr>
            <w:r>
              <w:rPr>
                <w:rFonts w:ascii="Garamond" w:eastAsia="Garamond" w:hAnsi="Garamond" w:cs="Garamond"/>
                <w:b/>
              </w:rPr>
              <w:t>Number of GPS Stations</w:t>
            </w:r>
          </w:p>
        </w:tc>
        <w:tc>
          <w:tcPr>
            <w:tcW w:w="1605" w:type="dxa"/>
            <w:vMerge w:val="restart"/>
            <w:shd w:val="clear" w:color="auto" w:fill="auto"/>
            <w:tcMar>
              <w:top w:w="100" w:type="dxa"/>
              <w:left w:w="100" w:type="dxa"/>
              <w:bottom w:w="100" w:type="dxa"/>
              <w:right w:w="100" w:type="dxa"/>
            </w:tcMar>
          </w:tcPr>
          <w:p w14:paraId="6E93A015" w14:textId="77777777" w:rsidR="00132F11" w:rsidRDefault="00B2238F">
            <w:pPr>
              <w:widowControl w:val="0"/>
              <w:rPr>
                <w:rFonts w:ascii="Garamond" w:eastAsia="Garamond" w:hAnsi="Garamond" w:cs="Garamond"/>
              </w:rPr>
            </w:pPr>
            <w:r>
              <w:rPr>
                <w:rFonts w:ascii="Garamond" w:eastAsia="Garamond" w:hAnsi="Garamond" w:cs="Garamond"/>
                <w:b/>
              </w:rPr>
              <w:t>Number of Observations (total)</w:t>
            </w:r>
          </w:p>
        </w:tc>
        <w:tc>
          <w:tcPr>
            <w:tcW w:w="6359" w:type="dxa"/>
            <w:gridSpan w:val="5"/>
            <w:shd w:val="clear" w:color="auto" w:fill="auto"/>
            <w:tcMar>
              <w:top w:w="100" w:type="dxa"/>
              <w:left w:w="100" w:type="dxa"/>
              <w:bottom w:w="100" w:type="dxa"/>
              <w:right w:w="100" w:type="dxa"/>
            </w:tcMar>
          </w:tcPr>
          <w:p w14:paraId="307141F0" w14:textId="77777777" w:rsidR="00132F11" w:rsidRDefault="00B2238F">
            <w:pPr>
              <w:widowControl w:val="0"/>
              <w:jc w:val="center"/>
              <w:rPr>
                <w:rFonts w:ascii="Garamond" w:eastAsia="Garamond" w:hAnsi="Garamond" w:cs="Garamond"/>
              </w:rPr>
            </w:pPr>
            <w:r>
              <w:rPr>
                <w:rFonts w:ascii="Garamond" w:eastAsia="Garamond" w:hAnsi="Garamond" w:cs="Garamond"/>
                <w:b/>
              </w:rPr>
              <w:t>Number of Observations (per stations)</w:t>
            </w:r>
          </w:p>
        </w:tc>
      </w:tr>
      <w:tr w:rsidR="00132F11" w14:paraId="338242C2" w14:textId="77777777">
        <w:trPr>
          <w:trHeight w:val="420"/>
        </w:trPr>
        <w:tc>
          <w:tcPr>
            <w:tcW w:w="1395" w:type="dxa"/>
            <w:vMerge/>
            <w:shd w:val="clear" w:color="auto" w:fill="auto"/>
            <w:tcMar>
              <w:top w:w="100" w:type="dxa"/>
              <w:left w:w="100" w:type="dxa"/>
              <w:bottom w:w="100" w:type="dxa"/>
              <w:right w:w="100" w:type="dxa"/>
            </w:tcMar>
          </w:tcPr>
          <w:p w14:paraId="5BF2FFAB" w14:textId="77777777" w:rsidR="00132F11" w:rsidRDefault="00132F11">
            <w:pPr>
              <w:widowControl w:val="0"/>
              <w:spacing w:line="276" w:lineRule="auto"/>
              <w:rPr>
                <w:rFonts w:ascii="Garamond" w:eastAsia="Garamond" w:hAnsi="Garamond" w:cs="Garamond"/>
              </w:rPr>
            </w:pPr>
          </w:p>
        </w:tc>
        <w:tc>
          <w:tcPr>
            <w:tcW w:w="1605" w:type="dxa"/>
            <w:vMerge/>
            <w:shd w:val="clear" w:color="auto" w:fill="auto"/>
            <w:tcMar>
              <w:top w:w="100" w:type="dxa"/>
              <w:left w:w="100" w:type="dxa"/>
              <w:bottom w:w="100" w:type="dxa"/>
              <w:right w:w="100" w:type="dxa"/>
            </w:tcMar>
          </w:tcPr>
          <w:p w14:paraId="1447201C" w14:textId="77777777" w:rsidR="00132F11" w:rsidRDefault="00132F11">
            <w:pPr>
              <w:widowControl w:val="0"/>
              <w:spacing w:line="276" w:lineRule="auto"/>
              <w:rPr>
                <w:rFonts w:ascii="Garamond" w:eastAsia="Garamond" w:hAnsi="Garamond" w:cs="Garamond"/>
              </w:rPr>
            </w:pPr>
          </w:p>
        </w:tc>
        <w:tc>
          <w:tcPr>
            <w:tcW w:w="1238" w:type="dxa"/>
            <w:shd w:val="clear" w:color="auto" w:fill="auto"/>
            <w:tcMar>
              <w:top w:w="100" w:type="dxa"/>
              <w:left w:w="100" w:type="dxa"/>
              <w:bottom w:w="100" w:type="dxa"/>
              <w:right w:w="100" w:type="dxa"/>
            </w:tcMar>
          </w:tcPr>
          <w:p w14:paraId="07A7959C" w14:textId="77777777" w:rsidR="00132F11" w:rsidRDefault="00B2238F">
            <w:pPr>
              <w:widowControl w:val="0"/>
              <w:rPr>
                <w:rFonts w:ascii="Garamond" w:eastAsia="Garamond" w:hAnsi="Garamond" w:cs="Garamond"/>
                <w:b/>
              </w:rPr>
            </w:pPr>
            <w:r>
              <w:rPr>
                <w:rFonts w:ascii="Garamond" w:eastAsia="Garamond" w:hAnsi="Garamond" w:cs="Garamond"/>
                <w:b/>
              </w:rPr>
              <w:t xml:space="preserve">Max. </w:t>
            </w:r>
          </w:p>
        </w:tc>
        <w:tc>
          <w:tcPr>
            <w:tcW w:w="1355" w:type="dxa"/>
            <w:shd w:val="clear" w:color="auto" w:fill="auto"/>
            <w:tcMar>
              <w:top w:w="100" w:type="dxa"/>
              <w:left w:w="100" w:type="dxa"/>
              <w:bottom w:w="100" w:type="dxa"/>
              <w:right w:w="100" w:type="dxa"/>
            </w:tcMar>
          </w:tcPr>
          <w:p w14:paraId="4323476E" w14:textId="77777777" w:rsidR="00132F11" w:rsidRDefault="00B2238F">
            <w:pPr>
              <w:widowControl w:val="0"/>
              <w:rPr>
                <w:rFonts w:ascii="Garamond" w:eastAsia="Garamond" w:hAnsi="Garamond" w:cs="Garamond"/>
                <w:b/>
              </w:rPr>
            </w:pPr>
            <w:r>
              <w:rPr>
                <w:rFonts w:ascii="Garamond" w:eastAsia="Garamond" w:hAnsi="Garamond" w:cs="Garamond"/>
                <w:b/>
              </w:rPr>
              <w:t>Mean</w:t>
            </w:r>
          </w:p>
        </w:tc>
        <w:tc>
          <w:tcPr>
            <w:tcW w:w="1460" w:type="dxa"/>
            <w:shd w:val="clear" w:color="auto" w:fill="auto"/>
            <w:tcMar>
              <w:top w:w="100" w:type="dxa"/>
              <w:left w:w="100" w:type="dxa"/>
              <w:bottom w:w="100" w:type="dxa"/>
              <w:right w:w="100" w:type="dxa"/>
            </w:tcMar>
          </w:tcPr>
          <w:p w14:paraId="3B7824EC" w14:textId="77777777" w:rsidR="00132F11" w:rsidRDefault="00B2238F">
            <w:pPr>
              <w:widowControl w:val="0"/>
              <w:rPr>
                <w:rFonts w:ascii="Garamond" w:eastAsia="Garamond" w:hAnsi="Garamond" w:cs="Garamond"/>
                <w:b/>
              </w:rPr>
            </w:pPr>
            <w:r>
              <w:rPr>
                <w:rFonts w:ascii="Garamond" w:eastAsia="Garamond" w:hAnsi="Garamond" w:cs="Garamond"/>
                <w:b/>
              </w:rPr>
              <w:t>Median</w:t>
            </w:r>
          </w:p>
        </w:tc>
        <w:tc>
          <w:tcPr>
            <w:tcW w:w="1068" w:type="dxa"/>
            <w:shd w:val="clear" w:color="auto" w:fill="auto"/>
            <w:tcMar>
              <w:top w:w="100" w:type="dxa"/>
              <w:left w:w="100" w:type="dxa"/>
              <w:bottom w:w="100" w:type="dxa"/>
              <w:right w:w="100" w:type="dxa"/>
            </w:tcMar>
          </w:tcPr>
          <w:p w14:paraId="0B2D4309" w14:textId="77777777" w:rsidR="00132F11" w:rsidRDefault="00B2238F">
            <w:pPr>
              <w:widowControl w:val="0"/>
              <w:rPr>
                <w:rFonts w:ascii="Garamond" w:eastAsia="Garamond" w:hAnsi="Garamond" w:cs="Garamond"/>
                <w:b/>
              </w:rPr>
            </w:pPr>
            <w:r>
              <w:rPr>
                <w:rFonts w:ascii="Garamond" w:eastAsia="Garamond" w:hAnsi="Garamond" w:cs="Garamond"/>
                <w:b/>
              </w:rPr>
              <w:t xml:space="preserve">Min. </w:t>
            </w:r>
          </w:p>
        </w:tc>
        <w:tc>
          <w:tcPr>
            <w:tcW w:w="1238" w:type="dxa"/>
            <w:shd w:val="clear" w:color="auto" w:fill="auto"/>
            <w:tcMar>
              <w:top w:w="100" w:type="dxa"/>
              <w:left w:w="100" w:type="dxa"/>
              <w:bottom w:w="100" w:type="dxa"/>
              <w:right w:w="100" w:type="dxa"/>
            </w:tcMar>
          </w:tcPr>
          <w:p w14:paraId="627166D1" w14:textId="77777777" w:rsidR="00132F11" w:rsidRDefault="00B2238F">
            <w:pPr>
              <w:widowControl w:val="0"/>
              <w:rPr>
                <w:rFonts w:ascii="Garamond" w:eastAsia="Garamond" w:hAnsi="Garamond" w:cs="Garamond"/>
                <w:b/>
              </w:rPr>
            </w:pPr>
            <w:r>
              <w:rPr>
                <w:rFonts w:ascii="Garamond" w:eastAsia="Garamond" w:hAnsi="Garamond" w:cs="Garamond"/>
                <w:b/>
              </w:rPr>
              <w:t xml:space="preserve">St. Dev. </w:t>
            </w:r>
          </w:p>
        </w:tc>
      </w:tr>
      <w:tr w:rsidR="00132F11" w14:paraId="73AA80A1" w14:textId="77777777">
        <w:tc>
          <w:tcPr>
            <w:tcW w:w="1395" w:type="dxa"/>
            <w:shd w:val="clear" w:color="auto" w:fill="auto"/>
            <w:tcMar>
              <w:top w:w="100" w:type="dxa"/>
              <w:left w:w="100" w:type="dxa"/>
              <w:bottom w:w="100" w:type="dxa"/>
              <w:right w:w="100" w:type="dxa"/>
            </w:tcMar>
          </w:tcPr>
          <w:p w14:paraId="2747D65C" w14:textId="77777777" w:rsidR="00132F11" w:rsidRDefault="00B2238F">
            <w:pPr>
              <w:widowControl w:val="0"/>
              <w:rPr>
                <w:rFonts w:ascii="Garamond" w:eastAsia="Garamond" w:hAnsi="Garamond" w:cs="Garamond"/>
              </w:rPr>
            </w:pPr>
            <w:r>
              <w:rPr>
                <w:rFonts w:ascii="Garamond" w:eastAsia="Garamond" w:hAnsi="Garamond" w:cs="Garamond"/>
              </w:rPr>
              <w:t>125</w:t>
            </w:r>
          </w:p>
        </w:tc>
        <w:tc>
          <w:tcPr>
            <w:tcW w:w="1605" w:type="dxa"/>
            <w:shd w:val="clear" w:color="auto" w:fill="auto"/>
            <w:tcMar>
              <w:top w:w="100" w:type="dxa"/>
              <w:left w:w="100" w:type="dxa"/>
              <w:bottom w:w="100" w:type="dxa"/>
              <w:right w:w="100" w:type="dxa"/>
            </w:tcMar>
          </w:tcPr>
          <w:p w14:paraId="09F73EA6" w14:textId="77777777" w:rsidR="00132F11" w:rsidRDefault="00B2238F">
            <w:pPr>
              <w:widowControl w:val="0"/>
              <w:rPr>
                <w:rFonts w:ascii="Garamond" w:eastAsia="Garamond" w:hAnsi="Garamond" w:cs="Garamond"/>
              </w:rPr>
            </w:pPr>
            <w:r>
              <w:rPr>
                <w:rFonts w:ascii="Garamond" w:eastAsia="Garamond" w:hAnsi="Garamond" w:cs="Garamond"/>
              </w:rPr>
              <w:t>359,800</w:t>
            </w:r>
          </w:p>
        </w:tc>
        <w:tc>
          <w:tcPr>
            <w:tcW w:w="1238" w:type="dxa"/>
            <w:shd w:val="clear" w:color="auto" w:fill="auto"/>
            <w:tcMar>
              <w:top w:w="100" w:type="dxa"/>
              <w:left w:w="100" w:type="dxa"/>
              <w:bottom w:w="100" w:type="dxa"/>
              <w:right w:w="100" w:type="dxa"/>
            </w:tcMar>
          </w:tcPr>
          <w:p w14:paraId="6D2B14C2" w14:textId="77777777" w:rsidR="00132F11" w:rsidRDefault="00B2238F">
            <w:pPr>
              <w:widowControl w:val="0"/>
              <w:rPr>
                <w:rFonts w:ascii="Garamond" w:eastAsia="Garamond" w:hAnsi="Garamond" w:cs="Garamond"/>
              </w:rPr>
            </w:pPr>
            <w:r>
              <w:rPr>
                <w:rFonts w:ascii="Garamond" w:eastAsia="Garamond" w:hAnsi="Garamond" w:cs="Garamond"/>
              </w:rPr>
              <w:t>7,619</w:t>
            </w:r>
          </w:p>
        </w:tc>
        <w:tc>
          <w:tcPr>
            <w:tcW w:w="1355" w:type="dxa"/>
            <w:shd w:val="clear" w:color="auto" w:fill="auto"/>
            <w:tcMar>
              <w:top w:w="100" w:type="dxa"/>
              <w:left w:w="100" w:type="dxa"/>
              <w:bottom w:w="100" w:type="dxa"/>
              <w:right w:w="100" w:type="dxa"/>
            </w:tcMar>
          </w:tcPr>
          <w:p w14:paraId="28C847FF" w14:textId="77777777" w:rsidR="00132F11" w:rsidRDefault="00B2238F">
            <w:pPr>
              <w:widowControl w:val="0"/>
              <w:rPr>
                <w:rFonts w:ascii="Garamond" w:eastAsia="Garamond" w:hAnsi="Garamond" w:cs="Garamond"/>
              </w:rPr>
            </w:pPr>
            <w:r>
              <w:rPr>
                <w:rFonts w:ascii="Garamond" w:eastAsia="Garamond" w:hAnsi="Garamond" w:cs="Garamond"/>
              </w:rPr>
              <w:t>2,878.4</w:t>
            </w:r>
          </w:p>
        </w:tc>
        <w:tc>
          <w:tcPr>
            <w:tcW w:w="1460" w:type="dxa"/>
            <w:shd w:val="clear" w:color="auto" w:fill="auto"/>
            <w:tcMar>
              <w:top w:w="100" w:type="dxa"/>
              <w:left w:w="100" w:type="dxa"/>
              <w:bottom w:w="100" w:type="dxa"/>
              <w:right w:w="100" w:type="dxa"/>
            </w:tcMar>
          </w:tcPr>
          <w:p w14:paraId="267EBC4F" w14:textId="77777777" w:rsidR="00132F11" w:rsidRDefault="00B2238F">
            <w:pPr>
              <w:widowControl w:val="0"/>
              <w:rPr>
                <w:rFonts w:ascii="Garamond" w:eastAsia="Garamond" w:hAnsi="Garamond" w:cs="Garamond"/>
              </w:rPr>
            </w:pPr>
            <w:r>
              <w:rPr>
                <w:rFonts w:ascii="Garamond" w:eastAsia="Garamond" w:hAnsi="Garamond" w:cs="Garamond"/>
              </w:rPr>
              <w:t>2,784</w:t>
            </w:r>
          </w:p>
        </w:tc>
        <w:tc>
          <w:tcPr>
            <w:tcW w:w="1068" w:type="dxa"/>
            <w:shd w:val="clear" w:color="auto" w:fill="auto"/>
            <w:tcMar>
              <w:top w:w="100" w:type="dxa"/>
              <w:left w:w="100" w:type="dxa"/>
              <w:bottom w:w="100" w:type="dxa"/>
              <w:right w:w="100" w:type="dxa"/>
            </w:tcMar>
          </w:tcPr>
          <w:p w14:paraId="670ADECA" w14:textId="77777777" w:rsidR="00132F11" w:rsidRDefault="00B2238F">
            <w:pPr>
              <w:widowControl w:val="0"/>
              <w:rPr>
                <w:rFonts w:ascii="Garamond" w:eastAsia="Garamond" w:hAnsi="Garamond" w:cs="Garamond"/>
              </w:rPr>
            </w:pPr>
            <w:r>
              <w:rPr>
                <w:rFonts w:ascii="Garamond" w:eastAsia="Garamond" w:hAnsi="Garamond" w:cs="Garamond"/>
              </w:rPr>
              <w:t>1</w:t>
            </w:r>
          </w:p>
        </w:tc>
        <w:tc>
          <w:tcPr>
            <w:tcW w:w="1238" w:type="dxa"/>
            <w:shd w:val="clear" w:color="auto" w:fill="auto"/>
            <w:tcMar>
              <w:top w:w="100" w:type="dxa"/>
              <w:left w:w="100" w:type="dxa"/>
              <w:bottom w:w="100" w:type="dxa"/>
              <w:right w:w="100" w:type="dxa"/>
            </w:tcMar>
          </w:tcPr>
          <w:p w14:paraId="2711DF26" w14:textId="77777777" w:rsidR="00132F11" w:rsidRDefault="00B2238F">
            <w:pPr>
              <w:widowControl w:val="0"/>
              <w:rPr>
                <w:rFonts w:ascii="Garamond" w:eastAsia="Garamond" w:hAnsi="Garamond" w:cs="Garamond"/>
              </w:rPr>
            </w:pPr>
            <w:r>
              <w:rPr>
                <w:rFonts w:ascii="Garamond" w:eastAsia="Garamond" w:hAnsi="Garamond" w:cs="Garamond"/>
              </w:rPr>
              <w:t>2,126.51</w:t>
            </w:r>
          </w:p>
        </w:tc>
      </w:tr>
    </w:tbl>
    <w:p w14:paraId="6F1599CB" w14:textId="77777777" w:rsidR="00132F11" w:rsidRDefault="00132F11">
      <w:pPr>
        <w:spacing w:after="0" w:line="240" w:lineRule="auto"/>
        <w:rPr>
          <w:rFonts w:ascii="Garamond" w:eastAsia="Garamond" w:hAnsi="Garamond" w:cs="Garamond"/>
        </w:rPr>
      </w:pPr>
    </w:p>
    <w:p w14:paraId="2ABA03F2" w14:textId="77777777" w:rsidR="00132F11" w:rsidRDefault="00B2238F">
      <w:pPr>
        <w:spacing w:after="0" w:line="240" w:lineRule="auto"/>
        <w:rPr>
          <w:rFonts w:ascii="Garamond" w:eastAsia="Garamond" w:hAnsi="Garamond" w:cs="Garamond"/>
        </w:rPr>
      </w:pPr>
      <w:r>
        <w:rPr>
          <w:rFonts w:ascii="Garamond" w:eastAsia="Garamond" w:hAnsi="Garamond" w:cs="Garamond"/>
          <w:i/>
        </w:rPr>
        <w:t xml:space="preserve">3.2.3 In-situ well vs. GRACE </w:t>
      </w:r>
    </w:p>
    <w:p w14:paraId="3D3636DA" w14:textId="77777777" w:rsidR="00132F11" w:rsidRDefault="00B2238F">
      <w:pPr>
        <w:spacing w:after="0" w:line="240" w:lineRule="auto"/>
        <w:jc w:val="both"/>
        <w:rPr>
          <w:rFonts w:ascii="Garamond" w:eastAsia="Garamond" w:hAnsi="Garamond" w:cs="Garamond"/>
        </w:rPr>
      </w:pPr>
      <w:r>
        <w:rPr>
          <w:rFonts w:ascii="Garamond" w:eastAsia="Garamond" w:hAnsi="Garamond" w:cs="Garamond"/>
        </w:rPr>
        <w:t xml:space="preserve">Each well site had an associated reference coordinate (longitude/latitude) which the team used to isolate the stations within the study area and group them based on sub-basin and GSA. Each well station location was then queried with respect to rasterized GRACE data to find the groundwater thickness (mm) at each well </w:t>
      </w:r>
      <w:r>
        <w:rPr>
          <w:rFonts w:ascii="Garamond" w:eastAsia="Garamond" w:hAnsi="Garamond" w:cs="Garamond"/>
        </w:rPr>
        <w:lastRenderedPageBreak/>
        <w:t xml:space="preserve">station location. The remotely sensed data were merged with the in-situ well measurements to create a </w:t>
      </w:r>
      <w:r w:rsidR="005C62D8">
        <w:rPr>
          <w:rFonts w:ascii="Garamond" w:eastAsia="Garamond" w:hAnsi="Garamond" w:cs="Garamond"/>
        </w:rPr>
        <w:t>table</w:t>
      </w:r>
      <w:r>
        <w:rPr>
          <w:rFonts w:ascii="Garamond" w:eastAsia="Garamond" w:hAnsi="Garamond" w:cs="Garamond"/>
        </w:rPr>
        <w:t xml:space="preserve"> that stored a time series of groundwater capacity at each location over time (see </w:t>
      </w:r>
      <w:r>
        <w:rPr>
          <w:rFonts w:ascii="Garamond" w:eastAsia="Garamond" w:hAnsi="Garamond" w:cs="Garamond"/>
          <w:i/>
        </w:rPr>
        <w:t>Figure 7</w:t>
      </w:r>
      <w:r>
        <w:rPr>
          <w:rFonts w:ascii="Garamond" w:eastAsia="Garamond" w:hAnsi="Garamond" w:cs="Garamond"/>
        </w:rPr>
        <w:t xml:space="preserve">). </w:t>
      </w:r>
    </w:p>
    <w:p w14:paraId="63E31E2A" w14:textId="77777777" w:rsidR="00132F11" w:rsidRDefault="00132F11">
      <w:pPr>
        <w:spacing w:after="0" w:line="240" w:lineRule="auto"/>
        <w:rPr>
          <w:rFonts w:ascii="Times New Roman" w:eastAsia="Times New Roman" w:hAnsi="Times New Roman" w:cs="Times New Roman"/>
          <w:sz w:val="24"/>
          <w:szCs w:val="24"/>
        </w:rPr>
      </w:pPr>
    </w:p>
    <w:p w14:paraId="1B090A5A" w14:textId="77777777" w:rsidR="00132F11" w:rsidRDefault="00B2238F">
      <w:pPr>
        <w:spacing w:after="0" w:line="240" w:lineRule="auto"/>
        <w:rPr>
          <w:rFonts w:ascii="Times New Roman" w:eastAsia="Times New Roman" w:hAnsi="Times New Roman" w:cs="Times New Roman"/>
          <w:sz w:val="24"/>
          <w:szCs w:val="24"/>
        </w:rPr>
      </w:pPr>
      <w:r>
        <w:rPr>
          <w:rFonts w:ascii="Garamond" w:eastAsia="Garamond" w:hAnsi="Garamond" w:cs="Garamond"/>
          <w:i/>
        </w:rPr>
        <w:t xml:space="preserve">3.2.4 In-situ GPS vs. InSAR </w:t>
      </w:r>
    </w:p>
    <w:p w14:paraId="44DED10C" w14:textId="77777777" w:rsidR="00132F11" w:rsidRDefault="00B2238F">
      <w:pPr>
        <w:spacing w:after="0" w:line="240" w:lineRule="auto"/>
        <w:jc w:val="both"/>
        <w:rPr>
          <w:rFonts w:ascii="Garamond" w:eastAsia="Garamond" w:hAnsi="Garamond" w:cs="Garamond"/>
        </w:rPr>
      </w:pPr>
      <w:r>
        <w:rPr>
          <w:rFonts w:ascii="Garamond" w:eastAsia="Garamond" w:hAnsi="Garamond" w:cs="Garamond"/>
        </w:rPr>
        <w:t xml:space="preserve">The team applied a similar process as the well data to clean the measurements from GPS stations. The GPS dataset did not include QA/QC codes, so filtering was based on the date of collection within the study period. Each GPS station had an associated reference coordinate (longitude/latitude) taken at the time of installation, which the team used to isolate the stations within the study area and group them based on sub-basin and GSA. Each GPS station location was then queried with respect to the rasterized InSAR data to find the surface elevation (mm) at each location. The remotely sensed data were merged with the in-situ GPS measurements to create a </w:t>
      </w:r>
      <w:r w:rsidR="005C62D8">
        <w:rPr>
          <w:rFonts w:ascii="Garamond" w:eastAsia="Garamond" w:hAnsi="Garamond" w:cs="Garamond"/>
        </w:rPr>
        <w:t>table</w:t>
      </w:r>
      <w:r>
        <w:rPr>
          <w:rFonts w:ascii="Garamond" w:eastAsia="Garamond" w:hAnsi="Garamond" w:cs="Garamond"/>
        </w:rPr>
        <w:t xml:space="preserve"> that stored a time series of surface elevation at each location over time (see </w:t>
      </w:r>
      <w:r>
        <w:rPr>
          <w:rFonts w:ascii="Garamond" w:eastAsia="Garamond" w:hAnsi="Garamond" w:cs="Garamond"/>
          <w:i/>
        </w:rPr>
        <w:t>Figure 7</w:t>
      </w:r>
      <w:r>
        <w:rPr>
          <w:rFonts w:ascii="Garamond" w:eastAsia="Garamond" w:hAnsi="Garamond" w:cs="Garamond"/>
        </w:rPr>
        <w:t>).</w:t>
      </w:r>
    </w:p>
    <w:p w14:paraId="33069599" w14:textId="77777777" w:rsidR="00132F11" w:rsidRDefault="00132F11">
      <w:pPr>
        <w:spacing w:after="0" w:line="240" w:lineRule="auto"/>
        <w:jc w:val="both"/>
        <w:rPr>
          <w:rFonts w:ascii="Garamond" w:eastAsia="Garamond" w:hAnsi="Garamond" w:cs="Garamond"/>
        </w:rPr>
      </w:pPr>
    </w:p>
    <w:p w14:paraId="1EA5D910" w14:textId="77777777" w:rsidR="00132F11" w:rsidRDefault="00B2238F">
      <w:pPr>
        <w:spacing w:after="0" w:line="240" w:lineRule="auto"/>
        <w:jc w:val="center"/>
        <w:rPr>
          <w:rFonts w:ascii="Garamond" w:eastAsia="Garamond" w:hAnsi="Garamond" w:cs="Garamond"/>
          <w:b/>
        </w:rPr>
      </w:pPr>
      <w:r>
        <w:rPr>
          <w:rFonts w:ascii="Garamond" w:eastAsia="Garamond" w:hAnsi="Garamond" w:cs="Garamond"/>
          <w:b/>
          <w:noProof/>
        </w:rPr>
        <w:drawing>
          <wp:inline distT="114300" distB="114300" distL="114300" distR="114300" wp14:anchorId="1EA06BC3" wp14:editId="0B52DAC1">
            <wp:extent cx="4314360" cy="3262313"/>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314360" cy="3262313"/>
                    </a:xfrm>
                    <a:prstGeom prst="rect">
                      <a:avLst/>
                    </a:prstGeom>
                    <a:ln/>
                  </pic:spPr>
                </pic:pic>
              </a:graphicData>
            </a:graphic>
          </wp:inline>
        </w:drawing>
      </w:r>
      <w:r>
        <w:rPr>
          <w:rFonts w:ascii="Garamond" w:eastAsia="Garamond" w:hAnsi="Garamond" w:cs="Garamond"/>
          <w:b/>
        </w:rPr>
        <w:t xml:space="preserve"> </w:t>
      </w:r>
    </w:p>
    <w:p w14:paraId="5B85036B" w14:textId="77777777" w:rsidR="00132F11" w:rsidRDefault="00B2238F">
      <w:pPr>
        <w:spacing w:after="0" w:line="240" w:lineRule="auto"/>
        <w:jc w:val="center"/>
        <w:rPr>
          <w:rFonts w:ascii="Garamond" w:eastAsia="Garamond" w:hAnsi="Garamond" w:cs="Garamond"/>
          <w:color w:val="FF0000"/>
        </w:rPr>
      </w:pPr>
      <w:r>
        <w:rPr>
          <w:rFonts w:ascii="Garamond" w:eastAsia="Garamond" w:hAnsi="Garamond" w:cs="Garamond"/>
          <w:i/>
        </w:rPr>
        <w:t xml:space="preserve">Figure 7. </w:t>
      </w:r>
      <w:r>
        <w:rPr>
          <w:rFonts w:ascii="Garamond" w:eastAsia="Garamond" w:hAnsi="Garamond" w:cs="Garamond"/>
        </w:rPr>
        <w:t>Workflow of data analysis process. Zonal statistics were compared across remotely sensed and in-situ point datasets</w:t>
      </w:r>
      <w:r>
        <w:rPr>
          <w:rFonts w:ascii="Garamond" w:eastAsia="Garamond" w:hAnsi="Garamond" w:cs="Garamond"/>
          <w:i/>
        </w:rPr>
        <w:t xml:space="preserve"> </w:t>
      </w:r>
      <w:r>
        <w:rPr>
          <w:rFonts w:ascii="Garamond" w:eastAsia="Garamond" w:hAnsi="Garamond" w:cs="Garamond"/>
        </w:rPr>
        <w:t>using time series plots and Pearson correlations</w:t>
      </w:r>
    </w:p>
    <w:p w14:paraId="18E0FA16" w14:textId="77777777" w:rsidR="00132F11" w:rsidRDefault="00132F11">
      <w:pPr>
        <w:spacing w:after="0" w:line="240" w:lineRule="auto"/>
        <w:rPr>
          <w:rFonts w:ascii="Garamond" w:eastAsia="Garamond" w:hAnsi="Garamond" w:cs="Garamond"/>
          <w:b/>
        </w:rPr>
      </w:pPr>
    </w:p>
    <w:p w14:paraId="09E6EC25" w14:textId="77777777" w:rsidR="00132F11" w:rsidRDefault="00B2238F">
      <w:pPr>
        <w:spacing w:after="0" w:line="240" w:lineRule="auto"/>
        <w:rPr>
          <w:rFonts w:ascii="Garamond" w:eastAsia="Garamond" w:hAnsi="Garamond" w:cs="Garamond"/>
          <w:b/>
          <w:i/>
        </w:rPr>
      </w:pPr>
      <w:r>
        <w:rPr>
          <w:rFonts w:ascii="Garamond" w:eastAsia="Garamond" w:hAnsi="Garamond" w:cs="Garamond"/>
          <w:b/>
          <w:i/>
        </w:rPr>
        <w:t>3.3 Data Analysis</w:t>
      </w:r>
    </w:p>
    <w:p w14:paraId="7AFE0C39" w14:textId="6EBE2EB8" w:rsidR="00132F11" w:rsidRDefault="00B2238F">
      <w:pPr>
        <w:spacing w:after="0" w:line="240" w:lineRule="auto"/>
        <w:jc w:val="both"/>
        <w:rPr>
          <w:rFonts w:ascii="Garamond" w:eastAsia="Garamond" w:hAnsi="Garamond" w:cs="Garamond"/>
        </w:rPr>
      </w:pPr>
      <w:r>
        <w:rPr>
          <w:rFonts w:ascii="Garamond" w:eastAsia="Garamond" w:hAnsi="Garamond" w:cs="Garamond"/>
        </w:rPr>
        <w:t>In order to compare the various data sources and evaluate their efficacy for measuring groundwater storage loss and land surface subsidence in the context of the SGMA legislation, the team performed a zonal analysis of the InSAR, GRACE, well, and GPS data at the sub-basin level. Sub-basins were chosen as the zones for this zonal</w:t>
      </w:r>
      <w:r w:rsidR="005C62D8">
        <w:rPr>
          <w:rFonts w:ascii="Garamond" w:eastAsia="Garamond" w:hAnsi="Garamond" w:cs="Garamond"/>
        </w:rPr>
        <w:t xml:space="preserve"> analysis as opposed to GSAs because</w:t>
      </w:r>
      <w:r>
        <w:rPr>
          <w:rFonts w:ascii="Garamond" w:eastAsia="Garamond" w:hAnsi="Garamond" w:cs="Garamond"/>
        </w:rPr>
        <w:t xml:space="preserve"> GSAs are not always spatially contiguous. Additionally, GSAs organize at the sub-basin level to form the GSPs that apply to all GSAs within that sub-basin. This makes zonal analysis of sub-basins a more representative method of monitoring progress in the context of the SGMA legislation. The Delta-Mendota sub-basin was chosen to test the feasibil</w:t>
      </w:r>
      <w:r w:rsidR="008F0C71">
        <w:rPr>
          <w:rFonts w:ascii="Garamond" w:eastAsia="Garamond" w:hAnsi="Garamond" w:cs="Garamond"/>
        </w:rPr>
        <w:t xml:space="preserve">ity of this analysis because it has the </w:t>
      </w:r>
      <w:r>
        <w:rPr>
          <w:rFonts w:ascii="Garamond" w:eastAsia="Garamond" w:hAnsi="Garamond" w:cs="Garamond"/>
        </w:rPr>
        <w:t>highest density of well and GPS station data, while also being fully covered by InSAR and GRACE datasets, making it the ideal test case.</w:t>
      </w:r>
    </w:p>
    <w:p w14:paraId="7F27DD2A" w14:textId="77777777" w:rsidR="00132F11" w:rsidRDefault="00132F11">
      <w:pPr>
        <w:spacing w:after="0" w:line="240" w:lineRule="auto"/>
        <w:jc w:val="both"/>
        <w:rPr>
          <w:rFonts w:ascii="Garamond" w:eastAsia="Garamond" w:hAnsi="Garamond" w:cs="Garamond"/>
        </w:rPr>
      </w:pPr>
    </w:p>
    <w:p w14:paraId="375C9B34" w14:textId="77777777" w:rsidR="00132F11" w:rsidRDefault="00B2238F">
      <w:pPr>
        <w:spacing w:after="0" w:line="240" w:lineRule="auto"/>
        <w:jc w:val="both"/>
        <w:rPr>
          <w:rFonts w:ascii="Garamond" w:eastAsia="Garamond" w:hAnsi="Garamond" w:cs="Garamond"/>
        </w:rPr>
      </w:pPr>
      <w:r>
        <w:rPr>
          <w:rFonts w:ascii="Garamond" w:eastAsia="Garamond" w:hAnsi="Garamond" w:cs="Garamond"/>
        </w:rPr>
        <w:t>At each time step in the data and for each sub-basin in the Central Valley, the team aggregated the data points located within the sub-basin. The team then took the mean value for each dataset at eac</w:t>
      </w:r>
      <w:r w:rsidR="005C62D8">
        <w:rPr>
          <w:rFonts w:ascii="Garamond" w:eastAsia="Garamond" w:hAnsi="Garamond" w:cs="Garamond"/>
        </w:rPr>
        <w:t xml:space="preserve">h time step, creating four time </w:t>
      </w:r>
      <w:r>
        <w:rPr>
          <w:rFonts w:ascii="Garamond" w:eastAsia="Garamond" w:hAnsi="Garamond" w:cs="Garamond"/>
        </w:rPr>
        <w:t xml:space="preserve">series (GRACE, InSAR, wells, and GPS) for each sub-basin. Each time series represents the average value spatially across the sub-basin and temporally over the study period. </w:t>
      </w:r>
    </w:p>
    <w:p w14:paraId="76BAF8F9" w14:textId="273828B3" w:rsidR="00132F11" w:rsidRDefault="00132F11">
      <w:pPr>
        <w:spacing w:after="0" w:line="240" w:lineRule="auto"/>
        <w:jc w:val="both"/>
        <w:rPr>
          <w:rFonts w:ascii="Garamond" w:eastAsia="Garamond" w:hAnsi="Garamond" w:cs="Garamond"/>
        </w:rPr>
      </w:pPr>
    </w:p>
    <w:p w14:paraId="7DEE558D" w14:textId="77777777" w:rsidR="00132F11" w:rsidRDefault="00B2238F">
      <w:pPr>
        <w:spacing w:after="0" w:line="240" w:lineRule="auto"/>
        <w:jc w:val="both"/>
        <w:rPr>
          <w:rFonts w:ascii="Garamond" w:eastAsia="Garamond" w:hAnsi="Garamond" w:cs="Garamond"/>
        </w:rPr>
      </w:pPr>
      <w:r>
        <w:rPr>
          <w:rFonts w:ascii="Garamond" w:eastAsia="Garamond" w:hAnsi="Garamond" w:cs="Garamond"/>
        </w:rPr>
        <w:lastRenderedPageBreak/>
        <w:t xml:space="preserve">In order to compare the time series data of each sub-basin independent of measurement units, the team took the average value of each time series over time and subtracted it from each entry, then divided this value by the standard deviation of the time series, generating a z-score for each measurement. This normalization process converted the time series to a common unit of standard deviations (z-score), making the various data sources comparable across time. The team then plotted the data on a common axis to compare the time series. </w:t>
      </w:r>
    </w:p>
    <w:p w14:paraId="3B54EE0C" w14:textId="77777777" w:rsidR="00132F11" w:rsidRDefault="00132F11">
      <w:pPr>
        <w:spacing w:after="0" w:line="240" w:lineRule="auto"/>
        <w:rPr>
          <w:rFonts w:ascii="Garamond" w:eastAsia="Garamond" w:hAnsi="Garamond" w:cs="Garamond"/>
        </w:rPr>
      </w:pPr>
    </w:p>
    <w:p w14:paraId="443D0485" w14:textId="77777777" w:rsidR="00132F11" w:rsidRDefault="00B2238F">
      <w:pPr>
        <w:pStyle w:val="Heading1"/>
        <w:spacing w:before="0" w:line="240" w:lineRule="auto"/>
        <w:rPr>
          <w:rFonts w:ascii="Garamond" w:eastAsia="Garamond" w:hAnsi="Garamond" w:cs="Garamond"/>
        </w:rPr>
      </w:pPr>
      <w:bookmarkStart w:id="2" w:name="_heading=h.qysn9wigabr6" w:colFirst="0" w:colLast="0"/>
      <w:bookmarkEnd w:id="2"/>
      <w:r>
        <w:rPr>
          <w:rFonts w:ascii="Garamond" w:eastAsia="Garamond" w:hAnsi="Garamond" w:cs="Garamond"/>
        </w:rPr>
        <w:t>4. Results &amp; Discussion</w:t>
      </w:r>
    </w:p>
    <w:p w14:paraId="73E34B10" w14:textId="77777777" w:rsidR="00132F11" w:rsidRDefault="00B2238F">
      <w:pPr>
        <w:spacing w:after="0" w:line="240" w:lineRule="auto"/>
        <w:rPr>
          <w:rFonts w:ascii="Garamond" w:eastAsia="Garamond" w:hAnsi="Garamond" w:cs="Garamond"/>
          <w:b/>
          <w:i/>
        </w:rPr>
      </w:pPr>
      <w:r>
        <w:rPr>
          <w:rFonts w:ascii="Garamond" w:eastAsia="Garamond" w:hAnsi="Garamond" w:cs="Garamond"/>
          <w:b/>
          <w:i/>
        </w:rPr>
        <w:t>4.1 Analysis of Results</w:t>
      </w:r>
    </w:p>
    <w:p w14:paraId="71C3A277" w14:textId="77777777" w:rsidR="00132F11" w:rsidRDefault="00B2238F">
      <w:pPr>
        <w:spacing w:after="0" w:line="240" w:lineRule="auto"/>
        <w:jc w:val="both"/>
        <w:rPr>
          <w:rFonts w:ascii="Garamond" w:eastAsia="Garamond" w:hAnsi="Garamond" w:cs="Garamond"/>
        </w:rPr>
      </w:pPr>
      <w:r>
        <w:rPr>
          <w:rFonts w:ascii="Garamond" w:eastAsia="Garamond" w:hAnsi="Garamond" w:cs="Garamond"/>
        </w:rPr>
        <w:t xml:space="preserve">By plotting these datasets on a common axis, the team was able to clearly see the pattern between the datasets. In particular, the GRACE and well data show remarkably similar patterns of seasonality over time. Although the shape of the well data does diverge from the GRACE data at some time steps, this can likely be attributed to the more infrequent sampling in the well data, as demonstrated by the more jagged shape of the well time series (see </w:t>
      </w:r>
      <w:r>
        <w:rPr>
          <w:rFonts w:ascii="Garamond" w:eastAsia="Garamond" w:hAnsi="Garamond" w:cs="Garamond"/>
          <w:i/>
        </w:rPr>
        <w:t>Figure 8</w:t>
      </w:r>
      <w:r>
        <w:rPr>
          <w:rFonts w:ascii="Garamond" w:eastAsia="Garamond" w:hAnsi="Garamond" w:cs="Garamond"/>
        </w:rPr>
        <w:t>). The team also hypothesized that well measurements were taken selectively after episodes of either high precipitation or drought, thereby increasing the variance in the well data. The team performed a Pearson correlation between the different datasets within</w:t>
      </w:r>
      <w:r w:rsidR="00526D97">
        <w:rPr>
          <w:rFonts w:ascii="Garamond" w:eastAsia="Garamond" w:hAnsi="Garamond" w:cs="Garamond"/>
        </w:rPr>
        <w:t xml:space="preserve"> the Delta-Mendota sub-basin and</w:t>
      </w:r>
      <w:r>
        <w:rPr>
          <w:rFonts w:ascii="Garamond" w:eastAsia="Garamond" w:hAnsi="Garamond" w:cs="Garamond"/>
        </w:rPr>
        <w:t xml:space="preserve"> found significant but relatively weak correlations between GRACE and well datasets between 2003 and 2020 (Table A1). When performed across the Central Valley as a whole, we found a much stronger correlation between the datasets (</w:t>
      </w:r>
      <w:r w:rsidRPr="00526D97">
        <w:rPr>
          <w:rFonts w:ascii="Garamond" w:eastAsia="Garamond" w:hAnsi="Garamond" w:cs="Garamond"/>
          <w:i/>
        </w:rPr>
        <w:t>Table A2</w:t>
      </w:r>
      <w:r>
        <w:rPr>
          <w:rFonts w:ascii="Garamond" w:eastAsia="Garamond" w:hAnsi="Garamond" w:cs="Garamond"/>
        </w:rPr>
        <w:t>).</w:t>
      </w:r>
    </w:p>
    <w:p w14:paraId="793CA098" w14:textId="77777777" w:rsidR="00132F11" w:rsidRDefault="00132F11">
      <w:pPr>
        <w:spacing w:after="0" w:line="240" w:lineRule="auto"/>
        <w:jc w:val="both"/>
        <w:rPr>
          <w:rFonts w:ascii="Garamond" w:eastAsia="Garamond" w:hAnsi="Garamond" w:cs="Garamond"/>
        </w:rPr>
      </w:pPr>
    </w:p>
    <w:p w14:paraId="25E9E0AE" w14:textId="77777777" w:rsidR="00132F11" w:rsidRDefault="00B2238F">
      <w:pPr>
        <w:spacing w:after="0" w:line="240" w:lineRule="auto"/>
        <w:jc w:val="both"/>
        <w:rPr>
          <w:rFonts w:ascii="Garamond" w:eastAsia="Garamond" w:hAnsi="Garamond" w:cs="Garamond"/>
        </w:rPr>
      </w:pPr>
      <w:r>
        <w:rPr>
          <w:rFonts w:ascii="Garamond" w:eastAsia="Garamond" w:hAnsi="Garamond" w:cs="Garamond"/>
        </w:rPr>
        <w:t>In addition to th</w:t>
      </w:r>
      <w:r w:rsidR="00526D97">
        <w:rPr>
          <w:rFonts w:ascii="Garamond" w:eastAsia="Garamond" w:hAnsi="Garamond" w:cs="Garamond"/>
        </w:rPr>
        <w:t>e match between the well</w:t>
      </w:r>
      <w:r>
        <w:rPr>
          <w:rFonts w:ascii="Garamond" w:eastAsia="Garamond" w:hAnsi="Garamond" w:cs="Garamond"/>
        </w:rPr>
        <w:t xml:space="preserve"> and GRACE data, these t</w:t>
      </w:r>
      <w:r w:rsidR="00526D97">
        <w:rPr>
          <w:rFonts w:ascii="Garamond" w:eastAsia="Garamond" w:hAnsi="Garamond" w:cs="Garamond"/>
        </w:rPr>
        <w:t>wo datasets also correspond</w:t>
      </w:r>
      <w:r>
        <w:rPr>
          <w:rFonts w:ascii="Garamond" w:eastAsia="Garamond" w:hAnsi="Garamond" w:cs="Garamond"/>
        </w:rPr>
        <w:t xml:space="preserve"> with the timing of natural phenomena. The period between 2012 and 2017, overlapping one of the most intense droughts in California history, shows a depression in average groundwater storage across the sub-basin. In 2018, while the well data does show a moderate increase in groundwater storage across the sub-basin, the GRACE data shows a much more pronounced signal, indicating the end of the drought (see </w:t>
      </w:r>
      <w:r>
        <w:rPr>
          <w:rFonts w:ascii="Garamond" w:eastAsia="Garamond" w:hAnsi="Garamond" w:cs="Garamond"/>
          <w:i/>
        </w:rPr>
        <w:t>Figure 8</w:t>
      </w:r>
      <w:r>
        <w:rPr>
          <w:rFonts w:ascii="Garamond" w:eastAsia="Garamond" w:hAnsi="Garamond" w:cs="Garamond"/>
        </w:rPr>
        <w:t>). This suggests that GRACE data may be a more appropriate indicator of groundwater storage response to natural phenomena than localized well station observations.</w:t>
      </w:r>
    </w:p>
    <w:p w14:paraId="185D37A0" w14:textId="77777777" w:rsidR="00132F11" w:rsidRDefault="00132F11">
      <w:pPr>
        <w:spacing w:after="0" w:line="240" w:lineRule="auto"/>
        <w:jc w:val="both"/>
        <w:rPr>
          <w:rFonts w:ascii="Garamond" w:eastAsia="Garamond" w:hAnsi="Garamond" w:cs="Garamond"/>
        </w:rPr>
      </w:pPr>
    </w:p>
    <w:p w14:paraId="4B2BA262" w14:textId="5CDBD66B" w:rsidR="00132F11" w:rsidRDefault="00B2238F">
      <w:pPr>
        <w:spacing w:after="0" w:line="240" w:lineRule="auto"/>
        <w:jc w:val="both"/>
        <w:rPr>
          <w:rFonts w:ascii="Garamond" w:eastAsia="Garamond" w:hAnsi="Garamond" w:cs="Garamond"/>
        </w:rPr>
      </w:pPr>
      <w:r>
        <w:rPr>
          <w:rFonts w:ascii="Garamond" w:eastAsia="Garamond" w:hAnsi="Garamond" w:cs="Garamond"/>
        </w:rPr>
        <w:t>The Sentinel-1 data show a distinctly similar pattern of seasonality corresponding with the GRACE and well data, lending further evidence to the link between overdrafting of the Central Valley aquifer and local land subsidence. Although ALOS data were processed in the same manner, these data do not show similar trends to Sentinel-1. Further investigation into the root cause of these differences is necessary but beyond the scope of this project. GPS measurements show a consistent downward trend across the entire time period, without exceptional gain during the drought period. The Sentinel-1 trend shows that the majority of land subsidence is recovered</w:t>
      </w:r>
      <w:r w:rsidR="008F0C71">
        <w:rPr>
          <w:rFonts w:ascii="Garamond" w:eastAsia="Garamond" w:hAnsi="Garamond" w:cs="Garamond"/>
        </w:rPr>
        <w:t xml:space="preserve"> after each major seasonal drop,</w:t>
      </w:r>
      <w:r>
        <w:rPr>
          <w:rFonts w:ascii="Garamond" w:eastAsia="Garamond" w:hAnsi="Garamond" w:cs="Garamond"/>
        </w:rPr>
        <w:t xml:space="preserve"> </w:t>
      </w:r>
      <w:r w:rsidR="008F0C71">
        <w:rPr>
          <w:rFonts w:ascii="Garamond" w:eastAsia="Garamond" w:hAnsi="Garamond" w:cs="Garamond"/>
        </w:rPr>
        <w:t>but</w:t>
      </w:r>
      <w:r>
        <w:rPr>
          <w:rFonts w:ascii="Garamond" w:eastAsia="Garamond" w:hAnsi="Garamond" w:cs="Garamond"/>
        </w:rPr>
        <w:t xml:space="preserve"> there is a smaller fraction of elevation that is not recovered. This fraction represents the inelastic subsidence. Additionally, it is important to note the steep drop in surface elevation between 2015 and 2016. This loss in elevation, which occurs during one of the most intense drought periods, is never fully recovered throughout the time series.</w:t>
      </w:r>
    </w:p>
    <w:p w14:paraId="64015859" w14:textId="77777777" w:rsidR="007E5AB4" w:rsidRDefault="007E5AB4">
      <w:pPr>
        <w:spacing w:after="0" w:line="240" w:lineRule="auto"/>
        <w:jc w:val="both"/>
        <w:rPr>
          <w:rFonts w:ascii="Garamond" w:eastAsia="Garamond" w:hAnsi="Garamond" w:cs="Garamond"/>
        </w:rPr>
      </w:pPr>
    </w:p>
    <w:p w14:paraId="22A74ADD" w14:textId="77777777" w:rsidR="007E5AB4" w:rsidRDefault="007E5AB4">
      <w:pPr>
        <w:spacing w:after="0" w:line="240" w:lineRule="auto"/>
        <w:jc w:val="both"/>
        <w:rPr>
          <w:rFonts w:ascii="Garamond" w:eastAsia="Garamond" w:hAnsi="Garamond" w:cs="Garamond"/>
        </w:rPr>
      </w:pPr>
    </w:p>
    <w:p w14:paraId="06EFD5C8" w14:textId="77777777" w:rsidR="007E5AB4" w:rsidRDefault="007E5AB4">
      <w:pPr>
        <w:spacing w:after="0" w:line="240" w:lineRule="auto"/>
        <w:jc w:val="both"/>
        <w:rPr>
          <w:rFonts w:ascii="Garamond" w:eastAsia="Garamond" w:hAnsi="Garamond" w:cs="Garamond"/>
        </w:rPr>
      </w:pPr>
    </w:p>
    <w:p w14:paraId="39E916CC" w14:textId="77777777" w:rsidR="007E5AB4" w:rsidRDefault="007E5AB4">
      <w:pPr>
        <w:spacing w:after="0" w:line="240" w:lineRule="auto"/>
        <w:jc w:val="both"/>
        <w:rPr>
          <w:rFonts w:ascii="Garamond" w:eastAsia="Garamond" w:hAnsi="Garamond" w:cs="Garamond"/>
        </w:rPr>
      </w:pPr>
    </w:p>
    <w:p w14:paraId="3E1C7257" w14:textId="77777777" w:rsidR="007E5AB4" w:rsidRDefault="007E5AB4">
      <w:pPr>
        <w:spacing w:after="0" w:line="240" w:lineRule="auto"/>
        <w:jc w:val="both"/>
        <w:rPr>
          <w:rFonts w:ascii="Garamond" w:eastAsia="Garamond" w:hAnsi="Garamond" w:cs="Garamond"/>
        </w:rPr>
      </w:pPr>
    </w:p>
    <w:p w14:paraId="645B5276" w14:textId="77777777" w:rsidR="007E5AB4" w:rsidRDefault="007E5AB4">
      <w:pPr>
        <w:spacing w:after="0" w:line="240" w:lineRule="auto"/>
        <w:jc w:val="both"/>
        <w:rPr>
          <w:rFonts w:ascii="Garamond" w:eastAsia="Garamond" w:hAnsi="Garamond" w:cs="Garamond"/>
        </w:rPr>
      </w:pPr>
    </w:p>
    <w:p w14:paraId="1E77776C" w14:textId="77777777" w:rsidR="007E5AB4" w:rsidRDefault="007E5AB4">
      <w:pPr>
        <w:spacing w:after="0" w:line="240" w:lineRule="auto"/>
        <w:jc w:val="both"/>
        <w:rPr>
          <w:rFonts w:ascii="Garamond" w:eastAsia="Garamond" w:hAnsi="Garamond" w:cs="Garamond"/>
        </w:rPr>
      </w:pPr>
    </w:p>
    <w:p w14:paraId="682D3C0E" w14:textId="77777777" w:rsidR="007E5AB4" w:rsidRDefault="007E5AB4">
      <w:pPr>
        <w:spacing w:after="0" w:line="240" w:lineRule="auto"/>
        <w:jc w:val="both"/>
        <w:rPr>
          <w:rFonts w:ascii="Garamond" w:eastAsia="Garamond" w:hAnsi="Garamond" w:cs="Garamond"/>
        </w:rPr>
      </w:pPr>
    </w:p>
    <w:p w14:paraId="2A65CC6A" w14:textId="77777777" w:rsidR="007E5AB4" w:rsidRDefault="007E5AB4">
      <w:pPr>
        <w:spacing w:after="0" w:line="240" w:lineRule="auto"/>
        <w:jc w:val="both"/>
        <w:rPr>
          <w:rFonts w:ascii="Garamond" w:eastAsia="Garamond" w:hAnsi="Garamond" w:cs="Garamond"/>
        </w:rPr>
      </w:pPr>
    </w:p>
    <w:p w14:paraId="1E5FC47E" w14:textId="77777777" w:rsidR="007E5AB4" w:rsidRDefault="007E5AB4">
      <w:pPr>
        <w:spacing w:after="0" w:line="240" w:lineRule="auto"/>
        <w:jc w:val="both"/>
        <w:rPr>
          <w:rFonts w:ascii="Garamond" w:eastAsia="Garamond" w:hAnsi="Garamond" w:cs="Garamond"/>
        </w:rPr>
      </w:pPr>
    </w:p>
    <w:p w14:paraId="5B01E246" w14:textId="77777777" w:rsidR="007E5AB4" w:rsidRDefault="007E5AB4">
      <w:pPr>
        <w:spacing w:after="0" w:line="240" w:lineRule="auto"/>
        <w:jc w:val="both"/>
        <w:rPr>
          <w:rFonts w:ascii="Garamond" w:eastAsia="Garamond" w:hAnsi="Garamond" w:cs="Garamond"/>
        </w:rPr>
      </w:pPr>
    </w:p>
    <w:p w14:paraId="725282B9" w14:textId="77777777" w:rsidR="007E5AB4" w:rsidRDefault="007E5AB4">
      <w:pPr>
        <w:spacing w:after="0" w:line="240" w:lineRule="auto"/>
        <w:jc w:val="both"/>
        <w:rPr>
          <w:rFonts w:ascii="Garamond" w:eastAsia="Garamond" w:hAnsi="Garamond" w:cs="Garamond"/>
        </w:rPr>
      </w:pPr>
    </w:p>
    <w:p w14:paraId="626DF79B" w14:textId="77777777" w:rsidR="007E5AB4" w:rsidRDefault="007E5AB4">
      <w:pPr>
        <w:spacing w:after="0" w:line="240" w:lineRule="auto"/>
        <w:jc w:val="both"/>
        <w:rPr>
          <w:rFonts w:ascii="Garamond" w:eastAsia="Garamond" w:hAnsi="Garamond" w:cs="Garamond"/>
        </w:rPr>
      </w:pPr>
    </w:p>
    <w:p w14:paraId="2FC0CDA6" w14:textId="77777777" w:rsidR="007E5AB4" w:rsidRDefault="007E5AB4">
      <w:pPr>
        <w:spacing w:after="0" w:line="240" w:lineRule="auto"/>
        <w:jc w:val="both"/>
        <w:rPr>
          <w:rFonts w:ascii="Garamond" w:eastAsia="Garamond" w:hAnsi="Garamond" w:cs="Garamond"/>
        </w:rPr>
      </w:pPr>
    </w:p>
    <w:p w14:paraId="129E3911" w14:textId="77777777" w:rsidR="00132F11" w:rsidRDefault="00132F11">
      <w:pPr>
        <w:spacing w:after="0" w:line="240" w:lineRule="auto"/>
        <w:rPr>
          <w:rFonts w:ascii="Garamond" w:eastAsia="Garamond" w:hAnsi="Garamond" w:cs="Garamond"/>
          <w:b/>
        </w:rPr>
      </w:pPr>
    </w:p>
    <w:p w14:paraId="5AFFF9E5" w14:textId="77777777" w:rsidR="00132F11" w:rsidRDefault="00B2238F">
      <w:pPr>
        <w:spacing w:after="0" w:line="240" w:lineRule="auto"/>
        <w:jc w:val="center"/>
        <w:rPr>
          <w:rFonts w:ascii="Garamond" w:eastAsia="Garamond" w:hAnsi="Garamond" w:cs="Garamond"/>
          <w:b/>
        </w:rPr>
      </w:pPr>
      <w:r>
        <w:rPr>
          <w:rFonts w:ascii="Garamond" w:eastAsia="Garamond" w:hAnsi="Garamond" w:cs="Garamond"/>
          <w:b/>
        </w:rPr>
        <w:lastRenderedPageBreak/>
        <w:t xml:space="preserve">Zonal Analysis Results: Delta-Mendota Sub-Basin </w:t>
      </w:r>
    </w:p>
    <w:p w14:paraId="2922B34A" w14:textId="77777777" w:rsidR="00132F11" w:rsidRDefault="00B2238F">
      <w:pPr>
        <w:widowControl w:val="0"/>
        <w:spacing w:after="0" w:line="240" w:lineRule="auto"/>
        <w:jc w:val="center"/>
        <w:rPr>
          <w:rFonts w:ascii="Garamond" w:eastAsia="Garamond" w:hAnsi="Garamond" w:cs="Garamond"/>
        </w:rPr>
      </w:pPr>
      <w:r>
        <w:rPr>
          <w:rFonts w:ascii="Garamond" w:eastAsia="Garamond" w:hAnsi="Garamond" w:cs="Garamond"/>
          <w:noProof/>
        </w:rPr>
        <w:drawing>
          <wp:inline distT="114300" distB="114300" distL="114300" distR="114300" wp14:anchorId="049ED976" wp14:editId="5D0931F2">
            <wp:extent cx="4610100" cy="5597294"/>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4610100" cy="5597294"/>
                    </a:xfrm>
                    <a:prstGeom prst="rect">
                      <a:avLst/>
                    </a:prstGeom>
                    <a:ln/>
                  </pic:spPr>
                </pic:pic>
              </a:graphicData>
            </a:graphic>
          </wp:inline>
        </w:drawing>
      </w:r>
    </w:p>
    <w:p w14:paraId="3344E358" w14:textId="77777777" w:rsidR="00132F11" w:rsidRDefault="00132F11">
      <w:pPr>
        <w:widowControl w:val="0"/>
        <w:spacing w:after="0" w:line="240" w:lineRule="auto"/>
        <w:jc w:val="center"/>
        <w:rPr>
          <w:rFonts w:ascii="Garamond" w:eastAsia="Garamond" w:hAnsi="Garamond" w:cs="Garamond"/>
        </w:rPr>
      </w:pPr>
    </w:p>
    <w:p w14:paraId="74D2690D" w14:textId="44487399" w:rsidR="00132F11" w:rsidRDefault="00B2238F">
      <w:pPr>
        <w:spacing w:after="0" w:line="240" w:lineRule="auto"/>
        <w:jc w:val="center"/>
        <w:rPr>
          <w:rFonts w:ascii="Garamond" w:eastAsia="Garamond" w:hAnsi="Garamond" w:cs="Garamond"/>
        </w:rPr>
      </w:pPr>
      <w:r>
        <w:rPr>
          <w:rFonts w:ascii="Garamond" w:eastAsia="Garamond" w:hAnsi="Garamond" w:cs="Garamond"/>
          <w:i/>
        </w:rPr>
        <w:t>Figure 8</w:t>
      </w:r>
      <w:r>
        <w:rPr>
          <w:rFonts w:ascii="Garamond" w:eastAsia="Garamond" w:hAnsi="Garamond" w:cs="Garamond"/>
        </w:rPr>
        <w:t>. Zonal analysis time series of the Delta-Mendota sub-basin. (Top) Time series from 2003-2020 with GRACE groundwater thickness in blue, Sentinel-1 surface elevation in red, GPS surface elevation in dashed green, and well WSE in dashed grey. (Bottom) Size pane</w:t>
      </w:r>
      <w:r w:rsidR="008F0C71">
        <w:rPr>
          <w:rFonts w:ascii="Garamond" w:eastAsia="Garamond" w:hAnsi="Garamond" w:cs="Garamond"/>
        </w:rPr>
        <w:t>l</w:t>
      </w:r>
      <w:r>
        <w:rPr>
          <w:rFonts w:ascii="Garamond" w:eastAsia="Garamond" w:hAnsi="Garamond" w:cs="Garamond"/>
        </w:rPr>
        <w:t xml:space="preserve"> time series of normalized well, GPS, InSAR, and GRACE groundwater thickness. The time series represent the spatial and temporal average across the sub-basin per month in black, with the blue band representing one standard deviation from the mean.</w:t>
      </w:r>
    </w:p>
    <w:p w14:paraId="47151FDE" w14:textId="77777777" w:rsidR="00132F11" w:rsidRDefault="00132F11">
      <w:pPr>
        <w:spacing w:after="0" w:line="240" w:lineRule="auto"/>
        <w:rPr>
          <w:rFonts w:ascii="Garamond" w:eastAsia="Garamond" w:hAnsi="Garamond" w:cs="Garamond"/>
          <w:b/>
          <w:i/>
        </w:rPr>
      </w:pPr>
    </w:p>
    <w:p w14:paraId="10746324" w14:textId="77777777" w:rsidR="00132F11" w:rsidRDefault="00B2238F">
      <w:pPr>
        <w:spacing w:after="0" w:line="240" w:lineRule="auto"/>
        <w:rPr>
          <w:rFonts w:ascii="Garamond" w:eastAsia="Garamond" w:hAnsi="Garamond" w:cs="Garamond"/>
          <w:b/>
          <w:i/>
        </w:rPr>
      </w:pPr>
      <w:r>
        <w:rPr>
          <w:rFonts w:ascii="Garamond" w:eastAsia="Garamond" w:hAnsi="Garamond" w:cs="Garamond"/>
          <w:b/>
          <w:i/>
        </w:rPr>
        <w:t>4.2 Future Work</w:t>
      </w:r>
    </w:p>
    <w:p w14:paraId="5C0C073C" w14:textId="24E0811E" w:rsidR="00132F11" w:rsidRDefault="00B2238F">
      <w:pPr>
        <w:spacing w:after="0" w:line="240" w:lineRule="auto"/>
        <w:jc w:val="both"/>
        <w:rPr>
          <w:rFonts w:ascii="Garamond" w:eastAsia="Garamond" w:hAnsi="Garamond" w:cs="Garamond"/>
        </w:rPr>
      </w:pPr>
      <w:r>
        <w:rPr>
          <w:rFonts w:ascii="Garamond" w:eastAsia="Garamond" w:hAnsi="Garamond" w:cs="Garamond"/>
        </w:rPr>
        <w:t>Although zonal analysis produce</w:t>
      </w:r>
      <w:r w:rsidR="007E5AB4">
        <w:rPr>
          <w:rFonts w:ascii="Garamond" w:eastAsia="Garamond" w:hAnsi="Garamond" w:cs="Garamond"/>
        </w:rPr>
        <w:t>d</w:t>
      </w:r>
      <w:r>
        <w:rPr>
          <w:rFonts w:ascii="Garamond" w:eastAsia="Garamond" w:hAnsi="Garamond" w:cs="Garamond"/>
        </w:rPr>
        <w:t xml:space="preserve"> invaluable results for understanding groundwater storage and land subsidence responses to overdrafting in the context of SGMA, the team believes </w:t>
      </w:r>
      <w:r w:rsidR="00F0061A">
        <w:rPr>
          <w:rFonts w:ascii="Garamond" w:eastAsia="Garamond" w:hAnsi="Garamond" w:cs="Garamond"/>
        </w:rPr>
        <w:t>other analyses</w:t>
      </w:r>
      <w:r>
        <w:rPr>
          <w:rFonts w:ascii="Garamond" w:eastAsia="Garamond" w:hAnsi="Garamond" w:cs="Garamond"/>
        </w:rPr>
        <w:t xml:space="preserve"> could be performed to generate a more holistic understanding of groundwater storage and land subsidence regimes throughout the Central Valley. One such analysis the team identified is a point analysis. In this analysis, remotely sensed data would be compared to in-situ data taken at corresponding times, much like the zo</w:t>
      </w:r>
      <w:r w:rsidR="00DE2BF3">
        <w:rPr>
          <w:rFonts w:ascii="Garamond" w:eastAsia="Garamond" w:hAnsi="Garamond" w:cs="Garamond"/>
        </w:rPr>
        <w:t>nal analysis. However, the data</w:t>
      </w:r>
      <w:r>
        <w:rPr>
          <w:rFonts w:ascii="Garamond" w:eastAsia="Garamond" w:hAnsi="Garamond" w:cs="Garamond"/>
        </w:rPr>
        <w:t xml:space="preserve">sets would not be aggregated over different regions to calculate mean </w:t>
      </w:r>
      <w:r w:rsidR="009D5830">
        <w:rPr>
          <w:rFonts w:ascii="Garamond" w:eastAsia="Garamond" w:hAnsi="Garamond" w:cs="Garamond"/>
        </w:rPr>
        <w:t>values but</w:t>
      </w:r>
      <w:r>
        <w:rPr>
          <w:rFonts w:ascii="Garamond" w:eastAsia="Garamond" w:hAnsi="Garamond" w:cs="Garamond"/>
        </w:rPr>
        <w:t xml:space="preserve"> would instead be analyzed at the point where the in-situ measurements were taken. This analysis would produce time </w:t>
      </w:r>
      <w:r>
        <w:rPr>
          <w:rFonts w:ascii="Garamond" w:eastAsia="Garamond" w:hAnsi="Garamond" w:cs="Garamond"/>
        </w:rPr>
        <w:lastRenderedPageBreak/>
        <w:t>series similar to Figure 8, but allow the team to draw conclusions at a scale local to the in-situ measurement, as opposed to regional. This technique would maintain information lost during the agg</w:t>
      </w:r>
      <w:r w:rsidR="008F0C71">
        <w:rPr>
          <w:rFonts w:ascii="Garamond" w:eastAsia="Garamond" w:hAnsi="Garamond" w:cs="Garamond"/>
        </w:rPr>
        <w:t xml:space="preserve">regation step of zonal analysis. However, this </w:t>
      </w:r>
      <w:r>
        <w:rPr>
          <w:rFonts w:ascii="Garamond" w:eastAsia="Garamond" w:hAnsi="Garamond" w:cs="Garamond"/>
        </w:rPr>
        <w:t>is also a much more computationally intensive process.</w:t>
      </w:r>
    </w:p>
    <w:p w14:paraId="547E7A9D" w14:textId="77777777" w:rsidR="00132F11" w:rsidRDefault="00132F11">
      <w:pPr>
        <w:spacing w:after="0" w:line="240" w:lineRule="auto"/>
        <w:jc w:val="both"/>
        <w:rPr>
          <w:rFonts w:ascii="Garamond" w:eastAsia="Garamond" w:hAnsi="Garamond" w:cs="Garamond"/>
        </w:rPr>
      </w:pPr>
    </w:p>
    <w:p w14:paraId="1332AF81" w14:textId="4805FE59" w:rsidR="00132F11" w:rsidRDefault="00B2238F">
      <w:pPr>
        <w:spacing w:after="0" w:line="240" w:lineRule="auto"/>
        <w:jc w:val="both"/>
        <w:rPr>
          <w:rFonts w:ascii="Garamond" w:eastAsia="Garamond" w:hAnsi="Garamond" w:cs="Garamond"/>
        </w:rPr>
      </w:pPr>
      <w:r>
        <w:rPr>
          <w:rFonts w:ascii="Garamond" w:eastAsia="Garamond" w:hAnsi="Garamond" w:cs="Garamond"/>
        </w:rPr>
        <w:t>Additionally, the team would like to see future work expand on the use of InSAR data across the Central Valley. Currently, InSAR coverage of the</w:t>
      </w:r>
      <w:r w:rsidR="00DE2BF3">
        <w:rPr>
          <w:rFonts w:ascii="Garamond" w:eastAsia="Garamond" w:hAnsi="Garamond" w:cs="Garamond"/>
        </w:rPr>
        <w:t xml:space="preserve"> valley</w:t>
      </w:r>
      <w:r>
        <w:rPr>
          <w:rFonts w:ascii="Garamond" w:eastAsia="Garamond" w:hAnsi="Garamond" w:cs="Garamond"/>
        </w:rPr>
        <w:t xml:space="preserve"> only extends across the southern region due to prioritization of regions with greater subsidence. Increased InSAR coverage of the Central Valley would allow for a more comprehensive look at the natural factors affecting subsidence as well as the ground elevation response to overdrafting. </w:t>
      </w:r>
      <w:r w:rsidR="006064D3">
        <w:rPr>
          <w:rFonts w:ascii="Garamond" w:eastAsia="Garamond" w:hAnsi="Garamond" w:cs="Garamond"/>
        </w:rPr>
        <w:t>The team hoped to utilize t</w:t>
      </w:r>
      <w:r>
        <w:rPr>
          <w:rFonts w:ascii="Garamond" w:eastAsia="Garamond" w:hAnsi="Garamond" w:cs="Garamond"/>
        </w:rPr>
        <w:t>he Japanese Aerospace Exploration Agency’s (JAXA) Advance</w:t>
      </w:r>
      <w:r w:rsidR="00F0061A">
        <w:rPr>
          <w:rFonts w:ascii="Garamond" w:eastAsia="Garamond" w:hAnsi="Garamond" w:cs="Garamond"/>
        </w:rPr>
        <w:t>d</w:t>
      </w:r>
      <w:r>
        <w:rPr>
          <w:rFonts w:ascii="Garamond" w:eastAsia="Garamond" w:hAnsi="Garamond" w:cs="Garamond"/>
        </w:rPr>
        <w:t xml:space="preserve"> Land Observing Satellite 2 (ALOS-2) Phased Array L-band Synthetic Aperture Radar 2 (PALSAR-2) as another potential data source for InSAR</w:t>
      </w:r>
      <w:r w:rsidR="006064D3">
        <w:rPr>
          <w:rFonts w:ascii="Garamond" w:eastAsia="Garamond" w:hAnsi="Garamond" w:cs="Garamond"/>
        </w:rPr>
        <w:t xml:space="preserve"> during the course of this project, but due to time limitations, only preliminary processing and analysis was feasible at this time</w:t>
      </w:r>
      <w:r>
        <w:rPr>
          <w:rFonts w:ascii="Garamond" w:eastAsia="Garamond" w:hAnsi="Garamond" w:cs="Garamond"/>
        </w:rPr>
        <w:t>. Incorporating measurements produced from this satellite would improve temporal resolution of the area w</w:t>
      </w:r>
      <w:r w:rsidR="008F0C71">
        <w:rPr>
          <w:rFonts w:ascii="Garamond" w:eastAsia="Garamond" w:hAnsi="Garamond" w:cs="Garamond"/>
        </w:rPr>
        <w:t>ith respect to land subsidence.</w:t>
      </w:r>
    </w:p>
    <w:p w14:paraId="1A83B2DE" w14:textId="77777777" w:rsidR="00132F11" w:rsidRDefault="00132F11">
      <w:pPr>
        <w:spacing w:after="0" w:line="240" w:lineRule="auto"/>
        <w:jc w:val="both"/>
        <w:rPr>
          <w:rFonts w:ascii="Garamond" w:eastAsia="Garamond" w:hAnsi="Garamond" w:cs="Garamond"/>
        </w:rPr>
      </w:pPr>
    </w:p>
    <w:p w14:paraId="4971C1AB" w14:textId="2D108847" w:rsidR="00132F11" w:rsidRDefault="00B2238F">
      <w:pPr>
        <w:spacing w:after="0" w:line="240" w:lineRule="auto"/>
        <w:jc w:val="both"/>
        <w:rPr>
          <w:rFonts w:ascii="Garamond" w:eastAsia="Garamond" w:hAnsi="Garamond" w:cs="Garamond"/>
          <w:color w:val="FF0000"/>
        </w:rPr>
      </w:pPr>
      <w:r>
        <w:rPr>
          <w:rFonts w:ascii="Garamond" w:eastAsia="Garamond" w:hAnsi="Garamond" w:cs="Garamond"/>
        </w:rPr>
        <w:t>Finally, the team is currently undergoing efforts to produce a software tool</w:t>
      </w:r>
      <w:r w:rsidR="00F97731">
        <w:rPr>
          <w:rFonts w:ascii="Garamond" w:eastAsia="Garamond" w:hAnsi="Garamond" w:cs="Garamond"/>
        </w:rPr>
        <w:t>, named the Visualization of In-situ and Remotely sensed Observations (VIRGO),</w:t>
      </w:r>
      <w:r>
        <w:rPr>
          <w:rFonts w:ascii="Garamond" w:eastAsia="Garamond" w:hAnsi="Garamond" w:cs="Garamond"/>
        </w:rPr>
        <w:t xml:space="preserve"> that will allow researchers and water resource managers, such as our partners at the California DWR, to reproduce the work described in this study. The purpose of this tool is to increase the DWR’s capacity to monitor groundwater storage and land subsidence in the context of SGMA and ensure that GSAs meet the</w:t>
      </w:r>
      <w:r w:rsidR="00F97731">
        <w:rPr>
          <w:rFonts w:ascii="Garamond" w:eastAsia="Garamond" w:hAnsi="Garamond" w:cs="Garamond"/>
        </w:rPr>
        <w:t>ir stated sustainability goals.</w:t>
      </w:r>
    </w:p>
    <w:p w14:paraId="2C1FA0DA" w14:textId="77777777" w:rsidR="00132F11" w:rsidRDefault="00132F11">
      <w:pPr>
        <w:spacing w:after="0" w:line="240" w:lineRule="auto"/>
        <w:jc w:val="both"/>
        <w:rPr>
          <w:rFonts w:ascii="Garamond" w:eastAsia="Garamond" w:hAnsi="Garamond" w:cs="Garamond"/>
          <w:color w:val="980000"/>
        </w:rPr>
      </w:pPr>
    </w:p>
    <w:p w14:paraId="546A9BF8" w14:textId="77777777" w:rsidR="00132F11" w:rsidRDefault="00B2238F">
      <w:pPr>
        <w:pStyle w:val="Heading1"/>
        <w:spacing w:before="0" w:line="240" w:lineRule="auto"/>
        <w:rPr>
          <w:rFonts w:ascii="Garamond" w:eastAsia="Garamond" w:hAnsi="Garamond" w:cs="Garamond"/>
        </w:rPr>
      </w:pPr>
      <w:bookmarkStart w:id="3" w:name="_heading=h.d4s1mind650s" w:colFirst="0" w:colLast="0"/>
      <w:bookmarkEnd w:id="3"/>
      <w:r>
        <w:rPr>
          <w:rFonts w:ascii="Garamond" w:eastAsia="Garamond" w:hAnsi="Garamond" w:cs="Garamond"/>
        </w:rPr>
        <w:t>5. Conclusions</w:t>
      </w:r>
    </w:p>
    <w:p w14:paraId="18EE4B98" w14:textId="2A268CE7" w:rsidR="00132F11" w:rsidRDefault="00B2238F">
      <w:pPr>
        <w:spacing w:after="0" w:line="240" w:lineRule="auto"/>
        <w:jc w:val="both"/>
        <w:rPr>
          <w:rFonts w:ascii="Garamond" w:eastAsia="Garamond" w:hAnsi="Garamond" w:cs="Garamond"/>
        </w:rPr>
      </w:pPr>
      <w:r>
        <w:rPr>
          <w:rFonts w:ascii="Garamond" w:eastAsia="Garamond" w:hAnsi="Garamond" w:cs="Garamond"/>
        </w:rPr>
        <w:t>This study showed that GRACE and InSAR are reliable substitutes for monitoring groundwater storage and land subsidence in the context of the SGMA legislation, particularly in regions w</w:t>
      </w:r>
      <w:r w:rsidR="00E33DFD">
        <w:rPr>
          <w:rFonts w:ascii="Garamond" w:eastAsia="Garamond" w:hAnsi="Garamond" w:cs="Garamond"/>
        </w:rPr>
        <w:t>here in-situ well and GPS data are</w:t>
      </w:r>
      <w:r>
        <w:rPr>
          <w:rFonts w:ascii="Garamond" w:eastAsia="Garamond" w:hAnsi="Garamond" w:cs="Garamond"/>
        </w:rPr>
        <w:t xml:space="preserve"> sparse, unreliable, or unavailable. The GRACE downscaled data provided by NASA’s Goddard Space Flight Center </w:t>
      </w:r>
      <w:r w:rsidR="00E33DFD">
        <w:rPr>
          <w:rFonts w:ascii="Garamond" w:eastAsia="Garamond" w:hAnsi="Garamond" w:cs="Garamond"/>
        </w:rPr>
        <w:t>are</w:t>
      </w:r>
      <w:r>
        <w:rPr>
          <w:rFonts w:ascii="Garamond" w:eastAsia="Garamond" w:hAnsi="Garamond" w:cs="Garamond"/>
        </w:rPr>
        <w:t xml:space="preserve"> an especially good substitute for well data, and may in fact be a preferable method for accurate assessment of groundwater storage over sub-basin scale regions. This is primarily due to the distinct similarities in the time series of the two datasets, with GRACE data showing a smoother shape with less variation over sub-seasonal time periods. Both the GRACE and well data accurately captured the drought period between 2012-2017</w:t>
      </w:r>
      <w:r w:rsidR="00F0061A">
        <w:rPr>
          <w:rFonts w:ascii="Garamond" w:eastAsia="Garamond" w:hAnsi="Garamond" w:cs="Garamond"/>
        </w:rPr>
        <w:t>. H</w:t>
      </w:r>
      <w:r>
        <w:rPr>
          <w:rFonts w:ascii="Garamond" w:eastAsia="Garamond" w:hAnsi="Garamond" w:cs="Garamond"/>
        </w:rPr>
        <w:t>owever</w:t>
      </w:r>
      <w:r w:rsidR="00F0061A">
        <w:rPr>
          <w:rFonts w:ascii="Garamond" w:eastAsia="Garamond" w:hAnsi="Garamond" w:cs="Garamond"/>
        </w:rPr>
        <w:t>,</w:t>
      </w:r>
      <w:r>
        <w:rPr>
          <w:rFonts w:ascii="Garamond" w:eastAsia="Garamond" w:hAnsi="Garamond" w:cs="Garamond"/>
        </w:rPr>
        <w:t xml:space="preserve"> GRACE showed a much more dramatic response to the end of the drought, making it a better</w:t>
      </w:r>
      <w:r w:rsidR="009478E9">
        <w:rPr>
          <w:rFonts w:ascii="Garamond" w:eastAsia="Garamond" w:hAnsi="Garamond" w:cs="Garamond"/>
        </w:rPr>
        <w:t xml:space="preserve"> indicator of sub-basin scale hydrologic</w:t>
      </w:r>
      <w:r>
        <w:rPr>
          <w:rFonts w:ascii="Garamond" w:eastAsia="Garamond" w:hAnsi="Garamond" w:cs="Garamond"/>
        </w:rPr>
        <w:t xml:space="preserve"> phenomena.</w:t>
      </w:r>
    </w:p>
    <w:p w14:paraId="08D6B92C" w14:textId="77777777" w:rsidR="00132F11" w:rsidRDefault="00132F11">
      <w:pPr>
        <w:spacing w:after="0" w:line="240" w:lineRule="auto"/>
        <w:jc w:val="both"/>
        <w:rPr>
          <w:rFonts w:ascii="Garamond" w:eastAsia="Garamond" w:hAnsi="Garamond" w:cs="Garamond"/>
        </w:rPr>
      </w:pPr>
    </w:p>
    <w:p w14:paraId="308A943E" w14:textId="77777777" w:rsidR="00132F11" w:rsidRDefault="00B2238F">
      <w:pPr>
        <w:spacing w:after="0" w:line="240" w:lineRule="auto"/>
        <w:jc w:val="both"/>
        <w:rPr>
          <w:rFonts w:ascii="Garamond" w:eastAsia="Garamond" w:hAnsi="Garamond" w:cs="Garamond"/>
        </w:rPr>
      </w:pPr>
      <w:r>
        <w:rPr>
          <w:rFonts w:ascii="Garamond" w:eastAsia="Garamond" w:hAnsi="Garamond" w:cs="Garamond"/>
        </w:rPr>
        <w:t>Likewise, this study showed that InSAR data can be used to assess land subsidence in regions of the Central Valley where in-situ data may be unavailable. The InSAR data used in this study demonstrated that land subsidence does correspond to decreases in groundwater storage and that decreases in elevation can be recovered to a certain extent, but that there is a fraction of unrecoverable loss in surface elevation corresponding with a loss in subsurface groundwater storage at each seasonal fluctuation. Most notably, a large episode of subsidence between 2015 and 2016 is never fully recovered over the course of the study period.</w:t>
      </w:r>
    </w:p>
    <w:p w14:paraId="4F65DE65" w14:textId="77777777" w:rsidR="00132F11" w:rsidRDefault="00132F11">
      <w:pPr>
        <w:spacing w:after="0" w:line="240" w:lineRule="auto"/>
        <w:jc w:val="both"/>
        <w:rPr>
          <w:rFonts w:ascii="Garamond" w:eastAsia="Garamond" w:hAnsi="Garamond" w:cs="Garamond"/>
        </w:rPr>
      </w:pPr>
    </w:p>
    <w:p w14:paraId="1211BAA9" w14:textId="55C24314" w:rsidR="00132F11" w:rsidRDefault="00B2238F">
      <w:pPr>
        <w:spacing w:after="0" w:line="240" w:lineRule="auto"/>
        <w:jc w:val="both"/>
        <w:rPr>
          <w:rFonts w:ascii="Garamond" w:eastAsia="Garamond" w:hAnsi="Garamond" w:cs="Garamond"/>
        </w:rPr>
      </w:pPr>
      <w:r>
        <w:rPr>
          <w:rFonts w:ascii="Garamond" w:eastAsia="Garamond" w:hAnsi="Garamond" w:cs="Garamond"/>
        </w:rPr>
        <w:t>The team hopes that future work can be conducted to produce a more holistic understanding of the groundwater storage and land subsidence regimes across the study period, ideally using point analysis. The team has also identified areas of improvement, particular</w:t>
      </w:r>
      <w:r w:rsidR="00F0061A">
        <w:rPr>
          <w:rFonts w:ascii="Garamond" w:eastAsia="Garamond" w:hAnsi="Garamond" w:cs="Garamond"/>
        </w:rPr>
        <w:t>ly</w:t>
      </w:r>
      <w:r>
        <w:rPr>
          <w:rFonts w:ascii="Garamond" w:eastAsia="Garamond" w:hAnsi="Garamond" w:cs="Garamond"/>
        </w:rPr>
        <w:t xml:space="preserve"> with regards to InSAR coverage and data sources, that may be of use in further building out the results of this study. Finally, the team hopes to release a Visualization of In-situ and Remotely sensed Observations (VIRGO) software tool by the 2020 GSA annual report in order to provide actionable information to California’s DWR on groundwater sustainability. </w:t>
      </w:r>
    </w:p>
    <w:p w14:paraId="4D32A36F" w14:textId="77777777" w:rsidR="00132F11" w:rsidRDefault="00132F11">
      <w:pPr>
        <w:spacing w:after="0" w:line="240" w:lineRule="auto"/>
        <w:jc w:val="both"/>
        <w:rPr>
          <w:rFonts w:ascii="Garamond" w:eastAsia="Garamond" w:hAnsi="Garamond" w:cs="Garamond"/>
        </w:rPr>
      </w:pPr>
    </w:p>
    <w:p w14:paraId="2AB4C273" w14:textId="77777777" w:rsidR="00132F11" w:rsidRDefault="00B2238F">
      <w:pPr>
        <w:pStyle w:val="Heading1"/>
        <w:spacing w:before="0" w:line="240" w:lineRule="auto"/>
        <w:rPr>
          <w:rFonts w:ascii="Garamond" w:eastAsia="Garamond" w:hAnsi="Garamond" w:cs="Garamond"/>
        </w:rPr>
      </w:pPr>
      <w:r>
        <w:rPr>
          <w:rFonts w:ascii="Garamond" w:eastAsia="Garamond" w:hAnsi="Garamond" w:cs="Garamond"/>
        </w:rPr>
        <w:t>6. Acknowledgments</w:t>
      </w:r>
    </w:p>
    <w:p w14:paraId="7394898B" w14:textId="654B0B7B" w:rsidR="00132F11" w:rsidRDefault="00B2238F">
      <w:pPr>
        <w:spacing w:after="0" w:line="240" w:lineRule="auto"/>
        <w:jc w:val="both"/>
        <w:rPr>
          <w:rFonts w:ascii="Garamond" w:eastAsia="Garamond" w:hAnsi="Garamond" w:cs="Garamond"/>
        </w:rPr>
      </w:pPr>
      <w:r>
        <w:rPr>
          <w:rFonts w:ascii="Garamond" w:eastAsia="Garamond" w:hAnsi="Garamond" w:cs="Garamond"/>
        </w:rPr>
        <w:t xml:space="preserve">We thank everyone at the California </w:t>
      </w:r>
      <w:r w:rsidR="00F97731">
        <w:rPr>
          <w:rFonts w:ascii="Garamond" w:eastAsia="Garamond" w:hAnsi="Garamond" w:cs="Garamond"/>
        </w:rPr>
        <w:t>–</w:t>
      </w:r>
      <w:r>
        <w:rPr>
          <w:rFonts w:ascii="Garamond" w:eastAsia="Garamond" w:hAnsi="Garamond" w:cs="Garamond"/>
        </w:rPr>
        <w:t xml:space="preserve"> JPL node for their support and guidance during this term and for providing the Earth observation data required for this project.</w:t>
      </w:r>
    </w:p>
    <w:p w14:paraId="246D9C8C" w14:textId="77777777" w:rsidR="00132F11" w:rsidRDefault="00132F11">
      <w:pPr>
        <w:spacing w:after="0" w:line="240" w:lineRule="auto"/>
        <w:jc w:val="both"/>
        <w:rPr>
          <w:rFonts w:ascii="Garamond" w:eastAsia="Garamond" w:hAnsi="Garamond" w:cs="Garamond"/>
        </w:rPr>
      </w:pPr>
    </w:p>
    <w:p w14:paraId="1C1B74DD" w14:textId="77777777" w:rsidR="00132F11" w:rsidRDefault="00B2238F">
      <w:pPr>
        <w:spacing w:after="0" w:line="240" w:lineRule="auto"/>
        <w:jc w:val="both"/>
        <w:rPr>
          <w:rFonts w:ascii="Garamond" w:eastAsia="Garamond" w:hAnsi="Garamond" w:cs="Garamond"/>
        </w:rPr>
      </w:pPr>
      <w:r>
        <w:rPr>
          <w:rFonts w:ascii="Garamond" w:eastAsia="Garamond" w:hAnsi="Garamond" w:cs="Garamond"/>
        </w:rPr>
        <w:t>Dr. Kyra Kim (NASA Jet Propulsion Laboratory, California Institute of Technology)</w:t>
      </w:r>
    </w:p>
    <w:p w14:paraId="645EF921" w14:textId="77777777" w:rsidR="00132F11" w:rsidRDefault="00B2238F">
      <w:pPr>
        <w:spacing w:after="0" w:line="240" w:lineRule="auto"/>
        <w:jc w:val="both"/>
        <w:rPr>
          <w:rFonts w:ascii="Garamond" w:eastAsia="Garamond" w:hAnsi="Garamond" w:cs="Garamond"/>
        </w:rPr>
      </w:pPr>
      <w:r>
        <w:rPr>
          <w:rFonts w:ascii="Garamond" w:eastAsia="Garamond" w:hAnsi="Garamond" w:cs="Garamond"/>
        </w:rPr>
        <w:t>Dr. Zhen Liu (NASA Jet Propulsion Laboratory, California Institute of Technology)</w:t>
      </w:r>
    </w:p>
    <w:p w14:paraId="2A8865B2" w14:textId="77777777" w:rsidR="00132F11" w:rsidRDefault="00B2238F">
      <w:pPr>
        <w:spacing w:after="0" w:line="240" w:lineRule="auto"/>
        <w:jc w:val="both"/>
        <w:rPr>
          <w:rFonts w:ascii="Garamond" w:eastAsia="Garamond" w:hAnsi="Garamond" w:cs="Garamond"/>
        </w:rPr>
      </w:pPr>
      <w:r>
        <w:rPr>
          <w:rFonts w:ascii="Garamond" w:eastAsia="Garamond" w:hAnsi="Garamond" w:cs="Garamond"/>
        </w:rPr>
        <w:lastRenderedPageBreak/>
        <w:t>Dr. John T. Reager (NASA Jet Propulsion Laboratory, California Institute of Technology)</w:t>
      </w:r>
    </w:p>
    <w:p w14:paraId="4DB2170F" w14:textId="77777777" w:rsidR="00132F11" w:rsidRDefault="00B2238F">
      <w:pPr>
        <w:spacing w:after="0" w:line="240" w:lineRule="auto"/>
        <w:jc w:val="both"/>
        <w:rPr>
          <w:rFonts w:ascii="Garamond" w:eastAsia="Garamond" w:hAnsi="Garamond" w:cs="Garamond"/>
        </w:rPr>
      </w:pPr>
      <w:r>
        <w:rPr>
          <w:rFonts w:ascii="Garamond" w:eastAsia="Garamond" w:hAnsi="Garamond" w:cs="Garamond"/>
        </w:rPr>
        <w:t>Ben Holt (NASA Jet Propulsion Laboratory, California Institute of Technology)</w:t>
      </w:r>
    </w:p>
    <w:p w14:paraId="442B7989" w14:textId="77777777" w:rsidR="00132F11" w:rsidRDefault="00B2238F">
      <w:pPr>
        <w:spacing w:after="0" w:line="240" w:lineRule="auto"/>
        <w:jc w:val="both"/>
        <w:rPr>
          <w:rFonts w:ascii="Garamond" w:eastAsia="Garamond" w:hAnsi="Garamond" w:cs="Garamond"/>
        </w:rPr>
      </w:pPr>
      <w:r>
        <w:rPr>
          <w:rFonts w:ascii="Garamond" w:eastAsia="Garamond" w:hAnsi="Garamond" w:cs="Garamond"/>
        </w:rPr>
        <w:t>Cecil Byles (NASA DEVELOP National Program, Lead/Fellow)</w:t>
      </w:r>
    </w:p>
    <w:p w14:paraId="52E24380" w14:textId="77777777" w:rsidR="00132F11" w:rsidRDefault="00132F11">
      <w:pPr>
        <w:spacing w:after="0" w:line="240" w:lineRule="auto"/>
        <w:jc w:val="both"/>
        <w:rPr>
          <w:rFonts w:ascii="Garamond" w:eastAsia="Garamond" w:hAnsi="Garamond" w:cs="Garamond"/>
        </w:rPr>
      </w:pPr>
    </w:p>
    <w:p w14:paraId="4D447152" w14:textId="77777777" w:rsidR="00132F11" w:rsidRDefault="00B2238F">
      <w:pPr>
        <w:spacing w:after="0" w:line="240" w:lineRule="auto"/>
        <w:jc w:val="both"/>
        <w:rPr>
          <w:rFonts w:ascii="Garamond" w:eastAsia="Garamond" w:hAnsi="Garamond" w:cs="Garamond"/>
        </w:rPr>
      </w:pPr>
      <w:r>
        <w:rPr>
          <w:rFonts w:ascii="Garamond" w:eastAsia="Garamond" w:hAnsi="Garamond" w:cs="Garamond"/>
        </w:rPr>
        <w:t>A special thanks to our Project Partners who provided us with in-situ data and their expertise throughout this project.</w:t>
      </w:r>
    </w:p>
    <w:p w14:paraId="55BC3F3D" w14:textId="77777777" w:rsidR="00132F11" w:rsidRDefault="00132F11">
      <w:pPr>
        <w:spacing w:after="0" w:line="240" w:lineRule="auto"/>
        <w:jc w:val="both"/>
        <w:rPr>
          <w:rFonts w:ascii="Garamond" w:eastAsia="Garamond" w:hAnsi="Garamond" w:cs="Garamond"/>
        </w:rPr>
      </w:pPr>
    </w:p>
    <w:p w14:paraId="31D2E8F1" w14:textId="77777777" w:rsidR="00132F11" w:rsidRDefault="00B2238F">
      <w:pPr>
        <w:spacing w:after="0" w:line="240" w:lineRule="auto"/>
        <w:jc w:val="both"/>
        <w:rPr>
          <w:rFonts w:ascii="Garamond" w:eastAsia="Garamond" w:hAnsi="Garamond" w:cs="Garamond"/>
        </w:rPr>
      </w:pPr>
      <w:r>
        <w:rPr>
          <w:rFonts w:ascii="Garamond" w:eastAsia="Garamond" w:hAnsi="Garamond" w:cs="Garamond"/>
        </w:rPr>
        <w:t>Dr. Timothy Ross (California Department of Water Resources, Southern Region Office)</w:t>
      </w:r>
    </w:p>
    <w:p w14:paraId="033F40F8" w14:textId="77777777" w:rsidR="00132F11" w:rsidRDefault="00B2238F">
      <w:pPr>
        <w:spacing w:after="0" w:line="240" w:lineRule="auto"/>
        <w:jc w:val="both"/>
        <w:rPr>
          <w:rFonts w:ascii="Garamond" w:eastAsia="Garamond" w:hAnsi="Garamond" w:cs="Garamond"/>
        </w:rPr>
      </w:pPr>
      <w:r>
        <w:rPr>
          <w:rFonts w:ascii="Garamond" w:eastAsia="Garamond" w:hAnsi="Garamond" w:cs="Garamond"/>
        </w:rPr>
        <w:t>Jack Tung (California Department of Water Resources, Southern Region Office)</w:t>
      </w:r>
    </w:p>
    <w:p w14:paraId="2CAC0E49" w14:textId="77777777" w:rsidR="00132F11" w:rsidRDefault="00B2238F">
      <w:pPr>
        <w:spacing w:after="0" w:line="240" w:lineRule="auto"/>
        <w:jc w:val="both"/>
        <w:rPr>
          <w:rFonts w:ascii="Garamond" w:eastAsia="Garamond" w:hAnsi="Garamond" w:cs="Garamond"/>
        </w:rPr>
      </w:pPr>
      <w:r>
        <w:rPr>
          <w:rFonts w:ascii="Garamond" w:eastAsia="Garamond" w:hAnsi="Garamond" w:cs="Garamond"/>
        </w:rPr>
        <w:t>Bill Brewster (California Department of Water Resources, North Central Region Office)</w:t>
      </w:r>
    </w:p>
    <w:p w14:paraId="5FACD618" w14:textId="77777777" w:rsidR="00132F11" w:rsidRDefault="00B2238F">
      <w:pPr>
        <w:spacing w:after="0" w:line="240" w:lineRule="auto"/>
        <w:jc w:val="both"/>
        <w:rPr>
          <w:rFonts w:ascii="Garamond" w:eastAsia="Garamond" w:hAnsi="Garamond" w:cs="Garamond"/>
        </w:rPr>
      </w:pPr>
      <w:r>
        <w:rPr>
          <w:rFonts w:ascii="Garamond" w:eastAsia="Garamond" w:hAnsi="Garamond" w:cs="Garamond"/>
        </w:rPr>
        <w:t>Mike McKenzie (California, Department of Water Resources, South Central Region Office)</w:t>
      </w:r>
    </w:p>
    <w:p w14:paraId="049E43D1" w14:textId="77777777" w:rsidR="00132F11" w:rsidRDefault="00B2238F">
      <w:pPr>
        <w:spacing w:after="0" w:line="240" w:lineRule="auto"/>
        <w:jc w:val="both"/>
        <w:rPr>
          <w:rFonts w:ascii="Garamond" w:eastAsia="Garamond" w:hAnsi="Garamond" w:cs="Garamond"/>
        </w:rPr>
      </w:pPr>
      <w:r>
        <w:rPr>
          <w:rFonts w:ascii="Garamond" w:eastAsia="Garamond" w:hAnsi="Garamond" w:cs="Garamond"/>
        </w:rPr>
        <w:t>Dr. Charles Hayes (California State University, Los Angeles)</w:t>
      </w:r>
    </w:p>
    <w:p w14:paraId="469C6E62" w14:textId="77777777" w:rsidR="00132F11" w:rsidRDefault="00B2238F">
      <w:pPr>
        <w:spacing w:after="0" w:line="240" w:lineRule="auto"/>
        <w:jc w:val="both"/>
        <w:rPr>
          <w:rFonts w:ascii="Times New Roman" w:eastAsia="Times New Roman" w:hAnsi="Times New Roman" w:cs="Times New Roman"/>
          <w:sz w:val="24"/>
          <w:szCs w:val="24"/>
        </w:rPr>
      </w:pPr>
      <w:r>
        <w:rPr>
          <w:rFonts w:ascii="Garamond" w:eastAsia="Garamond" w:hAnsi="Garamond" w:cs="Garamond"/>
        </w:rPr>
        <w:t>Dr. Jingjing Li (California State University, Los Angeles)</w:t>
      </w:r>
    </w:p>
    <w:p w14:paraId="7A438E0C" w14:textId="77777777" w:rsidR="00132F11" w:rsidRDefault="00132F11">
      <w:pPr>
        <w:spacing w:after="0" w:line="240" w:lineRule="auto"/>
        <w:jc w:val="both"/>
        <w:rPr>
          <w:rFonts w:ascii="Times New Roman" w:eastAsia="Times New Roman" w:hAnsi="Times New Roman" w:cs="Times New Roman"/>
          <w:sz w:val="24"/>
          <w:szCs w:val="24"/>
        </w:rPr>
      </w:pPr>
    </w:p>
    <w:p w14:paraId="0CAD6A82" w14:textId="77777777" w:rsidR="00132F11" w:rsidRDefault="00B2238F">
      <w:pPr>
        <w:spacing w:after="0" w:line="240" w:lineRule="auto"/>
        <w:jc w:val="both"/>
        <w:rPr>
          <w:rFonts w:ascii="Times New Roman" w:eastAsia="Times New Roman" w:hAnsi="Times New Roman" w:cs="Times New Roman"/>
          <w:sz w:val="24"/>
          <w:szCs w:val="24"/>
        </w:rPr>
      </w:pPr>
      <w:r>
        <w:rPr>
          <w:rFonts w:ascii="Garamond" w:eastAsia="Garamond" w:hAnsi="Garamond" w:cs="Garamond"/>
          <w:color w:val="000000"/>
        </w:rPr>
        <w:t>Any opinions, findings, and conclusions or recommendations expressed in this material are those of the author(s) and do not necessarily reflect the views of the National Aeronautics and Space Administration.</w:t>
      </w:r>
    </w:p>
    <w:p w14:paraId="73DBB259" w14:textId="77777777" w:rsidR="00132F11" w:rsidRDefault="00132F11">
      <w:pPr>
        <w:spacing w:after="0" w:line="240" w:lineRule="auto"/>
        <w:jc w:val="both"/>
        <w:rPr>
          <w:rFonts w:ascii="Times New Roman" w:eastAsia="Times New Roman" w:hAnsi="Times New Roman" w:cs="Times New Roman"/>
          <w:sz w:val="24"/>
          <w:szCs w:val="24"/>
        </w:rPr>
      </w:pPr>
    </w:p>
    <w:p w14:paraId="4E55F837" w14:textId="77777777" w:rsidR="00132F11" w:rsidRDefault="00B2238F">
      <w:pPr>
        <w:spacing w:after="0" w:line="240" w:lineRule="auto"/>
        <w:jc w:val="both"/>
        <w:rPr>
          <w:rFonts w:ascii="Garamond" w:eastAsia="Garamond" w:hAnsi="Garamond" w:cs="Garamond"/>
          <w:color w:val="000000"/>
        </w:rPr>
      </w:pPr>
      <w:r>
        <w:rPr>
          <w:rFonts w:ascii="Garamond" w:eastAsia="Garamond" w:hAnsi="Garamond" w:cs="Garamond"/>
          <w:color w:val="000000"/>
        </w:rPr>
        <w:t>This material is based upon work supported by NASA through contract NNL16AA05C.</w:t>
      </w:r>
    </w:p>
    <w:p w14:paraId="532047CC" w14:textId="77777777" w:rsidR="00132F11" w:rsidRDefault="00132F11">
      <w:pPr>
        <w:spacing w:after="0" w:line="240" w:lineRule="auto"/>
        <w:jc w:val="both"/>
        <w:rPr>
          <w:rFonts w:ascii="Garamond" w:eastAsia="Garamond" w:hAnsi="Garamond" w:cs="Garamond"/>
        </w:rPr>
      </w:pPr>
    </w:p>
    <w:p w14:paraId="186F3394" w14:textId="77777777" w:rsidR="00132F11" w:rsidRDefault="00B2238F">
      <w:pPr>
        <w:spacing w:after="0" w:line="240" w:lineRule="auto"/>
        <w:jc w:val="both"/>
        <w:rPr>
          <w:rFonts w:ascii="Garamond" w:eastAsia="Garamond" w:hAnsi="Garamond" w:cs="Garamond"/>
        </w:rPr>
      </w:pPr>
      <w:r>
        <w:rPr>
          <w:rFonts w:ascii="Garamond" w:eastAsia="Garamond" w:hAnsi="Garamond" w:cs="Garamond"/>
        </w:rPr>
        <w:t>This material contains modified Copernicus Sentinel data (2015-2020), processed by ESA and Z. Liu (NASA Jet Propulsion Lab - Earth Surface and Interior). </w:t>
      </w:r>
    </w:p>
    <w:p w14:paraId="7D1A7FC4" w14:textId="77777777" w:rsidR="00132F11" w:rsidRDefault="00132F11">
      <w:pPr>
        <w:pStyle w:val="Heading1"/>
        <w:spacing w:before="0" w:line="240" w:lineRule="auto"/>
        <w:rPr>
          <w:rFonts w:ascii="Garamond" w:eastAsia="Garamond" w:hAnsi="Garamond" w:cs="Garamond"/>
          <w:sz w:val="22"/>
          <w:szCs w:val="22"/>
        </w:rPr>
      </w:pPr>
      <w:bookmarkStart w:id="4" w:name="_heading=h.2et92p0" w:colFirst="0" w:colLast="0"/>
      <w:bookmarkEnd w:id="4"/>
    </w:p>
    <w:p w14:paraId="7CA47B95" w14:textId="77777777" w:rsidR="00132F11" w:rsidRDefault="00B2238F">
      <w:pPr>
        <w:pStyle w:val="Heading1"/>
        <w:spacing w:before="0" w:line="240" w:lineRule="auto"/>
      </w:pPr>
      <w:r>
        <w:rPr>
          <w:rFonts w:ascii="Garamond" w:eastAsia="Garamond" w:hAnsi="Garamond" w:cs="Garamond"/>
        </w:rPr>
        <w:t>7. Glossary</w:t>
      </w:r>
    </w:p>
    <w:p w14:paraId="4D260D39" w14:textId="77777777" w:rsidR="00132F11" w:rsidRDefault="00B2238F">
      <w:pPr>
        <w:pBdr>
          <w:top w:val="nil"/>
          <w:left w:val="nil"/>
          <w:bottom w:val="nil"/>
          <w:right w:val="nil"/>
          <w:between w:val="nil"/>
        </w:pBdr>
        <w:spacing w:after="0" w:line="240" w:lineRule="auto"/>
        <w:ind w:left="720" w:hanging="720"/>
        <w:jc w:val="both"/>
        <w:rPr>
          <w:rFonts w:ascii="Garamond" w:eastAsia="Garamond" w:hAnsi="Garamond" w:cs="Garamond"/>
          <w:color w:val="000000"/>
        </w:rPr>
      </w:pPr>
      <w:r>
        <w:rPr>
          <w:rFonts w:ascii="Garamond" w:eastAsia="Garamond" w:hAnsi="Garamond" w:cs="Garamond"/>
          <w:b/>
          <w:color w:val="000000"/>
        </w:rPr>
        <w:t xml:space="preserve">Aquifer - </w:t>
      </w:r>
      <w:r>
        <w:rPr>
          <w:rFonts w:ascii="Garamond" w:eastAsia="Garamond" w:hAnsi="Garamond" w:cs="Garamond"/>
          <w:color w:val="000000"/>
        </w:rPr>
        <w:t>Underground layers of water-bearing permeable rock, unconsolidated materials, or void spaces</w:t>
      </w:r>
    </w:p>
    <w:p w14:paraId="47D6148E" w14:textId="77777777" w:rsidR="00132F11" w:rsidRDefault="00B2238F">
      <w:pPr>
        <w:pBdr>
          <w:top w:val="nil"/>
          <w:left w:val="nil"/>
          <w:bottom w:val="nil"/>
          <w:right w:val="nil"/>
          <w:between w:val="nil"/>
        </w:pBdr>
        <w:spacing w:after="0" w:line="240" w:lineRule="auto"/>
        <w:ind w:left="720" w:hanging="720"/>
        <w:jc w:val="both"/>
        <w:rPr>
          <w:rFonts w:ascii="Garamond" w:eastAsia="Garamond" w:hAnsi="Garamond" w:cs="Garamond"/>
        </w:rPr>
      </w:pPr>
      <w:r>
        <w:rPr>
          <w:rFonts w:ascii="Garamond" w:eastAsia="Garamond" w:hAnsi="Garamond" w:cs="Garamond"/>
          <w:b/>
        </w:rPr>
        <w:t xml:space="preserve">Basin </w:t>
      </w:r>
      <w:r>
        <w:rPr>
          <w:rFonts w:ascii="Garamond" w:eastAsia="Garamond" w:hAnsi="Garamond" w:cs="Garamond"/>
        </w:rPr>
        <w:t>- Area of land where water collects and drains off into a common outlet</w:t>
      </w:r>
    </w:p>
    <w:p w14:paraId="7ADF650C" w14:textId="77777777" w:rsidR="00132F11" w:rsidRDefault="00B2238F">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Garamond" w:eastAsia="Garamond" w:hAnsi="Garamond" w:cs="Garamond"/>
          <w:b/>
          <w:color w:val="000000"/>
        </w:rPr>
        <w:t xml:space="preserve">CASGEM </w:t>
      </w:r>
      <w:r>
        <w:rPr>
          <w:rFonts w:ascii="Garamond" w:eastAsia="Garamond" w:hAnsi="Garamond" w:cs="Garamond"/>
          <w:color w:val="000000"/>
        </w:rPr>
        <w:t>- California Statewide Groundwater Elevation Monitoring Program</w:t>
      </w:r>
    </w:p>
    <w:p w14:paraId="673478EA" w14:textId="77777777" w:rsidR="00132F11" w:rsidRDefault="00B2238F">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Garamond" w:eastAsia="Garamond" w:hAnsi="Garamond" w:cs="Garamond"/>
          <w:b/>
          <w:color w:val="000000"/>
        </w:rPr>
        <w:t xml:space="preserve">DWR - </w:t>
      </w:r>
      <w:r>
        <w:rPr>
          <w:rFonts w:ascii="Garamond" w:eastAsia="Garamond" w:hAnsi="Garamond" w:cs="Garamond"/>
          <w:color w:val="000000"/>
        </w:rPr>
        <w:t>Department of Water Resources</w:t>
      </w:r>
    </w:p>
    <w:p w14:paraId="630F9713" w14:textId="77777777" w:rsidR="00132F11" w:rsidRDefault="00B2238F">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Garamond" w:eastAsia="Garamond" w:hAnsi="Garamond" w:cs="Garamond"/>
          <w:b/>
          <w:color w:val="000000"/>
        </w:rPr>
        <w:t>Earth observations</w:t>
      </w:r>
      <w:r>
        <w:rPr>
          <w:rFonts w:ascii="Garamond" w:eastAsia="Garamond" w:hAnsi="Garamond" w:cs="Garamond"/>
          <w:color w:val="000000"/>
        </w:rPr>
        <w:t xml:space="preserve"> – Satellites and sensors that collect information about the Earth’s physical, chemical, and biological systems over space and time</w:t>
      </w:r>
    </w:p>
    <w:p w14:paraId="6823AD95" w14:textId="77777777" w:rsidR="00132F11" w:rsidRDefault="00B2238F">
      <w:pPr>
        <w:pBdr>
          <w:top w:val="nil"/>
          <w:left w:val="nil"/>
          <w:bottom w:val="nil"/>
          <w:right w:val="nil"/>
          <w:between w:val="nil"/>
        </w:pBdr>
        <w:spacing w:after="0" w:line="240" w:lineRule="auto"/>
        <w:ind w:left="720" w:hanging="720"/>
        <w:jc w:val="both"/>
        <w:rPr>
          <w:rFonts w:ascii="Garamond" w:eastAsia="Garamond" w:hAnsi="Garamond" w:cs="Garamond"/>
          <w:color w:val="000000"/>
        </w:rPr>
      </w:pPr>
      <w:r>
        <w:rPr>
          <w:rFonts w:ascii="Garamond" w:eastAsia="Garamond" w:hAnsi="Garamond" w:cs="Garamond"/>
          <w:b/>
          <w:color w:val="000000"/>
        </w:rPr>
        <w:t>ESA</w:t>
      </w:r>
      <w:r>
        <w:rPr>
          <w:rFonts w:ascii="Garamond" w:eastAsia="Garamond" w:hAnsi="Garamond" w:cs="Garamond"/>
          <w:color w:val="000000"/>
        </w:rPr>
        <w:t xml:space="preserve"> - European Space Agency</w:t>
      </w:r>
    </w:p>
    <w:p w14:paraId="3BC72CBB" w14:textId="77777777" w:rsidR="00132F11" w:rsidRDefault="00B2238F">
      <w:pPr>
        <w:spacing w:after="0" w:line="240" w:lineRule="auto"/>
        <w:jc w:val="both"/>
        <w:rPr>
          <w:rFonts w:ascii="Garamond" w:eastAsia="Garamond" w:hAnsi="Garamond" w:cs="Garamond"/>
        </w:rPr>
      </w:pPr>
      <w:r>
        <w:rPr>
          <w:rFonts w:ascii="Garamond" w:eastAsia="Garamond" w:hAnsi="Garamond" w:cs="Garamond"/>
          <w:b/>
        </w:rPr>
        <w:t xml:space="preserve">GNSS </w:t>
      </w:r>
      <w:r>
        <w:rPr>
          <w:rFonts w:ascii="Garamond" w:eastAsia="Garamond" w:hAnsi="Garamond" w:cs="Garamond"/>
        </w:rPr>
        <w:t>- Global Navigation Satellite System</w:t>
      </w:r>
    </w:p>
    <w:p w14:paraId="630BE895" w14:textId="77777777" w:rsidR="00132F11" w:rsidRDefault="00B2238F">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Garamond" w:eastAsia="Garamond" w:hAnsi="Garamond" w:cs="Garamond"/>
          <w:b/>
          <w:color w:val="000000"/>
        </w:rPr>
        <w:t xml:space="preserve">GPS </w:t>
      </w:r>
      <w:r>
        <w:rPr>
          <w:rFonts w:ascii="Garamond" w:eastAsia="Garamond" w:hAnsi="Garamond" w:cs="Garamond"/>
          <w:color w:val="000000"/>
        </w:rPr>
        <w:t>- Global Positioning System</w:t>
      </w:r>
    </w:p>
    <w:p w14:paraId="5AE6967C" w14:textId="77777777" w:rsidR="00132F11" w:rsidRDefault="00B2238F">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Garamond" w:eastAsia="Garamond" w:hAnsi="Garamond" w:cs="Garamond"/>
          <w:b/>
          <w:color w:val="000000"/>
        </w:rPr>
        <w:t xml:space="preserve">GRACE - </w:t>
      </w:r>
      <w:r>
        <w:rPr>
          <w:rFonts w:ascii="Garamond" w:eastAsia="Garamond" w:hAnsi="Garamond" w:cs="Garamond"/>
          <w:color w:val="000000"/>
        </w:rPr>
        <w:t>Gravity Recovery and Climate Experiment</w:t>
      </w:r>
    </w:p>
    <w:p w14:paraId="5B2804A3" w14:textId="77777777" w:rsidR="00132F11" w:rsidRDefault="00B2238F">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Garamond" w:eastAsia="Garamond" w:hAnsi="Garamond" w:cs="Garamond"/>
          <w:b/>
          <w:color w:val="000000"/>
        </w:rPr>
        <w:t xml:space="preserve">GRACE-FO - </w:t>
      </w:r>
      <w:r>
        <w:rPr>
          <w:rFonts w:ascii="Garamond" w:eastAsia="Garamond" w:hAnsi="Garamond" w:cs="Garamond"/>
          <w:color w:val="000000"/>
        </w:rPr>
        <w:t>Gravity Recovery and Climate Experiment Follow-On</w:t>
      </w:r>
    </w:p>
    <w:p w14:paraId="2946C924" w14:textId="77777777" w:rsidR="00132F11" w:rsidRDefault="00B2238F">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Garamond" w:eastAsia="Garamond" w:hAnsi="Garamond" w:cs="Garamond"/>
          <w:b/>
          <w:color w:val="000000"/>
        </w:rPr>
        <w:t xml:space="preserve">GSA - </w:t>
      </w:r>
      <w:r>
        <w:rPr>
          <w:rFonts w:ascii="Garamond" w:eastAsia="Garamond" w:hAnsi="Garamond" w:cs="Garamond"/>
          <w:color w:val="000000"/>
        </w:rPr>
        <w:t>Groundwater Sustainability Agency</w:t>
      </w:r>
    </w:p>
    <w:p w14:paraId="1B9F4172" w14:textId="77777777" w:rsidR="00132F11" w:rsidRDefault="00B2238F">
      <w:pPr>
        <w:pBdr>
          <w:top w:val="nil"/>
          <w:left w:val="nil"/>
          <w:bottom w:val="nil"/>
          <w:right w:val="nil"/>
          <w:between w:val="nil"/>
        </w:pBdr>
        <w:spacing w:after="0" w:line="240" w:lineRule="auto"/>
        <w:ind w:left="720" w:hanging="720"/>
        <w:jc w:val="both"/>
        <w:rPr>
          <w:rFonts w:ascii="Garamond" w:eastAsia="Garamond" w:hAnsi="Garamond" w:cs="Garamond"/>
          <w:color w:val="000000"/>
        </w:rPr>
      </w:pPr>
      <w:r>
        <w:rPr>
          <w:rFonts w:ascii="Garamond" w:eastAsia="Garamond" w:hAnsi="Garamond" w:cs="Garamond"/>
          <w:b/>
          <w:color w:val="000000"/>
        </w:rPr>
        <w:t xml:space="preserve">GSP - </w:t>
      </w:r>
      <w:r>
        <w:rPr>
          <w:rFonts w:ascii="Garamond" w:eastAsia="Garamond" w:hAnsi="Garamond" w:cs="Garamond"/>
          <w:color w:val="000000"/>
        </w:rPr>
        <w:t>Groundwater Sustainability Plan</w:t>
      </w:r>
    </w:p>
    <w:p w14:paraId="479E8450" w14:textId="77777777" w:rsidR="00132F11" w:rsidRDefault="00B2238F">
      <w:pPr>
        <w:pBdr>
          <w:top w:val="nil"/>
          <w:left w:val="nil"/>
          <w:bottom w:val="nil"/>
          <w:right w:val="nil"/>
          <w:between w:val="nil"/>
        </w:pBdr>
        <w:spacing w:after="0" w:line="240" w:lineRule="auto"/>
        <w:ind w:left="720" w:hanging="720"/>
        <w:jc w:val="both"/>
        <w:rPr>
          <w:rFonts w:ascii="Garamond" w:eastAsia="Garamond" w:hAnsi="Garamond" w:cs="Garamond"/>
        </w:rPr>
      </w:pPr>
      <w:r>
        <w:rPr>
          <w:rFonts w:ascii="Garamond" w:eastAsia="Garamond" w:hAnsi="Garamond" w:cs="Garamond"/>
          <w:b/>
        </w:rPr>
        <w:t xml:space="preserve">IGS14 </w:t>
      </w:r>
      <w:r>
        <w:rPr>
          <w:rFonts w:ascii="Garamond" w:eastAsia="Garamond" w:hAnsi="Garamond" w:cs="Garamond"/>
        </w:rPr>
        <w:t xml:space="preserve">- International Global Navigation Satellite System Service 2014 reference frame </w:t>
      </w:r>
    </w:p>
    <w:p w14:paraId="2746B8FF" w14:textId="77777777" w:rsidR="00132F11" w:rsidRDefault="00B2238F">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Garamond" w:eastAsia="Garamond" w:hAnsi="Garamond" w:cs="Garamond"/>
          <w:b/>
          <w:color w:val="000000"/>
        </w:rPr>
        <w:t xml:space="preserve">InSAR - </w:t>
      </w:r>
      <w:r>
        <w:rPr>
          <w:rFonts w:ascii="Garamond" w:eastAsia="Garamond" w:hAnsi="Garamond" w:cs="Garamond"/>
          <w:color w:val="000000"/>
        </w:rPr>
        <w:t>Interferometric Synthetic Aperture Radar</w:t>
      </w:r>
    </w:p>
    <w:p w14:paraId="5F33D07F" w14:textId="77777777" w:rsidR="00132F11" w:rsidRDefault="00B2238F">
      <w:pPr>
        <w:pBdr>
          <w:top w:val="nil"/>
          <w:left w:val="nil"/>
          <w:bottom w:val="nil"/>
          <w:right w:val="nil"/>
          <w:between w:val="nil"/>
        </w:pBdr>
        <w:spacing w:after="0" w:line="240" w:lineRule="auto"/>
        <w:ind w:left="720" w:hanging="720"/>
        <w:jc w:val="both"/>
        <w:rPr>
          <w:rFonts w:ascii="Garamond" w:eastAsia="Garamond" w:hAnsi="Garamond" w:cs="Garamond"/>
          <w:color w:val="000000"/>
        </w:rPr>
      </w:pPr>
      <w:r>
        <w:rPr>
          <w:rFonts w:ascii="Garamond" w:eastAsia="Garamond" w:hAnsi="Garamond" w:cs="Garamond"/>
          <w:b/>
          <w:color w:val="000000"/>
        </w:rPr>
        <w:t xml:space="preserve">In-situ </w:t>
      </w:r>
      <w:r>
        <w:rPr>
          <w:rFonts w:ascii="Garamond" w:eastAsia="Garamond" w:hAnsi="Garamond" w:cs="Garamond"/>
          <w:color w:val="000000"/>
        </w:rPr>
        <w:t>- On site, at an original location</w:t>
      </w:r>
    </w:p>
    <w:p w14:paraId="61D28B60" w14:textId="77777777" w:rsidR="00132F11" w:rsidRDefault="00B2238F">
      <w:pPr>
        <w:spacing w:after="0" w:line="240" w:lineRule="auto"/>
        <w:jc w:val="both"/>
        <w:rPr>
          <w:rFonts w:ascii="Garamond" w:eastAsia="Garamond" w:hAnsi="Garamond" w:cs="Garamond"/>
        </w:rPr>
      </w:pPr>
      <w:r>
        <w:rPr>
          <w:rFonts w:ascii="Garamond" w:eastAsia="Garamond" w:hAnsi="Garamond" w:cs="Garamond"/>
          <w:b/>
        </w:rPr>
        <w:t xml:space="preserve">LOS </w:t>
      </w:r>
      <w:r>
        <w:rPr>
          <w:rFonts w:ascii="Garamond" w:eastAsia="Garamond" w:hAnsi="Garamond" w:cs="Garamond"/>
        </w:rPr>
        <w:t>- Line-of-Sight</w:t>
      </w:r>
    </w:p>
    <w:p w14:paraId="6539C9A6" w14:textId="77777777" w:rsidR="00132F11" w:rsidRDefault="00B2238F">
      <w:pPr>
        <w:pBdr>
          <w:top w:val="nil"/>
          <w:left w:val="nil"/>
          <w:bottom w:val="nil"/>
          <w:right w:val="nil"/>
          <w:between w:val="nil"/>
        </w:pBdr>
        <w:spacing w:after="0" w:line="240" w:lineRule="auto"/>
        <w:ind w:left="720" w:hanging="720"/>
        <w:jc w:val="both"/>
        <w:rPr>
          <w:rFonts w:ascii="Garamond" w:eastAsia="Garamond" w:hAnsi="Garamond" w:cs="Garamond"/>
          <w:color w:val="000000"/>
        </w:rPr>
      </w:pPr>
      <w:r>
        <w:rPr>
          <w:rFonts w:ascii="Garamond" w:eastAsia="Garamond" w:hAnsi="Garamond" w:cs="Garamond"/>
          <w:b/>
          <w:color w:val="000000"/>
        </w:rPr>
        <w:t xml:space="preserve">Pore pressure </w:t>
      </w:r>
      <w:r>
        <w:rPr>
          <w:rFonts w:ascii="Garamond" w:eastAsia="Garamond" w:hAnsi="Garamond" w:cs="Garamond"/>
          <w:color w:val="000000"/>
        </w:rPr>
        <w:t>- Pressure of groundwater held between particles within a soil or rock</w:t>
      </w:r>
    </w:p>
    <w:p w14:paraId="74F9D518" w14:textId="77777777" w:rsidR="00132F11" w:rsidRDefault="00B2238F">
      <w:pPr>
        <w:spacing w:after="0" w:line="240" w:lineRule="auto"/>
        <w:jc w:val="both"/>
        <w:rPr>
          <w:rFonts w:ascii="Garamond" w:eastAsia="Garamond" w:hAnsi="Garamond" w:cs="Garamond"/>
        </w:rPr>
      </w:pPr>
      <w:r>
        <w:rPr>
          <w:rFonts w:ascii="Garamond" w:eastAsia="Garamond" w:hAnsi="Garamond" w:cs="Garamond"/>
          <w:b/>
        </w:rPr>
        <w:t xml:space="preserve">NGL </w:t>
      </w:r>
      <w:r>
        <w:rPr>
          <w:rFonts w:ascii="Garamond" w:eastAsia="Garamond" w:hAnsi="Garamond" w:cs="Garamond"/>
        </w:rPr>
        <w:t>- Nevada Geodetic Laboratory</w:t>
      </w:r>
    </w:p>
    <w:p w14:paraId="2F70FA39" w14:textId="77777777" w:rsidR="00132F11" w:rsidRDefault="00B2238F">
      <w:pPr>
        <w:pBdr>
          <w:top w:val="nil"/>
          <w:left w:val="nil"/>
          <w:bottom w:val="nil"/>
          <w:right w:val="nil"/>
          <w:between w:val="nil"/>
        </w:pBdr>
        <w:spacing w:after="0" w:line="240" w:lineRule="auto"/>
        <w:ind w:left="720" w:hanging="720"/>
        <w:jc w:val="both"/>
        <w:rPr>
          <w:rFonts w:ascii="Garamond" w:eastAsia="Garamond" w:hAnsi="Garamond" w:cs="Garamond"/>
        </w:rPr>
      </w:pPr>
      <w:r>
        <w:rPr>
          <w:rFonts w:ascii="Garamond" w:eastAsia="Garamond" w:hAnsi="Garamond" w:cs="Garamond"/>
          <w:b/>
        </w:rPr>
        <w:t>QA</w:t>
      </w:r>
      <w:r>
        <w:rPr>
          <w:rFonts w:ascii="Garamond" w:eastAsia="Garamond" w:hAnsi="Garamond" w:cs="Garamond"/>
        </w:rPr>
        <w:t xml:space="preserve"> - Quality Assurance</w:t>
      </w:r>
    </w:p>
    <w:p w14:paraId="1C3C23F7" w14:textId="77777777" w:rsidR="00132F11" w:rsidRDefault="00B2238F">
      <w:pPr>
        <w:pBdr>
          <w:top w:val="nil"/>
          <w:left w:val="nil"/>
          <w:bottom w:val="nil"/>
          <w:right w:val="nil"/>
          <w:between w:val="nil"/>
        </w:pBdr>
        <w:spacing w:after="0" w:line="240" w:lineRule="auto"/>
        <w:ind w:left="720" w:hanging="720"/>
        <w:jc w:val="both"/>
        <w:rPr>
          <w:rFonts w:ascii="Garamond" w:eastAsia="Garamond" w:hAnsi="Garamond" w:cs="Garamond"/>
        </w:rPr>
      </w:pPr>
      <w:r>
        <w:rPr>
          <w:rFonts w:ascii="Garamond" w:eastAsia="Garamond" w:hAnsi="Garamond" w:cs="Garamond"/>
          <w:b/>
        </w:rPr>
        <w:t>QC</w:t>
      </w:r>
      <w:r>
        <w:rPr>
          <w:rFonts w:ascii="Garamond" w:eastAsia="Garamond" w:hAnsi="Garamond" w:cs="Garamond"/>
        </w:rPr>
        <w:t xml:space="preserve"> - Quality Control</w:t>
      </w:r>
    </w:p>
    <w:p w14:paraId="4A3C8A9B" w14:textId="77777777" w:rsidR="00132F11" w:rsidRDefault="00B2238F">
      <w:pPr>
        <w:pBdr>
          <w:top w:val="nil"/>
          <w:left w:val="nil"/>
          <w:bottom w:val="nil"/>
          <w:right w:val="nil"/>
          <w:between w:val="nil"/>
        </w:pBdr>
        <w:spacing w:after="0" w:line="240" w:lineRule="auto"/>
        <w:ind w:left="720" w:hanging="720"/>
        <w:jc w:val="both"/>
        <w:rPr>
          <w:rFonts w:ascii="Garamond" w:eastAsia="Garamond" w:hAnsi="Garamond" w:cs="Garamond"/>
        </w:rPr>
      </w:pPr>
      <w:r>
        <w:rPr>
          <w:rFonts w:ascii="Garamond" w:eastAsia="Garamond" w:hAnsi="Garamond" w:cs="Garamond"/>
          <w:b/>
        </w:rPr>
        <w:t xml:space="preserve">Raster </w:t>
      </w:r>
      <w:r>
        <w:rPr>
          <w:rFonts w:ascii="Garamond" w:eastAsia="Garamond" w:hAnsi="Garamond" w:cs="Garamond"/>
        </w:rPr>
        <w:t>- A rectangular pattern of pixels, with each pixel representing a given value</w:t>
      </w:r>
    </w:p>
    <w:p w14:paraId="0F9E27EA" w14:textId="77777777" w:rsidR="00132F11" w:rsidRDefault="00B2238F">
      <w:pPr>
        <w:pBdr>
          <w:top w:val="nil"/>
          <w:left w:val="nil"/>
          <w:bottom w:val="nil"/>
          <w:right w:val="nil"/>
          <w:between w:val="nil"/>
        </w:pBdr>
        <w:spacing w:after="0" w:line="240" w:lineRule="auto"/>
        <w:ind w:left="720" w:hanging="720"/>
        <w:jc w:val="both"/>
        <w:rPr>
          <w:rFonts w:ascii="Garamond" w:eastAsia="Garamond" w:hAnsi="Garamond" w:cs="Garamond"/>
        </w:rPr>
      </w:pPr>
      <w:r>
        <w:rPr>
          <w:rFonts w:ascii="Garamond" w:eastAsia="Garamond" w:hAnsi="Garamond" w:cs="Garamond"/>
          <w:b/>
          <w:color w:val="000000"/>
        </w:rPr>
        <w:t xml:space="preserve">SGMA </w:t>
      </w:r>
      <w:r>
        <w:rPr>
          <w:rFonts w:ascii="Garamond" w:eastAsia="Garamond" w:hAnsi="Garamond" w:cs="Garamond"/>
          <w:color w:val="000000"/>
        </w:rPr>
        <w:t>- Sustainable Groundwater Management Act</w:t>
      </w:r>
    </w:p>
    <w:p w14:paraId="416DFA0C" w14:textId="77777777" w:rsidR="00132F11" w:rsidRDefault="00B2238F">
      <w:pPr>
        <w:pBdr>
          <w:top w:val="nil"/>
          <w:left w:val="nil"/>
          <w:bottom w:val="nil"/>
          <w:right w:val="nil"/>
          <w:between w:val="nil"/>
        </w:pBdr>
        <w:spacing w:after="0" w:line="240" w:lineRule="auto"/>
        <w:ind w:left="720" w:hanging="720"/>
        <w:jc w:val="both"/>
        <w:rPr>
          <w:rFonts w:ascii="Garamond" w:eastAsia="Garamond" w:hAnsi="Garamond" w:cs="Garamond"/>
        </w:rPr>
      </w:pPr>
      <w:r>
        <w:rPr>
          <w:rFonts w:ascii="Garamond" w:eastAsia="Garamond" w:hAnsi="Garamond" w:cs="Garamond"/>
          <w:b/>
          <w:color w:val="000000"/>
        </w:rPr>
        <w:t xml:space="preserve">Subsidence </w:t>
      </w:r>
      <w:r>
        <w:rPr>
          <w:rFonts w:ascii="Garamond" w:eastAsia="Garamond" w:hAnsi="Garamond" w:cs="Garamond"/>
          <w:color w:val="000000"/>
        </w:rPr>
        <w:t xml:space="preserve">- Gradual sinking of an area or land surface </w:t>
      </w:r>
    </w:p>
    <w:p w14:paraId="331E877C" w14:textId="77777777" w:rsidR="00132F11" w:rsidRDefault="00B2238F">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Garamond" w:eastAsia="Garamond" w:hAnsi="Garamond" w:cs="Garamond"/>
          <w:b/>
          <w:color w:val="000000"/>
        </w:rPr>
        <w:t xml:space="preserve">TWS </w:t>
      </w:r>
      <w:r>
        <w:rPr>
          <w:rFonts w:ascii="Garamond" w:eastAsia="Garamond" w:hAnsi="Garamond" w:cs="Garamond"/>
          <w:color w:val="000000"/>
        </w:rPr>
        <w:t>- Total Water Storage</w:t>
      </w:r>
    </w:p>
    <w:p w14:paraId="354073D1" w14:textId="77777777" w:rsidR="00132F11" w:rsidRDefault="00B2238F">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Garamond" w:eastAsia="Garamond" w:hAnsi="Garamond" w:cs="Garamond"/>
          <w:b/>
          <w:color w:val="000000"/>
        </w:rPr>
        <w:t>USGS</w:t>
      </w:r>
      <w:r>
        <w:rPr>
          <w:rFonts w:ascii="Garamond" w:eastAsia="Garamond" w:hAnsi="Garamond" w:cs="Garamond"/>
          <w:color w:val="000000"/>
        </w:rPr>
        <w:t xml:space="preserve"> - United States Geological Survey</w:t>
      </w:r>
    </w:p>
    <w:p w14:paraId="04A7F59E" w14:textId="77777777" w:rsidR="00132F11" w:rsidRDefault="00B2238F">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Garamond" w:eastAsia="Garamond" w:hAnsi="Garamond" w:cs="Garamond"/>
          <w:b/>
          <w:color w:val="000000"/>
        </w:rPr>
        <w:t>UNAVCO</w:t>
      </w:r>
      <w:r>
        <w:rPr>
          <w:rFonts w:ascii="Garamond" w:eastAsia="Garamond" w:hAnsi="Garamond" w:cs="Garamond"/>
          <w:color w:val="000000"/>
        </w:rPr>
        <w:t xml:space="preserve"> - University NAVSTAR Consortium</w:t>
      </w:r>
    </w:p>
    <w:p w14:paraId="3A8655F6" w14:textId="77777777" w:rsidR="00132F11" w:rsidRDefault="00B2238F">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Garamond" w:eastAsia="Garamond" w:hAnsi="Garamond" w:cs="Garamond"/>
          <w:b/>
          <w:color w:val="000000"/>
        </w:rPr>
        <w:t>WSE</w:t>
      </w:r>
      <w:r>
        <w:rPr>
          <w:rFonts w:ascii="Garamond" w:eastAsia="Garamond" w:hAnsi="Garamond" w:cs="Garamond"/>
          <w:color w:val="000000"/>
        </w:rPr>
        <w:t xml:space="preserve"> - Water Surface Elevation</w:t>
      </w:r>
    </w:p>
    <w:p w14:paraId="4E9C949C" w14:textId="77777777" w:rsidR="00132F11" w:rsidRDefault="00132F11">
      <w:pPr>
        <w:pStyle w:val="Heading1"/>
        <w:spacing w:before="0" w:line="240" w:lineRule="auto"/>
        <w:rPr>
          <w:rFonts w:ascii="Garamond" w:eastAsia="Garamond" w:hAnsi="Garamond" w:cs="Garamond"/>
          <w:sz w:val="22"/>
          <w:szCs w:val="22"/>
        </w:rPr>
      </w:pPr>
    </w:p>
    <w:p w14:paraId="67FE0122" w14:textId="77777777" w:rsidR="00132F11" w:rsidRDefault="00B2238F">
      <w:pPr>
        <w:pStyle w:val="Heading1"/>
        <w:spacing w:before="0" w:line="240" w:lineRule="auto"/>
        <w:rPr>
          <w:rFonts w:ascii="Garamond" w:eastAsia="Garamond" w:hAnsi="Garamond" w:cs="Garamond"/>
        </w:rPr>
      </w:pPr>
      <w:r>
        <w:rPr>
          <w:rFonts w:ascii="Garamond" w:eastAsia="Garamond" w:hAnsi="Garamond" w:cs="Garamond"/>
        </w:rPr>
        <w:t>8. References</w:t>
      </w:r>
    </w:p>
    <w:p w14:paraId="167E54BD" w14:textId="77777777" w:rsidR="00132F11" w:rsidRDefault="00B2238F">
      <w:pPr>
        <w:spacing w:after="0" w:line="240" w:lineRule="auto"/>
        <w:ind w:left="360" w:hanging="360"/>
        <w:rPr>
          <w:rFonts w:ascii="Garamond" w:eastAsia="Garamond" w:hAnsi="Garamond" w:cs="Garamond"/>
          <w:highlight w:val="white"/>
        </w:rPr>
      </w:pPr>
      <w:r>
        <w:rPr>
          <w:rFonts w:ascii="Garamond" w:eastAsia="Garamond" w:hAnsi="Garamond" w:cs="Garamond"/>
        </w:rPr>
        <w:t xml:space="preserve">Blewitt et al. (2018). Harnessing the GPS data explosion for interdisciplinary science, </w:t>
      </w:r>
      <w:r>
        <w:rPr>
          <w:rFonts w:ascii="Garamond" w:eastAsia="Garamond" w:hAnsi="Garamond" w:cs="Garamond"/>
          <w:i/>
        </w:rPr>
        <w:t>Eos</w:t>
      </w:r>
      <w:r>
        <w:rPr>
          <w:rFonts w:ascii="Garamond" w:eastAsia="Garamond" w:hAnsi="Garamond" w:cs="Garamond"/>
        </w:rPr>
        <w:t xml:space="preserve">, 99,  </w:t>
      </w:r>
      <w:hyperlink r:id="rId17">
        <w:r>
          <w:rPr>
            <w:rFonts w:ascii="Garamond" w:eastAsia="Garamond" w:hAnsi="Garamond" w:cs="Garamond"/>
            <w:color w:val="1155CC"/>
            <w:u w:val="single"/>
          </w:rPr>
          <w:t>https://doi.org/10.1029/2018EO104623</w:t>
        </w:r>
      </w:hyperlink>
      <w:r>
        <w:rPr>
          <w:rFonts w:ascii="Garamond" w:eastAsia="Garamond" w:hAnsi="Garamond" w:cs="Garamond"/>
          <w:highlight w:val="white"/>
        </w:rPr>
        <w:t>.</w:t>
      </w:r>
    </w:p>
    <w:p w14:paraId="078592E8" w14:textId="77777777" w:rsidR="00132F11" w:rsidRDefault="00132F11">
      <w:pPr>
        <w:spacing w:after="0" w:line="240" w:lineRule="auto"/>
        <w:ind w:left="360" w:hanging="360"/>
        <w:rPr>
          <w:rFonts w:ascii="Garamond" w:eastAsia="Garamond" w:hAnsi="Garamond" w:cs="Garamond"/>
          <w:highlight w:val="white"/>
        </w:rPr>
      </w:pPr>
    </w:p>
    <w:p w14:paraId="2A618342" w14:textId="678BFB92" w:rsidR="00132F11" w:rsidRDefault="00B2238F">
      <w:pPr>
        <w:spacing w:after="0" w:line="240" w:lineRule="auto"/>
        <w:ind w:left="360" w:hanging="360"/>
        <w:rPr>
          <w:rFonts w:ascii="Garamond" w:eastAsia="Garamond" w:hAnsi="Garamond" w:cs="Garamond"/>
        </w:rPr>
      </w:pPr>
      <w:r>
        <w:rPr>
          <w:rFonts w:ascii="Garamond" w:eastAsia="Garamond" w:hAnsi="Garamond" w:cs="Garamond"/>
        </w:rPr>
        <w:t xml:space="preserve">Booth, N.L., Brodaric, B., Lucido, J.M., Kuo, I.-L., Boisvert, E., </w:t>
      </w:r>
      <w:r w:rsidR="00E33DFD">
        <w:rPr>
          <w:rFonts w:ascii="Garamond" w:eastAsia="Garamond" w:hAnsi="Garamond" w:cs="Garamond"/>
        </w:rPr>
        <w:t>&amp;</w:t>
      </w:r>
      <w:r>
        <w:rPr>
          <w:rFonts w:ascii="Garamond" w:eastAsia="Garamond" w:hAnsi="Garamond" w:cs="Garamond"/>
        </w:rPr>
        <w:t xml:space="preserve"> Cunningham, W.L., (2011). Development of an Interoperable Groundwater Data Exchange Network between the United States and Canada. </w:t>
      </w:r>
      <w:r>
        <w:rPr>
          <w:rFonts w:ascii="Garamond" w:eastAsia="Garamond" w:hAnsi="Garamond" w:cs="Garamond"/>
          <w:i/>
        </w:rPr>
        <w:t>GeoHydro 2011 Conference Proceedings</w:t>
      </w:r>
      <w:r>
        <w:rPr>
          <w:rFonts w:ascii="Garamond" w:eastAsia="Garamond" w:hAnsi="Garamond" w:cs="Garamond"/>
        </w:rPr>
        <w:t xml:space="preserve">. </w:t>
      </w:r>
      <w:hyperlink r:id="rId18">
        <w:r>
          <w:rPr>
            <w:rFonts w:ascii="Garamond" w:eastAsia="Garamond" w:hAnsi="Garamond" w:cs="Garamond"/>
            <w:color w:val="1155CC"/>
            <w:u w:val="single"/>
          </w:rPr>
          <w:t>https://acwi.gov/sogw/pubs/tr/pilot_results/Booth_etal_GeoHydro2011.pdfBooth</w:t>
        </w:r>
      </w:hyperlink>
      <w:r>
        <w:rPr>
          <w:rFonts w:ascii="Garamond" w:eastAsia="Garamond" w:hAnsi="Garamond" w:cs="Garamond"/>
        </w:rPr>
        <w:t xml:space="preserve"> </w:t>
      </w:r>
    </w:p>
    <w:p w14:paraId="79F53E8F" w14:textId="77777777" w:rsidR="00132F11" w:rsidRDefault="00132F11">
      <w:pPr>
        <w:spacing w:after="0" w:line="240" w:lineRule="auto"/>
        <w:ind w:left="360" w:hanging="360"/>
        <w:rPr>
          <w:rFonts w:ascii="Calibri" w:eastAsia="Calibri" w:hAnsi="Calibri" w:cs="Calibri"/>
          <w:shd w:val="clear" w:color="auto" w:fill="E0DEDE"/>
        </w:rPr>
      </w:pPr>
    </w:p>
    <w:p w14:paraId="506DEE02" w14:textId="77777777" w:rsidR="00132F11" w:rsidRPr="00F97731" w:rsidRDefault="00B2238F" w:rsidP="00E33DFD">
      <w:pPr>
        <w:spacing w:after="0" w:line="240" w:lineRule="auto"/>
        <w:ind w:left="360" w:hanging="360"/>
        <w:rPr>
          <w:rFonts w:ascii="Calibri" w:eastAsia="Calibri" w:hAnsi="Calibri" w:cs="Calibri"/>
          <w:shd w:val="clear" w:color="auto" w:fill="E0DEDE"/>
        </w:rPr>
      </w:pPr>
      <w:r>
        <w:rPr>
          <w:rFonts w:ascii="Garamond" w:eastAsia="Garamond" w:hAnsi="Garamond" w:cs="Garamond"/>
          <w:highlight w:val="white"/>
        </w:rPr>
        <w:t xml:space="preserve">California Department of Water Resources, Continuous Groundwater Level Measurements. Accessed [Feb 02 2020]. </w:t>
      </w:r>
      <w:hyperlink r:id="rId19">
        <w:r w:rsidRPr="00F97731">
          <w:rPr>
            <w:rFonts w:ascii="Garamond" w:eastAsia="Garamond" w:hAnsi="Garamond" w:cs="Garamond"/>
            <w:sz w:val="21"/>
            <w:szCs w:val="21"/>
            <w:highlight w:val="white"/>
          </w:rPr>
          <w:t>https://data.cnra.ca.gov/dataset/continuous-groundwater-level-measurements</w:t>
        </w:r>
      </w:hyperlink>
      <w:r w:rsidRPr="00F97731">
        <w:rPr>
          <w:rFonts w:ascii="Garamond" w:eastAsia="Garamond" w:hAnsi="Garamond" w:cs="Garamond"/>
          <w:highlight w:val="white"/>
        </w:rPr>
        <w:t xml:space="preserve"> </w:t>
      </w:r>
    </w:p>
    <w:p w14:paraId="24509885" w14:textId="77777777" w:rsidR="00132F11" w:rsidRPr="00F97731" w:rsidRDefault="00132F11">
      <w:pPr>
        <w:spacing w:after="0" w:line="240" w:lineRule="auto"/>
        <w:ind w:left="360" w:hanging="360"/>
        <w:rPr>
          <w:rFonts w:ascii="Calibri" w:eastAsia="Calibri" w:hAnsi="Calibri" w:cs="Calibri"/>
          <w:shd w:val="clear" w:color="auto" w:fill="E0DEDE"/>
        </w:rPr>
      </w:pPr>
    </w:p>
    <w:p w14:paraId="42F7FF55" w14:textId="576072F3" w:rsidR="00132F11" w:rsidRDefault="00B2238F">
      <w:pPr>
        <w:spacing w:after="0" w:line="240" w:lineRule="auto"/>
        <w:ind w:left="360" w:hanging="360"/>
        <w:rPr>
          <w:rFonts w:ascii="Garamond" w:eastAsia="Garamond" w:hAnsi="Garamond" w:cs="Garamond"/>
          <w:highlight w:val="white"/>
        </w:rPr>
      </w:pPr>
      <w:r w:rsidRPr="00F97731">
        <w:rPr>
          <w:rFonts w:ascii="Garamond" w:eastAsia="Garamond" w:hAnsi="Garamond" w:cs="Garamond"/>
          <w:highlight w:val="white"/>
        </w:rPr>
        <w:t>California Department of Water Resources, Periodic Groundwater Level</w:t>
      </w:r>
      <w:r w:rsidR="00E33DFD" w:rsidRPr="00F97731">
        <w:rPr>
          <w:rFonts w:ascii="Garamond" w:eastAsia="Garamond" w:hAnsi="Garamond" w:cs="Garamond"/>
          <w:highlight w:val="white"/>
        </w:rPr>
        <w:t xml:space="preserve"> Measurements. Accessed [Feb 02 </w:t>
      </w:r>
      <w:r w:rsidRPr="00F97731">
        <w:rPr>
          <w:rFonts w:ascii="Garamond" w:eastAsia="Garamond" w:hAnsi="Garamond" w:cs="Garamond"/>
          <w:highlight w:val="white"/>
        </w:rPr>
        <w:t xml:space="preserve">2020]. </w:t>
      </w:r>
      <w:hyperlink r:id="rId20">
        <w:r w:rsidRPr="00F97731">
          <w:rPr>
            <w:rFonts w:ascii="Garamond" w:eastAsia="Garamond" w:hAnsi="Garamond" w:cs="Garamond"/>
            <w:sz w:val="21"/>
            <w:szCs w:val="21"/>
            <w:highlight w:val="white"/>
          </w:rPr>
          <w:t>https://data.cnra.ca.gov/dataset/periodic-groundwater-level-measurements</w:t>
        </w:r>
      </w:hyperlink>
      <w:r w:rsidR="00D61554">
        <w:rPr>
          <w:rFonts w:ascii="Garamond" w:eastAsia="Garamond" w:hAnsi="Garamond" w:cs="Garamond"/>
          <w:highlight w:val="white"/>
        </w:rPr>
        <w:t>.</w:t>
      </w:r>
    </w:p>
    <w:p w14:paraId="2EE96383" w14:textId="4A9B58E1" w:rsidR="00402305" w:rsidRDefault="00402305">
      <w:pPr>
        <w:spacing w:after="0" w:line="240" w:lineRule="auto"/>
        <w:ind w:left="360" w:hanging="360"/>
        <w:rPr>
          <w:rFonts w:ascii="Garamond" w:eastAsia="Garamond" w:hAnsi="Garamond" w:cs="Garamond"/>
          <w:highlight w:val="white"/>
        </w:rPr>
      </w:pPr>
      <w:bookmarkStart w:id="5" w:name="_GoBack"/>
      <w:bookmarkEnd w:id="5"/>
    </w:p>
    <w:p w14:paraId="44AD83BC" w14:textId="19975B93" w:rsidR="00402305" w:rsidRDefault="00402305">
      <w:pPr>
        <w:spacing w:after="0" w:line="240" w:lineRule="auto"/>
        <w:ind w:left="360" w:hanging="360"/>
        <w:rPr>
          <w:rFonts w:ascii="Garamond" w:eastAsia="Garamond" w:hAnsi="Garamond" w:cs="Garamond"/>
          <w:highlight w:val="white"/>
        </w:rPr>
      </w:pPr>
      <w:r>
        <w:rPr>
          <w:rFonts w:ascii="Garamond" w:eastAsia="Garamond" w:hAnsi="Garamond" w:cs="Garamond"/>
          <w:highlight w:val="white"/>
        </w:rPr>
        <w:t xml:space="preserve">California Department of Water Resources. (June 18 2018). </w:t>
      </w:r>
      <w:r w:rsidRPr="00402305">
        <w:rPr>
          <w:rFonts w:ascii="Garamond" w:eastAsia="Garamond" w:hAnsi="Garamond" w:cs="Garamond"/>
        </w:rPr>
        <w:t>NASA JPL InSAR Subsidence Data</w:t>
      </w:r>
      <w:r>
        <w:rPr>
          <w:rFonts w:ascii="Garamond" w:eastAsia="Garamond" w:hAnsi="Garamond" w:cs="Garamond"/>
        </w:rPr>
        <w:t xml:space="preserve"> [Data file]. Retrieved from </w:t>
      </w:r>
      <w:hyperlink r:id="rId21" w:history="1">
        <w:r w:rsidRPr="006F0573">
          <w:rPr>
            <w:rStyle w:val="Hyperlink"/>
            <w:rFonts w:ascii="Garamond" w:eastAsia="Garamond" w:hAnsi="Garamond" w:cs="Garamond"/>
          </w:rPr>
          <w:t>https://data.cnra.ca.gov/dataset/nasa-jpl-insar-subsidence</w:t>
        </w:r>
      </w:hyperlink>
      <w:r>
        <w:rPr>
          <w:rFonts w:ascii="Garamond" w:eastAsia="Garamond" w:hAnsi="Garamond" w:cs="Garamond"/>
        </w:rPr>
        <w:t xml:space="preserve">. </w:t>
      </w:r>
    </w:p>
    <w:p w14:paraId="20461D32" w14:textId="3CDAC1D5" w:rsidR="00D61554" w:rsidRDefault="00D61554" w:rsidP="00402305">
      <w:pPr>
        <w:spacing w:after="0" w:line="240" w:lineRule="auto"/>
        <w:rPr>
          <w:rFonts w:ascii="Garamond" w:eastAsia="Garamond" w:hAnsi="Garamond" w:cs="Garamond"/>
          <w:highlight w:val="white"/>
        </w:rPr>
      </w:pPr>
    </w:p>
    <w:p w14:paraId="2F4AEAD6" w14:textId="1A9955DE" w:rsidR="00D61554" w:rsidRDefault="00D61554">
      <w:pPr>
        <w:spacing w:after="0" w:line="240" w:lineRule="auto"/>
        <w:ind w:left="360" w:hanging="360"/>
        <w:rPr>
          <w:rFonts w:ascii="Garamond" w:eastAsia="Garamond" w:hAnsi="Garamond" w:cs="Garamond"/>
          <w:highlight w:val="white"/>
        </w:rPr>
      </w:pPr>
      <w:r w:rsidRPr="00B73DCC">
        <w:rPr>
          <w:rFonts w:ascii="Garamond" w:eastAsia="Garamond" w:hAnsi="Garamond" w:cs="Garamond"/>
        </w:rPr>
        <w:t>Copernicus Sentinel</w:t>
      </w:r>
      <w:r>
        <w:rPr>
          <w:rFonts w:ascii="Garamond" w:eastAsia="Garamond" w:hAnsi="Garamond" w:cs="Garamond"/>
        </w:rPr>
        <w:t>-1 C-SAR</w:t>
      </w:r>
      <w:r w:rsidRPr="00B73DCC">
        <w:rPr>
          <w:rFonts w:ascii="Garamond" w:eastAsia="Garamond" w:hAnsi="Garamond" w:cs="Garamond"/>
        </w:rPr>
        <w:t xml:space="preserve"> data [</w:t>
      </w:r>
      <w:r>
        <w:rPr>
          <w:rFonts w:ascii="Garamond" w:eastAsia="Garamond" w:hAnsi="Garamond" w:cs="Garamond"/>
        </w:rPr>
        <w:t>2017-2019</w:t>
      </w:r>
      <w:r w:rsidRPr="00B73DCC">
        <w:rPr>
          <w:rFonts w:ascii="Garamond" w:eastAsia="Garamond" w:hAnsi="Garamond" w:cs="Garamond"/>
        </w:rPr>
        <w:t>]. Retrieved from ASF DAAC, processed by ESA</w:t>
      </w:r>
      <w:r>
        <w:rPr>
          <w:rFonts w:ascii="Garamond" w:eastAsia="Garamond" w:hAnsi="Garamond" w:cs="Garamond"/>
        </w:rPr>
        <w:t>.</w:t>
      </w:r>
    </w:p>
    <w:p w14:paraId="3F0B31A0" w14:textId="77777777" w:rsidR="00132F11" w:rsidRDefault="00B2238F">
      <w:pPr>
        <w:spacing w:after="0" w:line="240" w:lineRule="auto"/>
        <w:ind w:left="360" w:hanging="360"/>
        <w:rPr>
          <w:rFonts w:ascii="Garamond" w:eastAsia="Garamond" w:hAnsi="Garamond" w:cs="Garamond"/>
          <w:highlight w:val="white"/>
        </w:rPr>
      </w:pPr>
      <w:r>
        <w:rPr>
          <w:rFonts w:ascii="Garamond" w:eastAsia="Garamond" w:hAnsi="Garamond" w:cs="Garamond"/>
          <w:highlight w:val="white"/>
        </w:rPr>
        <w:t xml:space="preserve"> </w:t>
      </w:r>
    </w:p>
    <w:p w14:paraId="2B7BA77C" w14:textId="77777777" w:rsidR="00132F11" w:rsidRDefault="00B2238F">
      <w:pPr>
        <w:spacing w:after="0" w:line="240" w:lineRule="auto"/>
        <w:ind w:left="360" w:hanging="360"/>
        <w:rPr>
          <w:rFonts w:ascii="Garamond" w:eastAsia="Garamond" w:hAnsi="Garamond" w:cs="Garamond"/>
          <w:highlight w:val="white"/>
        </w:rPr>
      </w:pPr>
      <w:r>
        <w:rPr>
          <w:rFonts w:ascii="Garamond" w:eastAsia="Garamond" w:hAnsi="Garamond" w:cs="Garamond"/>
          <w:highlight w:val="white"/>
        </w:rPr>
        <w:t xml:space="preserve">Faunt, C. (2009). </w:t>
      </w:r>
      <w:r>
        <w:rPr>
          <w:rFonts w:ascii="Garamond" w:eastAsia="Garamond" w:hAnsi="Garamond" w:cs="Garamond"/>
          <w:i/>
          <w:highlight w:val="white"/>
        </w:rPr>
        <w:t>Groundwater Availability of the Central Valley, California</w:t>
      </w:r>
      <w:r>
        <w:rPr>
          <w:rFonts w:ascii="Garamond" w:eastAsia="Garamond" w:hAnsi="Garamond" w:cs="Garamond"/>
          <w:highlight w:val="white"/>
        </w:rPr>
        <w:t xml:space="preserve"> (US Geological Survey Professional Paper No. 1766). US Geological Survey. Available at </w:t>
      </w:r>
      <w:hyperlink r:id="rId22">
        <w:r>
          <w:rPr>
            <w:rFonts w:ascii="Garamond" w:eastAsia="Garamond" w:hAnsi="Garamond" w:cs="Garamond"/>
            <w:color w:val="1155CC"/>
            <w:highlight w:val="white"/>
            <w:u w:val="single"/>
          </w:rPr>
          <w:t>https://pubs.usgs.gov/pp/1766/</w:t>
        </w:r>
      </w:hyperlink>
    </w:p>
    <w:p w14:paraId="41D50A27" w14:textId="77777777" w:rsidR="00132F11" w:rsidRDefault="00132F11">
      <w:pPr>
        <w:pStyle w:val="Heading1"/>
        <w:spacing w:before="0" w:line="240" w:lineRule="auto"/>
        <w:ind w:left="360" w:hanging="360"/>
        <w:rPr>
          <w:rFonts w:ascii="Garamond" w:eastAsia="Garamond" w:hAnsi="Garamond" w:cs="Garamond"/>
          <w:b w:val="0"/>
          <w:color w:val="000000"/>
          <w:sz w:val="22"/>
          <w:szCs w:val="22"/>
          <w:highlight w:val="white"/>
        </w:rPr>
      </w:pPr>
    </w:p>
    <w:p w14:paraId="24F3464C" w14:textId="77777777" w:rsidR="00132F11" w:rsidRDefault="00B2238F">
      <w:pPr>
        <w:pStyle w:val="Heading1"/>
        <w:spacing w:before="0" w:line="240" w:lineRule="auto"/>
        <w:ind w:left="360" w:hanging="360"/>
      </w:pPr>
      <w:r>
        <w:rPr>
          <w:rFonts w:ascii="Garamond" w:eastAsia="Garamond" w:hAnsi="Garamond" w:cs="Garamond"/>
          <w:b w:val="0"/>
          <w:color w:val="000000"/>
          <w:sz w:val="22"/>
          <w:szCs w:val="22"/>
          <w:highlight w:val="white"/>
        </w:rPr>
        <w:t xml:space="preserve">Faunt, C. C., Sneed, M., Traum, J., &amp; Brandt, J. T. (2016). Water availability and land subsidence in the Central Valley, California, USA. </w:t>
      </w:r>
      <w:r>
        <w:rPr>
          <w:rFonts w:ascii="Garamond" w:eastAsia="Garamond" w:hAnsi="Garamond" w:cs="Garamond"/>
          <w:b w:val="0"/>
          <w:i/>
          <w:color w:val="000000"/>
          <w:sz w:val="22"/>
          <w:szCs w:val="22"/>
          <w:highlight w:val="white"/>
        </w:rPr>
        <w:t>Hydrogeology Journal</w:t>
      </w:r>
      <w:r>
        <w:rPr>
          <w:rFonts w:ascii="Garamond" w:eastAsia="Garamond" w:hAnsi="Garamond" w:cs="Garamond"/>
          <w:b w:val="0"/>
          <w:color w:val="000000"/>
          <w:sz w:val="22"/>
          <w:szCs w:val="22"/>
          <w:highlight w:val="white"/>
        </w:rPr>
        <w:t xml:space="preserve">, </w:t>
      </w:r>
      <w:r>
        <w:rPr>
          <w:rFonts w:ascii="Garamond" w:eastAsia="Garamond" w:hAnsi="Garamond" w:cs="Garamond"/>
          <w:b w:val="0"/>
          <w:i/>
          <w:color w:val="000000"/>
          <w:sz w:val="22"/>
          <w:szCs w:val="22"/>
          <w:highlight w:val="white"/>
        </w:rPr>
        <w:t>24</w:t>
      </w:r>
      <w:r>
        <w:rPr>
          <w:rFonts w:ascii="Garamond" w:eastAsia="Garamond" w:hAnsi="Garamond" w:cs="Garamond"/>
          <w:b w:val="0"/>
          <w:color w:val="000000"/>
          <w:sz w:val="22"/>
          <w:szCs w:val="22"/>
          <w:highlight w:val="white"/>
        </w:rPr>
        <w:t xml:space="preserve">(3), 675–684. </w:t>
      </w:r>
      <w:hyperlink r:id="rId23">
        <w:r>
          <w:rPr>
            <w:rFonts w:ascii="Garamond" w:eastAsia="Garamond" w:hAnsi="Garamond" w:cs="Garamond"/>
            <w:b w:val="0"/>
            <w:color w:val="1155CC"/>
            <w:sz w:val="22"/>
            <w:szCs w:val="22"/>
            <w:highlight w:val="white"/>
            <w:u w:val="single"/>
          </w:rPr>
          <w:t>https://doi.org/10.1007/s10040-015-1339-x</w:t>
        </w:r>
      </w:hyperlink>
    </w:p>
    <w:p w14:paraId="23DC9A11" w14:textId="77777777" w:rsidR="00132F11" w:rsidRDefault="00132F11" w:rsidP="00E32CEB">
      <w:pPr>
        <w:spacing w:after="0" w:line="240" w:lineRule="auto"/>
      </w:pPr>
    </w:p>
    <w:p w14:paraId="610F4A73" w14:textId="77777777" w:rsidR="00132F11" w:rsidRDefault="00F16AAA">
      <w:pPr>
        <w:spacing w:after="0" w:line="240" w:lineRule="auto"/>
        <w:ind w:left="360" w:hanging="360"/>
        <w:rPr>
          <w:rFonts w:ascii="Times New Roman" w:eastAsia="Times New Roman" w:hAnsi="Times New Roman" w:cs="Times New Roman"/>
          <w:sz w:val="24"/>
          <w:szCs w:val="24"/>
        </w:rPr>
      </w:pPr>
      <w:hyperlink r:id="rId24">
        <w:r w:rsidR="00B2238F">
          <w:rPr>
            <w:rFonts w:ascii="Garamond" w:eastAsia="Garamond" w:hAnsi="Garamond" w:cs="Garamond"/>
            <w:highlight w:val="white"/>
          </w:rPr>
          <w:t xml:space="preserve">Liu, Z., Liu, P.-W., Massoud, E., Farr, T. G., Lundgren, P., &amp; Famiglietti, J. S. (2019). Monitoring Groundwater Change in California’s Central Valley Using Sentinel-1 and GRACE Observations. </w:t>
        </w:r>
      </w:hyperlink>
      <w:hyperlink r:id="rId25">
        <w:r w:rsidR="00B2238F">
          <w:rPr>
            <w:rFonts w:ascii="Garamond" w:eastAsia="Garamond" w:hAnsi="Garamond" w:cs="Garamond"/>
            <w:i/>
            <w:highlight w:val="white"/>
          </w:rPr>
          <w:t>Geosciences</w:t>
        </w:r>
      </w:hyperlink>
      <w:hyperlink r:id="rId26">
        <w:r w:rsidR="00B2238F">
          <w:rPr>
            <w:rFonts w:ascii="Garamond" w:eastAsia="Garamond" w:hAnsi="Garamond" w:cs="Garamond"/>
            <w:highlight w:val="white"/>
          </w:rPr>
          <w:t xml:space="preserve">, </w:t>
        </w:r>
      </w:hyperlink>
      <w:hyperlink r:id="rId27">
        <w:r w:rsidR="00B2238F">
          <w:rPr>
            <w:rFonts w:ascii="Garamond" w:eastAsia="Garamond" w:hAnsi="Garamond" w:cs="Garamond"/>
            <w:i/>
            <w:highlight w:val="white"/>
          </w:rPr>
          <w:t>9</w:t>
        </w:r>
      </w:hyperlink>
      <w:hyperlink r:id="rId28">
        <w:r w:rsidR="00B2238F">
          <w:rPr>
            <w:rFonts w:ascii="Garamond" w:eastAsia="Garamond" w:hAnsi="Garamond" w:cs="Garamond"/>
            <w:highlight w:val="white"/>
          </w:rPr>
          <w:t xml:space="preserve">(10), 436. </w:t>
        </w:r>
      </w:hyperlink>
      <w:hyperlink r:id="rId29">
        <w:r w:rsidR="00B2238F">
          <w:rPr>
            <w:rFonts w:ascii="Garamond" w:eastAsia="Garamond" w:hAnsi="Garamond" w:cs="Garamond"/>
            <w:color w:val="1155CC"/>
            <w:highlight w:val="white"/>
            <w:u w:val="single"/>
          </w:rPr>
          <w:t>https://doi.org/10.3390/geosciences9100436</w:t>
        </w:r>
      </w:hyperlink>
      <w:hyperlink r:id="rId30">
        <w:r w:rsidR="00B2238F">
          <w:rPr>
            <w:rFonts w:ascii="Garamond" w:eastAsia="Garamond" w:hAnsi="Garamond" w:cs="Garamond"/>
            <w:color w:val="1155CC"/>
            <w:highlight w:val="white"/>
            <w:u w:val="single"/>
          </w:rPr>
          <w:t>.x</w:t>
        </w:r>
      </w:hyperlink>
    </w:p>
    <w:p w14:paraId="239E12A5" w14:textId="3F0B0995" w:rsidR="00132F11" w:rsidRDefault="00132F11" w:rsidP="00E32CEB">
      <w:pPr>
        <w:spacing w:after="0" w:line="240" w:lineRule="auto"/>
        <w:rPr>
          <w:rFonts w:ascii="Times New Roman" w:eastAsia="Times New Roman" w:hAnsi="Times New Roman" w:cs="Times New Roman"/>
          <w:sz w:val="24"/>
          <w:szCs w:val="24"/>
        </w:rPr>
      </w:pPr>
      <w:bookmarkStart w:id="6" w:name="_heading=h.tyjcwt" w:colFirst="0" w:colLast="0"/>
      <w:bookmarkEnd w:id="6"/>
    </w:p>
    <w:p w14:paraId="023E04AF" w14:textId="77777777" w:rsidR="00132F11" w:rsidRDefault="00B2238F">
      <w:pPr>
        <w:spacing w:after="0" w:line="240" w:lineRule="auto"/>
        <w:ind w:left="360" w:hanging="360"/>
        <w:rPr>
          <w:rFonts w:ascii="Garamond" w:eastAsia="Garamond" w:hAnsi="Garamond" w:cs="Garamond"/>
          <w:highlight w:val="white"/>
        </w:rPr>
      </w:pPr>
      <w:r>
        <w:rPr>
          <w:rFonts w:ascii="Garamond" w:eastAsia="Garamond" w:hAnsi="Garamond" w:cs="Garamond"/>
          <w:color w:val="000000"/>
          <w:highlight w:val="white"/>
        </w:rPr>
        <w:t>Sustainable Groundwater Management Act (2014)</w:t>
      </w:r>
      <w:r>
        <w:rPr>
          <w:rFonts w:ascii="Garamond" w:eastAsia="Garamond" w:hAnsi="Garamond" w:cs="Garamond"/>
          <w:highlight w:val="white"/>
        </w:rPr>
        <w:t xml:space="preserve">. </w:t>
      </w:r>
      <w:r>
        <w:rPr>
          <w:rFonts w:ascii="Garamond" w:eastAsia="Garamond" w:hAnsi="Garamond" w:cs="Garamond"/>
          <w:color w:val="000000"/>
          <w:highlight w:val="white"/>
        </w:rPr>
        <w:t xml:space="preserve">SB-1168 Groundwater </w:t>
      </w:r>
      <w:r>
        <w:rPr>
          <w:rFonts w:ascii="Garamond" w:eastAsia="Garamond" w:hAnsi="Garamond" w:cs="Garamond"/>
          <w:highlight w:val="white"/>
        </w:rPr>
        <w:t>(Pavely)</w:t>
      </w:r>
      <w:r>
        <w:rPr>
          <w:rFonts w:ascii="Garamond" w:eastAsia="Garamond" w:hAnsi="Garamond" w:cs="Garamond"/>
          <w:color w:val="000000"/>
          <w:highlight w:val="white"/>
        </w:rPr>
        <w:t xml:space="preserve">, AB-1739 </w:t>
      </w:r>
      <w:r>
        <w:rPr>
          <w:rFonts w:ascii="Garamond" w:eastAsia="Garamond" w:hAnsi="Garamond" w:cs="Garamond"/>
          <w:highlight w:val="white"/>
        </w:rPr>
        <w:t xml:space="preserve">Groundwater management </w:t>
      </w:r>
      <w:r>
        <w:rPr>
          <w:rFonts w:ascii="Garamond" w:eastAsia="Garamond" w:hAnsi="Garamond" w:cs="Garamond"/>
          <w:color w:val="000000"/>
          <w:highlight w:val="white"/>
        </w:rPr>
        <w:t>(Dickinson), SB-1319</w:t>
      </w:r>
      <w:r>
        <w:rPr>
          <w:rFonts w:ascii="Garamond" w:eastAsia="Garamond" w:hAnsi="Garamond" w:cs="Garamond"/>
          <w:highlight w:val="white"/>
        </w:rPr>
        <w:t xml:space="preserve"> Groundwater (</w:t>
      </w:r>
      <w:r>
        <w:rPr>
          <w:rFonts w:ascii="Garamond" w:eastAsia="Garamond" w:hAnsi="Garamond" w:cs="Garamond"/>
          <w:color w:val="000000"/>
          <w:highlight w:val="white"/>
        </w:rPr>
        <w:t>Pavely), State of California</w:t>
      </w:r>
      <w:r>
        <w:rPr>
          <w:rFonts w:ascii="Garamond" w:eastAsia="Garamond" w:hAnsi="Garamond" w:cs="Garamond"/>
          <w:highlight w:val="white"/>
        </w:rPr>
        <w:t xml:space="preserve">. Available at </w:t>
      </w:r>
      <w:hyperlink r:id="rId31">
        <w:r>
          <w:rPr>
            <w:rFonts w:ascii="Garamond" w:eastAsia="Garamond" w:hAnsi="Garamond" w:cs="Garamond"/>
            <w:color w:val="1155CC"/>
            <w:highlight w:val="white"/>
            <w:u w:val="single"/>
          </w:rPr>
          <w:t>https://water.ca.gov/Programs/Groundwater-Management/SGMA-Groundwater-Management</w:t>
        </w:r>
      </w:hyperlink>
    </w:p>
    <w:p w14:paraId="20465EA8" w14:textId="77777777" w:rsidR="00132F11" w:rsidRDefault="00132F11">
      <w:pPr>
        <w:spacing w:after="0" w:line="240" w:lineRule="auto"/>
        <w:ind w:left="360" w:hanging="360"/>
        <w:rPr>
          <w:rFonts w:ascii="Garamond" w:eastAsia="Garamond" w:hAnsi="Garamond" w:cs="Garamond"/>
          <w:highlight w:val="white"/>
        </w:rPr>
      </w:pPr>
    </w:p>
    <w:p w14:paraId="46AA0589" w14:textId="77777777" w:rsidR="00132F11" w:rsidRDefault="00B2238F">
      <w:pPr>
        <w:spacing w:after="0" w:line="240" w:lineRule="auto"/>
        <w:ind w:left="360" w:hanging="360"/>
        <w:rPr>
          <w:rFonts w:ascii="Garamond" w:eastAsia="Garamond" w:hAnsi="Garamond" w:cs="Garamond"/>
          <w:highlight w:val="white"/>
        </w:rPr>
      </w:pPr>
      <w:r>
        <w:rPr>
          <w:rFonts w:ascii="Garamond" w:eastAsia="Garamond" w:hAnsi="Garamond" w:cs="Garamond"/>
          <w:highlight w:val="white"/>
        </w:rPr>
        <w:t xml:space="preserve">U.S. Geological Survey, 2016, National Water Information System. (USGS Water Data for the Nation), accessed [Feb 10. 2020]. </w:t>
      </w:r>
      <w:hyperlink r:id="rId32">
        <w:r>
          <w:rPr>
            <w:rFonts w:ascii="Garamond" w:eastAsia="Garamond" w:hAnsi="Garamond" w:cs="Garamond"/>
            <w:color w:val="1155CC"/>
            <w:highlight w:val="white"/>
            <w:u w:val="single"/>
          </w:rPr>
          <w:t>http://waterdata.usgs.gov/nwis/</w:t>
        </w:r>
      </w:hyperlink>
      <w:r>
        <w:rPr>
          <w:rFonts w:ascii="Garamond" w:eastAsia="Garamond" w:hAnsi="Garamond" w:cs="Garamond"/>
          <w:highlight w:val="white"/>
        </w:rPr>
        <w:t>. do</w:t>
      </w:r>
      <w:r w:rsidRPr="00F97731">
        <w:rPr>
          <w:rFonts w:ascii="Garamond" w:eastAsia="Garamond" w:hAnsi="Garamond" w:cs="Garamond"/>
          <w:highlight w:val="white"/>
        </w:rPr>
        <w:t xml:space="preserve">i: </w:t>
      </w:r>
      <w:hyperlink r:id="rId33">
        <w:r w:rsidRPr="00F97731">
          <w:rPr>
            <w:rFonts w:ascii="Garamond" w:eastAsia="Garamond" w:hAnsi="Garamond" w:cs="Garamond"/>
            <w:highlight w:val="white"/>
          </w:rPr>
          <w:t>http://dx.doi.org/10.5066/F7P55KJN</w:t>
        </w:r>
      </w:hyperlink>
      <w:r w:rsidRPr="00F97731">
        <w:rPr>
          <w:rFonts w:ascii="Garamond" w:eastAsia="Garamond" w:hAnsi="Garamond" w:cs="Garamond"/>
          <w:highlight w:val="white"/>
        </w:rPr>
        <w:t xml:space="preserve">  </w:t>
      </w:r>
    </w:p>
    <w:p w14:paraId="03A33396" w14:textId="77777777" w:rsidR="00132F11" w:rsidRDefault="00132F11">
      <w:pPr>
        <w:spacing w:after="0" w:line="240" w:lineRule="auto"/>
        <w:ind w:left="360" w:hanging="360"/>
        <w:rPr>
          <w:rFonts w:ascii="Garamond" w:eastAsia="Garamond" w:hAnsi="Garamond" w:cs="Garamond"/>
          <w:highlight w:val="white"/>
        </w:rPr>
      </w:pPr>
    </w:p>
    <w:p w14:paraId="26FEBAAA" w14:textId="77777777" w:rsidR="00132F11" w:rsidRDefault="00B2238F">
      <w:pPr>
        <w:spacing w:after="0" w:line="240" w:lineRule="auto"/>
        <w:ind w:left="360" w:hanging="360"/>
        <w:rPr>
          <w:rFonts w:ascii="Garamond" w:eastAsia="Garamond" w:hAnsi="Garamond" w:cs="Garamond"/>
          <w:highlight w:val="white"/>
        </w:rPr>
      </w:pPr>
      <w:r>
        <w:rPr>
          <w:rFonts w:ascii="Garamond" w:eastAsia="Garamond" w:hAnsi="Garamond" w:cs="Garamond"/>
          <w:highlight w:val="white"/>
        </w:rPr>
        <w:t xml:space="preserve">USGS (2020). </w:t>
      </w:r>
      <w:r>
        <w:rPr>
          <w:rFonts w:ascii="Garamond" w:eastAsia="Garamond" w:hAnsi="Garamond" w:cs="Garamond"/>
          <w:i/>
          <w:highlight w:val="white"/>
        </w:rPr>
        <w:t>California Water Science Center. California's Central Valley.</w:t>
      </w:r>
      <w:r>
        <w:rPr>
          <w:rFonts w:ascii="Garamond" w:eastAsia="Garamond" w:hAnsi="Garamond" w:cs="Garamond"/>
          <w:highlight w:val="white"/>
        </w:rPr>
        <w:t xml:space="preserve"> United States Geological Survey California Water Science Center. U.S. Department of Interior. Available at </w:t>
      </w:r>
      <w:hyperlink r:id="rId34">
        <w:r>
          <w:rPr>
            <w:rFonts w:ascii="Garamond" w:eastAsia="Garamond" w:hAnsi="Garamond" w:cs="Garamond"/>
            <w:color w:val="1155CC"/>
            <w:highlight w:val="white"/>
            <w:u w:val="single"/>
          </w:rPr>
          <w:t>https://ca.water.usgs.gov/projects/central-valley/about-central-valley.html</w:t>
        </w:r>
      </w:hyperlink>
      <w:r>
        <w:rPr>
          <w:rFonts w:ascii="Garamond" w:eastAsia="Garamond" w:hAnsi="Garamond" w:cs="Garamond"/>
          <w:highlight w:val="white"/>
        </w:rPr>
        <w:t xml:space="preserve"> </w:t>
      </w:r>
    </w:p>
    <w:p w14:paraId="154BD5F1" w14:textId="77777777" w:rsidR="00132F11" w:rsidRDefault="00132F11">
      <w:pPr>
        <w:pBdr>
          <w:top w:val="nil"/>
          <w:left w:val="nil"/>
          <w:bottom w:val="nil"/>
          <w:right w:val="nil"/>
          <w:between w:val="nil"/>
        </w:pBdr>
        <w:spacing w:after="0" w:line="240" w:lineRule="auto"/>
        <w:ind w:left="440" w:hanging="440"/>
        <w:rPr>
          <w:rFonts w:ascii="Times New Roman" w:eastAsia="Times New Roman" w:hAnsi="Times New Roman" w:cs="Times New Roman"/>
          <w:color w:val="000000"/>
          <w:sz w:val="24"/>
          <w:szCs w:val="24"/>
        </w:rPr>
      </w:pPr>
    </w:p>
    <w:p w14:paraId="6800BE4A" w14:textId="77777777" w:rsidR="00E33DFD" w:rsidRDefault="00E33DFD">
      <w:pPr>
        <w:rPr>
          <w:rFonts w:ascii="Garamond" w:eastAsia="Garamond" w:hAnsi="Garamond" w:cs="Garamond"/>
          <w:b/>
          <w:color w:val="366091"/>
          <w:sz w:val="28"/>
          <w:szCs w:val="28"/>
        </w:rPr>
      </w:pPr>
      <w:r>
        <w:rPr>
          <w:rFonts w:ascii="Garamond" w:eastAsia="Garamond" w:hAnsi="Garamond" w:cs="Garamond"/>
        </w:rPr>
        <w:br w:type="page"/>
      </w:r>
    </w:p>
    <w:p w14:paraId="195B2B49" w14:textId="0DBB5D8E" w:rsidR="00132F11" w:rsidRDefault="00B2238F">
      <w:pPr>
        <w:pStyle w:val="Heading1"/>
        <w:spacing w:before="0" w:line="240" w:lineRule="auto"/>
        <w:rPr>
          <w:rFonts w:ascii="Garamond" w:eastAsia="Garamond" w:hAnsi="Garamond" w:cs="Garamond"/>
        </w:rPr>
      </w:pPr>
      <w:r>
        <w:rPr>
          <w:rFonts w:ascii="Garamond" w:eastAsia="Garamond" w:hAnsi="Garamond" w:cs="Garamond"/>
        </w:rPr>
        <w:lastRenderedPageBreak/>
        <w:t>9. Appendices</w:t>
      </w:r>
    </w:p>
    <w:p w14:paraId="599853DA" w14:textId="77777777" w:rsidR="00132F11" w:rsidRDefault="00B2238F">
      <w:pPr>
        <w:spacing w:after="0" w:line="240" w:lineRule="auto"/>
        <w:jc w:val="center"/>
        <w:rPr>
          <w:rFonts w:ascii="Garamond" w:eastAsia="Garamond" w:hAnsi="Garamond" w:cs="Garamond"/>
          <w:b/>
        </w:rPr>
      </w:pPr>
      <w:r>
        <w:rPr>
          <w:rFonts w:ascii="Garamond" w:eastAsia="Garamond" w:hAnsi="Garamond" w:cs="Garamond"/>
          <w:b/>
        </w:rPr>
        <w:t>Appendix A.</w:t>
      </w:r>
    </w:p>
    <w:p w14:paraId="43D5C536" w14:textId="77777777" w:rsidR="00132F11" w:rsidRDefault="00B2238F">
      <w:pPr>
        <w:spacing w:after="0" w:line="240" w:lineRule="auto"/>
        <w:rPr>
          <w:rFonts w:ascii="Garamond" w:eastAsia="Garamond" w:hAnsi="Garamond" w:cs="Garamond"/>
        </w:rPr>
      </w:pPr>
      <w:r>
        <w:rPr>
          <w:rFonts w:ascii="Garamond" w:eastAsia="Garamond" w:hAnsi="Garamond" w:cs="Garamond"/>
        </w:rPr>
        <w:t>Table A1</w:t>
      </w:r>
    </w:p>
    <w:p w14:paraId="7AFB7B7C" w14:textId="64A3CCBB" w:rsidR="00132F11" w:rsidRDefault="00B2238F">
      <w:pPr>
        <w:spacing w:after="0" w:line="240" w:lineRule="auto"/>
        <w:rPr>
          <w:rFonts w:ascii="Garamond" w:eastAsia="Garamond" w:hAnsi="Garamond" w:cs="Garamond"/>
          <w:i/>
        </w:rPr>
      </w:pPr>
      <w:r>
        <w:rPr>
          <w:rFonts w:ascii="Garamond" w:eastAsia="Garamond" w:hAnsi="Garamond" w:cs="Garamond"/>
        </w:rPr>
        <w:t>Pearson Correlation table between mean monthly values from various datasets available for the Delta-Mendota Sub-basin. Correlation values range from -1 to 1.</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42"/>
        <w:gridCol w:w="1710"/>
        <w:gridCol w:w="1800"/>
        <w:gridCol w:w="1800"/>
        <w:gridCol w:w="1808"/>
      </w:tblGrid>
      <w:tr w:rsidR="00132F11" w14:paraId="5B41DEAD" w14:textId="77777777">
        <w:tc>
          <w:tcPr>
            <w:tcW w:w="22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BD4035" w14:textId="77777777" w:rsidR="00132F11" w:rsidRDefault="00B2238F">
            <w:pPr>
              <w:widowControl w:val="0"/>
              <w:jc w:val="center"/>
              <w:rPr>
                <w:rFonts w:ascii="Garamond" w:eastAsia="Garamond" w:hAnsi="Garamond" w:cs="Garamond"/>
                <w:b/>
              </w:rPr>
            </w:pPr>
            <w:r>
              <w:rPr>
                <w:rFonts w:ascii="Garamond" w:eastAsia="Garamond" w:hAnsi="Garamond" w:cs="Garamond"/>
                <w:b/>
              </w:rPr>
              <w:t>Delta-Mendota Sub-Basin</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54E3FC" w14:textId="77777777" w:rsidR="00132F11" w:rsidRDefault="00B2238F">
            <w:pPr>
              <w:widowControl w:val="0"/>
              <w:jc w:val="center"/>
              <w:rPr>
                <w:rFonts w:ascii="Garamond" w:eastAsia="Garamond" w:hAnsi="Garamond" w:cs="Garamond"/>
              </w:rPr>
            </w:pPr>
            <w:r>
              <w:rPr>
                <w:rFonts w:ascii="Garamond" w:eastAsia="Garamond" w:hAnsi="Garamond" w:cs="Garamond"/>
                <w:b/>
              </w:rPr>
              <w:t>Well mean</w:t>
            </w:r>
          </w:p>
        </w:tc>
        <w:tc>
          <w:tcPr>
            <w:tcW w:w="18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BAECE7" w14:textId="77777777" w:rsidR="00132F11" w:rsidRDefault="00B2238F">
            <w:pPr>
              <w:widowControl w:val="0"/>
              <w:jc w:val="center"/>
              <w:rPr>
                <w:rFonts w:ascii="Garamond" w:eastAsia="Garamond" w:hAnsi="Garamond" w:cs="Garamond"/>
              </w:rPr>
            </w:pPr>
            <w:r>
              <w:rPr>
                <w:rFonts w:ascii="Garamond" w:eastAsia="Garamond" w:hAnsi="Garamond" w:cs="Garamond"/>
                <w:b/>
              </w:rPr>
              <w:t>GRACE mean</w:t>
            </w:r>
          </w:p>
        </w:tc>
        <w:tc>
          <w:tcPr>
            <w:tcW w:w="18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1F0FCB" w14:textId="77777777" w:rsidR="00132F11" w:rsidRDefault="00B2238F">
            <w:pPr>
              <w:widowControl w:val="0"/>
              <w:jc w:val="center"/>
              <w:rPr>
                <w:rFonts w:ascii="Garamond" w:eastAsia="Garamond" w:hAnsi="Garamond" w:cs="Garamond"/>
              </w:rPr>
            </w:pPr>
            <w:r>
              <w:rPr>
                <w:rFonts w:ascii="Garamond" w:eastAsia="Garamond" w:hAnsi="Garamond" w:cs="Garamond"/>
                <w:b/>
              </w:rPr>
              <w:t>Sentinel-1 mean</w:t>
            </w:r>
          </w:p>
        </w:tc>
        <w:tc>
          <w:tcPr>
            <w:tcW w:w="180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ADA93B" w14:textId="77777777" w:rsidR="00132F11" w:rsidRDefault="00B2238F">
            <w:pPr>
              <w:widowControl w:val="0"/>
              <w:jc w:val="center"/>
              <w:rPr>
                <w:rFonts w:ascii="Garamond" w:eastAsia="Garamond" w:hAnsi="Garamond" w:cs="Garamond"/>
              </w:rPr>
            </w:pPr>
            <w:r>
              <w:rPr>
                <w:rFonts w:ascii="Garamond" w:eastAsia="Garamond" w:hAnsi="Garamond" w:cs="Garamond"/>
                <w:b/>
              </w:rPr>
              <w:t>ALOS mean</w:t>
            </w:r>
          </w:p>
        </w:tc>
      </w:tr>
      <w:tr w:rsidR="00132F11" w14:paraId="567B68C1" w14:textId="77777777">
        <w:tc>
          <w:tcPr>
            <w:tcW w:w="22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086D11" w14:textId="77777777" w:rsidR="00132F11" w:rsidRDefault="00B2238F">
            <w:pPr>
              <w:widowControl w:val="0"/>
              <w:jc w:val="center"/>
              <w:rPr>
                <w:rFonts w:ascii="Garamond" w:eastAsia="Garamond" w:hAnsi="Garamond" w:cs="Garamond"/>
              </w:rPr>
            </w:pPr>
            <w:r>
              <w:rPr>
                <w:rFonts w:ascii="Garamond" w:eastAsia="Garamond" w:hAnsi="Garamond" w:cs="Garamond"/>
                <w:b/>
              </w:rPr>
              <w:t>Well mean</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4CE3F8" w14:textId="77777777" w:rsidR="00132F11" w:rsidRDefault="00B2238F">
            <w:pPr>
              <w:widowControl w:val="0"/>
              <w:jc w:val="center"/>
              <w:rPr>
                <w:rFonts w:ascii="Garamond" w:eastAsia="Garamond" w:hAnsi="Garamond" w:cs="Garamond"/>
              </w:rPr>
            </w:pPr>
            <w:r>
              <w:rPr>
                <w:rFonts w:ascii="Garamond" w:eastAsia="Garamond" w:hAnsi="Garamond" w:cs="Garamond"/>
              </w:rPr>
              <w:t>1.00</w:t>
            </w:r>
          </w:p>
        </w:tc>
        <w:tc>
          <w:tcPr>
            <w:tcW w:w="18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D25CCF" w14:textId="77777777" w:rsidR="00132F11" w:rsidRDefault="00B2238F">
            <w:pPr>
              <w:widowControl w:val="0"/>
              <w:jc w:val="center"/>
              <w:rPr>
                <w:rFonts w:ascii="Garamond" w:eastAsia="Garamond" w:hAnsi="Garamond" w:cs="Garamond"/>
              </w:rPr>
            </w:pPr>
            <w:r>
              <w:rPr>
                <w:rFonts w:ascii="Garamond" w:eastAsia="Garamond" w:hAnsi="Garamond" w:cs="Garamond"/>
              </w:rPr>
              <w:t>0.33</w:t>
            </w:r>
          </w:p>
        </w:tc>
        <w:tc>
          <w:tcPr>
            <w:tcW w:w="18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3F687C" w14:textId="77777777" w:rsidR="00132F11" w:rsidRDefault="00B2238F">
            <w:pPr>
              <w:widowControl w:val="0"/>
              <w:jc w:val="center"/>
              <w:rPr>
                <w:rFonts w:ascii="Garamond" w:eastAsia="Garamond" w:hAnsi="Garamond" w:cs="Garamond"/>
              </w:rPr>
            </w:pPr>
            <w:r>
              <w:rPr>
                <w:rFonts w:ascii="Garamond" w:eastAsia="Garamond" w:hAnsi="Garamond" w:cs="Garamond"/>
              </w:rPr>
              <w:t>-0.35</w:t>
            </w:r>
          </w:p>
        </w:tc>
        <w:tc>
          <w:tcPr>
            <w:tcW w:w="180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983D7A" w14:textId="77777777" w:rsidR="00132F11" w:rsidRDefault="00B2238F">
            <w:pPr>
              <w:widowControl w:val="0"/>
              <w:jc w:val="center"/>
              <w:rPr>
                <w:rFonts w:ascii="Garamond" w:eastAsia="Garamond" w:hAnsi="Garamond" w:cs="Garamond"/>
              </w:rPr>
            </w:pPr>
            <w:r>
              <w:rPr>
                <w:rFonts w:ascii="Garamond" w:eastAsia="Garamond" w:hAnsi="Garamond" w:cs="Garamond"/>
              </w:rPr>
              <w:t>0.31</w:t>
            </w:r>
          </w:p>
        </w:tc>
      </w:tr>
      <w:tr w:rsidR="00132F11" w14:paraId="6C402C42" w14:textId="77777777">
        <w:tc>
          <w:tcPr>
            <w:tcW w:w="22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6EA27B" w14:textId="77777777" w:rsidR="00132F11" w:rsidRDefault="00B2238F">
            <w:pPr>
              <w:widowControl w:val="0"/>
              <w:jc w:val="center"/>
              <w:rPr>
                <w:rFonts w:ascii="Garamond" w:eastAsia="Garamond" w:hAnsi="Garamond" w:cs="Garamond"/>
              </w:rPr>
            </w:pPr>
            <w:r>
              <w:rPr>
                <w:rFonts w:ascii="Garamond" w:eastAsia="Garamond" w:hAnsi="Garamond" w:cs="Garamond"/>
                <w:b/>
              </w:rPr>
              <w:t>GRACE mean</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5C37E0" w14:textId="77777777" w:rsidR="00132F11" w:rsidRDefault="00B2238F">
            <w:pPr>
              <w:widowControl w:val="0"/>
              <w:jc w:val="center"/>
              <w:rPr>
                <w:rFonts w:ascii="Garamond" w:eastAsia="Garamond" w:hAnsi="Garamond" w:cs="Garamond"/>
              </w:rPr>
            </w:pPr>
            <w:r>
              <w:rPr>
                <w:rFonts w:ascii="Garamond" w:eastAsia="Garamond" w:hAnsi="Garamond" w:cs="Garamond"/>
              </w:rPr>
              <w:t>0.33</w:t>
            </w:r>
          </w:p>
        </w:tc>
        <w:tc>
          <w:tcPr>
            <w:tcW w:w="18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D87B7E" w14:textId="77777777" w:rsidR="00132F11" w:rsidRDefault="00B2238F">
            <w:pPr>
              <w:widowControl w:val="0"/>
              <w:jc w:val="center"/>
              <w:rPr>
                <w:rFonts w:ascii="Garamond" w:eastAsia="Garamond" w:hAnsi="Garamond" w:cs="Garamond"/>
              </w:rPr>
            </w:pPr>
            <w:r>
              <w:rPr>
                <w:rFonts w:ascii="Garamond" w:eastAsia="Garamond" w:hAnsi="Garamond" w:cs="Garamond"/>
              </w:rPr>
              <w:t>1.00</w:t>
            </w:r>
          </w:p>
        </w:tc>
        <w:tc>
          <w:tcPr>
            <w:tcW w:w="18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0678EC" w14:textId="77777777" w:rsidR="00132F11" w:rsidRDefault="00B2238F">
            <w:pPr>
              <w:widowControl w:val="0"/>
              <w:jc w:val="center"/>
              <w:rPr>
                <w:rFonts w:ascii="Garamond" w:eastAsia="Garamond" w:hAnsi="Garamond" w:cs="Garamond"/>
              </w:rPr>
            </w:pPr>
            <w:r>
              <w:rPr>
                <w:rFonts w:ascii="Garamond" w:eastAsia="Garamond" w:hAnsi="Garamond" w:cs="Garamond"/>
              </w:rPr>
              <w:t>0.08</w:t>
            </w:r>
          </w:p>
        </w:tc>
        <w:tc>
          <w:tcPr>
            <w:tcW w:w="180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59E202" w14:textId="77777777" w:rsidR="00132F11" w:rsidRDefault="00B2238F">
            <w:pPr>
              <w:widowControl w:val="0"/>
              <w:jc w:val="center"/>
              <w:rPr>
                <w:rFonts w:ascii="Garamond" w:eastAsia="Garamond" w:hAnsi="Garamond" w:cs="Garamond"/>
              </w:rPr>
            </w:pPr>
            <w:r>
              <w:rPr>
                <w:rFonts w:ascii="Garamond" w:eastAsia="Garamond" w:hAnsi="Garamond" w:cs="Garamond"/>
              </w:rPr>
              <w:t>0.39</w:t>
            </w:r>
          </w:p>
        </w:tc>
      </w:tr>
      <w:tr w:rsidR="00132F11" w14:paraId="48D9E41F" w14:textId="77777777">
        <w:tc>
          <w:tcPr>
            <w:tcW w:w="22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EECF64" w14:textId="4F245D31" w:rsidR="00132F11" w:rsidRDefault="00B2238F" w:rsidP="006064D3">
            <w:pPr>
              <w:widowControl w:val="0"/>
              <w:ind w:left="-1640" w:right="-1640"/>
              <w:jc w:val="center"/>
              <w:rPr>
                <w:rFonts w:ascii="Garamond" w:eastAsia="Garamond" w:hAnsi="Garamond" w:cs="Garamond"/>
                <w:b/>
              </w:rPr>
            </w:pPr>
            <w:r>
              <w:rPr>
                <w:rFonts w:ascii="Garamond" w:eastAsia="Garamond" w:hAnsi="Garamond" w:cs="Garamond"/>
                <w:b/>
              </w:rPr>
              <w:t>Sentinel-1 mean</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97336E" w14:textId="77777777" w:rsidR="00132F11" w:rsidRDefault="00B2238F">
            <w:pPr>
              <w:widowControl w:val="0"/>
              <w:jc w:val="center"/>
              <w:rPr>
                <w:rFonts w:ascii="Garamond" w:eastAsia="Garamond" w:hAnsi="Garamond" w:cs="Garamond"/>
              </w:rPr>
            </w:pPr>
            <w:r>
              <w:rPr>
                <w:rFonts w:ascii="Garamond" w:eastAsia="Garamond" w:hAnsi="Garamond" w:cs="Garamond"/>
              </w:rPr>
              <w:t>-0.35</w:t>
            </w:r>
          </w:p>
        </w:tc>
        <w:tc>
          <w:tcPr>
            <w:tcW w:w="18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9CBF6E" w14:textId="77777777" w:rsidR="00132F11" w:rsidRDefault="00B2238F">
            <w:pPr>
              <w:widowControl w:val="0"/>
              <w:jc w:val="center"/>
              <w:rPr>
                <w:rFonts w:ascii="Garamond" w:eastAsia="Garamond" w:hAnsi="Garamond" w:cs="Garamond"/>
              </w:rPr>
            </w:pPr>
            <w:r>
              <w:rPr>
                <w:rFonts w:ascii="Garamond" w:eastAsia="Garamond" w:hAnsi="Garamond" w:cs="Garamond"/>
              </w:rPr>
              <w:t>0.08</w:t>
            </w:r>
          </w:p>
        </w:tc>
        <w:tc>
          <w:tcPr>
            <w:tcW w:w="18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68A8D7" w14:textId="77777777" w:rsidR="00132F11" w:rsidRDefault="00B2238F">
            <w:pPr>
              <w:widowControl w:val="0"/>
              <w:jc w:val="center"/>
              <w:rPr>
                <w:rFonts w:ascii="Garamond" w:eastAsia="Garamond" w:hAnsi="Garamond" w:cs="Garamond"/>
              </w:rPr>
            </w:pPr>
            <w:r>
              <w:rPr>
                <w:rFonts w:ascii="Garamond" w:eastAsia="Garamond" w:hAnsi="Garamond" w:cs="Garamond"/>
              </w:rPr>
              <w:t>1.00</w:t>
            </w:r>
          </w:p>
        </w:tc>
        <w:tc>
          <w:tcPr>
            <w:tcW w:w="180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221DB1" w14:textId="77777777" w:rsidR="00132F11" w:rsidRDefault="00B2238F">
            <w:pPr>
              <w:widowControl w:val="0"/>
              <w:jc w:val="center"/>
              <w:rPr>
                <w:rFonts w:ascii="Garamond" w:eastAsia="Garamond" w:hAnsi="Garamond" w:cs="Garamond"/>
              </w:rPr>
            </w:pPr>
            <w:r>
              <w:rPr>
                <w:rFonts w:ascii="Garamond" w:eastAsia="Garamond" w:hAnsi="Garamond" w:cs="Garamond"/>
              </w:rPr>
              <w:t>-0.28</w:t>
            </w:r>
          </w:p>
        </w:tc>
      </w:tr>
      <w:tr w:rsidR="00132F11" w14:paraId="6FCDC269" w14:textId="77777777">
        <w:tc>
          <w:tcPr>
            <w:tcW w:w="22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11446A" w14:textId="77777777" w:rsidR="00132F11" w:rsidRDefault="00B2238F">
            <w:pPr>
              <w:widowControl w:val="0"/>
              <w:jc w:val="center"/>
              <w:rPr>
                <w:rFonts w:ascii="Garamond" w:eastAsia="Garamond" w:hAnsi="Garamond" w:cs="Garamond"/>
              </w:rPr>
            </w:pPr>
            <w:r>
              <w:rPr>
                <w:rFonts w:ascii="Garamond" w:eastAsia="Garamond" w:hAnsi="Garamond" w:cs="Garamond"/>
                <w:b/>
              </w:rPr>
              <w:t>ALOS mean</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7A7777" w14:textId="77777777" w:rsidR="00132F11" w:rsidRDefault="00B2238F">
            <w:pPr>
              <w:widowControl w:val="0"/>
              <w:jc w:val="center"/>
              <w:rPr>
                <w:rFonts w:ascii="Garamond" w:eastAsia="Garamond" w:hAnsi="Garamond" w:cs="Garamond"/>
              </w:rPr>
            </w:pPr>
            <w:r>
              <w:rPr>
                <w:rFonts w:ascii="Garamond" w:eastAsia="Garamond" w:hAnsi="Garamond" w:cs="Garamond"/>
              </w:rPr>
              <w:t>0.31</w:t>
            </w:r>
          </w:p>
        </w:tc>
        <w:tc>
          <w:tcPr>
            <w:tcW w:w="18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45EBB7" w14:textId="77777777" w:rsidR="00132F11" w:rsidRDefault="00B2238F">
            <w:pPr>
              <w:widowControl w:val="0"/>
              <w:jc w:val="center"/>
              <w:rPr>
                <w:rFonts w:ascii="Garamond" w:eastAsia="Garamond" w:hAnsi="Garamond" w:cs="Garamond"/>
              </w:rPr>
            </w:pPr>
            <w:r>
              <w:rPr>
                <w:rFonts w:ascii="Garamond" w:eastAsia="Garamond" w:hAnsi="Garamond" w:cs="Garamond"/>
              </w:rPr>
              <w:t>0.39</w:t>
            </w:r>
          </w:p>
        </w:tc>
        <w:tc>
          <w:tcPr>
            <w:tcW w:w="18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70C35E" w14:textId="77777777" w:rsidR="00132F11" w:rsidRDefault="00B2238F">
            <w:pPr>
              <w:widowControl w:val="0"/>
              <w:jc w:val="center"/>
              <w:rPr>
                <w:rFonts w:ascii="Garamond" w:eastAsia="Garamond" w:hAnsi="Garamond" w:cs="Garamond"/>
              </w:rPr>
            </w:pPr>
            <w:r>
              <w:rPr>
                <w:rFonts w:ascii="Garamond" w:eastAsia="Garamond" w:hAnsi="Garamond" w:cs="Garamond"/>
              </w:rPr>
              <w:t>-0.28</w:t>
            </w:r>
          </w:p>
        </w:tc>
        <w:tc>
          <w:tcPr>
            <w:tcW w:w="180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03B899" w14:textId="77777777" w:rsidR="00132F11" w:rsidRDefault="00B2238F">
            <w:pPr>
              <w:widowControl w:val="0"/>
              <w:jc w:val="center"/>
              <w:rPr>
                <w:rFonts w:ascii="Garamond" w:eastAsia="Garamond" w:hAnsi="Garamond" w:cs="Garamond"/>
              </w:rPr>
            </w:pPr>
            <w:r>
              <w:rPr>
                <w:rFonts w:ascii="Garamond" w:eastAsia="Garamond" w:hAnsi="Garamond" w:cs="Garamond"/>
              </w:rPr>
              <w:t>1.00</w:t>
            </w:r>
          </w:p>
        </w:tc>
      </w:tr>
    </w:tbl>
    <w:p w14:paraId="43A827A9" w14:textId="77777777" w:rsidR="00132F11" w:rsidRDefault="00132F11">
      <w:pPr>
        <w:spacing w:after="0" w:line="240" w:lineRule="auto"/>
        <w:rPr>
          <w:rFonts w:ascii="Garamond" w:eastAsia="Garamond" w:hAnsi="Garamond" w:cs="Garamond"/>
        </w:rPr>
      </w:pPr>
    </w:p>
    <w:p w14:paraId="25065F6E" w14:textId="77777777" w:rsidR="00132F11" w:rsidRDefault="00B2238F">
      <w:pPr>
        <w:spacing w:after="0"/>
        <w:rPr>
          <w:rFonts w:ascii="Garamond" w:eastAsia="Garamond" w:hAnsi="Garamond" w:cs="Garamond"/>
        </w:rPr>
      </w:pPr>
      <w:r>
        <w:rPr>
          <w:rFonts w:ascii="Garamond" w:eastAsia="Garamond" w:hAnsi="Garamond" w:cs="Garamond"/>
        </w:rPr>
        <w:t>Table A2</w:t>
      </w:r>
    </w:p>
    <w:p w14:paraId="0087BB0F" w14:textId="77777777" w:rsidR="00132F11" w:rsidRDefault="00B2238F">
      <w:pPr>
        <w:spacing w:after="0" w:line="240" w:lineRule="auto"/>
        <w:rPr>
          <w:rFonts w:ascii="Garamond" w:eastAsia="Garamond" w:hAnsi="Garamond" w:cs="Garamond"/>
        </w:rPr>
      </w:pPr>
      <w:r>
        <w:rPr>
          <w:rFonts w:ascii="Garamond" w:eastAsia="Garamond" w:hAnsi="Garamond" w:cs="Garamond"/>
        </w:rPr>
        <w:t>Pearson Correlation table between mean monthly values from various datasets available for the entire Central Valley. Correlation values range from -1 to 1.</w:t>
      </w:r>
    </w:p>
    <w:tbl>
      <w:tblPr>
        <w:tblStyle w:val="a7"/>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132F11" w14:paraId="3479062C" w14:textId="77777777">
        <w:tc>
          <w:tcPr>
            <w:tcW w:w="187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1FD57C" w14:textId="77777777" w:rsidR="00132F11" w:rsidRDefault="00B2238F">
            <w:pPr>
              <w:widowControl w:val="0"/>
              <w:jc w:val="center"/>
              <w:rPr>
                <w:rFonts w:ascii="Garamond" w:eastAsia="Garamond" w:hAnsi="Garamond" w:cs="Garamond"/>
                <w:b/>
              </w:rPr>
            </w:pPr>
            <w:r>
              <w:rPr>
                <w:rFonts w:ascii="Garamond" w:eastAsia="Garamond" w:hAnsi="Garamond" w:cs="Garamond"/>
                <w:b/>
              </w:rPr>
              <w:t>Central Valley</w:t>
            </w:r>
          </w:p>
        </w:tc>
        <w:tc>
          <w:tcPr>
            <w:tcW w:w="187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4DE83D" w14:textId="77777777" w:rsidR="00132F11" w:rsidRDefault="00B2238F">
            <w:pPr>
              <w:widowControl w:val="0"/>
              <w:jc w:val="center"/>
              <w:rPr>
                <w:rFonts w:ascii="Garamond" w:eastAsia="Garamond" w:hAnsi="Garamond" w:cs="Garamond"/>
                <w:b/>
              </w:rPr>
            </w:pPr>
            <w:r>
              <w:rPr>
                <w:rFonts w:ascii="Garamond" w:eastAsia="Garamond" w:hAnsi="Garamond" w:cs="Garamond"/>
                <w:b/>
              </w:rPr>
              <w:t>Well mean</w:t>
            </w:r>
          </w:p>
        </w:tc>
        <w:tc>
          <w:tcPr>
            <w:tcW w:w="187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D34AA5" w14:textId="77777777" w:rsidR="00132F11" w:rsidRDefault="00B2238F">
            <w:pPr>
              <w:widowControl w:val="0"/>
              <w:jc w:val="center"/>
              <w:rPr>
                <w:rFonts w:ascii="Garamond" w:eastAsia="Garamond" w:hAnsi="Garamond" w:cs="Garamond"/>
                <w:b/>
              </w:rPr>
            </w:pPr>
            <w:r>
              <w:rPr>
                <w:rFonts w:ascii="Garamond" w:eastAsia="Garamond" w:hAnsi="Garamond" w:cs="Garamond"/>
                <w:b/>
              </w:rPr>
              <w:t>GRACE mean</w:t>
            </w:r>
          </w:p>
        </w:tc>
        <w:tc>
          <w:tcPr>
            <w:tcW w:w="187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E377A8" w14:textId="77777777" w:rsidR="00132F11" w:rsidRDefault="00B2238F">
            <w:pPr>
              <w:widowControl w:val="0"/>
              <w:jc w:val="center"/>
              <w:rPr>
                <w:rFonts w:ascii="Garamond" w:eastAsia="Garamond" w:hAnsi="Garamond" w:cs="Garamond"/>
                <w:b/>
              </w:rPr>
            </w:pPr>
            <w:r>
              <w:rPr>
                <w:rFonts w:ascii="Garamond" w:eastAsia="Garamond" w:hAnsi="Garamond" w:cs="Garamond"/>
                <w:b/>
              </w:rPr>
              <w:t>Sentinel-1 mean</w:t>
            </w:r>
          </w:p>
        </w:tc>
        <w:tc>
          <w:tcPr>
            <w:tcW w:w="187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722819" w14:textId="77777777" w:rsidR="00132F11" w:rsidRDefault="00B2238F">
            <w:pPr>
              <w:widowControl w:val="0"/>
              <w:jc w:val="center"/>
              <w:rPr>
                <w:rFonts w:ascii="Garamond" w:eastAsia="Garamond" w:hAnsi="Garamond" w:cs="Garamond"/>
                <w:b/>
              </w:rPr>
            </w:pPr>
            <w:r>
              <w:rPr>
                <w:rFonts w:ascii="Garamond" w:eastAsia="Garamond" w:hAnsi="Garamond" w:cs="Garamond"/>
                <w:b/>
              </w:rPr>
              <w:t>ALOS mean</w:t>
            </w:r>
          </w:p>
        </w:tc>
      </w:tr>
      <w:tr w:rsidR="00132F11" w14:paraId="3D130827" w14:textId="77777777">
        <w:tc>
          <w:tcPr>
            <w:tcW w:w="187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EE9D94" w14:textId="77777777" w:rsidR="00132F11" w:rsidRDefault="00B2238F">
            <w:pPr>
              <w:widowControl w:val="0"/>
              <w:jc w:val="center"/>
              <w:rPr>
                <w:rFonts w:ascii="Garamond" w:eastAsia="Garamond" w:hAnsi="Garamond" w:cs="Garamond"/>
                <w:b/>
              </w:rPr>
            </w:pPr>
            <w:r>
              <w:rPr>
                <w:rFonts w:ascii="Garamond" w:eastAsia="Garamond" w:hAnsi="Garamond" w:cs="Garamond"/>
                <w:b/>
              </w:rPr>
              <w:t>Well mean</w:t>
            </w:r>
          </w:p>
        </w:tc>
        <w:tc>
          <w:tcPr>
            <w:tcW w:w="187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1FF734" w14:textId="77777777" w:rsidR="00132F11" w:rsidRDefault="00B2238F">
            <w:pPr>
              <w:widowControl w:val="0"/>
              <w:jc w:val="center"/>
              <w:rPr>
                <w:rFonts w:ascii="Garamond" w:eastAsia="Garamond" w:hAnsi="Garamond" w:cs="Garamond"/>
              </w:rPr>
            </w:pPr>
            <w:r>
              <w:rPr>
                <w:rFonts w:ascii="Garamond" w:eastAsia="Garamond" w:hAnsi="Garamond" w:cs="Garamond"/>
              </w:rPr>
              <w:t>1.00</w:t>
            </w:r>
          </w:p>
        </w:tc>
        <w:tc>
          <w:tcPr>
            <w:tcW w:w="187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5B67D3" w14:textId="77777777" w:rsidR="00132F11" w:rsidRDefault="00B2238F">
            <w:pPr>
              <w:widowControl w:val="0"/>
              <w:jc w:val="center"/>
              <w:rPr>
                <w:rFonts w:ascii="Garamond" w:eastAsia="Garamond" w:hAnsi="Garamond" w:cs="Garamond"/>
              </w:rPr>
            </w:pPr>
            <w:r>
              <w:rPr>
                <w:rFonts w:ascii="Garamond" w:eastAsia="Garamond" w:hAnsi="Garamond" w:cs="Garamond"/>
              </w:rPr>
              <w:t>0.73</w:t>
            </w:r>
          </w:p>
        </w:tc>
        <w:tc>
          <w:tcPr>
            <w:tcW w:w="187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AACCA4" w14:textId="77777777" w:rsidR="00132F11" w:rsidRDefault="00B2238F">
            <w:pPr>
              <w:widowControl w:val="0"/>
              <w:jc w:val="center"/>
              <w:rPr>
                <w:rFonts w:ascii="Garamond" w:eastAsia="Garamond" w:hAnsi="Garamond" w:cs="Garamond"/>
              </w:rPr>
            </w:pPr>
            <w:r>
              <w:rPr>
                <w:rFonts w:ascii="Garamond" w:eastAsia="Garamond" w:hAnsi="Garamond" w:cs="Garamond"/>
              </w:rPr>
              <w:t>-0.32</w:t>
            </w:r>
          </w:p>
        </w:tc>
        <w:tc>
          <w:tcPr>
            <w:tcW w:w="187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7971E4" w14:textId="77777777" w:rsidR="00132F11" w:rsidRDefault="00B2238F">
            <w:pPr>
              <w:widowControl w:val="0"/>
              <w:jc w:val="center"/>
              <w:rPr>
                <w:rFonts w:ascii="Garamond" w:eastAsia="Garamond" w:hAnsi="Garamond" w:cs="Garamond"/>
              </w:rPr>
            </w:pPr>
            <w:r>
              <w:rPr>
                <w:rFonts w:ascii="Garamond" w:eastAsia="Garamond" w:hAnsi="Garamond" w:cs="Garamond"/>
              </w:rPr>
              <w:t>0.11</w:t>
            </w:r>
          </w:p>
        </w:tc>
      </w:tr>
      <w:tr w:rsidR="00132F11" w14:paraId="03965E68" w14:textId="77777777">
        <w:tc>
          <w:tcPr>
            <w:tcW w:w="187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2C8F38" w14:textId="77777777" w:rsidR="00132F11" w:rsidRDefault="00B2238F">
            <w:pPr>
              <w:widowControl w:val="0"/>
              <w:jc w:val="center"/>
              <w:rPr>
                <w:rFonts w:ascii="Garamond" w:eastAsia="Garamond" w:hAnsi="Garamond" w:cs="Garamond"/>
                <w:b/>
              </w:rPr>
            </w:pPr>
            <w:r>
              <w:rPr>
                <w:rFonts w:ascii="Garamond" w:eastAsia="Garamond" w:hAnsi="Garamond" w:cs="Garamond"/>
                <w:b/>
              </w:rPr>
              <w:t>GRACE mean</w:t>
            </w:r>
          </w:p>
        </w:tc>
        <w:tc>
          <w:tcPr>
            <w:tcW w:w="187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7F2306" w14:textId="77777777" w:rsidR="00132F11" w:rsidRDefault="00B2238F">
            <w:pPr>
              <w:widowControl w:val="0"/>
              <w:jc w:val="center"/>
              <w:rPr>
                <w:rFonts w:ascii="Garamond" w:eastAsia="Garamond" w:hAnsi="Garamond" w:cs="Garamond"/>
              </w:rPr>
            </w:pPr>
            <w:r>
              <w:rPr>
                <w:rFonts w:ascii="Garamond" w:eastAsia="Garamond" w:hAnsi="Garamond" w:cs="Garamond"/>
              </w:rPr>
              <w:t>0.73</w:t>
            </w:r>
          </w:p>
        </w:tc>
        <w:tc>
          <w:tcPr>
            <w:tcW w:w="187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6F6230" w14:textId="77777777" w:rsidR="00132F11" w:rsidRDefault="00B2238F">
            <w:pPr>
              <w:widowControl w:val="0"/>
              <w:jc w:val="center"/>
              <w:rPr>
                <w:rFonts w:ascii="Garamond" w:eastAsia="Garamond" w:hAnsi="Garamond" w:cs="Garamond"/>
              </w:rPr>
            </w:pPr>
            <w:r>
              <w:rPr>
                <w:rFonts w:ascii="Garamond" w:eastAsia="Garamond" w:hAnsi="Garamond" w:cs="Garamond"/>
              </w:rPr>
              <w:t>1.00</w:t>
            </w:r>
          </w:p>
        </w:tc>
        <w:tc>
          <w:tcPr>
            <w:tcW w:w="187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16B070" w14:textId="77777777" w:rsidR="00132F11" w:rsidRDefault="00B2238F">
            <w:pPr>
              <w:widowControl w:val="0"/>
              <w:jc w:val="center"/>
              <w:rPr>
                <w:rFonts w:ascii="Garamond" w:eastAsia="Garamond" w:hAnsi="Garamond" w:cs="Garamond"/>
              </w:rPr>
            </w:pPr>
            <w:r>
              <w:rPr>
                <w:rFonts w:ascii="Garamond" w:eastAsia="Garamond" w:hAnsi="Garamond" w:cs="Garamond"/>
              </w:rPr>
              <w:t>0.07</w:t>
            </w:r>
          </w:p>
        </w:tc>
        <w:tc>
          <w:tcPr>
            <w:tcW w:w="187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7BB331" w14:textId="77777777" w:rsidR="00132F11" w:rsidRDefault="00B2238F">
            <w:pPr>
              <w:widowControl w:val="0"/>
              <w:jc w:val="center"/>
              <w:rPr>
                <w:rFonts w:ascii="Garamond" w:eastAsia="Garamond" w:hAnsi="Garamond" w:cs="Garamond"/>
              </w:rPr>
            </w:pPr>
            <w:r>
              <w:rPr>
                <w:rFonts w:ascii="Garamond" w:eastAsia="Garamond" w:hAnsi="Garamond" w:cs="Garamond"/>
              </w:rPr>
              <w:t>0.38</w:t>
            </w:r>
          </w:p>
        </w:tc>
      </w:tr>
      <w:tr w:rsidR="00132F11" w14:paraId="49F86104" w14:textId="77777777">
        <w:tc>
          <w:tcPr>
            <w:tcW w:w="187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B07C25" w14:textId="5A60BADB" w:rsidR="00132F11" w:rsidRDefault="00B2238F" w:rsidP="006064D3">
            <w:pPr>
              <w:widowControl w:val="0"/>
              <w:ind w:left="-1640" w:right="-1640"/>
              <w:jc w:val="center"/>
              <w:rPr>
                <w:rFonts w:ascii="Garamond" w:eastAsia="Garamond" w:hAnsi="Garamond" w:cs="Garamond"/>
                <w:b/>
              </w:rPr>
            </w:pPr>
            <w:r>
              <w:rPr>
                <w:rFonts w:ascii="Garamond" w:eastAsia="Garamond" w:hAnsi="Garamond" w:cs="Garamond"/>
                <w:b/>
              </w:rPr>
              <w:t>Sentinel-1 mean</w:t>
            </w:r>
          </w:p>
        </w:tc>
        <w:tc>
          <w:tcPr>
            <w:tcW w:w="187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977268" w14:textId="77777777" w:rsidR="00132F11" w:rsidRDefault="00B2238F">
            <w:pPr>
              <w:widowControl w:val="0"/>
              <w:jc w:val="center"/>
              <w:rPr>
                <w:rFonts w:ascii="Garamond" w:eastAsia="Garamond" w:hAnsi="Garamond" w:cs="Garamond"/>
              </w:rPr>
            </w:pPr>
            <w:r>
              <w:rPr>
                <w:rFonts w:ascii="Garamond" w:eastAsia="Garamond" w:hAnsi="Garamond" w:cs="Garamond"/>
              </w:rPr>
              <w:t>-0.32</w:t>
            </w:r>
          </w:p>
        </w:tc>
        <w:tc>
          <w:tcPr>
            <w:tcW w:w="187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0CC6E4" w14:textId="77777777" w:rsidR="00132F11" w:rsidRDefault="00B2238F">
            <w:pPr>
              <w:widowControl w:val="0"/>
              <w:jc w:val="center"/>
              <w:rPr>
                <w:rFonts w:ascii="Garamond" w:eastAsia="Garamond" w:hAnsi="Garamond" w:cs="Garamond"/>
              </w:rPr>
            </w:pPr>
            <w:r>
              <w:rPr>
                <w:rFonts w:ascii="Garamond" w:eastAsia="Garamond" w:hAnsi="Garamond" w:cs="Garamond"/>
              </w:rPr>
              <w:t>0.07</w:t>
            </w:r>
          </w:p>
        </w:tc>
        <w:tc>
          <w:tcPr>
            <w:tcW w:w="187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36DAC4" w14:textId="77777777" w:rsidR="00132F11" w:rsidRDefault="00B2238F">
            <w:pPr>
              <w:widowControl w:val="0"/>
              <w:jc w:val="center"/>
              <w:rPr>
                <w:rFonts w:ascii="Garamond" w:eastAsia="Garamond" w:hAnsi="Garamond" w:cs="Garamond"/>
              </w:rPr>
            </w:pPr>
            <w:r>
              <w:rPr>
                <w:rFonts w:ascii="Garamond" w:eastAsia="Garamond" w:hAnsi="Garamond" w:cs="Garamond"/>
              </w:rPr>
              <w:t>1.00</w:t>
            </w:r>
          </w:p>
        </w:tc>
        <w:tc>
          <w:tcPr>
            <w:tcW w:w="187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73650D" w14:textId="77777777" w:rsidR="00132F11" w:rsidRDefault="00B2238F">
            <w:pPr>
              <w:widowControl w:val="0"/>
              <w:jc w:val="center"/>
              <w:rPr>
                <w:rFonts w:ascii="Garamond" w:eastAsia="Garamond" w:hAnsi="Garamond" w:cs="Garamond"/>
              </w:rPr>
            </w:pPr>
            <w:r>
              <w:rPr>
                <w:rFonts w:ascii="Garamond" w:eastAsia="Garamond" w:hAnsi="Garamond" w:cs="Garamond"/>
              </w:rPr>
              <w:t>0.08</w:t>
            </w:r>
          </w:p>
        </w:tc>
      </w:tr>
      <w:tr w:rsidR="00132F11" w14:paraId="190A5076" w14:textId="77777777">
        <w:tc>
          <w:tcPr>
            <w:tcW w:w="187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AEA042" w14:textId="77777777" w:rsidR="00132F11" w:rsidRDefault="00B2238F">
            <w:pPr>
              <w:widowControl w:val="0"/>
              <w:jc w:val="center"/>
              <w:rPr>
                <w:rFonts w:ascii="Garamond" w:eastAsia="Garamond" w:hAnsi="Garamond" w:cs="Garamond"/>
                <w:b/>
              </w:rPr>
            </w:pPr>
            <w:r>
              <w:rPr>
                <w:rFonts w:ascii="Garamond" w:eastAsia="Garamond" w:hAnsi="Garamond" w:cs="Garamond"/>
                <w:b/>
              </w:rPr>
              <w:t>ALOS mean</w:t>
            </w:r>
          </w:p>
        </w:tc>
        <w:tc>
          <w:tcPr>
            <w:tcW w:w="187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46DA98" w14:textId="77777777" w:rsidR="00132F11" w:rsidRDefault="00B2238F">
            <w:pPr>
              <w:widowControl w:val="0"/>
              <w:jc w:val="center"/>
              <w:rPr>
                <w:rFonts w:ascii="Garamond" w:eastAsia="Garamond" w:hAnsi="Garamond" w:cs="Garamond"/>
              </w:rPr>
            </w:pPr>
            <w:r>
              <w:rPr>
                <w:rFonts w:ascii="Garamond" w:eastAsia="Garamond" w:hAnsi="Garamond" w:cs="Garamond"/>
              </w:rPr>
              <w:t>0.11</w:t>
            </w:r>
          </w:p>
        </w:tc>
        <w:tc>
          <w:tcPr>
            <w:tcW w:w="187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3CD229" w14:textId="77777777" w:rsidR="00132F11" w:rsidRDefault="00B2238F">
            <w:pPr>
              <w:widowControl w:val="0"/>
              <w:jc w:val="center"/>
              <w:rPr>
                <w:rFonts w:ascii="Garamond" w:eastAsia="Garamond" w:hAnsi="Garamond" w:cs="Garamond"/>
              </w:rPr>
            </w:pPr>
            <w:r>
              <w:rPr>
                <w:rFonts w:ascii="Garamond" w:eastAsia="Garamond" w:hAnsi="Garamond" w:cs="Garamond"/>
              </w:rPr>
              <w:t>0.38</w:t>
            </w:r>
          </w:p>
        </w:tc>
        <w:tc>
          <w:tcPr>
            <w:tcW w:w="187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5739AD" w14:textId="77777777" w:rsidR="00132F11" w:rsidRDefault="00B2238F">
            <w:pPr>
              <w:widowControl w:val="0"/>
              <w:jc w:val="center"/>
              <w:rPr>
                <w:rFonts w:ascii="Garamond" w:eastAsia="Garamond" w:hAnsi="Garamond" w:cs="Garamond"/>
              </w:rPr>
            </w:pPr>
            <w:r>
              <w:rPr>
                <w:rFonts w:ascii="Garamond" w:eastAsia="Garamond" w:hAnsi="Garamond" w:cs="Garamond"/>
              </w:rPr>
              <w:t>0.08</w:t>
            </w:r>
          </w:p>
        </w:tc>
        <w:tc>
          <w:tcPr>
            <w:tcW w:w="187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4C5FF6" w14:textId="77777777" w:rsidR="00132F11" w:rsidRDefault="00B2238F">
            <w:pPr>
              <w:widowControl w:val="0"/>
              <w:jc w:val="center"/>
              <w:rPr>
                <w:rFonts w:ascii="Garamond" w:eastAsia="Garamond" w:hAnsi="Garamond" w:cs="Garamond"/>
              </w:rPr>
            </w:pPr>
            <w:r>
              <w:rPr>
                <w:rFonts w:ascii="Garamond" w:eastAsia="Garamond" w:hAnsi="Garamond" w:cs="Garamond"/>
              </w:rPr>
              <w:t>1.00</w:t>
            </w:r>
          </w:p>
        </w:tc>
      </w:tr>
    </w:tbl>
    <w:p w14:paraId="3BBD8E84" w14:textId="77777777" w:rsidR="00132F11" w:rsidRDefault="00132F11">
      <w:pPr>
        <w:spacing w:after="0"/>
      </w:pPr>
    </w:p>
    <w:p w14:paraId="72113B03" w14:textId="77777777" w:rsidR="00132F11" w:rsidRDefault="00132F11">
      <w:pPr>
        <w:spacing w:after="0"/>
        <w:rPr>
          <w:rFonts w:ascii="Garamond" w:eastAsia="Garamond" w:hAnsi="Garamond" w:cs="Garamond"/>
        </w:rPr>
      </w:pPr>
    </w:p>
    <w:sectPr w:rsidR="00132F11">
      <w:footerReference w:type="default" r:id="rId35"/>
      <w:headerReference w:type="first" r:id="rId36"/>
      <w:footerReference w:type="first" r:id="rId37"/>
      <w:pgSz w:w="12240" w:h="15840"/>
      <w:pgMar w:top="1440" w:right="1440" w:bottom="1440" w:left="1440" w:header="720" w:footer="720" w:gutter="0"/>
      <w:pgNumType w:start="0"/>
      <w:cols w:space="720"/>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FAD0113" w16cid:durableId="224D8886"/>
  <w16cid:commentId w16cid:paraId="6547D615" w16cid:durableId="224D8CF0"/>
  <w16cid:commentId w16cid:paraId="2A26B16A" w16cid:durableId="225D66E6"/>
  <w16cid:commentId w16cid:paraId="74E38314" w16cid:durableId="225D65A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AFD405" w14:textId="77777777" w:rsidR="00F16AAA" w:rsidRDefault="00F16AAA">
      <w:pPr>
        <w:spacing w:after="0" w:line="240" w:lineRule="auto"/>
      </w:pPr>
      <w:r>
        <w:separator/>
      </w:r>
    </w:p>
  </w:endnote>
  <w:endnote w:type="continuationSeparator" w:id="0">
    <w:p w14:paraId="389F76B0" w14:textId="77777777" w:rsidR="00F16AAA" w:rsidRDefault="00F16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5F106" w14:textId="76184EC1" w:rsidR="00132F11" w:rsidRDefault="00B2238F">
    <w:pPr>
      <w:pBdr>
        <w:top w:val="nil"/>
        <w:left w:val="nil"/>
        <w:bottom w:val="nil"/>
        <w:right w:val="nil"/>
        <w:between w:val="nil"/>
      </w:pBdr>
      <w:tabs>
        <w:tab w:val="center" w:pos="4680"/>
        <w:tab w:val="right" w:pos="9360"/>
      </w:tabs>
      <w:spacing w:after="0" w:line="240" w:lineRule="auto"/>
      <w:jc w:val="center"/>
      <w:rPr>
        <w:color w:val="000000"/>
      </w:rPr>
    </w:pPr>
    <w:r>
      <w:rPr>
        <w:rFonts w:ascii="Garamond" w:eastAsia="Garamond" w:hAnsi="Garamond" w:cs="Garamond"/>
        <w:color w:val="000000"/>
      </w:rPr>
      <w:fldChar w:fldCharType="begin"/>
    </w:r>
    <w:r>
      <w:rPr>
        <w:rFonts w:ascii="Garamond" w:eastAsia="Garamond" w:hAnsi="Garamond" w:cs="Garamond"/>
        <w:color w:val="000000"/>
      </w:rPr>
      <w:instrText>PAGE</w:instrText>
    </w:r>
    <w:r>
      <w:rPr>
        <w:rFonts w:ascii="Garamond" w:eastAsia="Garamond" w:hAnsi="Garamond" w:cs="Garamond"/>
        <w:color w:val="000000"/>
      </w:rPr>
      <w:fldChar w:fldCharType="separate"/>
    </w:r>
    <w:r w:rsidR="00DB42FC">
      <w:rPr>
        <w:rFonts w:ascii="Garamond" w:eastAsia="Garamond" w:hAnsi="Garamond" w:cs="Garamond"/>
        <w:noProof/>
        <w:color w:val="000000"/>
      </w:rPr>
      <w:t>14</w:t>
    </w:r>
    <w:r>
      <w:rPr>
        <w:rFonts w:ascii="Garamond" w:eastAsia="Garamond" w:hAnsi="Garamond" w:cs="Garamond"/>
        <w:color w:val="000000"/>
      </w:rPr>
      <w:fldChar w:fldCharType="end"/>
    </w:r>
  </w:p>
  <w:p w14:paraId="333C4F58" w14:textId="77777777" w:rsidR="00132F11" w:rsidRDefault="00132F1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94AB7" w14:textId="77777777" w:rsidR="00132F11" w:rsidRDefault="00132F11">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D8FD3F" w14:textId="77777777" w:rsidR="00F16AAA" w:rsidRDefault="00F16AAA">
      <w:pPr>
        <w:spacing w:after="0" w:line="240" w:lineRule="auto"/>
      </w:pPr>
      <w:r>
        <w:separator/>
      </w:r>
    </w:p>
  </w:footnote>
  <w:footnote w:type="continuationSeparator" w:id="0">
    <w:p w14:paraId="6B7BE02F" w14:textId="77777777" w:rsidR="00F16AAA" w:rsidRDefault="00F16A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B8968" w14:textId="77777777" w:rsidR="00132F11" w:rsidRDefault="00B2238F">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14:paraId="0FE35AFD" w14:textId="45086CD8" w:rsidR="00132F11" w:rsidRDefault="00B2238F">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Garamond" w:eastAsia="Garamond" w:hAnsi="Garamond" w:cs="Garamond"/>
        <w:b/>
        <w:color w:val="000000"/>
        <w:sz w:val="32"/>
        <w:szCs w:val="32"/>
      </w:rPr>
      <w:t>California – JPL</w:t>
    </w:r>
    <w:r>
      <w:rPr>
        <w:rFonts w:ascii="Times New Roman" w:eastAsia="Times New Roman" w:hAnsi="Times New Roman" w:cs="Times New Roman"/>
        <w:noProof/>
        <w:color w:val="000000"/>
        <w:sz w:val="24"/>
        <w:szCs w:val="24"/>
      </w:rPr>
      <w:drawing>
        <wp:inline distT="0" distB="0" distL="0" distR="0" wp14:anchorId="2AC4B49F" wp14:editId="57520F5A">
          <wp:extent cx="5943600" cy="297180"/>
          <wp:effectExtent l="0" t="0" r="0" b="0"/>
          <wp:docPr id="22" name="image2.png" descr="https://lh4.googleusercontent.com/vgLCA_ugM5dyNC6aEnt7QvM5HjJJC9F2cpcSEaJqUtIzo-wUprWfRPevYqeLXmPd2kEZH9LJc4-bxwAxs4lMgbX_vXAV5OfivN7_Fmdr239XqeqqH-iY85vc5zYlrYH5zgRuRHE"/>
          <wp:cNvGraphicFramePr/>
          <a:graphic xmlns:a="http://schemas.openxmlformats.org/drawingml/2006/main">
            <a:graphicData uri="http://schemas.openxmlformats.org/drawingml/2006/picture">
              <pic:pic xmlns:pic="http://schemas.openxmlformats.org/drawingml/2006/picture">
                <pic:nvPicPr>
                  <pic:cNvPr id="0" name="image2.png" descr="https://lh4.googleusercontent.com/vgLCA_ugM5dyNC6aEnt7QvM5HjJJC9F2cpcSEaJqUtIzo-wUprWfRPevYqeLXmPd2kEZH9LJc4-bxwAxs4lMgbX_vXAV5OfivN7_Fmdr239XqeqqH-iY85vc5zYlrYH5zgRuRHE"/>
                  <pic:cNvPicPr preferRelativeResize="0"/>
                </pic:nvPicPr>
                <pic:blipFill>
                  <a:blip r:embed="rId1"/>
                  <a:srcRect/>
                  <a:stretch>
                    <a:fillRect/>
                  </a:stretch>
                </pic:blipFill>
                <pic:spPr>
                  <a:xfrm>
                    <a:off x="0" y="0"/>
                    <a:ext cx="5943600" cy="297180"/>
                  </a:xfrm>
                  <a:prstGeom prst="rect">
                    <a:avLst/>
                  </a:prstGeom>
                  <a:ln/>
                </pic:spPr>
              </pic:pic>
            </a:graphicData>
          </a:graphic>
        </wp:inline>
      </w:drawing>
    </w:r>
  </w:p>
  <w:p w14:paraId="2026474C" w14:textId="77777777" w:rsidR="00132F11" w:rsidRDefault="00B2238F">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i/>
        <w:color w:val="000000"/>
        <w:sz w:val="32"/>
        <w:szCs w:val="32"/>
      </w:rPr>
    </w:pPr>
    <w:r>
      <w:rPr>
        <w:rFonts w:ascii="Garamond" w:eastAsia="Garamond" w:hAnsi="Garamond" w:cs="Garamond"/>
        <w:i/>
        <w:color w:val="000000"/>
        <w:sz w:val="32"/>
        <w:szCs w:val="32"/>
      </w:rPr>
      <w:t xml:space="preserve"> Spring 2020</w:t>
    </w:r>
  </w:p>
  <w:p w14:paraId="7789E89A" w14:textId="77777777" w:rsidR="00132F11" w:rsidRDefault="00132F11">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b/>
        <w:color w:val="000000"/>
        <w:sz w:val="32"/>
        <w:szCs w:val="3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1"/>
  <w:activeWritingStyle w:appName="MSWord" w:lang="en-US" w:vendorID="64" w:dllVersion="0" w:nlCheck="1" w:checkStyle="0"/>
  <w:activeWritingStyle w:appName="MSWord" w:lang="en-US" w:vendorID="64" w:dllVersion="131078" w:nlCheck="1" w:checkStyle="1"/>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A3tjADIgMzIzMLIyUdpeDU4uLM/DyQArNaAG4tpvIsAAAA"/>
  </w:docVars>
  <w:rsids>
    <w:rsidRoot w:val="00132F11"/>
    <w:rsid w:val="00006ACB"/>
    <w:rsid w:val="001147DD"/>
    <w:rsid w:val="00132F11"/>
    <w:rsid w:val="00240171"/>
    <w:rsid w:val="002A7188"/>
    <w:rsid w:val="00304098"/>
    <w:rsid w:val="00402305"/>
    <w:rsid w:val="004A2FF9"/>
    <w:rsid w:val="00526D97"/>
    <w:rsid w:val="005C62D8"/>
    <w:rsid w:val="006064D3"/>
    <w:rsid w:val="00691F5E"/>
    <w:rsid w:val="006D1686"/>
    <w:rsid w:val="007E5AB4"/>
    <w:rsid w:val="007F4D68"/>
    <w:rsid w:val="00857B2B"/>
    <w:rsid w:val="008F0C71"/>
    <w:rsid w:val="009478E9"/>
    <w:rsid w:val="009D5830"/>
    <w:rsid w:val="009E6D2D"/>
    <w:rsid w:val="00A96A48"/>
    <w:rsid w:val="00AD1C7D"/>
    <w:rsid w:val="00AE0EDA"/>
    <w:rsid w:val="00AE7795"/>
    <w:rsid w:val="00B2238F"/>
    <w:rsid w:val="00BC2FAD"/>
    <w:rsid w:val="00C4268A"/>
    <w:rsid w:val="00C51CA3"/>
    <w:rsid w:val="00D61554"/>
    <w:rsid w:val="00DA42AC"/>
    <w:rsid w:val="00DB42FC"/>
    <w:rsid w:val="00DE2BF3"/>
    <w:rsid w:val="00E31922"/>
    <w:rsid w:val="00E32CEB"/>
    <w:rsid w:val="00E33DFD"/>
    <w:rsid w:val="00ED4B64"/>
    <w:rsid w:val="00EE1808"/>
    <w:rsid w:val="00F0061A"/>
    <w:rsid w:val="00F16AAA"/>
    <w:rsid w:val="00F67369"/>
    <w:rsid w:val="00F8713C"/>
    <w:rsid w:val="00F977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8A81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D377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7731"/>
    <w:rPr>
      <w:rFonts w:ascii="Segoe UI" w:hAnsi="Segoe UI" w:cs="Segoe UI"/>
      <w:sz w:val="18"/>
      <w:szCs w:val="18"/>
    </w:rPr>
  </w:style>
  <w:style w:type="character" w:styleId="CommentReference">
    <w:name w:val="annotation reference"/>
    <w:basedOn w:val="DefaultParagraphFont"/>
    <w:uiPriority w:val="99"/>
    <w:semiHidden/>
    <w:unhideWhenUsed/>
    <w:rsid w:val="00D37731"/>
    <w:rPr>
      <w:sz w:val="16"/>
      <w:szCs w:val="16"/>
    </w:rPr>
  </w:style>
  <w:style w:type="paragraph" w:styleId="CommentText">
    <w:name w:val="annotation text"/>
    <w:basedOn w:val="Normal"/>
    <w:link w:val="CommentTextChar"/>
    <w:uiPriority w:val="99"/>
    <w:unhideWhenUsed/>
    <w:rsid w:val="00D37731"/>
    <w:pPr>
      <w:spacing w:line="240" w:lineRule="auto"/>
    </w:pPr>
    <w:rPr>
      <w:sz w:val="20"/>
      <w:szCs w:val="20"/>
    </w:rPr>
  </w:style>
  <w:style w:type="character" w:customStyle="1" w:styleId="CommentTextChar">
    <w:name w:val="Comment Text Char"/>
    <w:basedOn w:val="DefaultParagraphFont"/>
    <w:link w:val="CommentText"/>
    <w:uiPriority w:val="99"/>
    <w:rsid w:val="00D37731"/>
    <w:rPr>
      <w:sz w:val="20"/>
      <w:szCs w:val="20"/>
    </w:rPr>
  </w:style>
  <w:style w:type="paragraph" w:styleId="CommentSubject">
    <w:name w:val="annotation subject"/>
    <w:basedOn w:val="CommentText"/>
    <w:next w:val="CommentText"/>
    <w:link w:val="CommentSubjectChar"/>
    <w:uiPriority w:val="99"/>
    <w:semiHidden/>
    <w:unhideWhenUsed/>
    <w:rsid w:val="00D37731"/>
    <w:rPr>
      <w:b/>
      <w:bCs/>
    </w:rPr>
  </w:style>
  <w:style w:type="character" w:customStyle="1" w:styleId="CommentSubjectChar">
    <w:name w:val="Comment Subject Char"/>
    <w:basedOn w:val="CommentTextChar"/>
    <w:link w:val="CommentSubject"/>
    <w:uiPriority w:val="99"/>
    <w:semiHidden/>
    <w:rsid w:val="00D37731"/>
    <w:rPr>
      <w:b/>
      <w:bCs/>
      <w:sz w:val="20"/>
      <w:szCs w:val="20"/>
    </w:rPr>
  </w:style>
  <w:style w:type="paragraph" w:styleId="Revision">
    <w:name w:val="Revision"/>
    <w:hidden/>
    <w:uiPriority w:val="99"/>
    <w:semiHidden/>
    <w:rsid w:val="00543F75"/>
    <w:pPr>
      <w:spacing w:after="0" w:line="240" w:lineRule="auto"/>
    </w:p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5C62D8"/>
    <w:rPr>
      <w:color w:val="808080"/>
    </w:rPr>
  </w:style>
  <w:style w:type="paragraph" w:styleId="Header">
    <w:name w:val="header"/>
    <w:basedOn w:val="Normal"/>
    <w:link w:val="HeaderChar"/>
    <w:uiPriority w:val="99"/>
    <w:unhideWhenUsed/>
    <w:rsid w:val="00F977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7731"/>
  </w:style>
  <w:style w:type="paragraph" w:styleId="Footer">
    <w:name w:val="footer"/>
    <w:basedOn w:val="Normal"/>
    <w:link w:val="FooterChar"/>
    <w:uiPriority w:val="99"/>
    <w:unhideWhenUsed/>
    <w:rsid w:val="00F977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7731"/>
  </w:style>
  <w:style w:type="character" w:styleId="Hyperlink">
    <w:name w:val="Hyperlink"/>
    <w:basedOn w:val="DefaultParagraphFont"/>
    <w:uiPriority w:val="99"/>
    <w:unhideWhenUsed/>
    <w:rsid w:val="00402305"/>
    <w:rPr>
      <w:color w:val="0000FF" w:themeColor="hyperlink"/>
      <w:u w:val="single"/>
    </w:rPr>
  </w:style>
  <w:style w:type="character" w:customStyle="1" w:styleId="UnresolvedMention">
    <w:name w:val="Unresolved Mention"/>
    <w:basedOn w:val="DefaultParagraphFont"/>
    <w:uiPriority w:val="99"/>
    <w:semiHidden/>
    <w:unhideWhenUsed/>
    <w:rsid w:val="004023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acwi.gov/sogw/pubs/tr/pilot_results/Booth_etal_GeoHydro2011.pdfBooth" TargetMode="External"/><Relationship Id="rId26" Type="http://schemas.openxmlformats.org/officeDocument/2006/relationships/hyperlink" Target="https://doi.org/10.1111/j.1745-6584.2009.00635.x"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data.cnra.ca.gov/dataset/nasa-jpl-insar-subsidence" TargetMode="External"/><Relationship Id="rId34" Type="http://schemas.openxmlformats.org/officeDocument/2006/relationships/hyperlink" Target="https://ca.water.usgs.gov/projects/central-valley/about-central-valley.html"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029/2018EO104623" TargetMode="External"/><Relationship Id="rId25" Type="http://schemas.openxmlformats.org/officeDocument/2006/relationships/hyperlink" Target="https://doi.org/10.1111/j.1745-6584.2009.00635.x" TargetMode="External"/><Relationship Id="rId33" Type="http://schemas.openxmlformats.org/officeDocument/2006/relationships/hyperlink" Target="http://dx.doi.org/10.5066/F7P55KJN"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ata.cnra.ca.gov/dataset/periodic-groundwater-level-measurements" TargetMode="External"/><Relationship Id="rId29" Type="http://schemas.openxmlformats.org/officeDocument/2006/relationships/hyperlink" Target="https://doi.org/10.3390/geosciences9100436"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111/j.1745-6584.2009.00635.x" TargetMode="External"/><Relationship Id="rId32" Type="http://schemas.openxmlformats.org/officeDocument/2006/relationships/hyperlink" Target="http://waterdata.usgs.gov/nwis/" TargetMode="External"/><Relationship Id="rId37" Type="http://schemas.openxmlformats.org/officeDocument/2006/relationships/footer" Target="footer2.xml"/><Relationship Id="rId40"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007/s10040-015-1339-x" TargetMode="External"/><Relationship Id="rId28" Type="http://schemas.openxmlformats.org/officeDocument/2006/relationships/hyperlink" Target="https://doi.org/10.1111/j.1745-6584.2009.00635.x" TargetMode="External"/><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data.cnra.ca.gov/dataset/periodic-groundwater-level-measurements" TargetMode="External"/><Relationship Id="rId31" Type="http://schemas.openxmlformats.org/officeDocument/2006/relationships/hyperlink" Target="https://water.ca.gov/Programs/Groundwater-Management/SGMA-Groundwater-Managemen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pubs.usgs.gov/pp/1766/" TargetMode="External"/><Relationship Id="rId27" Type="http://schemas.openxmlformats.org/officeDocument/2006/relationships/hyperlink" Target="https://doi.org/10.1111/j.1745-6584.2009.00635.x" TargetMode="External"/><Relationship Id="rId30" Type="http://schemas.openxmlformats.org/officeDocument/2006/relationships/hyperlink" Target="https://doi.org/10.1111/j.1745-6584.2009.00635.x"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pplNG12c9kExSjESWyqGTcHTPw==">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5897</Words>
  <Characters>33615</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39434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 Byles</dc:creator>
  <cp:lastModifiedBy>Clayton, Amanda L. (LARC-E3)[SSAI DEVELOP]</cp:lastModifiedBy>
  <cp:revision>2</cp:revision>
  <dcterms:created xsi:type="dcterms:W3CDTF">2020-05-07T14:35:00Z</dcterms:created>
  <dcterms:modified xsi:type="dcterms:W3CDTF">2020-05-07T14:35:00Z</dcterms:modified>
</cp:coreProperties>
</file>