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46139" w:rsidRPr="00FC7249" w:rsidRDefault="00A0376C" w:rsidP="00FC7249">
      <w:pPr>
        <w:jc w:val="both"/>
        <w:rPr>
          <w:sz w:val="20"/>
          <w:szCs w:val="20"/>
        </w:rPr>
      </w:pPr>
      <w:r w:rsidRPr="00810CAD">
        <w:rPr>
          <w:b/>
          <w:bCs/>
          <w:sz w:val="20"/>
          <w:szCs w:val="20"/>
        </w:rPr>
        <w:t>OVERVIEW of NASA’s SSERVI RESOURCE (Resource Exploration and Science of OUR Cosmic Env</w:t>
      </w:r>
      <w:r w:rsidRPr="00810CAD">
        <w:rPr>
          <w:b/>
          <w:bCs/>
          <w:sz w:val="20"/>
          <w:szCs w:val="20"/>
        </w:rPr>
        <w:t>i</w:t>
      </w:r>
      <w:r w:rsidRPr="00810CAD">
        <w:rPr>
          <w:b/>
          <w:bCs/>
          <w:sz w:val="20"/>
          <w:szCs w:val="20"/>
        </w:rPr>
        <w:t>ronment) PROJECT</w:t>
      </w:r>
      <w:r w:rsidR="00F307EF" w:rsidRPr="00810CAD">
        <w:rPr>
          <w:b/>
          <w:bCs/>
          <w:sz w:val="20"/>
          <w:szCs w:val="20"/>
        </w:rPr>
        <w:t>.</w:t>
      </w:r>
      <w:r w:rsidR="00F307EF" w:rsidRPr="00810CAD">
        <w:rPr>
          <w:sz w:val="20"/>
          <w:szCs w:val="20"/>
        </w:rPr>
        <w:t xml:space="preserve"> </w:t>
      </w:r>
      <w:r w:rsidR="00EF31AA" w:rsidRPr="00810CAD">
        <w:rPr>
          <w:sz w:val="20"/>
        </w:rPr>
        <w:t>Jennifer L. Heldmann</w:t>
      </w:r>
      <w:r w:rsidR="00EF31AA" w:rsidRPr="00810CAD">
        <w:rPr>
          <w:sz w:val="20"/>
          <w:vertAlign w:val="superscript"/>
        </w:rPr>
        <w:t>1</w:t>
      </w:r>
      <w:r w:rsidR="00EF31AA" w:rsidRPr="00810CAD">
        <w:rPr>
          <w:sz w:val="20"/>
        </w:rPr>
        <w:t>, Matthew C. Deans</w:t>
      </w:r>
      <w:r w:rsidR="00EF31AA" w:rsidRPr="00810CAD">
        <w:rPr>
          <w:sz w:val="20"/>
          <w:vertAlign w:val="superscript"/>
        </w:rPr>
        <w:t>1</w:t>
      </w:r>
      <w:r w:rsidR="00EF31AA" w:rsidRPr="00810CAD">
        <w:rPr>
          <w:sz w:val="20"/>
        </w:rPr>
        <w:t>, Darlene S. S. Lim</w:t>
      </w:r>
      <w:r w:rsidR="00EF31AA" w:rsidRPr="00810CAD">
        <w:rPr>
          <w:sz w:val="20"/>
          <w:vertAlign w:val="superscript"/>
        </w:rPr>
        <w:t>1</w:t>
      </w:r>
      <w:r w:rsidR="00EF31AA" w:rsidRPr="00810CAD">
        <w:rPr>
          <w:sz w:val="20"/>
        </w:rPr>
        <w:t>, Anthony Colaprete</w:t>
      </w:r>
      <w:r w:rsidR="00EF31AA" w:rsidRPr="00810CAD">
        <w:rPr>
          <w:sz w:val="20"/>
          <w:vertAlign w:val="superscript"/>
        </w:rPr>
        <w:t>1</w:t>
      </w:r>
      <w:r w:rsidR="00EF31AA" w:rsidRPr="00810CAD">
        <w:rPr>
          <w:sz w:val="20"/>
        </w:rPr>
        <w:t>, Ric</w:t>
      </w:r>
      <w:r w:rsidR="00EF31AA" w:rsidRPr="00810CAD">
        <w:rPr>
          <w:sz w:val="20"/>
        </w:rPr>
        <w:t>h</w:t>
      </w:r>
      <w:r w:rsidR="00EF31AA" w:rsidRPr="00810CAD">
        <w:rPr>
          <w:sz w:val="20"/>
        </w:rPr>
        <w:t>ard Elphic</w:t>
      </w:r>
      <w:r w:rsidR="00EF31AA" w:rsidRPr="00810CAD">
        <w:rPr>
          <w:sz w:val="20"/>
          <w:vertAlign w:val="superscript"/>
        </w:rPr>
        <w:t>1</w:t>
      </w:r>
      <w:r w:rsidR="00EF31AA" w:rsidRPr="00810CAD">
        <w:rPr>
          <w:sz w:val="20"/>
        </w:rPr>
        <w:t xml:space="preserve">, </w:t>
      </w:r>
      <w:r w:rsidR="002B4F04">
        <w:rPr>
          <w:sz w:val="20"/>
        </w:rPr>
        <w:t>Dana Hurley</w:t>
      </w:r>
      <w:r w:rsidR="002B4F04" w:rsidRPr="002B4F04">
        <w:rPr>
          <w:sz w:val="20"/>
          <w:vertAlign w:val="superscript"/>
        </w:rPr>
        <w:t>2</w:t>
      </w:r>
      <w:r w:rsidR="002B4F04">
        <w:rPr>
          <w:sz w:val="20"/>
        </w:rPr>
        <w:t xml:space="preserve">, </w:t>
      </w:r>
      <w:r w:rsidR="00084D3B">
        <w:rPr>
          <w:sz w:val="20"/>
        </w:rPr>
        <w:t>Andy Rivkin</w:t>
      </w:r>
      <w:r w:rsidR="00084D3B" w:rsidRPr="00084D3B">
        <w:rPr>
          <w:sz w:val="20"/>
          <w:vertAlign w:val="superscript"/>
        </w:rPr>
        <w:t>2</w:t>
      </w:r>
      <w:r w:rsidR="00084D3B">
        <w:rPr>
          <w:sz w:val="20"/>
        </w:rPr>
        <w:t xml:space="preserve">, </w:t>
      </w:r>
      <w:r w:rsidR="002B4F04">
        <w:rPr>
          <w:sz w:val="20"/>
        </w:rPr>
        <w:t>Dava Newman</w:t>
      </w:r>
      <w:r w:rsidR="002B4F04" w:rsidRPr="002B4F04">
        <w:rPr>
          <w:sz w:val="20"/>
          <w:vertAlign w:val="superscript"/>
        </w:rPr>
        <w:t>3</w:t>
      </w:r>
      <w:r w:rsidR="002B4F04">
        <w:rPr>
          <w:sz w:val="20"/>
        </w:rPr>
        <w:t xml:space="preserve">, </w:t>
      </w:r>
      <w:r w:rsidR="00EF31AA" w:rsidRPr="00810CAD">
        <w:rPr>
          <w:sz w:val="20"/>
        </w:rPr>
        <w:t>Janine Captain</w:t>
      </w:r>
      <w:r w:rsidR="002A2AEC">
        <w:rPr>
          <w:sz w:val="20"/>
          <w:vertAlign w:val="superscript"/>
        </w:rPr>
        <w:t>4</w:t>
      </w:r>
      <w:r w:rsidR="00EF31AA" w:rsidRPr="00810CAD">
        <w:rPr>
          <w:sz w:val="20"/>
        </w:rPr>
        <w:t>, Kris Zacny</w:t>
      </w:r>
      <w:r w:rsidR="002A2AEC">
        <w:rPr>
          <w:sz w:val="20"/>
          <w:vertAlign w:val="superscript"/>
        </w:rPr>
        <w:t>5</w:t>
      </w:r>
      <w:r w:rsidR="00EF31AA" w:rsidRPr="00810CAD">
        <w:rPr>
          <w:sz w:val="20"/>
        </w:rPr>
        <w:t>, Josh Coyan</w:t>
      </w:r>
      <w:r w:rsidR="002A2AEC">
        <w:rPr>
          <w:sz w:val="20"/>
          <w:vertAlign w:val="superscript"/>
        </w:rPr>
        <w:t>6</w:t>
      </w:r>
      <w:r w:rsidR="00EF31AA" w:rsidRPr="00810CAD">
        <w:rPr>
          <w:sz w:val="20"/>
        </w:rPr>
        <w:t>, Anna Wa</w:t>
      </w:r>
      <w:r w:rsidR="00EF31AA" w:rsidRPr="00810CAD">
        <w:rPr>
          <w:sz w:val="20"/>
        </w:rPr>
        <w:t>g</w:t>
      </w:r>
      <w:r w:rsidR="00EF31AA" w:rsidRPr="00810CAD">
        <w:rPr>
          <w:sz w:val="20"/>
        </w:rPr>
        <w:t>ner</w:t>
      </w:r>
      <w:r w:rsidR="002A2AEC">
        <w:rPr>
          <w:sz w:val="20"/>
          <w:vertAlign w:val="superscript"/>
        </w:rPr>
        <w:t>7</w:t>
      </w:r>
      <w:r w:rsidR="00EF31AA" w:rsidRPr="00810CAD">
        <w:rPr>
          <w:sz w:val="20"/>
        </w:rPr>
        <w:t>, Zara Mi</w:t>
      </w:r>
      <w:r w:rsidR="00EF31AA" w:rsidRPr="00810CAD">
        <w:rPr>
          <w:sz w:val="20"/>
        </w:rPr>
        <w:t>r</w:t>
      </w:r>
      <w:r w:rsidR="00EF31AA" w:rsidRPr="00810CAD">
        <w:rPr>
          <w:sz w:val="20"/>
        </w:rPr>
        <w:t>malek</w:t>
      </w:r>
      <w:r w:rsidR="002A2AEC">
        <w:rPr>
          <w:sz w:val="20"/>
          <w:vertAlign w:val="superscript"/>
        </w:rPr>
        <w:t>8</w:t>
      </w:r>
      <w:r w:rsidR="00EF31AA" w:rsidRPr="00810CAD">
        <w:rPr>
          <w:sz w:val="20"/>
        </w:rPr>
        <w:t xml:space="preserve">, </w:t>
      </w:r>
      <w:r w:rsidR="00810CAD" w:rsidRPr="00810CAD">
        <w:rPr>
          <w:sz w:val="20"/>
        </w:rPr>
        <w:t>Alexandra Matie</w:t>
      </w:r>
      <w:r w:rsidR="00EF31AA" w:rsidRPr="00810CAD">
        <w:rPr>
          <w:sz w:val="20"/>
        </w:rPr>
        <w:t>lla Novak</w:t>
      </w:r>
      <w:r w:rsidR="002A2AEC" w:rsidRPr="002A2AEC">
        <w:rPr>
          <w:sz w:val="20"/>
          <w:vertAlign w:val="superscript"/>
        </w:rPr>
        <w:t>2</w:t>
      </w:r>
      <w:r w:rsidR="00EF31AA" w:rsidRPr="00810CAD">
        <w:rPr>
          <w:sz w:val="20"/>
        </w:rPr>
        <w:t>, Deena Khalil</w:t>
      </w:r>
      <w:r w:rsidR="00B054FD">
        <w:rPr>
          <w:sz w:val="20"/>
          <w:vertAlign w:val="superscript"/>
        </w:rPr>
        <w:t>9</w:t>
      </w:r>
      <w:r w:rsidR="00EF31AA" w:rsidRPr="00810CAD">
        <w:rPr>
          <w:sz w:val="20"/>
        </w:rPr>
        <w:t>,</w:t>
      </w:r>
      <w:r w:rsidR="00810CAD" w:rsidRPr="00810CAD">
        <w:rPr>
          <w:sz w:val="20"/>
        </w:rPr>
        <w:t xml:space="preserve"> Carter Emmart</w:t>
      </w:r>
      <w:r w:rsidR="00B054FD">
        <w:rPr>
          <w:sz w:val="20"/>
          <w:vertAlign w:val="superscript"/>
        </w:rPr>
        <w:t>10</w:t>
      </w:r>
      <w:r w:rsidR="00810CAD" w:rsidRPr="00810CAD">
        <w:rPr>
          <w:sz w:val="20"/>
        </w:rPr>
        <w:t>, Pamela Harman</w:t>
      </w:r>
      <w:r w:rsidR="002A2AEC" w:rsidRPr="002A2AEC">
        <w:rPr>
          <w:sz w:val="20"/>
          <w:vertAlign w:val="superscript"/>
        </w:rPr>
        <w:t>1</w:t>
      </w:r>
      <w:r w:rsidR="00B054FD">
        <w:rPr>
          <w:sz w:val="20"/>
          <w:vertAlign w:val="superscript"/>
        </w:rPr>
        <w:t>1</w:t>
      </w:r>
      <w:r w:rsidR="00EF31AA" w:rsidRPr="00810CAD">
        <w:rPr>
          <w:sz w:val="20"/>
        </w:rPr>
        <w:t xml:space="preserve"> and the NASA RESOURCE Team.</w:t>
      </w:r>
      <w:r w:rsidR="009973BA">
        <w:rPr>
          <w:sz w:val="20"/>
          <w:szCs w:val="20"/>
        </w:rPr>
        <w:t xml:space="preserve"> </w:t>
      </w:r>
      <w:r w:rsidR="00EF31AA" w:rsidRPr="00810CAD">
        <w:rPr>
          <w:sz w:val="20"/>
          <w:vertAlign w:val="superscript"/>
        </w:rPr>
        <w:t>1</w:t>
      </w:r>
      <w:r w:rsidR="001667F7">
        <w:rPr>
          <w:sz w:val="20"/>
        </w:rPr>
        <w:t>NASA Ames Research Center</w:t>
      </w:r>
      <w:r w:rsidR="00810CAD" w:rsidRPr="00810CAD">
        <w:rPr>
          <w:sz w:val="20"/>
        </w:rPr>
        <w:t>,</w:t>
      </w:r>
      <w:r w:rsidR="002A2AEC">
        <w:rPr>
          <w:sz w:val="20"/>
        </w:rPr>
        <w:t xml:space="preserve"> </w:t>
      </w:r>
      <w:r w:rsidR="002A2AEC" w:rsidRPr="002A2AEC">
        <w:rPr>
          <w:sz w:val="20"/>
          <w:vertAlign w:val="superscript"/>
        </w:rPr>
        <w:t>2</w:t>
      </w:r>
      <w:r w:rsidR="002A2AEC">
        <w:rPr>
          <w:sz w:val="20"/>
        </w:rPr>
        <w:t xml:space="preserve">Johns Hopkins University / Applied Physics Lab, </w:t>
      </w:r>
      <w:r w:rsidR="002A2AEC" w:rsidRPr="002A2AEC">
        <w:rPr>
          <w:sz w:val="20"/>
          <w:vertAlign w:val="superscript"/>
        </w:rPr>
        <w:t>3</w:t>
      </w:r>
      <w:r w:rsidR="002A2AEC">
        <w:rPr>
          <w:sz w:val="20"/>
        </w:rPr>
        <w:t>Massachusetts Institute of Technology,</w:t>
      </w:r>
      <w:r w:rsidR="00810CAD" w:rsidRPr="00810CAD">
        <w:rPr>
          <w:sz w:val="20"/>
        </w:rPr>
        <w:t xml:space="preserve"> </w:t>
      </w:r>
      <w:r w:rsidR="002A2AEC">
        <w:rPr>
          <w:sz w:val="20"/>
          <w:vertAlign w:val="superscript"/>
        </w:rPr>
        <w:t>4</w:t>
      </w:r>
      <w:r w:rsidR="00EF31AA" w:rsidRPr="00810CAD">
        <w:rPr>
          <w:sz w:val="20"/>
        </w:rPr>
        <w:t>NA</w:t>
      </w:r>
      <w:r w:rsidR="002B4F04">
        <w:rPr>
          <w:sz w:val="20"/>
        </w:rPr>
        <w:t>SA Kennedy Space Center,</w:t>
      </w:r>
      <w:r w:rsidR="002A2AEC">
        <w:rPr>
          <w:sz w:val="20"/>
        </w:rPr>
        <w:t xml:space="preserve"> </w:t>
      </w:r>
      <w:r w:rsidR="002A2AEC">
        <w:rPr>
          <w:sz w:val="20"/>
          <w:vertAlign w:val="superscript"/>
        </w:rPr>
        <w:t>5</w:t>
      </w:r>
      <w:r w:rsidR="002B4F04" w:rsidRPr="00810CAD">
        <w:rPr>
          <w:sz w:val="20"/>
        </w:rPr>
        <w:t>Honeybee Robotics</w:t>
      </w:r>
      <w:r w:rsidR="00810CAD" w:rsidRPr="00810CAD">
        <w:rPr>
          <w:sz w:val="20"/>
        </w:rPr>
        <w:t xml:space="preserve">, </w:t>
      </w:r>
      <w:r w:rsidR="002A2AEC">
        <w:rPr>
          <w:sz w:val="20"/>
          <w:vertAlign w:val="superscript"/>
        </w:rPr>
        <w:t>6</w:t>
      </w:r>
      <w:r w:rsidR="002B4F04" w:rsidRPr="00810CAD">
        <w:rPr>
          <w:sz w:val="20"/>
        </w:rPr>
        <w:t>U.S. Geological Su</w:t>
      </w:r>
      <w:r w:rsidR="002B4F04" w:rsidRPr="00810CAD">
        <w:rPr>
          <w:sz w:val="20"/>
        </w:rPr>
        <w:t>r</w:t>
      </w:r>
      <w:r w:rsidR="002B4F04" w:rsidRPr="00810CAD">
        <w:rPr>
          <w:sz w:val="20"/>
        </w:rPr>
        <w:t>vey</w:t>
      </w:r>
      <w:r w:rsidR="00810CAD" w:rsidRPr="00810CAD">
        <w:rPr>
          <w:sz w:val="20"/>
        </w:rPr>
        <w:t xml:space="preserve">, </w:t>
      </w:r>
      <w:r w:rsidR="002A2AEC">
        <w:rPr>
          <w:sz w:val="20"/>
          <w:vertAlign w:val="superscript"/>
        </w:rPr>
        <w:t>7</w:t>
      </w:r>
      <w:r w:rsidR="002B4F04" w:rsidRPr="00810CAD">
        <w:rPr>
          <w:sz w:val="20"/>
        </w:rPr>
        <w:t>U.S. Army, Cold R</w:t>
      </w:r>
      <w:r w:rsidR="002B4F04" w:rsidRPr="00810CAD">
        <w:rPr>
          <w:sz w:val="20"/>
        </w:rPr>
        <w:t>e</w:t>
      </w:r>
      <w:r w:rsidR="002B4F04" w:rsidRPr="00810CAD">
        <w:rPr>
          <w:sz w:val="20"/>
        </w:rPr>
        <w:t>gions Research Environment Laboratory (CRREL)</w:t>
      </w:r>
      <w:r w:rsidR="00810CAD" w:rsidRPr="00810CAD">
        <w:rPr>
          <w:sz w:val="20"/>
        </w:rPr>
        <w:t xml:space="preserve">, </w:t>
      </w:r>
      <w:r w:rsidR="002A2AEC">
        <w:rPr>
          <w:sz w:val="20"/>
          <w:vertAlign w:val="superscript"/>
        </w:rPr>
        <w:t>8</w:t>
      </w:r>
      <w:r w:rsidR="002B4F04" w:rsidRPr="00810CAD">
        <w:rPr>
          <w:sz w:val="20"/>
        </w:rPr>
        <w:t>NASA Ames Research Center / BAER Institute</w:t>
      </w:r>
      <w:r w:rsidR="002A2AEC">
        <w:rPr>
          <w:sz w:val="20"/>
        </w:rPr>
        <w:t xml:space="preserve">, </w:t>
      </w:r>
      <w:r w:rsidR="00B054FD">
        <w:rPr>
          <w:sz w:val="20"/>
          <w:vertAlign w:val="superscript"/>
        </w:rPr>
        <w:t>9</w:t>
      </w:r>
      <w:r w:rsidR="002A2AEC">
        <w:rPr>
          <w:sz w:val="20"/>
        </w:rPr>
        <w:t>Howard Un</w:t>
      </w:r>
      <w:r w:rsidR="002A2AEC">
        <w:rPr>
          <w:sz w:val="20"/>
        </w:rPr>
        <w:t>i</w:t>
      </w:r>
      <w:r w:rsidR="002A2AEC">
        <w:rPr>
          <w:sz w:val="20"/>
        </w:rPr>
        <w:t xml:space="preserve">versity, </w:t>
      </w:r>
      <w:r w:rsidR="00B054FD">
        <w:rPr>
          <w:sz w:val="20"/>
          <w:vertAlign w:val="superscript"/>
        </w:rPr>
        <w:t>10</w:t>
      </w:r>
      <w:r w:rsidR="002A2AEC">
        <w:rPr>
          <w:sz w:val="20"/>
        </w:rPr>
        <w:t xml:space="preserve">American Museum of Natural History, </w:t>
      </w:r>
      <w:r w:rsidR="002A2AEC" w:rsidRPr="002A2AEC">
        <w:rPr>
          <w:sz w:val="20"/>
          <w:vertAlign w:val="superscript"/>
        </w:rPr>
        <w:t>1</w:t>
      </w:r>
      <w:r w:rsidR="00B054FD">
        <w:rPr>
          <w:sz w:val="20"/>
          <w:vertAlign w:val="superscript"/>
        </w:rPr>
        <w:t>1</w:t>
      </w:r>
      <w:r w:rsidR="002A2AEC">
        <w:rPr>
          <w:sz w:val="20"/>
        </w:rPr>
        <w:t>SETI Institute.</w:t>
      </w:r>
      <w:r w:rsidR="00EF31AA" w:rsidRPr="00810CAD">
        <w:rPr>
          <w:sz w:val="20"/>
        </w:rPr>
        <w:t xml:space="preserve"> </w:t>
      </w:r>
    </w:p>
    <w:p w:rsidR="00746139" w:rsidRDefault="00746139">
      <w:pPr>
        <w:pStyle w:val="BodyA"/>
        <w:spacing w:line="240" w:lineRule="atLeast"/>
        <w:ind w:firstLine="288"/>
        <w:jc w:val="both"/>
        <w:rPr>
          <w:rFonts w:ascii="Times New Roman" w:eastAsia="Times New Roman" w:hAnsi="Times New Roman" w:cs="Times New Roman"/>
          <w:sz w:val="20"/>
          <w:szCs w:val="20"/>
        </w:rPr>
      </w:pPr>
    </w:p>
    <w:p w:rsidR="00746139" w:rsidRDefault="00746139">
      <w:pPr>
        <w:pStyle w:val="BodyA"/>
        <w:spacing w:line="240" w:lineRule="atLeast"/>
        <w:ind w:firstLine="288"/>
        <w:jc w:val="both"/>
        <w:sectPr w:rsidR="00746139">
          <w:headerReference w:type="default" r:id="rId6"/>
          <w:footerReference w:type="default" r:id="rId7"/>
          <w:pgSz w:w="12240" w:h="15840"/>
          <w:pgMar w:top="1440" w:right="1440" w:bottom="1440" w:left="1440" w:footer="864" w:gutter="0"/>
        </w:sectPr>
      </w:pPr>
    </w:p>
    <w:p w:rsidR="00D749BE" w:rsidRPr="00D749BE" w:rsidRDefault="00F307EF" w:rsidP="00D749BE">
      <w:pPr>
        <w:ind w:firstLine="270"/>
        <w:jc w:val="both"/>
        <w:rPr>
          <w:sz w:val="20"/>
        </w:rPr>
      </w:pPr>
      <w:r w:rsidRPr="00D749BE">
        <w:rPr>
          <w:b/>
          <w:bCs/>
          <w:sz w:val="20"/>
          <w:szCs w:val="20"/>
        </w:rPr>
        <w:t>Introduction:</w:t>
      </w:r>
      <w:r w:rsidRPr="00D749BE">
        <w:rPr>
          <w:sz w:val="20"/>
          <w:szCs w:val="20"/>
        </w:rPr>
        <w:t xml:space="preserve"> </w:t>
      </w:r>
      <w:r w:rsidR="00D749BE" w:rsidRPr="00D749BE">
        <w:rPr>
          <w:sz w:val="20"/>
        </w:rPr>
        <w:t>In Situ Resource Utilization (ISRU) near the sites of robotic and/or human missions may enable sustainable and affordable exploration of the SSERVI (Solar System Exploration Research Virtual Institute) Target Bodies. Key to using space resources is knowing their location, quantity, distribution, and extractability. In addition, operations and hardware associated with each ISRU prospecting, excavation, transportation, and processing step must be examined, tested, and integrated to enable effective ISRU (San</w:t>
      </w:r>
      <w:r w:rsidR="00D749BE" w:rsidRPr="00D749BE">
        <w:rPr>
          <w:sz w:val="20"/>
        </w:rPr>
        <w:t>d</w:t>
      </w:r>
      <w:r w:rsidR="00D749BE" w:rsidRPr="00D749BE">
        <w:rPr>
          <w:sz w:val="20"/>
        </w:rPr>
        <w:t>ers 2015).</w:t>
      </w:r>
    </w:p>
    <w:p w:rsidR="00746139" w:rsidRPr="004520DF" w:rsidRDefault="00E341A6" w:rsidP="004520DF">
      <w:pPr>
        <w:ind w:firstLine="270"/>
        <w:jc w:val="both"/>
        <w:rPr>
          <w:sz w:val="20"/>
        </w:rPr>
      </w:pPr>
      <w:r w:rsidRPr="00E341A6">
        <w:rPr>
          <w:b/>
          <w:sz w:val="20"/>
        </w:rPr>
        <w:t>Project Description</w:t>
      </w:r>
      <w:r>
        <w:rPr>
          <w:sz w:val="20"/>
        </w:rPr>
        <w:t xml:space="preserve">: </w:t>
      </w:r>
      <w:r w:rsidR="00D749BE" w:rsidRPr="00D749BE">
        <w:rPr>
          <w:sz w:val="20"/>
        </w:rPr>
        <w:t>The RESOURCE (</w:t>
      </w:r>
      <w:r w:rsidR="00D749BE" w:rsidRPr="00D749BE">
        <w:rPr>
          <w:b/>
          <w:sz w:val="20"/>
        </w:rPr>
        <w:t>R</w:t>
      </w:r>
      <w:r w:rsidR="00D749BE" w:rsidRPr="00D749BE">
        <w:rPr>
          <w:sz w:val="20"/>
        </w:rPr>
        <w:t xml:space="preserve">esource </w:t>
      </w:r>
      <w:r w:rsidR="00D749BE" w:rsidRPr="00D749BE">
        <w:rPr>
          <w:b/>
          <w:sz w:val="20"/>
        </w:rPr>
        <w:t>E</w:t>
      </w:r>
      <w:r w:rsidR="00D749BE" w:rsidRPr="00D749BE">
        <w:rPr>
          <w:sz w:val="20"/>
        </w:rPr>
        <w:t xml:space="preserve">xploration and </w:t>
      </w:r>
      <w:r w:rsidR="00D749BE" w:rsidRPr="00D749BE">
        <w:rPr>
          <w:b/>
          <w:sz w:val="20"/>
        </w:rPr>
        <w:t>S</w:t>
      </w:r>
      <w:r w:rsidR="00D749BE" w:rsidRPr="00D749BE">
        <w:rPr>
          <w:sz w:val="20"/>
        </w:rPr>
        <w:t xml:space="preserve">cience of </w:t>
      </w:r>
      <w:r w:rsidR="00D749BE" w:rsidRPr="00D749BE">
        <w:rPr>
          <w:b/>
          <w:sz w:val="20"/>
        </w:rPr>
        <w:t>OUR</w:t>
      </w:r>
      <w:r w:rsidR="00D749BE" w:rsidRPr="00D749BE">
        <w:rPr>
          <w:sz w:val="20"/>
        </w:rPr>
        <w:t xml:space="preserve"> </w:t>
      </w:r>
      <w:r w:rsidR="00D749BE" w:rsidRPr="00D749BE">
        <w:rPr>
          <w:b/>
          <w:sz w:val="20"/>
        </w:rPr>
        <w:t>C</w:t>
      </w:r>
      <w:r w:rsidR="00D749BE" w:rsidRPr="00D749BE">
        <w:rPr>
          <w:sz w:val="20"/>
        </w:rPr>
        <w:t xml:space="preserve">osmic </w:t>
      </w:r>
      <w:r w:rsidR="00D749BE" w:rsidRPr="00D749BE">
        <w:rPr>
          <w:b/>
          <w:sz w:val="20"/>
        </w:rPr>
        <w:t>E</w:t>
      </w:r>
      <w:r w:rsidR="00D749BE" w:rsidRPr="00D749BE">
        <w:rPr>
          <w:sz w:val="20"/>
        </w:rPr>
        <w:t>nviro</w:t>
      </w:r>
      <w:r w:rsidR="00D749BE" w:rsidRPr="00D749BE">
        <w:rPr>
          <w:sz w:val="20"/>
        </w:rPr>
        <w:t>n</w:t>
      </w:r>
      <w:r w:rsidR="00D749BE" w:rsidRPr="00D749BE">
        <w:rPr>
          <w:sz w:val="20"/>
        </w:rPr>
        <w:t>ment) project addresses these ISRU needs through a structured program directly linking science and expl</w:t>
      </w:r>
      <w:r w:rsidR="00D749BE" w:rsidRPr="00D749BE">
        <w:rPr>
          <w:sz w:val="20"/>
        </w:rPr>
        <w:t>o</w:t>
      </w:r>
      <w:r w:rsidR="00D749BE" w:rsidRPr="00D749BE">
        <w:rPr>
          <w:sz w:val="20"/>
        </w:rPr>
        <w:t xml:space="preserve">ration. </w:t>
      </w:r>
      <w:r w:rsidR="00B51EED" w:rsidRPr="00B51EED">
        <w:rPr>
          <w:sz w:val="20"/>
        </w:rPr>
        <w:t>We are relevant to NASA’s Science Mission Directorate (SMD) by characterizing potential r</w:t>
      </w:r>
      <w:r w:rsidR="00B51EED" w:rsidRPr="00B51EED">
        <w:rPr>
          <w:sz w:val="20"/>
        </w:rPr>
        <w:t>e</w:t>
      </w:r>
      <w:r w:rsidR="00B51EED" w:rsidRPr="00B51EED">
        <w:rPr>
          <w:sz w:val="20"/>
        </w:rPr>
        <w:t>sources on SSERVI Target Bodies through scientific investigation. Our work is relevant to NASA’s Human Exploration and Oper</w:t>
      </w:r>
      <w:r w:rsidR="00B51EED" w:rsidRPr="00B51EED">
        <w:rPr>
          <w:sz w:val="20"/>
        </w:rPr>
        <w:t>a</w:t>
      </w:r>
      <w:r w:rsidR="00B51EED" w:rsidRPr="00B51EED">
        <w:rPr>
          <w:sz w:val="20"/>
        </w:rPr>
        <w:t>tions Mission Directorate (HEOMD) through engineering, hardware and sof</w:t>
      </w:r>
      <w:r w:rsidR="00B51EED" w:rsidRPr="00B51EED">
        <w:rPr>
          <w:sz w:val="20"/>
        </w:rPr>
        <w:t>t</w:t>
      </w:r>
      <w:r w:rsidR="00B51EED" w:rsidRPr="00B51EED">
        <w:rPr>
          <w:sz w:val="20"/>
        </w:rPr>
        <w:t>ware development and testing for future near-term ISRU missions.</w:t>
      </w:r>
      <w:r w:rsidR="00B51EED">
        <w:t xml:space="preserve"> </w:t>
      </w:r>
      <w:r w:rsidR="00D749BE" w:rsidRPr="00D749BE">
        <w:rPr>
          <w:sz w:val="20"/>
        </w:rPr>
        <w:t xml:space="preserve">We abide by the mantra that </w:t>
      </w:r>
      <w:r w:rsidR="00D749BE" w:rsidRPr="00D749BE">
        <w:rPr>
          <w:rFonts w:cs="AGaramondPro-Regular"/>
          <w:color w:val="000000"/>
          <w:spacing w:val="-2"/>
          <w:sz w:val="20"/>
        </w:rPr>
        <w:t>“</w:t>
      </w:r>
      <w:r w:rsidR="00D749BE" w:rsidRPr="00D749BE">
        <w:rPr>
          <w:rFonts w:cs="AGaramondPro-Bold"/>
          <w:b/>
          <w:bCs/>
          <w:color w:val="000000"/>
          <w:spacing w:val="-2"/>
          <w:sz w:val="20"/>
        </w:rPr>
        <w:t>science enables exploration and explor</w:t>
      </w:r>
      <w:r w:rsidR="00D749BE" w:rsidRPr="00D749BE">
        <w:rPr>
          <w:rFonts w:cs="AGaramondPro-Bold"/>
          <w:b/>
          <w:bCs/>
          <w:color w:val="000000"/>
          <w:spacing w:val="-2"/>
          <w:sz w:val="20"/>
        </w:rPr>
        <w:t>a</w:t>
      </w:r>
      <w:r w:rsidR="00D749BE" w:rsidRPr="00D749BE">
        <w:rPr>
          <w:rFonts w:cs="AGaramondPro-Bold"/>
          <w:b/>
          <w:bCs/>
          <w:color w:val="000000"/>
          <w:spacing w:val="-2"/>
          <w:sz w:val="20"/>
        </w:rPr>
        <w:t>tion enables science.</w:t>
      </w:r>
      <w:r w:rsidR="00D749BE" w:rsidRPr="00D749BE">
        <w:rPr>
          <w:rFonts w:cs="AGaramondPro-Regular"/>
          <w:color w:val="000000"/>
          <w:spacing w:val="-2"/>
          <w:sz w:val="20"/>
        </w:rPr>
        <w:t>”</w:t>
      </w:r>
      <w:r w:rsidR="004520DF">
        <w:rPr>
          <w:sz w:val="20"/>
        </w:rPr>
        <w:t xml:space="preserve"> To that end, </w:t>
      </w:r>
      <w:r w:rsidR="00D749BE">
        <w:rPr>
          <w:rFonts w:cs="AGaramondPro-Regular"/>
          <w:color w:val="000000"/>
          <w:spacing w:val="-2"/>
          <w:sz w:val="20"/>
        </w:rPr>
        <w:t>RESOURCE i</w:t>
      </w:r>
      <w:r w:rsidR="00D749BE">
        <w:rPr>
          <w:rFonts w:cs="AGaramondPro-Regular"/>
          <w:color w:val="000000"/>
          <w:spacing w:val="-2"/>
          <w:sz w:val="20"/>
        </w:rPr>
        <w:t>n</w:t>
      </w:r>
      <w:r w:rsidR="00D749BE">
        <w:rPr>
          <w:rFonts w:cs="AGaramondPro-Regular"/>
          <w:color w:val="000000"/>
          <w:spacing w:val="-2"/>
          <w:sz w:val="20"/>
        </w:rPr>
        <w:t>cludes the</w:t>
      </w:r>
      <w:r w:rsidR="00D749BE" w:rsidRPr="00D749BE">
        <w:rPr>
          <w:sz w:val="20"/>
        </w:rPr>
        <w:t xml:space="preserve"> following four tasks:</w:t>
      </w:r>
    </w:p>
    <w:p w:rsidR="00D749BE" w:rsidRPr="00D749BE" w:rsidRDefault="00D1658E" w:rsidP="00D749BE">
      <w:pPr>
        <w:ind w:firstLine="270"/>
        <w:jc w:val="both"/>
        <w:rPr>
          <w:sz w:val="20"/>
          <w:szCs w:val="20"/>
        </w:rPr>
      </w:pPr>
      <w:r w:rsidRPr="00D1658E">
        <w:rPr>
          <w:rFonts w:cs="AGaramondPro-Regular"/>
          <w:noProof/>
          <w:color w:val="000000"/>
          <w:spacing w:val="-2"/>
          <w:sz w:val="20"/>
        </w:rPr>
        <w:pict>
          <v:shapetype id="_x0000_t202" coordsize="21600,21600" o:spt="202" path="m0,0l0,21600,21600,21600,21600,0xe">
            <v:stroke joinstyle="miter"/>
            <v:path gradientshapeok="t" o:connecttype="rect"/>
          </v:shapetype>
          <v:shape id="_x0000_s1029" type="#_x0000_t202" style="position:absolute;left:0;text-align:left;margin-left:252pt;margin-top:86.2pt;width:207pt;height:179.35pt;z-index:251658240;mso-wrap-edited:f;mso-position-horizontal:absolute;mso-position-vertical:absolute" wrapcoords="0 0 21600 0 21600 21600 0 21600 0 0" filled="f" stroked="f">
            <v:fill o:detectmouseclick="t"/>
            <v:textbox inset=",7.2pt,,7.2pt">
              <w:txbxContent>
                <w:p w:rsidR="00B431B9" w:rsidRDefault="00B431B9">
                  <w:r w:rsidRPr="00B431B9">
                    <w:rPr>
                      <w:noProof/>
                    </w:rPr>
                    <w:drawing>
                      <wp:inline distT="0" distB="0" distL="0" distR="0">
                        <wp:extent cx="2053167" cy="1980880"/>
                        <wp:effectExtent l="25400" t="0" r="4233" b="0"/>
                        <wp:docPr id="19" name="Picture 9" descr="Screen Shot 2013-12-31 at 8.24.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12-31 at 8.24.32 PM.png"/>
                                <pic:cNvPicPr/>
                              </pic:nvPicPr>
                              <pic:blipFill>
                                <a:blip r:embed="rId8"/>
                                <a:stretch>
                                  <a:fillRect/>
                                </a:stretch>
                              </pic:blipFill>
                              <pic:spPr>
                                <a:xfrm>
                                  <a:off x="0" y="0"/>
                                  <a:ext cx="2058282" cy="1985815"/>
                                </a:xfrm>
                                <a:prstGeom prst="rect">
                                  <a:avLst/>
                                </a:prstGeom>
                              </pic:spPr>
                            </pic:pic>
                          </a:graphicData>
                        </a:graphic>
                      </wp:inline>
                    </w:drawing>
                  </w:r>
                </w:p>
              </w:txbxContent>
            </v:textbox>
            <w10:wrap type="tight"/>
          </v:shape>
        </w:pict>
      </w:r>
      <w:r w:rsidR="004520DF">
        <w:rPr>
          <w:i/>
          <w:sz w:val="20"/>
        </w:rPr>
        <w:t>Task</w:t>
      </w:r>
      <w:r w:rsidR="00D749BE" w:rsidRPr="00D749BE">
        <w:rPr>
          <w:i/>
          <w:sz w:val="20"/>
        </w:rPr>
        <w:t xml:space="preserve"> 1:  Assess and characterize resource invent</w:t>
      </w:r>
      <w:r w:rsidR="00D749BE" w:rsidRPr="00D749BE">
        <w:rPr>
          <w:i/>
          <w:sz w:val="20"/>
        </w:rPr>
        <w:t>o</w:t>
      </w:r>
      <w:r w:rsidR="00D749BE" w:rsidRPr="00D749BE">
        <w:rPr>
          <w:i/>
          <w:sz w:val="20"/>
        </w:rPr>
        <w:t>ries of SSERVI Target Bodies</w:t>
      </w:r>
      <w:r w:rsidR="00F307EF" w:rsidRPr="00D749BE">
        <w:rPr>
          <w:i/>
          <w:iCs/>
          <w:sz w:val="20"/>
          <w:szCs w:val="20"/>
        </w:rPr>
        <w:t>.</w:t>
      </w:r>
      <w:r w:rsidR="00F307EF" w:rsidRPr="00D749BE">
        <w:rPr>
          <w:sz w:val="20"/>
          <w:szCs w:val="20"/>
        </w:rPr>
        <w:t xml:space="preserve"> </w:t>
      </w:r>
      <w:r w:rsidR="00D749BE">
        <w:rPr>
          <w:sz w:val="20"/>
        </w:rPr>
        <w:t>First we develop</w:t>
      </w:r>
      <w:r w:rsidR="00D749BE" w:rsidRPr="00D749BE">
        <w:rPr>
          <w:sz w:val="20"/>
        </w:rPr>
        <w:t xml:space="preserve"> a semi-quantitative mineral potential model of resource assessment for water ice on </w:t>
      </w:r>
      <w:r w:rsidR="00FD5127">
        <w:rPr>
          <w:sz w:val="20"/>
        </w:rPr>
        <w:t>SSERVI Target Bodies</w:t>
      </w:r>
      <w:r w:rsidR="00D749BE" w:rsidRPr="00D749BE">
        <w:rPr>
          <w:sz w:val="20"/>
        </w:rPr>
        <w:t xml:space="preserve"> utilizing state-of-the art knowledge regarding resource inventories to identify prospective regions for the o</w:t>
      </w:r>
      <w:r w:rsidR="00D749BE" w:rsidRPr="00D749BE">
        <w:rPr>
          <w:sz w:val="20"/>
        </w:rPr>
        <w:t>c</w:t>
      </w:r>
      <w:r w:rsidR="00FD5127">
        <w:rPr>
          <w:sz w:val="20"/>
        </w:rPr>
        <w:t>currence of ice</w:t>
      </w:r>
      <w:r w:rsidR="004A0CB7">
        <w:rPr>
          <w:sz w:val="20"/>
        </w:rPr>
        <w:t>, volatiles, or other resources</w:t>
      </w:r>
      <w:r w:rsidR="00FD5127">
        <w:rPr>
          <w:sz w:val="20"/>
        </w:rPr>
        <w:t xml:space="preserve">. </w:t>
      </w:r>
      <w:r w:rsidR="00D749BE">
        <w:rPr>
          <w:sz w:val="20"/>
        </w:rPr>
        <w:t>This analysis is then used</w:t>
      </w:r>
      <w:r w:rsidR="00D749BE" w:rsidRPr="00D749BE">
        <w:rPr>
          <w:rFonts w:cs="Helvetica"/>
          <w:sz w:val="20"/>
          <w:szCs w:val="32"/>
        </w:rPr>
        <w:t xml:space="preserve"> to develop predictive capabilities for resource identification where remote sensing data may be insufficient</w:t>
      </w:r>
      <w:r w:rsidR="00F307EF" w:rsidRPr="00D749BE">
        <w:rPr>
          <w:sz w:val="20"/>
          <w:szCs w:val="20"/>
        </w:rPr>
        <w:t xml:space="preserve">. </w:t>
      </w:r>
    </w:p>
    <w:p w:rsidR="00D749BE" w:rsidRPr="00D749BE" w:rsidRDefault="004520DF" w:rsidP="00D749BE">
      <w:pPr>
        <w:ind w:firstLine="270"/>
        <w:jc w:val="both"/>
        <w:rPr>
          <w:sz w:val="20"/>
          <w:szCs w:val="32"/>
        </w:rPr>
      </w:pPr>
      <w:r>
        <w:rPr>
          <w:i/>
          <w:sz w:val="20"/>
        </w:rPr>
        <w:t>Task</w:t>
      </w:r>
      <w:r w:rsidR="00D749BE" w:rsidRPr="00D749BE">
        <w:rPr>
          <w:i/>
          <w:sz w:val="20"/>
        </w:rPr>
        <w:t xml:space="preserve"> 2:  ISRU technology development and testing</w:t>
      </w:r>
      <w:r w:rsidR="00D749BE" w:rsidRPr="00D749BE">
        <w:rPr>
          <w:sz w:val="20"/>
        </w:rPr>
        <w:t xml:space="preserve">. </w:t>
      </w:r>
      <w:r>
        <w:rPr>
          <w:sz w:val="20"/>
        </w:rPr>
        <w:t>Here we focus</w:t>
      </w:r>
      <w:r w:rsidR="00D749BE" w:rsidRPr="00D749BE">
        <w:rPr>
          <w:sz w:val="20"/>
        </w:rPr>
        <w:t xml:space="preserve"> on technologies relevant to enabling lunar ISRU missions. </w:t>
      </w:r>
      <w:r w:rsidR="00FD5127">
        <w:rPr>
          <w:sz w:val="20"/>
        </w:rPr>
        <w:t>First</w:t>
      </w:r>
      <w:r w:rsidR="00D749BE" w:rsidRPr="00D749BE">
        <w:rPr>
          <w:sz w:val="20"/>
        </w:rPr>
        <w:t xml:space="preserve"> we focus on a lunar r</w:t>
      </w:r>
      <w:r w:rsidR="00D749BE" w:rsidRPr="00D749BE">
        <w:rPr>
          <w:sz w:val="20"/>
        </w:rPr>
        <w:t>e</w:t>
      </w:r>
      <w:r w:rsidR="00D749BE" w:rsidRPr="00D749BE">
        <w:rPr>
          <w:sz w:val="20"/>
        </w:rPr>
        <w:t xml:space="preserve">source prospecting payload to advance the state of current rover-mounted systems. </w:t>
      </w:r>
      <w:r w:rsidR="00FD5127">
        <w:rPr>
          <w:sz w:val="20"/>
          <w:szCs w:val="32"/>
        </w:rPr>
        <w:t>We will also</w:t>
      </w:r>
      <w:r w:rsidR="00D749BE" w:rsidRPr="00D749BE">
        <w:rPr>
          <w:sz w:val="20"/>
          <w:szCs w:val="32"/>
        </w:rPr>
        <w:t xml:space="preserve"> analyze lunar mining and demonstrate technologies for the collection and processing of extracted water for future mining feasibility.  </w:t>
      </w:r>
    </w:p>
    <w:p w:rsidR="00D749BE" w:rsidRPr="00D749BE" w:rsidRDefault="004520DF" w:rsidP="00D749BE">
      <w:pPr>
        <w:pStyle w:val="HTMLPreformatted"/>
        <w:ind w:firstLine="270"/>
        <w:jc w:val="both"/>
        <w:rPr>
          <w:rFonts w:ascii="Times New Roman" w:hAnsi="Times New Roman"/>
        </w:rPr>
      </w:pPr>
      <w:r>
        <w:rPr>
          <w:rFonts w:ascii="Times New Roman" w:hAnsi="Times New Roman" w:cs="Times New Roman"/>
          <w:i/>
          <w:szCs w:val="32"/>
        </w:rPr>
        <w:t>Task</w:t>
      </w:r>
      <w:r w:rsidR="00D749BE" w:rsidRPr="00FD5127">
        <w:rPr>
          <w:rFonts w:ascii="Times New Roman" w:hAnsi="Times New Roman" w:cs="Times New Roman"/>
          <w:i/>
          <w:szCs w:val="32"/>
        </w:rPr>
        <w:t xml:space="preserve"> 3: </w:t>
      </w:r>
      <w:r w:rsidR="00D749BE" w:rsidRPr="00FD5127">
        <w:rPr>
          <w:rFonts w:ascii="Times New Roman" w:hAnsi="Times New Roman"/>
          <w:i/>
        </w:rPr>
        <w:t>Assessing concepts of operations, capabil</w:t>
      </w:r>
      <w:r w:rsidR="00D749BE" w:rsidRPr="00FD5127">
        <w:rPr>
          <w:rFonts w:ascii="Times New Roman" w:hAnsi="Times New Roman"/>
          <w:i/>
        </w:rPr>
        <w:t>i</w:t>
      </w:r>
      <w:r w:rsidR="00D749BE" w:rsidRPr="00FD5127">
        <w:rPr>
          <w:rFonts w:ascii="Times New Roman" w:hAnsi="Times New Roman"/>
          <w:i/>
        </w:rPr>
        <w:t>ties and related human-robotic interactions in support of lunar robotic ISRU exploration</w:t>
      </w:r>
      <w:r w:rsidR="00D749BE" w:rsidRPr="00D749BE">
        <w:rPr>
          <w:rFonts w:ascii="Times New Roman" w:hAnsi="Times New Roman"/>
        </w:rPr>
        <w:t xml:space="preserve">. </w:t>
      </w:r>
      <w:r w:rsidR="00FD5127">
        <w:rPr>
          <w:rFonts w:ascii="Times New Roman" w:hAnsi="Times New Roman"/>
        </w:rPr>
        <w:t>Here we focus</w:t>
      </w:r>
      <w:r w:rsidR="00D749BE" w:rsidRPr="00D749BE">
        <w:rPr>
          <w:rFonts w:ascii="Times New Roman" w:hAnsi="Times New Roman"/>
        </w:rPr>
        <w:t xml:space="preserve"> on optimization of the robotic and human interactions for a mission to prospect for re</w:t>
      </w:r>
      <w:r w:rsidR="00AE1D31">
        <w:rPr>
          <w:rFonts w:ascii="Times New Roman" w:hAnsi="Times New Roman"/>
        </w:rPr>
        <w:t>sources and conduct lunar ISRU and o</w:t>
      </w:r>
      <w:r w:rsidR="00D749BE" w:rsidRPr="00D749BE">
        <w:rPr>
          <w:rFonts w:ascii="Times New Roman" w:hAnsi="Times New Roman"/>
        </w:rPr>
        <w:t xml:space="preserve">ptimize human-machine collaboration (HMC) and human factors engineering task allocation. </w:t>
      </w:r>
      <w:r w:rsidR="00FD5127">
        <w:rPr>
          <w:rFonts w:ascii="Times New Roman" w:hAnsi="Times New Roman"/>
        </w:rPr>
        <w:t>We</w:t>
      </w:r>
      <w:r w:rsidR="00D749BE" w:rsidRPr="00D749BE">
        <w:rPr>
          <w:rFonts w:ascii="Times New Roman" w:hAnsi="Times New Roman"/>
        </w:rPr>
        <w:t xml:space="preserve"> design and test different components of mixed reality (including augmented reality (AR) and virtual reality (VR)) to enhance and optimize the productivity of a lunar polar rover mission.</w:t>
      </w:r>
    </w:p>
    <w:p w:rsidR="00AE1D31" w:rsidRDefault="00FB4700" w:rsidP="00D749BE">
      <w:pPr>
        <w:ind w:firstLine="270"/>
        <w:jc w:val="both"/>
        <w:rPr>
          <w:sz w:val="20"/>
        </w:rPr>
      </w:pPr>
      <w:r>
        <w:rPr>
          <w:i/>
          <w:sz w:val="20"/>
        </w:rPr>
        <w:t>Task</w:t>
      </w:r>
      <w:r w:rsidR="00D749BE" w:rsidRPr="00FE7C2C">
        <w:rPr>
          <w:i/>
          <w:sz w:val="20"/>
        </w:rPr>
        <w:t xml:space="preserve"> 4:  Future ISRU robotic mission support a</w:t>
      </w:r>
      <w:r w:rsidR="00D749BE" w:rsidRPr="00FE7C2C">
        <w:rPr>
          <w:i/>
          <w:sz w:val="20"/>
        </w:rPr>
        <w:t>c</w:t>
      </w:r>
      <w:r w:rsidR="00D749BE" w:rsidRPr="00FE7C2C">
        <w:rPr>
          <w:i/>
          <w:sz w:val="20"/>
        </w:rPr>
        <w:t>tivities (lunar test case)</w:t>
      </w:r>
      <w:r w:rsidR="00D749BE" w:rsidRPr="00D749BE">
        <w:rPr>
          <w:sz w:val="20"/>
        </w:rPr>
        <w:t xml:space="preserve">. </w:t>
      </w:r>
      <w:r w:rsidR="00CC4471">
        <w:rPr>
          <w:sz w:val="20"/>
        </w:rPr>
        <w:t>Through this work</w:t>
      </w:r>
      <w:r w:rsidR="00AE1D31">
        <w:rPr>
          <w:sz w:val="20"/>
        </w:rPr>
        <w:t xml:space="preserve"> we</w:t>
      </w:r>
      <w:r w:rsidR="00D749BE" w:rsidRPr="00D749BE">
        <w:rPr>
          <w:sz w:val="20"/>
        </w:rPr>
        <w:t xml:space="preserve"> pr</w:t>
      </w:r>
      <w:r w:rsidR="00D749BE" w:rsidRPr="00D749BE">
        <w:rPr>
          <w:sz w:val="20"/>
        </w:rPr>
        <w:t>o</w:t>
      </w:r>
      <w:r w:rsidR="00D749BE" w:rsidRPr="00D749BE">
        <w:rPr>
          <w:sz w:val="20"/>
        </w:rPr>
        <w:t xml:space="preserve">duce data products </w:t>
      </w:r>
      <w:r w:rsidR="00B711E0">
        <w:rPr>
          <w:sz w:val="20"/>
        </w:rPr>
        <w:t xml:space="preserve">to support </w:t>
      </w:r>
      <w:r w:rsidR="00D749BE" w:rsidRPr="00D749BE">
        <w:rPr>
          <w:sz w:val="20"/>
        </w:rPr>
        <w:t xml:space="preserve">lunar polar rover mission traverse planning purposes. </w:t>
      </w:r>
      <w:r w:rsidR="00AE1D31">
        <w:rPr>
          <w:sz w:val="20"/>
        </w:rPr>
        <w:t>We are developing</w:t>
      </w:r>
      <w:r w:rsidR="00D749BE" w:rsidRPr="00D749BE">
        <w:rPr>
          <w:sz w:val="20"/>
        </w:rPr>
        <w:t xml:space="preserve"> a</w:t>
      </w:r>
      <w:r w:rsidR="00D749BE" w:rsidRPr="00D749BE">
        <w:rPr>
          <w:sz w:val="20"/>
        </w:rPr>
        <w:t>d</w:t>
      </w:r>
      <w:r w:rsidR="00D749BE" w:rsidRPr="00D749BE">
        <w:rPr>
          <w:sz w:val="20"/>
        </w:rPr>
        <w:t xml:space="preserve">vanced mission planning capabilities for a lunar polar rover prospecting mission and will integrate mission scheduling tools into the ground data system software suite. </w:t>
      </w:r>
    </w:p>
    <w:p w:rsidR="00746139" w:rsidRPr="00D749BE" w:rsidRDefault="00706DDF" w:rsidP="008A253E">
      <w:pPr>
        <w:ind w:firstLine="270"/>
        <w:jc w:val="both"/>
        <w:rPr>
          <w:sz w:val="20"/>
        </w:rPr>
      </w:pPr>
      <w:r w:rsidRPr="00706DDF">
        <w:rPr>
          <w:i/>
          <w:sz w:val="20"/>
        </w:rPr>
        <w:t>Citizen Science / Science Activation / Public E</w:t>
      </w:r>
      <w:r w:rsidRPr="00706DDF">
        <w:rPr>
          <w:i/>
          <w:sz w:val="20"/>
        </w:rPr>
        <w:t>n</w:t>
      </w:r>
      <w:r w:rsidRPr="00706DDF">
        <w:rPr>
          <w:i/>
          <w:sz w:val="20"/>
        </w:rPr>
        <w:t>gagement</w:t>
      </w:r>
      <w:r>
        <w:rPr>
          <w:sz w:val="20"/>
        </w:rPr>
        <w:t xml:space="preserve">. </w:t>
      </w:r>
      <w:r w:rsidR="006810A8">
        <w:rPr>
          <w:sz w:val="20"/>
        </w:rPr>
        <w:t>RESOURCE is also committed to sharing the excitement of this work with students and the pu</w:t>
      </w:r>
      <w:r w:rsidR="006810A8">
        <w:rPr>
          <w:sz w:val="20"/>
        </w:rPr>
        <w:t>b</w:t>
      </w:r>
      <w:r w:rsidR="006810A8">
        <w:rPr>
          <w:sz w:val="20"/>
        </w:rPr>
        <w:t>lic.</w:t>
      </w:r>
      <w:r w:rsidR="00B80483">
        <w:rPr>
          <w:sz w:val="20"/>
        </w:rPr>
        <w:t xml:space="preserve"> </w:t>
      </w:r>
      <w:r w:rsidR="00B711E0">
        <w:rPr>
          <w:sz w:val="20"/>
        </w:rPr>
        <w:t xml:space="preserve">Students and post-doctoral researchers are integral members of our team. </w:t>
      </w:r>
      <w:r w:rsidR="00B80483">
        <w:rPr>
          <w:sz w:val="20"/>
        </w:rPr>
        <w:t xml:space="preserve">We also partner with </w:t>
      </w:r>
      <w:r w:rsidR="00B80483" w:rsidRPr="00B80483">
        <w:rPr>
          <w:rFonts w:cs="AGaramondPro-Regular"/>
          <w:color w:val="000000"/>
          <w:spacing w:val="-2"/>
          <w:sz w:val="20"/>
        </w:rPr>
        <w:t>multiple NASA Science Activation teams and will 1) provide content for the OpenSpace data visualization project at the American Museum of Natural History (AMNH)</w:t>
      </w:r>
      <w:r w:rsidR="00B80483" w:rsidRPr="00B80483">
        <w:rPr>
          <w:rFonts w:eastAsia="Times New Roman"/>
          <w:sz w:val="20"/>
        </w:rPr>
        <w:t>,</w:t>
      </w:r>
      <w:r w:rsidR="00B80483" w:rsidRPr="00B80483">
        <w:rPr>
          <w:rFonts w:cs="AGaramondPro-Regular"/>
          <w:color w:val="000000"/>
          <w:spacing w:val="-2"/>
          <w:sz w:val="20"/>
        </w:rPr>
        <w:t xml:space="preserve"> 2) provide women </w:t>
      </w:r>
      <w:r w:rsidR="00B711E0">
        <w:rPr>
          <w:rFonts w:cs="AGaramondPro-Regular"/>
          <w:color w:val="000000"/>
          <w:spacing w:val="-2"/>
          <w:sz w:val="20"/>
        </w:rPr>
        <w:t>Subject Matter Experts (</w:t>
      </w:r>
      <w:r w:rsidR="00B80483" w:rsidRPr="00B80483">
        <w:rPr>
          <w:rFonts w:cs="AGaramondPro-Regular"/>
          <w:color w:val="000000"/>
          <w:spacing w:val="-2"/>
          <w:sz w:val="20"/>
        </w:rPr>
        <w:t>SMEs</w:t>
      </w:r>
      <w:r w:rsidR="00B711E0">
        <w:rPr>
          <w:rFonts w:cs="AGaramondPro-Regular"/>
          <w:color w:val="000000"/>
          <w:spacing w:val="-2"/>
          <w:sz w:val="20"/>
        </w:rPr>
        <w:t>)</w:t>
      </w:r>
      <w:r w:rsidR="00B80483" w:rsidRPr="00B80483">
        <w:rPr>
          <w:rFonts w:cs="AGaramondPro-Regular"/>
          <w:color w:val="000000"/>
          <w:spacing w:val="-2"/>
          <w:sz w:val="20"/>
        </w:rPr>
        <w:t xml:space="preserve"> </w:t>
      </w:r>
      <w:r w:rsidR="00B711E0">
        <w:rPr>
          <w:rFonts w:cs="AGaramondPro-Regular"/>
          <w:color w:val="000000"/>
          <w:spacing w:val="-2"/>
          <w:sz w:val="20"/>
        </w:rPr>
        <w:t xml:space="preserve">to </w:t>
      </w:r>
      <w:r w:rsidR="00B80483">
        <w:rPr>
          <w:rFonts w:cs="AGaramondPro-Regular"/>
          <w:color w:val="000000"/>
          <w:spacing w:val="-2"/>
          <w:sz w:val="20"/>
        </w:rPr>
        <w:t>su</w:t>
      </w:r>
      <w:r w:rsidR="00B80483">
        <w:rPr>
          <w:rFonts w:cs="AGaramondPro-Regular"/>
          <w:color w:val="000000"/>
          <w:spacing w:val="-2"/>
          <w:sz w:val="20"/>
        </w:rPr>
        <w:t>p</w:t>
      </w:r>
      <w:r w:rsidR="00B80483">
        <w:rPr>
          <w:rFonts w:cs="AGaramondPro-Regular"/>
          <w:color w:val="000000"/>
          <w:spacing w:val="-2"/>
          <w:sz w:val="20"/>
        </w:rPr>
        <w:t>port</w:t>
      </w:r>
      <w:r w:rsidR="00B80483" w:rsidRPr="00B80483">
        <w:rPr>
          <w:rFonts w:cs="AGaramondPro-Regular"/>
          <w:color w:val="000000"/>
          <w:spacing w:val="-2"/>
          <w:sz w:val="20"/>
        </w:rPr>
        <w:t xml:space="preserve"> the SETI Institute’s “Reach for the Stars: NASA Science for Girl Scouts” program, 3) deliver </w:t>
      </w:r>
      <w:r w:rsidR="0062016B">
        <w:rPr>
          <w:rFonts w:cs="AGaramondPro-Regular"/>
          <w:color w:val="000000"/>
          <w:spacing w:val="-2"/>
          <w:sz w:val="20"/>
        </w:rPr>
        <w:t>topical</w:t>
      </w:r>
      <w:r w:rsidR="00B80483" w:rsidRPr="00B80483">
        <w:rPr>
          <w:rFonts w:cs="AGaramondPro-Regular"/>
          <w:color w:val="000000"/>
          <w:spacing w:val="-2"/>
          <w:sz w:val="20"/>
        </w:rPr>
        <w:t xml:space="preserve"> seminars through </w:t>
      </w:r>
      <w:r w:rsidR="00B80483">
        <w:rPr>
          <w:rFonts w:cs="AGaramondPro-Regular"/>
          <w:color w:val="000000"/>
          <w:spacing w:val="-2"/>
          <w:sz w:val="20"/>
        </w:rPr>
        <w:t>multiple online platforms, and 4) team</w:t>
      </w:r>
      <w:r w:rsidR="00B80483" w:rsidRPr="00B80483">
        <w:rPr>
          <w:rFonts w:cs="AGaramondPro-Regular"/>
          <w:color w:val="000000"/>
          <w:spacing w:val="-2"/>
          <w:sz w:val="20"/>
        </w:rPr>
        <w:t xml:space="preserve"> with Howard University</w:t>
      </w:r>
      <w:r w:rsidR="007D2F3E" w:rsidRPr="007D2F3E">
        <w:rPr>
          <w:rFonts w:cs="AGaramondPro-Regular"/>
          <w:color w:val="000000"/>
          <w:spacing w:val="-2"/>
          <w:sz w:val="20"/>
        </w:rPr>
        <w:t>, a Historically Black College &amp; University (HBCU),</w:t>
      </w:r>
      <w:r w:rsidR="00B80483">
        <w:rPr>
          <w:rFonts w:cs="AGaramondPro-Regular"/>
          <w:color w:val="000000"/>
          <w:spacing w:val="-2"/>
          <w:sz w:val="20"/>
        </w:rPr>
        <w:t xml:space="preserve"> to</w:t>
      </w:r>
      <w:r w:rsidR="00B80483" w:rsidRPr="00B80483">
        <w:rPr>
          <w:rFonts w:cs="AGaramondPro-Regular"/>
          <w:color w:val="000000"/>
          <w:spacing w:val="-2"/>
          <w:sz w:val="20"/>
        </w:rPr>
        <w:t xml:space="preserve"> </w:t>
      </w:r>
      <w:r w:rsidR="00B80483" w:rsidRPr="00B80483">
        <w:rPr>
          <w:rFonts w:eastAsia="Times New Roman"/>
          <w:sz w:val="20"/>
        </w:rPr>
        <w:t>help develop highly effective teachers who then elect to serve in either urban schools or in education systems with a predominantly ma</w:t>
      </w:r>
      <w:r w:rsidR="00B80483" w:rsidRPr="00B80483">
        <w:rPr>
          <w:rFonts w:eastAsia="Times New Roman"/>
          <w:sz w:val="20"/>
        </w:rPr>
        <w:t>r</w:t>
      </w:r>
      <w:r w:rsidR="00B80483" w:rsidRPr="00B80483">
        <w:rPr>
          <w:rFonts w:eastAsia="Times New Roman"/>
          <w:sz w:val="20"/>
        </w:rPr>
        <w:t>ginalized student population</w:t>
      </w:r>
      <w:r w:rsidR="006D2CF8">
        <w:rPr>
          <w:rFonts w:eastAsia="Times New Roman"/>
          <w:sz w:val="20"/>
        </w:rPr>
        <w:t>.</w:t>
      </w:r>
      <w:r w:rsidR="006810A8">
        <w:rPr>
          <w:sz w:val="20"/>
        </w:rPr>
        <w:t xml:space="preserve"> </w:t>
      </w:r>
    </w:p>
    <w:sectPr w:rsidR="00746139" w:rsidRPr="00D749BE" w:rsidSect="008E4AD7">
      <w:type w:val="continuous"/>
      <w:pgSz w:w="12240" w:h="15840"/>
      <w:pgMar w:top="1440" w:right="1440" w:bottom="1440" w:left="1440" w:footer="864" w:gutter="0"/>
      <w:cols w:num="2" w:space="49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471" w:rsidRDefault="00CC4471">
      <w:r>
        <w:separator/>
      </w:r>
    </w:p>
  </w:endnote>
  <w:endnote w:type="continuationSeparator" w:id="0">
    <w:p w:rsidR="00CC4471" w:rsidRDefault="00CC4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ourier">
    <w:panose1 w:val="02000500000000000000"/>
    <w:charset w:val="00"/>
    <w:family w:val="auto"/>
    <w:pitch w:val="variable"/>
    <w:sig w:usb0="00000003" w:usb1="00000000" w:usb2="00000000" w:usb3="00000000" w:csb0="00000001" w:csb1="00000000"/>
  </w:font>
  <w:font w:name="AGaramondPro-Regular">
    <w:altName w:val="Adobe Garamond Pro"/>
    <w:panose1 w:val="00000000000000000000"/>
    <w:charset w:val="80"/>
    <w:family w:val="roman"/>
    <w:notTrueType/>
    <w:pitch w:val="default"/>
    <w:sig w:usb0="00000000" w:usb1="08070000" w:usb2="00000010" w:usb3="00000000" w:csb0="00020000" w:csb1="00000000"/>
  </w:font>
  <w:font w:name="AGaramondPro-Bold">
    <w:altName w:val="Adobe Garamond Pro"/>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71" w:rsidRDefault="00CC4471">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471" w:rsidRDefault="00CC4471">
      <w:r>
        <w:separator/>
      </w:r>
    </w:p>
  </w:footnote>
  <w:footnote w:type="continuationSeparator" w:id="0">
    <w:p w:rsidR="00CC4471" w:rsidRDefault="00CC447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471" w:rsidRDefault="00CC4471">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
  <w:rsids>
    <w:rsidRoot w:val="00746139"/>
    <w:rsid w:val="00084D3B"/>
    <w:rsid w:val="00144C24"/>
    <w:rsid w:val="001667F7"/>
    <w:rsid w:val="002A2AEC"/>
    <w:rsid w:val="002B4F04"/>
    <w:rsid w:val="004520DF"/>
    <w:rsid w:val="004A0CB7"/>
    <w:rsid w:val="0062016B"/>
    <w:rsid w:val="006810A8"/>
    <w:rsid w:val="006D2CF8"/>
    <w:rsid w:val="00706DDF"/>
    <w:rsid w:val="00746139"/>
    <w:rsid w:val="007D2F3E"/>
    <w:rsid w:val="00810CAD"/>
    <w:rsid w:val="008A253E"/>
    <w:rsid w:val="008E4AD7"/>
    <w:rsid w:val="009973BA"/>
    <w:rsid w:val="00A0376C"/>
    <w:rsid w:val="00AA02EE"/>
    <w:rsid w:val="00AE1D31"/>
    <w:rsid w:val="00B054FD"/>
    <w:rsid w:val="00B431B9"/>
    <w:rsid w:val="00B51EED"/>
    <w:rsid w:val="00B711E0"/>
    <w:rsid w:val="00B80483"/>
    <w:rsid w:val="00C5742D"/>
    <w:rsid w:val="00CC4471"/>
    <w:rsid w:val="00D1658E"/>
    <w:rsid w:val="00D749BE"/>
    <w:rsid w:val="00E27716"/>
    <w:rsid w:val="00E341A6"/>
    <w:rsid w:val="00EF31AA"/>
    <w:rsid w:val="00EF4F91"/>
    <w:rsid w:val="00F307EF"/>
    <w:rsid w:val="00FB4700"/>
    <w:rsid w:val="00FC7249"/>
    <w:rsid w:val="00FD5127"/>
    <w:rsid w:val="00FE7C2C"/>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AD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8E4AD7"/>
    <w:rPr>
      <w:u w:val="single"/>
    </w:rPr>
  </w:style>
  <w:style w:type="paragraph" w:customStyle="1" w:styleId="HeaderFooter">
    <w:name w:val="Header &amp; Footer"/>
    <w:rsid w:val="008E4AD7"/>
    <w:pPr>
      <w:tabs>
        <w:tab w:val="right" w:pos="9020"/>
      </w:tabs>
    </w:pPr>
    <w:rPr>
      <w:rFonts w:ascii="Helvetica Neue" w:hAnsi="Helvetica Neue" w:cs="Arial Unicode MS"/>
      <w:color w:val="000000"/>
      <w:sz w:val="24"/>
      <w:szCs w:val="24"/>
    </w:rPr>
  </w:style>
  <w:style w:type="paragraph" w:customStyle="1" w:styleId="BodyA">
    <w:name w:val="Body A"/>
    <w:rsid w:val="008E4AD7"/>
    <w:rPr>
      <w:rFonts w:ascii="Helvetica Neue" w:hAnsi="Helvetica Neue" w:cs="Arial Unicode MS"/>
      <w:color w:val="000000"/>
      <w:sz w:val="22"/>
      <w:szCs w:val="22"/>
      <w:u w:color="000000"/>
    </w:rPr>
  </w:style>
  <w:style w:type="paragraph" w:styleId="HTMLPreformatted">
    <w:name w:val="HTML Preformatted"/>
    <w:basedOn w:val="Normal"/>
    <w:link w:val="HTMLPreformattedChar"/>
    <w:uiPriority w:val="99"/>
    <w:rsid w:val="00D749B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bdr w:val="none" w:sz="0" w:space="0" w:color="auto"/>
    </w:rPr>
  </w:style>
  <w:style w:type="character" w:customStyle="1" w:styleId="HTMLPreformattedChar">
    <w:name w:val="HTML Preformatted Char"/>
    <w:basedOn w:val="DefaultParagraphFont"/>
    <w:link w:val="HTMLPreformatted"/>
    <w:uiPriority w:val="99"/>
    <w:rsid w:val="00D749BE"/>
    <w:rPr>
      <w:rFonts w:ascii="Courier" w:eastAsiaTheme="minorHAnsi" w:hAnsi="Courier" w:cs="Courier"/>
      <w:bdr w:val="none" w:sz="0" w:space="0" w:color="auto"/>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676</Words>
  <Characters>3858</Characters>
  <Application>Microsoft Macintosh Word</Application>
  <DocSecurity>0</DocSecurity>
  <Lines>32</Lines>
  <Paragraphs>7</Paragraphs>
  <ScaleCrop>false</ScaleCrop>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Heldmann</cp:lastModifiedBy>
  <cp:revision>33</cp:revision>
  <dcterms:created xsi:type="dcterms:W3CDTF">2020-04-13T17:41:00Z</dcterms:created>
  <dcterms:modified xsi:type="dcterms:W3CDTF">2020-04-14T18:35:00Z</dcterms:modified>
</cp:coreProperties>
</file>