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7212C8" w14:textId="604DCD1B" w:rsidR="00983B99" w:rsidRDefault="004B3A75" w:rsidP="00983B99">
      <w:pPr>
        <w:jc w:val="center"/>
        <w:rPr>
          <w:sz w:val="36"/>
          <w:szCs w:val="36"/>
        </w:rPr>
      </w:pPr>
      <w:r>
        <w:rPr>
          <w:sz w:val="36"/>
          <w:szCs w:val="36"/>
        </w:rPr>
        <w:t>Visualizations to A</w:t>
      </w:r>
      <w:bookmarkStart w:id="0" w:name="_GoBack"/>
      <w:bookmarkEnd w:id="0"/>
      <w:r>
        <w:rPr>
          <w:sz w:val="36"/>
          <w:szCs w:val="36"/>
        </w:rPr>
        <w:t>id Decision</w:t>
      </w:r>
      <w:r w:rsidR="00C74FE9">
        <w:rPr>
          <w:sz w:val="36"/>
          <w:szCs w:val="36"/>
        </w:rPr>
        <w:t>-</w:t>
      </w:r>
      <w:r>
        <w:rPr>
          <w:sz w:val="36"/>
          <w:szCs w:val="36"/>
        </w:rPr>
        <w:t>Making in the ACCP Value Framework</w:t>
      </w:r>
    </w:p>
    <w:p w14:paraId="7C14DC0D" w14:textId="474AC779" w:rsidR="00983B99" w:rsidRDefault="00983B99" w:rsidP="00983B99">
      <w:pPr>
        <w:jc w:val="center"/>
        <w:rPr>
          <w:sz w:val="36"/>
          <w:szCs w:val="36"/>
        </w:rPr>
      </w:pPr>
    </w:p>
    <w:p w14:paraId="383D25C2" w14:textId="47050054" w:rsidR="00983B99" w:rsidRPr="00983B99" w:rsidRDefault="004B3A75" w:rsidP="00983B99">
      <w:pPr>
        <w:pStyle w:val="AuthorNames"/>
        <w:rPr>
          <w:color w:val="000000" w:themeColor="text1"/>
          <w:vertAlign w:val="superscript"/>
          <w:lang w:val="fr-FR"/>
        </w:rPr>
      </w:pPr>
      <w:r>
        <w:rPr>
          <w:color w:val="000000" w:themeColor="text1"/>
          <w:lang w:val="fr-FR"/>
        </w:rPr>
        <w:t>Christopher A. Jones</w:t>
      </w:r>
      <w:r w:rsidR="00983B99" w:rsidRPr="00CC0AC8">
        <w:rPr>
          <w:rStyle w:val="FootnoteReference"/>
          <w:color w:val="000000" w:themeColor="text1"/>
        </w:rPr>
        <w:footnoteReference w:id="2"/>
      </w:r>
      <w:r w:rsidR="00983B99" w:rsidRPr="00CC0AC8">
        <w:rPr>
          <w:color w:val="000000" w:themeColor="text1"/>
          <w:lang w:val="fr-FR"/>
        </w:rPr>
        <w:t xml:space="preserve">, </w:t>
      </w:r>
      <w:r>
        <w:rPr>
          <w:color w:val="000000" w:themeColor="text1"/>
          <w:lang w:val="fr-FR"/>
        </w:rPr>
        <w:t>Marie L. Ivanco</w:t>
      </w:r>
      <w:r w:rsidR="00C74FE9">
        <w:rPr>
          <w:rStyle w:val="FootnoteReference"/>
          <w:color w:val="000000" w:themeColor="text1"/>
          <w:lang w:val="fr-FR"/>
        </w:rPr>
        <w:footnoteReference w:id="3"/>
      </w:r>
      <w:r w:rsidR="00983B99">
        <w:rPr>
          <w:color w:val="000000" w:themeColor="text1"/>
          <w:lang w:val="fr-FR"/>
        </w:rPr>
        <w:t>, Shaun A. Deacon</w:t>
      </w:r>
      <w:r w:rsidR="00983B99">
        <w:rPr>
          <w:color w:val="000000" w:themeColor="text1"/>
          <w:vertAlign w:val="superscript"/>
          <w:lang w:val="fr-FR"/>
        </w:rPr>
        <w:t>3</w:t>
      </w:r>
    </w:p>
    <w:p w14:paraId="1CDE5BBF" w14:textId="7989D84E" w:rsidR="00983B99" w:rsidRPr="00CC0AC8" w:rsidRDefault="00983B99" w:rsidP="00983B99">
      <w:pPr>
        <w:pStyle w:val="AuthorAffiliations"/>
        <w:rPr>
          <w:color w:val="000000" w:themeColor="text1"/>
        </w:rPr>
      </w:pPr>
      <w:r w:rsidRPr="00CC0AC8">
        <w:rPr>
          <w:color w:val="000000" w:themeColor="text1"/>
        </w:rPr>
        <w:t>NASA Langley Research Center, Hampton, VA, 23681</w:t>
      </w:r>
    </w:p>
    <w:p w14:paraId="1AD34467" w14:textId="77777777" w:rsidR="00983B99" w:rsidRDefault="00983B99" w:rsidP="00983B99">
      <w:pPr>
        <w:jc w:val="center"/>
        <w:rPr>
          <w:sz w:val="36"/>
          <w:szCs w:val="36"/>
        </w:rPr>
      </w:pPr>
    </w:p>
    <w:p w14:paraId="70349C03" w14:textId="63AF7D39" w:rsidR="00983B99" w:rsidRDefault="00983B99" w:rsidP="00983B99">
      <w:pPr>
        <w:ind w:firstLine="180"/>
      </w:pPr>
    </w:p>
    <w:p w14:paraId="0D0FC473" w14:textId="1C1EFD51" w:rsidR="00983B99" w:rsidRDefault="00983B99" w:rsidP="00983B99">
      <w:pPr>
        <w:ind w:firstLine="180"/>
      </w:pPr>
      <w:r>
        <w:t xml:space="preserve">NASA’s priorities for Earth Science are informed by the 2017-2027 Decadal Survey for Earth Science and Applications from Space of the National Academies of Sciences, Engineering and Medicine. In that document, five </w:t>
      </w:r>
      <w:r w:rsidR="00F0168B">
        <w:t>Designated</w:t>
      </w:r>
      <w:r>
        <w:t xml:space="preserve"> Observables are identified as priorities for research, two of which are Aerosols, and Clouds, Convection, and Precipitation. </w:t>
      </w:r>
      <w:r w:rsidR="00F0168B">
        <w:t xml:space="preserve">NASA is addressing these two Designated Observables by a combined study (the Aerosols, Clouds, Convection, and Precipitation, or ACCP, study). The ACCP study team is </w:t>
      </w:r>
      <w:r>
        <w:t>formulat</w:t>
      </w:r>
      <w:r w:rsidR="00F0168B">
        <w:t>ing</w:t>
      </w:r>
      <w:r>
        <w:t xml:space="preserve"> and assess</w:t>
      </w:r>
      <w:r w:rsidR="00F0168B">
        <w:t>ing</w:t>
      </w:r>
      <w:r>
        <w:t xml:space="preserve"> potential </w:t>
      </w:r>
      <w:r w:rsidR="00AF45D1">
        <w:t>o</w:t>
      </w:r>
      <w:r>
        <w:t xml:space="preserve">bserving </w:t>
      </w:r>
      <w:r w:rsidR="00AF45D1">
        <w:t xml:space="preserve">system concepts </w:t>
      </w:r>
      <w:r>
        <w:t xml:space="preserve">that respond to the thirty-four science objectives associated with both </w:t>
      </w:r>
      <w:r w:rsidR="00F0168B">
        <w:t xml:space="preserve">Designated </w:t>
      </w:r>
      <w:r>
        <w:t>Observables</w:t>
      </w:r>
      <w:r w:rsidR="00B86275">
        <w:t>. For each alternative, the study team is assessing</w:t>
      </w:r>
      <w:r w:rsidR="00AF45D1">
        <w:t xml:space="preserve"> observing system concept cost and risk</w:t>
      </w:r>
      <w:r>
        <w:t xml:space="preserve">. </w:t>
      </w:r>
      <w:r w:rsidR="008F79C7">
        <w:t>A</w:t>
      </w:r>
      <w:r w:rsidR="00FB24BE">
        <w:t>ddition</w:t>
      </w:r>
      <w:r w:rsidR="008F79C7">
        <w:t>ally</w:t>
      </w:r>
      <w:r w:rsidR="00FB24BE">
        <w:t>, stakeholders within NASA have identified application and programmatic objectives of interest to the study</w:t>
      </w:r>
      <w:r w:rsidR="00C74FE9">
        <w:t>.</w:t>
      </w:r>
    </w:p>
    <w:p w14:paraId="3BAC3DFB" w14:textId="38F1E941" w:rsidR="002C1743" w:rsidRDefault="00983B99" w:rsidP="00FB24BE">
      <w:pPr>
        <w:ind w:firstLine="180"/>
      </w:pPr>
      <w:r w:rsidRPr="007465F4">
        <w:t>I</w:t>
      </w:r>
      <w:r>
        <w:t>n this</w:t>
      </w:r>
      <w:r w:rsidRPr="007465F4">
        <w:t xml:space="preserve"> context of</w:t>
      </w:r>
      <w:r w:rsidR="00AF45D1">
        <w:t xml:space="preserve"> the ACCP study’s</w:t>
      </w:r>
      <w:r w:rsidRPr="007465F4">
        <w:t xml:space="preserve"> multiple objectives and multiple stakeholders, heuristic-based approaches are insufficient to assess </w:t>
      </w:r>
      <w:r w:rsidR="00AF45D1">
        <w:t>candidate</w:t>
      </w:r>
      <w:r w:rsidRPr="007465F4">
        <w:t xml:space="preserve"> </w:t>
      </w:r>
      <w:r w:rsidR="00AF45D1">
        <w:t>observing system concepts</w:t>
      </w:r>
      <w:r>
        <w:t xml:space="preserve"> due to the complexity of the decision problem. </w:t>
      </w:r>
      <w:r w:rsidR="00AF45D1">
        <w:t>F</w:t>
      </w:r>
      <w:r>
        <w:t xml:space="preserve">or the ACCP study, </w:t>
      </w:r>
      <w:r w:rsidR="00AF45D1">
        <w:t>this complexity in assessment is</w:t>
      </w:r>
      <w:r w:rsidR="00B86275">
        <w:t xml:space="preserve"> such that absent a structured approach that permits understanding of the steps leading to a decision, </w:t>
      </w:r>
      <w:r w:rsidR="007F1146">
        <w:t xml:space="preserve">the decision risks being made on an incomplete basis. To address this </w:t>
      </w:r>
      <w:r w:rsidR="008A1BA7">
        <w:t>risk</w:t>
      </w:r>
      <w:r w:rsidR="007F1146">
        <w:t>, the authors designed</w:t>
      </w:r>
      <w:r w:rsidR="00AF45D1">
        <w:t xml:space="preserve"> </w:t>
      </w:r>
      <w:r>
        <w:t>a Va</w:t>
      </w:r>
      <w:r w:rsidRPr="007465F4">
        <w:t xml:space="preserve">lue Framework </w:t>
      </w:r>
      <w:r>
        <w:t>to introduce</w:t>
      </w:r>
      <w:r w:rsidRPr="007465F4">
        <w:t xml:space="preserve"> structure</w:t>
      </w:r>
      <w:r>
        <w:t xml:space="preserve">, </w:t>
      </w:r>
      <w:r w:rsidR="00BF3F65">
        <w:t>transparency</w:t>
      </w:r>
      <w:r>
        <w:t>, and traceability</w:t>
      </w:r>
      <w:r w:rsidR="00E72DED">
        <w:t xml:space="preserve"> in the decision-making process</w:t>
      </w:r>
      <w:r w:rsidRPr="007465F4">
        <w:t xml:space="preserve">. </w:t>
      </w:r>
      <w:r w:rsidR="00FB24BE">
        <w:t>The framework is built on decision science methods</w:t>
      </w:r>
      <w:r w:rsidR="001F6E4D">
        <w:t xml:space="preserve"> (the parts of the Value Framework that exist independent of a specific decision problem</w:t>
      </w:r>
      <w:r w:rsidR="00A07D66">
        <w:t>, such as best practices for defining objectives and</w:t>
      </w:r>
      <w:r w:rsidR="00C00FE1">
        <w:t xml:space="preserve"> alternatives</w:t>
      </w:r>
      <w:r w:rsidR="00A07D66">
        <w:t xml:space="preserve"> or techniques for aggregating input from multiple stakeholders</w:t>
      </w:r>
      <w:r w:rsidR="001F6E4D">
        <w:t>)</w:t>
      </w:r>
      <w:r w:rsidR="00FB24BE">
        <w:t xml:space="preserve"> and tailored processes</w:t>
      </w:r>
      <w:r w:rsidR="001F6E4D">
        <w:t xml:space="preserve"> (the parts of the Value Framework that are collaboratively developed between the designers of the Value Framework and the stakeholders of the specific decision problem</w:t>
      </w:r>
      <w:r w:rsidR="00483885">
        <w:t>, such as the selection of the decision science methods most suited to the problem or the techniques for facilitating and documenting conversations effectively and impartially</w:t>
      </w:r>
      <w:r w:rsidR="001F6E4D">
        <w:t>)</w:t>
      </w:r>
      <w:r w:rsidR="00FB24BE">
        <w:t xml:space="preserve"> that together enable the study team to formulate and assess</w:t>
      </w:r>
      <w:r w:rsidR="00C00FE1">
        <w:t xml:space="preserve"> alternatives</w:t>
      </w:r>
      <w:r w:rsidR="00FB24BE">
        <w:t xml:space="preserve"> that respond to the study’s objectives.</w:t>
      </w:r>
      <w:r w:rsidR="00E72DED">
        <w:t xml:space="preserve"> This</w:t>
      </w:r>
      <w:r w:rsidR="00E72DED" w:rsidRPr="007465F4">
        <w:t xml:space="preserve"> framework establishes a consistent and common language across stakeholders who often have conflicting value systems, enables productive conversations, and acts as a documenting mechanism</w:t>
      </w:r>
      <w:r w:rsidR="001013E5">
        <w:t>.</w:t>
      </w:r>
    </w:p>
    <w:p w14:paraId="1E0C695B" w14:textId="754FF203" w:rsidR="00FB24BE" w:rsidRDefault="00FB24BE" w:rsidP="00FB24BE">
      <w:pPr>
        <w:ind w:firstLine="180"/>
      </w:pPr>
      <w:r>
        <w:t xml:space="preserve">The communication of information and ideas between participants is central to any effective </w:t>
      </w:r>
      <w:r w:rsidR="00C74FE9">
        <w:t>decision-making</w:t>
      </w:r>
      <w:r>
        <w:t xml:space="preserve"> activity. </w:t>
      </w:r>
      <w:r w:rsidR="00C74FE9">
        <w:t xml:space="preserve">While prose and numeric data both have their place in effective communication, visualizations play an important part </w:t>
      </w:r>
      <w:r w:rsidR="008B745D">
        <w:t>not only in</w:t>
      </w:r>
      <w:r w:rsidR="00C74FE9">
        <w:t xml:space="preserve"> presenting information</w:t>
      </w:r>
      <w:r w:rsidR="008B745D">
        <w:t>, but also</w:t>
      </w:r>
      <w:r w:rsidR="00C74FE9">
        <w:t xml:space="preserve"> in structuring conversations around that information.</w:t>
      </w:r>
      <w:r w:rsidR="0046189F">
        <w:t xml:space="preserve"> </w:t>
      </w:r>
      <w:r w:rsidR="0046189F" w:rsidRPr="00C00FE1">
        <w:t xml:space="preserve">Here, the authors define a visualization as a representation of information and ideas in a form that conveys that information more </w:t>
      </w:r>
      <w:r w:rsidR="00C00FE1" w:rsidRPr="00C00FE1">
        <w:t xml:space="preserve">rapidly and accessibly </w:t>
      </w:r>
      <w:r w:rsidR="0046189F" w:rsidRPr="00C00FE1">
        <w:t>than prose</w:t>
      </w:r>
      <w:r w:rsidR="007F1146">
        <w:t xml:space="preserve"> or tabulated data</w:t>
      </w:r>
      <w:r w:rsidR="0046189F" w:rsidRPr="00C00FE1">
        <w:t xml:space="preserve"> alone would do</w:t>
      </w:r>
      <w:r w:rsidR="0046189F">
        <w:t xml:space="preserve">. </w:t>
      </w:r>
      <w:r w:rsidR="000A25E5">
        <w:t>Each of t</w:t>
      </w:r>
      <w:r w:rsidR="0046189F">
        <w:t xml:space="preserve">he visualizations developed for the ACCP Value Framework </w:t>
      </w:r>
      <w:r w:rsidR="000A25E5">
        <w:t xml:space="preserve">serve </w:t>
      </w:r>
      <w:r w:rsidR="00507BC9">
        <w:t xml:space="preserve">at least </w:t>
      </w:r>
      <w:r w:rsidR="000A25E5">
        <w:t xml:space="preserve">one of several functions: it structures communication about a method or process, it facilitates the elicitation and aggregation of data, or it summarizes complex information to enable </w:t>
      </w:r>
      <w:r w:rsidR="00C00FE1">
        <w:t>analysis</w:t>
      </w:r>
      <w:r w:rsidR="00C00FE1">
        <w:rPr>
          <w:rStyle w:val="CommentReference"/>
        </w:rPr>
        <w:t xml:space="preserve">. </w:t>
      </w:r>
      <w:r w:rsidR="00C00FE1" w:rsidRPr="00BE0523">
        <w:t>T</w:t>
      </w:r>
      <w:r w:rsidR="00C00FE1" w:rsidRPr="00BE0523">
        <w:rPr>
          <w:rStyle w:val="CommentReference"/>
          <w:sz w:val="20"/>
          <w:szCs w:val="20"/>
        </w:rPr>
        <w:t>hu</w:t>
      </w:r>
      <w:r w:rsidR="00C00FE1" w:rsidRPr="00BE0523">
        <w:t>s</w:t>
      </w:r>
      <w:r w:rsidR="008B745D">
        <w:t>, these visualizations can present information, structure conversations, or do both.</w:t>
      </w:r>
    </w:p>
    <w:p w14:paraId="6587C61F" w14:textId="268A5510" w:rsidR="00A52ED6" w:rsidRDefault="00A52ED6" w:rsidP="00FB24BE">
      <w:pPr>
        <w:ind w:firstLine="180"/>
      </w:pPr>
      <w:r>
        <w:t xml:space="preserve">This paper presents examples of visualizations that serve one or more of the three functions, discusses the </w:t>
      </w:r>
      <w:r w:rsidR="00A95D84">
        <w:t xml:space="preserve">guiding principles </w:t>
      </w:r>
      <w:r>
        <w:t xml:space="preserve">behind their design and use, and identifies lessons learned from their implementation. </w:t>
      </w:r>
      <w:r w:rsidR="00A943E4">
        <w:t>To</w:t>
      </w:r>
      <w:r>
        <w:t xml:space="preserve"> address the structuring of communication, the use of a consistent design scheme (choices of color, shape, size) throughout the development of products</w:t>
      </w:r>
      <w:r w:rsidR="00A943E4">
        <w:t xml:space="preserve"> and</w:t>
      </w:r>
      <w:r>
        <w:t xml:space="preserve"> the merit</w:t>
      </w:r>
      <w:r w:rsidR="00A943E4">
        <w:t>s</w:t>
      </w:r>
      <w:r>
        <w:t xml:space="preserve"> of using a visual rather than algebraic or prosaic decomposition to explain concepts</w:t>
      </w:r>
      <w:r w:rsidR="00A943E4">
        <w:t xml:space="preserve"> are discussed, resulting in the development of visualizations that describe the concept of value, the nature of the science benefit score</w:t>
      </w:r>
      <w:r w:rsidR="007F1146">
        <w:t xml:space="preserve"> (used to quantify the degree to which an observing system concept achieves a science objective)</w:t>
      </w:r>
      <w:r w:rsidR="00A943E4">
        <w:t>, and the representation of candidate observing system concepts. To facilitate elicitation and aggregation of data, the tailoring of survey design and the tensions of providing thorough but not overwhelming documentation are discussed relative to the development of a qualitative assessment of candidate architectures and the elicitation of utility scores</w:t>
      </w:r>
      <w:r w:rsidR="008B745D">
        <w:t xml:space="preserve"> (how important a </w:t>
      </w:r>
      <w:r w:rsidR="00A95D84">
        <w:t xml:space="preserve">given </w:t>
      </w:r>
      <w:r w:rsidR="008B745D">
        <w:t>component of the science benefit is to achieving that benefit)</w:t>
      </w:r>
      <w:r w:rsidR="00A943E4">
        <w:t xml:space="preserve"> through a consensus-</w:t>
      </w:r>
      <w:r w:rsidR="00A943E4">
        <w:lastRenderedPageBreak/>
        <w:t xml:space="preserve">building process. To summarize complex information, </w:t>
      </w:r>
      <w:r w:rsidR="00627B5E">
        <w:t xml:space="preserve">the emphasis on responsiveness to stakeholder’s evolving needs informs the development of a summary view of the data of each observing system concept developed in the study, as well as </w:t>
      </w:r>
      <w:r w:rsidR="001F6E4D">
        <w:t>figures</w:t>
      </w:r>
      <w:r w:rsidR="00627B5E">
        <w:t xml:space="preserve"> used to present information resulting from assessments of individual components of value.</w:t>
      </w:r>
    </w:p>
    <w:p w14:paraId="3F1AFDFA" w14:textId="6A8ECBA6" w:rsidR="003978A8" w:rsidRDefault="00A52ED6" w:rsidP="00FB24BE">
      <w:pPr>
        <w:ind w:firstLine="180"/>
      </w:pPr>
      <w:r>
        <w:t xml:space="preserve">Several </w:t>
      </w:r>
      <w:r w:rsidR="00A95D84">
        <w:t>guiding principles that inform visualization design are discussed</w:t>
      </w:r>
      <w:r w:rsidR="00AA590F">
        <w:t xml:space="preserve">. The purpose of the Value Framework is </w:t>
      </w:r>
      <w:r w:rsidR="00612732">
        <w:t xml:space="preserve">not to </w:t>
      </w:r>
      <w:r w:rsidR="00A95D84">
        <w:t>be a rigid quantitative arbiter</w:t>
      </w:r>
      <w:r w:rsidR="00612732">
        <w:t xml:space="preserve"> </w:t>
      </w:r>
      <w:r w:rsidR="00A95D84">
        <w:t xml:space="preserve">to decide </w:t>
      </w:r>
      <w:r w:rsidR="00612732">
        <w:t>among</w:t>
      </w:r>
      <w:r w:rsidR="00C00FE1">
        <w:t xml:space="preserve"> alternatives</w:t>
      </w:r>
      <w:r w:rsidR="00612732">
        <w:t xml:space="preserve">; rather, it exists to foster collaboration among stakeholders. Thus, any visualization, whether a diagram of a process or a summary of assessment data, must facilitate conversations that advance the study’s goals; a design that is beautiful in the eye of the creator but ignored by its users is less useful than a design that responds to stakeholder’s evolving needs. The designer must also understand the level of fidelity of a visualization that is appropriate to the its use: while too little detail can undermine a justification, too much detail (or appearance of detail) can reduce </w:t>
      </w:r>
      <w:r w:rsidR="001F6E4D">
        <w:t xml:space="preserve">the </w:t>
      </w:r>
      <w:r w:rsidR="00612732">
        <w:t xml:space="preserve">credibility of the entire approach. Similarly, a simple and clean design that presents only the information immediately relevant to the use of the visualization </w:t>
      </w:r>
      <w:r w:rsidR="007F1146">
        <w:t>eases communication of the central point</w:t>
      </w:r>
      <w:r w:rsidR="00612732">
        <w:t xml:space="preserve">. </w:t>
      </w:r>
      <w:r w:rsidR="00E83CA8">
        <w:t xml:space="preserve">Sometimes, the designer must provide what the stakeholder needs rather than what the stakeholder thinks they want, as the designer’s expertise </w:t>
      </w:r>
      <w:r w:rsidR="003978A8">
        <w:t xml:space="preserve">with these principles will lead to visualizations that </w:t>
      </w:r>
      <w:r w:rsidR="00B30C31">
        <w:t>meet</w:t>
      </w:r>
      <w:r w:rsidR="003978A8">
        <w:t xml:space="preserve"> the stakeholder’s goals and </w:t>
      </w:r>
      <w:r w:rsidR="003978A8" w:rsidRPr="003978A8">
        <w:t>objectives.</w:t>
      </w:r>
    </w:p>
    <w:p w14:paraId="6AA73C9F" w14:textId="1776AEC2" w:rsidR="00612732" w:rsidRDefault="007F624C" w:rsidP="00FB24BE">
      <w:pPr>
        <w:ind w:firstLine="180"/>
      </w:pPr>
      <w:r>
        <w:t xml:space="preserve">Although the lessons learned in the development and </w:t>
      </w:r>
      <w:r w:rsidR="00163621">
        <w:t xml:space="preserve">implementation of visualizations in the Value Framework derive from specific examples, the lessons can be generalized to be used in other visualization designs to aid decision-making. Experience </w:t>
      </w:r>
      <w:r w:rsidR="004C7BFE">
        <w:t xml:space="preserve">through </w:t>
      </w:r>
      <w:r w:rsidR="00163621">
        <w:t>refinement taught the authors that representing value graphically as a wheel, rather than as an algebraic equation, made the concept more tractable for the scientists and engineers of the study team;</w:t>
      </w:r>
      <w:r w:rsidR="00A95D84">
        <w:t xml:space="preserve"> </w:t>
      </w:r>
      <w:r w:rsidR="004C7BFE">
        <w:t xml:space="preserve">the authors </w:t>
      </w:r>
      <w:r w:rsidR="00EB3EE8">
        <w:t xml:space="preserve">noted </w:t>
      </w:r>
      <w:r w:rsidR="004C7BFE">
        <w:t xml:space="preserve">that </w:t>
      </w:r>
      <w:r w:rsidR="00A95D84">
        <w:t>using too mathematical an explanation produce</w:t>
      </w:r>
      <w:r w:rsidR="004C7BFE">
        <w:t>d</w:t>
      </w:r>
      <w:r w:rsidR="00A95D84">
        <w:t xml:space="preserve"> unintended implications that distract</w:t>
      </w:r>
      <w:r w:rsidR="004C7BFE">
        <w:t>ed</w:t>
      </w:r>
      <w:r w:rsidR="00A95D84">
        <w:t xml:space="preserve"> from the core message</w:t>
      </w:r>
      <w:r w:rsidR="00163621">
        <w:t>. The visual that best conveyed the dual concepts of Quality and Utility as components of Science Benefit came from</w:t>
      </w:r>
      <w:r w:rsidR="00A95D84">
        <w:t xml:space="preserve"> an iterated development between</w:t>
      </w:r>
      <w:r w:rsidR="00163621">
        <w:t xml:space="preserve"> the authors</w:t>
      </w:r>
      <w:r w:rsidR="00A95D84">
        <w:t xml:space="preserve"> and</w:t>
      </w:r>
      <w:r w:rsidR="00163621">
        <w:t xml:space="preserve"> one of the scientists; </w:t>
      </w:r>
      <w:r w:rsidR="004C7BFE">
        <w:t xml:space="preserve">the authors observed that </w:t>
      </w:r>
      <w:r w:rsidR="00DA6000">
        <w:t xml:space="preserve">it </w:t>
      </w:r>
      <w:r w:rsidR="004C7BFE">
        <w:t>was</w:t>
      </w:r>
      <w:r w:rsidR="00DA6000">
        <w:t xml:space="preserve"> sometimes the </w:t>
      </w:r>
      <w:r w:rsidR="004C7BFE">
        <w:t xml:space="preserve">intended </w:t>
      </w:r>
      <w:r w:rsidR="00DA6000">
        <w:t xml:space="preserve">beneficiaries of a visualization that </w:t>
      </w:r>
      <w:r w:rsidR="004C7BFE">
        <w:t xml:space="preserve">could </w:t>
      </w:r>
      <w:r w:rsidR="00DA6000">
        <w:t xml:space="preserve">best </w:t>
      </w:r>
      <w:r w:rsidR="00A95D84">
        <w:t xml:space="preserve">refine </w:t>
      </w:r>
      <w:r w:rsidR="004C7BFE">
        <w:t xml:space="preserve">that visualization to more </w:t>
      </w:r>
      <w:r w:rsidR="00DA6000">
        <w:t xml:space="preserve">effectively reach an audience. On multiple occasions, the ability to have a quickly designed and easily built visualization enabled conversations that would have been delayed had more effort been expended crafting a more precise representation; </w:t>
      </w:r>
      <w:r w:rsidR="004C7BFE">
        <w:t xml:space="preserve">the authors </w:t>
      </w:r>
      <w:r w:rsidR="00EB3EE8">
        <w:t xml:space="preserve">found that in a rapidly-evolving situation, </w:t>
      </w:r>
      <w:r w:rsidR="00DA6000">
        <w:t>speed of execution in creating products that support decision-making can be more important than a search for perfection.</w:t>
      </w:r>
      <w:r w:rsidR="00CB0ECE">
        <w:t xml:space="preserve"> </w:t>
      </w:r>
    </w:p>
    <w:p w14:paraId="0B6AF1C8" w14:textId="1A0AB75D" w:rsidR="00F166DB" w:rsidRDefault="00F166DB" w:rsidP="00FB24BE">
      <w:pPr>
        <w:ind w:firstLine="180"/>
      </w:pPr>
      <w:r>
        <w:t>The application of the visualization guiding principles (being responsive to the audience, tailoring fidelity to both the audience and the available data, and maintaining simplicity and focus)</w:t>
      </w:r>
      <w:r w:rsidR="002B5AE1">
        <w:t xml:space="preserve"> </w:t>
      </w:r>
      <w:r w:rsidR="00BB0D80">
        <w:t xml:space="preserve">enable the design and implementation of visualizations that support the Value Framework’s introduction of structure, </w:t>
      </w:r>
      <w:r w:rsidR="00BE0523">
        <w:t>transparency</w:t>
      </w:r>
      <w:r w:rsidR="00BB0D80">
        <w:t>, and traceability to the ACCP study. The examples described in this paper cover a diverse range of uses from facilitating conversations about process to aggregating data across the study’s objectives. The lessons learned from the Value Framework visualizations have not only contributed to the success of the Value Framework and the ACCP study, but also can be applied in other decision-making activities.</w:t>
      </w:r>
    </w:p>
    <w:sectPr w:rsidR="00F166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2BA1C" w14:textId="77777777" w:rsidR="00983B99" w:rsidRDefault="00983B99" w:rsidP="00983B99">
      <w:r>
        <w:separator/>
      </w:r>
    </w:p>
  </w:endnote>
  <w:endnote w:type="continuationSeparator" w:id="0">
    <w:p w14:paraId="5C848BEE" w14:textId="77777777" w:rsidR="00983B99" w:rsidRDefault="00983B99" w:rsidP="00983B99">
      <w:r>
        <w:continuationSeparator/>
      </w:r>
    </w:p>
  </w:endnote>
  <w:endnote w:type="continuationNotice" w:id="1">
    <w:p w14:paraId="7A03B36E" w14:textId="77777777" w:rsidR="00967E1C" w:rsidRDefault="00967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E22A9" w14:textId="77777777" w:rsidR="00983B99" w:rsidRDefault="00983B99" w:rsidP="00983B99">
      <w:r>
        <w:separator/>
      </w:r>
    </w:p>
  </w:footnote>
  <w:footnote w:type="continuationSeparator" w:id="0">
    <w:p w14:paraId="35D773E0" w14:textId="77777777" w:rsidR="00983B99" w:rsidRDefault="00983B99" w:rsidP="00983B99">
      <w:r>
        <w:continuationSeparator/>
      </w:r>
    </w:p>
  </w:footnote>
  <w:footnote w:type="continuationNotice" w:id="1">
    <w:p w14:paraId="0DF72053" w14:textId="77777777" w:rsidR="00967E1C" w:rsidRDefault="00967E1C"/>
  </w:footnote>
  <w:footnote w:id="2">
    <w:p w14:paraId="197260D1" w14:textId="77777777" w:rsidR="00983B99" w:rsidRPr="00CC0AC8" w:rsidRDefault="00983B99" w:rsidP="00983B99">
      <w:pPr>
        <w:pStyle w:val="FootnoteText"/>
        <w:rPr>
          <w:color w:val="000000" w:themeColor="text1"/>
        </w:rPr>
      </w:pPr>
      <w:r w:rsidRPr="00CC0AC8">
        <w:rPr>
          <w:rStyle w:val="FootnoteReference"/>
          <w:color w:val="000000" w:themeColor="text1"/>
        </w:rPr>
        <w:footnoteRef/>
      </w:r>
      <w:r w:rsidRPr="00CC0AC8">
        <w:rPr>
          <w:color w:val="000000" w:themeColor="text1"/>
        </w:rPr>
        <w:t xml:space="preserve"> Aerospace Engineer, Space Mission Analysis Branch, MS 462, Hampton, VA, 23681, AIAA member.</w:t>
      </w:r>
    </w:p>
    <w:p w14:paraId="71CEBF4E" w14:textId="408B88F9" w:rsidR="00C74FE9" w:rsidRDefault="00C74FE9" w:rsidP="00983B99">
      <w:pPr>
        <w:pStyle w:val="FootnoteText"/>
        <w:rPr>
          <w:color w:val="000000" w:themeColor="text1"/>
          <w:vertAlign w:val="superscript"/>
        </w:rPr>
      </w:pPr>
      <w:r>
        <w:rPr>
          <w:rStyle w:val="FootnoteReference"/>
        </w:rPr>
        <w:t>2</w:t>
      </w:r>
      <w:r>
        <w:t xml:space="preserve"> Aerospace Engineer, Space Mission Analysis Branch, MS 462, Hampton, VA, 23681, AIAA member.</w:t>
      </w:r>
    </w:p>
    <w:p w14:paraId="0FECC1ED" w14:textId="7479701B" w:rsidR="00983B99" w:rsidRPr="00917FE0" w:rsidRDefault="00983B99" w:rsidP="00983B99">
      <w:pPr>
        <w:pStyle w:val="FootnoteText"/>
        <w:rPr>
          <w:color w:val="FF0000"/>
        </w:rPr>
      </w:pPr>
      <w:r>
        <w:rPr>
          <w:color w:val="000000" w:themeColor="text1"/>
          <w:vertAlign w:val="superscript"/>
        </w:rPr>
        <w:t>3</w:t>
      </w:r>
      <w:r w:rsidRPr="00CC0AC8">
        <w:rPr>
          <w:color w:val="000000" w:themeColor="text1"/>
          <w:vertAlign w:val="superscript"/>
        </w:rPr>
        <w:t xml:space="preserve"> </w:t>
      </w:r>
      <w:r w:rsidRPr="00CC0AC8">
        <w:rPr>
          <w:color w:val="000000" w:themeColor="text1"/>
        </w:rPr>
        <w:t xml:space="preserve">Aerospace Engineer, Space Mission Analysis Branch, MS 462, </w:t>
      </w:r>
      <w:r>
        <w:rPr>
          <w:color w:val="000000" w:themeColor="text1"/>
        </w:rPr>
        <w:t>Hampton, VA, 23681.</w:t>
      </w:r>
    </w:p>
  </w:footnote>
  <w:footnote w:id="3">
    <w:p w14:paraId="25EA7F31" w14:textId="485B5FDD" w:rsidR="00C74FE9" w:rsidRDefault="00C74FE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4CB"/>
    <w:rsid w:val="000A25E5"/>
    <w:rsid w:val="000A7DD2"/>
    <w:rsid w:val="001013E5"/>
    <w:rsid w:val="00163621"/>
    <w:rsid w:val="001F0598"/>
    <w:rsid w:val="001F6E4D"/>
    <w:rsid w:val="002B5AE1"/>
    <w:rsid w:val="002C2E5D"/>
    <w:rsid w:val="0036252B"/>
    <w:rsid w:val="003643E6"/>
    <w:rsid w:val="003978A8"/>
    <w:rsid w:val="003E0C0B"/>
    <w:rsid w:val="00422C91"/>
    <w:rsid w:val="0042628F"/>
    <w:rsid w:val="0046189F"/>
    <w:rsid w:val="00483885"/>
    <w:rsid w:val="004B3A75"/>
    <w:rsid w:val="004C08AC"/>
    <w:rsid w:val="004C7BFE"/>
    <w:rsid w:val="004D67AD"/>
    <w:rsid w:val="00507BC9"/>
    <w:rsid w:val="005468C3"/>
    <w:rsid w:val="00612732"/>
    <w:rsid w:val="00627B5E"/>
    <w:rsid w:val="006754CB"/>
    <w:rsid w:val="006B4693"/>
    <w:rsid w:val="006C7F50"/>
    <w:rsid w:val="007F1146"/>
    <w:rsid w:val="007F624C"/>
    <w:rsid w:val="0083657E"/>
    <w:rsid w:val="00840247"/>
    <w:rsid w:val="00847EAE"/>
    <w:rsid w:val="008A1BA7"/>
    <w:rsid w:val="008B2585"/>
    <w:rsid w:val="008B745D"/>
    <w:rsid w:val="008E01CD"/>
    <w:rsid w:val="008F79C7"/>
    <w:rsid w:val="00903A79"/>
    <w:rsid w:val="00967E1C"/>
    <w:rsid w:val="00983B99"/>
    <w:rsid w:val="00A07D66"/>
    <w:rsid w:val="00A52ED6"/>
    <w:rsid w:val="00A943E4"/>
    <w:rsid w:val="00A95D84"/>
    <w:rsid w:val="00AA590F"/>
    <w:rsid w:val="00AE1FD4"/>
    <w:rsid w:val="00AF45D1"/>
    <w:rsid w:val="00B23DC1"/>
    <w:rsid w:val="00B30C31"/>
    <w:rsid w:val="00B86275"/>
    <w:rsid w:val="00BB0D80"/>
    <w:rsid w:val="00BC6215"/>
    <w:rsid w:val="00BE0523"/>
    <w:rsid w:val="00BF3F65"/>
    <w:rsid w:val="00C00FE1"/>
    <w:rsid w:val="00C74FE9"/>
    <w:rsid w:val="00C77E31"/>
    <w:rsid w:val="00CB0ECE"/>
    <w:rsid w:val="00CC2BC6"/>
    <w:rsid w:val="00CE08A0"/>
    <w:rsid w:val="00D35F9E"/>
    <w:rsid w:val="00D54253"/>
    <w:rsid w:val="00DA6000"/>
    <w:rsid w:val="00DF0287"/>
    <w:rsid w:val="00E01513"/>
    <w:rsid w:val="00E72DED"/>
    <w:rsid w:val="00E83CA8"/>
    <w:rsid w:val="00EB3EE8"/>
    <w:rsid w:val="00EF7A5F"/>
    <w:rsid w:val="00F0168B"/>
    <w:rsid w:val="00F166DB"/>
    <w:rsid w:val="00FB24BE"/>
    <w:rsid w:val="00FC6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BCC0"/>
  <w15:chartTrackingRefBased/>
  <w15:docId w15:val="{6C9B488F-EDDB-47CA-8D30-7C7AB88A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B99"/>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s">
    <w:name w:val="Author Names"/>
    <w:basedOn w:val="Normal"/>
    <w:next w:val="AuthorAffiliations"/>
    <w:rsid w:val="00983B99"/>
    <w:pPr>
      <w:jc w:val="center"/>
    </w:pPr>
  </w:style>
  <w:style w:type="character" w:styleId="FootnoteReference">
    <w:name w:val="footnote reference"/>
    <w:rsid w:val="00983B99"/>
    <w:rPr>
      <w:sz w:val="20"/>
      <w:vertAlign w:val="superscript"/>
    </w:rPr>
  </w:style>
  <w:style w:type="paragraph" w:customStyle="1" w:styleId="AuthorAffiliations">
    <w:name w:val="Author Affiliations"/>
    <w:basedOn w:val="Normal"/>
    <w:next w:val="AuthorNames"/>
    <w:rsid w:val="00983B99"/>
    <w:pPr>
      <w:spacing w:after="240"/>
      <w:jc w:val="center"/>
    </w:pPr>
    <w:rPr>
      <w:i/>
    </w:rPr>
  </w:style>
  <w:style w:type="paragraph" w:styleId="FootnoteText">
    <w:name w:val="footnote text"/>
    <w:basedOn w:val="Normal"/>
    <w:link w:val="FootnoteTextChar"/>
    <w:rsid w:val="00983B99"/>
  </w:style>
  <w:style w:type="character" w:customStyle="1" w:styleId="FootnoteTextChar">
    <w:name w:val="Footnote Text Char"/>
    <w:basedOn w:val="DefaultParagraphFont"/>
    <w:link w:val="FootnoteText"/>
    <w:rsid w:val="00983B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C74FE9"/>
    <w:rPr>
      <w:sz w:val="16"/>
      <w:szCs w:val="16"/>
    </w:rPr>
  </w:style>
  <w:style w:type="paragraph" w:styleId="CommentText">
    <w:name w:val="annotation text"/>
    <w:basedOn w:val="Normal"/>
    <w:link w:val="CommentTextChar"/>
    <w:uiPriority w:val="99"/>
    <w:semiHidden/>
    <w:unhideWhenUsed/>
    <w:rsid w:val="00C74FE9"/>
  </w:style>
  <w:style w:type="character" w:customStyle="1" w:styleId="CommentTextChar">
    <w:name w:val="Comment Text Char"/>
    <w:basedOn w:val="DefaultParagraphFont"/>
    <w:link w:val="CommentText"/>
    <w:uiPriority w:val="99"/>
    <w:semiHidden/>
    <w:rsid w:val="00C74F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4FE9"/>
    <w:rPr>
      <w:b/>
      <w:bCs/>
    </w:rPr>
  </w:style>
  <w:style w:type="character" w:customStyle="1" w:styleId="CommentSubjectChar">
    <w:name w:val="Comment Subject Char"/>
    <w:basedOn w:val="CommentTextChar"/>
    <w:link w:val="CommentSubject"/>
    <w:uiPriority w:val="99"/>
    <w:semiHidden/>
    <w:rsid w:val="00C74F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4F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FE9"/>
    <w:rPr>
      <w:rFonts w:ascii="Segoe UI" w:eastAsia="Times New Roman" w:hAnsi="Segoe UI" w:cs="Segoe UI"/>
      <w:sz w:val="18"/>
      <w:szCs w:val="18"/>
    </w:rPr>
  </w:style>
  <w:style w:type="paragraph" w:styleId="Header">
    <w:name w:val="header"/>
    <w:basedOn w:val="Normal"/>
    <w:link w:val="HeaderChar"/>
    <w:uiPriority w:val="99"/>
    <w:semiHidden/>
    <w:unhideWhenUsed/>
    <w:rsid w:val="00967E1C"/>
    <w:pPr>
      <w:tabs>
        <w:tab w:val="center" w:pos="4680"/>
        <w:tab w:val="right" w:pos="9360"/>
      </w:tabs>
    </w:pPr>
  </w:style>
  <w:style w:type="character" w:customStyle="1" w:styleId="HeaderChar">
    <w:name w:val="Header Char"/>
    <w:basedOn w:val="DefaultParagraphFont"/>
    <w:link w:val="Header"/>
    <w:uiPriority w:val="99"/>
    <w:semiHidden/>
    <w:rsid w:val="00967E1C"/>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rsid w:val="00967E1C"/>
    <w:pPr>
      <w:tabs>
        <w:tab w:val="center" w:pos="4680"/>
        <w:tab w:val="right" w:pos="9360"/>
      </w:tabs>
    </w:pPr>
  </w:style>
  <w:style w:type="character" w:customStyle="1" w:styleId="FooterChar">
    <w:name w:val="Footer Char"/>
    <w:basedOn w:val="DefaultParagraphFont"/>
    <w:link w:val="Footer"/>
    <w:uiPriority w:val="99"/>
    <w:semiHidden/>
    <w:rsid w:val="00967E1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BB53D8CB57EC45922B7169B295ECB2" ma:contentTypeVersion="12" ma:contentTypeDescription="Create a new document." ma:contentTypeScope="" ma:versionID="e357fd433bdb9b774c64240f66d49dcb">
  <xsd:schema xmlns:xsd="http://www.w3.org/2001/XMLSchema" xmlns:xs="http://www.w3.org/2001/XMLSchema" xmlns:p="http://schemas.microsoft.com/office/2006/metadata/properties" xmlns:ns1="http://schemas.microsoft.com/sharepoint/v3" xmlns:ns3="3e1a39c1-51c8-488a-b350-ad5a18b4818f" xmlns:ns4="d9dd610b-a77f-4f42-990c-1124a1c2ec95" targetNamespace="http://schemas.microsoft.com/office/2006/metadata/properties" ma:root="true" ma:fieldsID="e019b4a7fdaffb133f6c8a79261ece32" ns1:_="" ns3:_="" ns4:_="">
    <xsd:import namespace="http://schemas.microsoft.com/sharepoint/v3"/>
    <xsd:import namespace="3e1a39c1-51c8-488a-b350-ad5a18b4818f"/>
    <xsd:import namespace="d9dd610b-a77f-4f42-990c-1124a1c2ec9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1a39c1-51c8-488a-b350-ad5a18b48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dd610b-a77f-4f42-990c-1124a1c2ec9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7A503-0BB1-484F-A6E6-D12308822A92}">
  <ds:schemaRefs>
    <ds:schemaRef ds:uri="http://schemas.microsoft.com/office/2006/documentManagement/types"/>
    <ds:schemaRef ds:uri="3e1a39c1-51c8-488a-b350-ad5a18b4818f"/>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d9dd610b-a77f-4f42-990c-1124a1c2ec95"/>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1AC36A77-919C-407A-ACF1-D30786D2A1EF}">
  <ds:schemaRefs>
    <ds:schemaRef ds:uri="http://schemas.microsoft.com/sharepoint/v3/contenttype/forms"/>
  </ds:schemaRefs>
</ds:datastoreItem>
</file>

<file path=customXml/itemProps3.xml><?xml version="1.0" encoding="utf-8"?>
<ds:datastoreItem xmlns:ds="http://schemas.openxmlformats.org/officeDocument/2006/customXml" ds:itemID="{3BBF9BC6-EC22-4395-80A5-98B654A1A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1a39c1-51c8-488a-b350-ad5a18b4818f"/>
    <ds:schemaRef ds:uri="d9dd610b-a77f-4f42-990c-1124a1c2ec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D9CAF-C710-48D0-B7BA-608B8D17B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Ivanco, Marie (LARC-E402)</dc:creator>
  <cp:keywords/>
  <dc:description/>
  <cp:lastModifiedBy>Earle, Kevin D. (LARC-E402)</cp:lastModifiedBy>
  <cp:revision>2</cp:revision>
  <dcterms:created xsi:type="dcterms:W3CDTF">2020-05-21T01:14:00Z</dcterms:created>
  <dcterms:modified xsi:type="dcterms:W3CDTF">2020-05-21T01:14:00Z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0x01010059BB53D8CB57EC45922B7169B295ECB2</vt:lpwstr>
  </property>
  <property fmtid="{D5CDD505-2E9C-101B-9397-08002B2CF9AE}" pid="3" name="_dlc_DocIdItemGuid">
    <vt:lpwstr>a65ea733-7eea-46b2-b808-f6ab790840f6</vt:lpwstr>
  </property>
</Properties>
</file>