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B2448" w14:textId="3C013108" w:rsidR="00F565BA" w:rsidRPr="006B42CE" w:rsidRDefault="00BD6320" w:rsidP="00143CD2">
      <w:pPr>
        <w:pStyle w:val="Title"/>
        <w:rPr>
          <w:sz w:val="48"/>
          <w:szCs w:val="48"/>
        </w:rPr>
      </w:pPr>
      <w:bookmarkStart w:id="0" w:name="_GoBack"/>
      <w:bookmarkEnd w:id="0"/>
      <w:r>
        <w:rPr>
          <w:sz w:val="48"/>
          <w:szCs w:val="48"/>
        </w:rPr>
        <w:t>Seeding Mechanism for High-Pressure Nozzles</w:t>
      </w:r>
    </w:p>
    <w:p w14:paraId="284BB2D4" w14:textId="597E7F61" w:rsidR="00F565BA" w:rsidRPr="00450301" w:rsidRDefault="00BD6320" w:rsidP="00F565BA">
      <w:pPr>
        <w:jc w:val="center"/>
        <w:rPr>
          <w:sz w:val="32"/>
          <w:szCs w:val="32"/>
        </w:rPr>
      </w:pPr>
      <w:r>
        <w:rPr>
          <w:sz w:val="32"/>
          <w:szCs w:val="32"/>
        </w:rPr>
        <w:t>Aditya S. Acharya</w:t>
      </w:r>
      <w:r w:rsidR="00F565BA" w:rsidRPr="006B42CE">
        <w:rPr>
          <w:sz w:val="32"/>
          <w:szCs w:val="32"/>
          <w:vertAlign w:val="superscript"/>
        </w:rPr>
        <w:footnoteReference w:id="1"/>
      </w:r>
      <w:r w:rsidR="00450301">
        <w:rPr>
          <w:sz w:val="32"/>
          <w:szCs w:val="32"/>
        </w:rPr>
        <w:t xml:space="preserve">, </w:t>
      </w:r>
      <w:r>
        <w:rPr>
          <w:sz w:val="32"/>
          <w:szCs w:val="32"/>
        </w:rPr>
        <w:t>K. Todd Lowe</w:t>
      </w:r>
      <w:r w:rsidR="00F565BA" w:rsidRPr="006B42CE">
        <w:rPr>
          <w:sz w:val="32"/>
          <w:szCs w:val="32"/>
          <w:vertAlign w:val="superscript"/>
        </w:rPr>
        <w:footnoteReference w:id="2"/>
      </w:r>
      <w:r w:rsidR="00450301">
        <w:rPr>
          <w:sz w:val="32"/>
          <w:szCs w:val="32"/>
        </w:rPr>
        <w:t>, Wing F. Ng</w:t>
      </w:r>
      <w:r w:rsidR="00652825" w:rsidRPr="00652825">
        <w:rPr>
          <w:rStyle w:val="FootnoteReference"/>
          <w:sz w:val="32"/>
          <w:szCs w:val="32"/>
        </w:rPr>
        <w:footnoteReference w:id="3"/>
      </w:r>
      <w:r w:rsidR="000C6CD4">
        <w:rPr>
          <w:sz w:val="32"/>
          <w:szCs w:val="32"/>
        </w:rPr>
        <w:t>,</w:t>
      </w:r>
    </w:p>
    <w:p w14:paraId="7B182C3B" w14:textId="660C5A9C" w:rsidR="00F565BA" w:rsidRDefault="00BD6320" w:rsidP="00F565BA">
      <w:pPr>
        <w:spacing w:after="240"/>
        <w:jc w:val="center"/>
        <w:rPr>
          <w:i/>
          <w:sz w:val="24"/>
          <w:szCs w:val="24"/>
        </w:rPr>
      </w:pPr>
      <w:r>
        <w:rPr>
          <w:i/>
          <w:sz w:val="24"/>
          <w:szCs w:val="24"/>
        </w:rPr>
        <w:t>Virginia Polytechnic Institute and State University, Blacksburg, Virginia 24061</w:t>
      </w:r>
    </w:p>
    <w:p w14:paraId="02FCF4E8" w14:textId="343AA346" w:rsidR="000C6CD4" w:rsidRPr="001A47F0" w:rsidRDefault="001A47F0" w:rsidP="00F565BA">
      <w:pPr>
        <w:spacing w:after="240"/>
        <w:jc w:val="center"/>
        <w:rPr>
          <w:iCs/>
          <w:sz w:val="24"/>
          <w:szCs w:val="24"/>
        </w:rPr>
      </w:pPr>
      <w:r>
        <w:rPr>
          <w:iCs/>
          <w:sz w:val="24"/>
          <w:szCs w:val="24"/>
        </w:rPr>
        <w:t>a</w:t>
      </w:r>
      <w:r w:rsidR="000C6CD4" w:rsidRPr="001A47F0">
        <w:rPr>
          <w:iCs/>
          <w:sz w:val="24"/>
          <w:szCs w:val="24"/>
        </w:rPr>
        <w:t>nd</w:t>
      </w:r>
    </w:p>
    <w:p w14:paraId="4E6B603D" w14:textId="5CF5DDAD" w:rsidR="000C6CD4" w:rsidRPr="001A47F0" w:rsidRDefault="000C6CD4" w:rsidP="00F565BA">
      <w:pPr>
        <w:spacing w:after="240"/>
        <w:jc w:val="center"/>
        <w:rPr>
          <w:sz w:val="32"/>
          <w:szCs w:val="32"/>
        </w:rPr>
      </w:pPr>
      <w:r w:rsidRPr="001A47F0">
        <w:rPr>
          <w:sz w:val="32"/>
          <w:szCs w:val="32"/>
        </w:rPr>
        <w:t>Paul M. Danehy</w:t>
      </w:r>
      <w:r w:rsidR="00E81D3D" w:rsidRPr="00406BAD">
        <w:rPr>
          <w:rStyle w:val="FootnoteReference"/>
          <w:sz w:val="32"/>
          <w:szCs w:val="32"/>
        </w:rPr>
        <w:footnoteReference w:id="4"/>
      </w:r>
    </w:p>
    <w:p w14:paraId="01070CCC" w14:textId="4F4D4B3C" w:rsidR="000C6CD4" w:rsidRPr="006B42CE" w:rsidRDefault="000C6CD4" w:rsidP="00F565BA">
      <w:pPr>
        <w:spacing w:after="240"/>
        <w:jc w:val="center"/>
        <w:rPr>
          <w:i/>
          <w:sz w:val="24"/>
          <w:szCs w:val="24"/>
        </w:rPr>
      </w:pPr>
      <w:r>
        <w:rPr>
          <w:i/>
          <w:sz w:val="24"/>
          <w:szCs w:val="24"/>
        </w:rPr>
        <w:t>NASA L</w:t>
      </w:r>
      <w:r w:rsidR="001A47F0">
        <w:rPr>
          <w:i/>
          <w:sz w:val="24"/>
          <w:szCs w:val="24"/>
        </w:rPr>
        <w:t>a</w:t>
      </w:r>
      <w:r>
        <w:rPr>
          <w:i/>
          <w:sz w:val="24"/>
          <w:szCs w:val="24"/>
        </w:rPr>
        <w:t>ng</w:t>
      </w:r>
      <w:r w:rsidR="00BD6BF7">
        <w:rPr>
          <w:i/>
          <w:sz w:val="24"/>
          <w:szCs w:val="24"/>
        </w:rPr>
        <w:t>l</w:t>
      </w:r>
      <w:r>
        <w:rPr>
          <w:i/>
          <w:sz w:val="24"/>
          <w:szCs w:val="24"/>
        </w:rPr>
        <w:t>e</w:t>
      </w:r>
      <w:r w:rsidR="00BD6BF7">
        <w:rPr>
          <w:i/>
          <w:sz w:val="24"/>
          <w:szCs w:val="24"/>
        </w:rPr>
        <w:t>y</w:t>
      </w:r>
      <w:r>
        <w:rPr>
          <w:i/>
          <w:sz w:val="24"/>
          <w:szCs w:val="24"/>
        </w:rPr>
        <w:t xml:space="preserve"> Research Center, Hampton, Virginia </w:t>
      </w:r>
      <w:r w:rsidR="001A47F0">
        <w:rPr>
          <w:i/>
          <w:sz w:val="24"/>
          <w:szCs w:val="24"/>
        </w:rPr>
        <w:t>23666</w:t>
      </w:r>
    </w:p>
    <w:p w14:paraId="3FA0253B" w14:textId="35DBF38A" w:rsidR="00F565BA" w:rsidRPr="00F565BA" w:rsidRDefault="00BD6BF7" w:rsidP="00F565BA">
      <w:pPr>
        <w:spacing w:before="480" w:after="480"/>
        <w:ind w:left="720" w:right="720" w:firstLine="288"/>
        <w:rPr>
          <w:b/>
        </w:rPr>
      </w:pPr>
      <w:r>
        <w:rPr>
          <w:b/>
        </w:rPr>
        <w:t>NASA tests new launch and entry vehicle configurations in wind tunnel</w:t>
      </w:r>
      <w:r w:rsidR="00406BAD">
        <w:rPr>
          <w:b/>
        </w:rPr>
        <w:t>s, where flow visualizations and quantitative flowfield measurements are often desired</w:t>
      </w:r>
      <w:r>
        <w:rPr>
          <w:b/>
        </w:rPr>
        <w:t>.</w:t>
      </w:r>
      <w:r w:rsidR="00406BAD">
        <w:rPr>
          <w:b/>
        </w:rPr>
        <w:t xml:space="preserve"> </w:t>
      </w:r>
      <w:r>
        <w:rPr>
          <w:b/>
        </w:rPr>
        <w:t>Some of these vehicles have rocket motors for propulsion, retro-propulsion, or reaction control.  Unseeded, high-pressure air is often used to simulate these rocket motor plumes.   However</w:t>
      </w:r>
      <w:r w:rsidR="00406BAD">
        <w:rPr>
          <w:b/>
        </w:rPr>
        <w:t>,</w:t>
      </w:r>
      <w:r>
        <w:rPr>
          <w:b/>
        </w:rPr>
        <w:t xml:space="preserve"> it is difficult to make off-body measurements </w:t>
      </w:r>
      <w:r w:rsidR="00406BAD">
        <w:rPr>
          <w:b/>
        </w:rPr>
        <w:t xml:space="preserve">in these regions, for several reasons. </w:t>
      </w:r>
      <w:r>
        <w:rPr>
          <w:b/>
        </w:rPr>
        <w:t>First,</w:t>
      </w:r>
      <w:r w:rsidR="00406BAD">
        <w:rPr>
          <w:b/>
        </w:rPr>
        <w:t xml:space="preserve"> t</w:t>
      </w:r>
      <w:r>
        <w:rPr>
          <w:b/>
        </w:rPr>
        <w:t xml:space="preserve">he plumes </w:t>
      </w:r>
      <w:r w:rsidR="0025048C">
        <w:rPr>
          <w:b/>
        </w:rPr>
        <w:t xml:space="preserve">themselves </w:t>
      </w:r>
      <w:r>
        <w:rPr>
          <w:b/>
        </w:rPr>
        <w:t xml:space="preserve">are </w:t>
      </w:r>
      <w:r w:rsidR="0025048C">
        <w:rPr>
          <w:b/>
        </w:rPr>
        <w:t xml:space="preserve">usually </w:t>
      </w:r>
      <w:r>
        <w:rPr>
          <w:b/>
        </w:rPr>
        <w:t>unseeded and</w:t>
      </w:r>
      <w:r w:rsidR="0025048C">
        <w:rPr>
          <w:b/>
        </w:rPr>
        <w:t xml:space="preserve"> </w:t>
      </w:r>
      <w:r w:rsidR="00F767F8">
        <w:rPr>
          <w:b/>
        </w:rPr>
        <w:t xml:space="preserve">at such low pressures </w:t>
      </w:r>
      <w:r w:rsidR="0025048C">
        <w:rPr>
          <w:b/>
        </w:rPr>
        <w:t xml:space="preserve">that </w:t>
      </w:r>
      <w:r>
        <w:rPr>
          <w:b/>
        </w:rPr>
        <w:t xml:space="preserve">the </w:t>
      </w:r>
      <w:r w:rsidR="0025048C">
        <w:rPr>
          <w:b/>
        </w:rPr>
        <w:t>flow velocity cannot currently be measured.</w:t>
      </w:r>
      <w:r w:rsidR="00F767F8">
        <w:rPr>
          <w:b/>
        </w:rPr>
        <w:t xml:space="preserve"> </w:t>
      </w:r>
      <w:r w:rsidR="0025048C">
        <w:rPr>
          <w:b/>
        </w:rPr>
        <w:t xml:space="preserve">Second, the plumes </w:t>
      </w:r>
      <w:r w:rsidR="00935069">
        <w:rPr>
          <w:b/>
        </w:rPr>
        <w:t xml:space="preserve">displace seeded tunnel air, preventing measurements such as laser sheet visualizations. </w:t>
      </w:r>
      <w:r w:rsidR="0025048C">
        <w:rPr>
          <w:b/>
        </w:rPr>
        <w:t>Third, they force shock waves ahead of the vehicle</w:t>
      </w:r>
      <w:r w:rsidR="00F767F8">
        <w:rPr>
          <w:b/>
        </w:rPr>
        <w:t>,</w:t>
      </w:r>
      <w:r w:rsidR="0025048C">
        <w:rPr>
          <w:b/>
        </w:rPr>
        <w:t xml:space="preserve"> which melts the ice crystal fog commonly used for many visualization and measurement techniques.  </w:t>
      </w:r>
      <w:r w:rsidR="00935069">
        <w:rPr>
          <w:b/>
        </w:rPr>
        <w:t xml:space="preserve">The Virginia Tech Advanced Propulsion and Power Lab </w:t>
      </w:r>
      <w:r w:rsidR="0025048C">
        <w:rPr>
          <w:b/>
        </w:rPr>
        <w:t xml:space="preserve">has </w:t>
      </w:r>
      <w:r w:rsidR="00935069">
        <w:rPr>
          <w:b/>
        </w:rPr>
        <w:t xml:space="preserve">designed and tested a novel method for seeding the flow in these small-scale, high-pressure nozzles to </w:t>
      </w:r>
      <w:r w:rsidR="0025048C">
        <w:rPr>
          <w:b/>
        </w:rPr>
        <w:t xml:space="preserve">allow quantitative measurement with a </w:t>
      </w:r>
      <w:r w:rsidR="00F767F8">
        <w:rPr>
          <w:b/>
        </w:rPr>
        <w:t>particle</w:t>
      </w:r>
      <w:r w:rsidR="0025048C">
        <w:rPr>
          <w:b/>
        </w:rPr>
        <w:t>-based measurement such as particle image velocimetry (PIV)</w:t>
      </w:r>
      <w:r w:rsidR="00935069">
        <w:rPr>
          <w:b/>
        </w:rPr>
        <w:t>. The method involve</w:t>
      </w:r>
      <w:r w:rsidR="00D50A4D">
        <w:rPr>
          <w:b/>
        </w:rPr>
        <w:t>s</w:t>
      </w:r>
      <w:r w:rsidR="00935069">
        <w:rPr>
          <w:b/>
        </w:rPr>
        <w:t xml:space="preserve"> a Venturi contraction to draw the seed liquid out of a reservoir and into the nozzle channel, wherein shearing forces atomize the seed into particles. The concept was tested with a laser sheet visualization, which showed the nozzle spray </w:t>
      </w:r>
      <w:r w:rsidR="005D327C">
        <w:rPr>
          <w:b/>
        </w:rPr>
        <w:t xml:space="preserve">pattern </w:t>
      </w:r>
      <w:r w:rsidR="00935069">
        <w:rPr>
          <w:b/>
        </w:rPr>
        <w:t xml:space="preserve">and </w:t>
      </w:r>
      <w:r w:rsidR="005C538D">
        <w:rPr>
          <w:b/>
        </w:rPr>
        <w:t xml:space="preserve">the </w:t>
      </w:r>
      <w:r w:rsidR="00935069">
        <w:rPr>
          <w:b/>
        </w:rPr>
        <w:t>controllability of the seed</w:t>
      </w:r>
      <w:r w:rsidR="005C538D">
        <w:rPr>
          <w:b/>
        </w:rPr>
        <w:t>ing</w:t>
      </w:r>
      <w:r w:rsidR="00935069">
        <w:rPr>
          <w:b/>
        </w:rPr>
        <w:t xml:space="preserve"> flow rate. This relatively </w:t>
      </w:r>
      <w:r w:rsidR="005C538D">
        <w:rPr>
          <w:b/>
        </w:rPr>
        <w:t xml:space="preserve">inexpensive </w:t>
      </w:r>
      <w:r w:rsidR="00935069">
        <w:rPr>
          <w:b/>
        </w:rPr>
        <w:t xml:space="preserve">and simple technique </w:t>
      </w:r>
      <w:r w:rsidR="002E6292">
        <w:rPr>
          <w:b/>
        </w:rPr>
        <w:t xml:space="preserve">may prove useful in wind tunnel experiments involving </w:t>
      </w:r>
      <w:r w:rsidR="005C538D">
        <w:rPr>
          <w:b/>
        </w:rPr>
        <w:t xml:space="preserve">particle-based laser diagnostics and </w:t>
      </w:r>
      <w:r w:rsidR="002E6292">
        <w:rPr>
          <w:b/>
        </w:rPr>
        <w:t>small</w:t>
      </w:r>
      <w:r w:rsidR="005C538D">
        <w:rPr>
          <w:b/>
        </w:rPr>
        <w:t>, high</w:t>
      </w:r>
      <w:r w:rsidR="00F767F8">
        <w:rPr>
          <w:b/>
        </w:rPr>
        <w:t>-</w:t>
      </w:r>
      <w:r w:rsidR="005C538D">
        <w:rPr>
          <w:b/>
        </w:rPr>
        <w:t>pressure</w:t>
      </w:r>
      <w:r w:rsidR="002E6292">
        <w:rPr>
          <w:b/>
        </w:rPr>
        <w:t xml:space="preserve"> nozzles.</w:t>
      </w:r>
    </w:p>
    <w:p w14:paraId="7DC12E68"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Nomenclature</w:t>
      </w:r>
    </w:p>
    <w:p w14:paraId="771E5426" w14:textId="6FBFE7AF" w:rsidR="00F565BA" w:rsidRDefault="0050299E" w:rsidP="00F565BA">
      <w:pPr>
        <w:widowControl w:val="0"/>
        <w:tabs>
          <w:tab w:val="left" w:pos="864"/>
          <w:tab w:val="left" w:pos="1152"/>
        </w:tabs>
      </w:pPr>
      <m:oMath>
        <m:r>
          <w:rPr>
            <w:rFonts w:ascii="Cambria Math" w:hAnsi="Cambria Math"/>
          </w:rPr>
          <m:t>γ</m:t>
        </m:r>
      </m:oMath>
      <w:r w:rsidR="00F565BA" w:rsidRPr="00F565BA">
        <w:tab/>
        <w:t>=</w:t>
      </w:r>
      <w:r w:rsidR="00F565BA" w:rsidRPr="00F565BA">
        <w:tab/>
      </w:r>
      <w:r w:rsidR="00706B4A">
        <w:t>specific heat ratio</w:t>
      </w:r>
    </w:p>
    <w:p w14:paraId="62AA8998" w14:textId="28EB302E" w:rsidR="00B44E49" w:rsidRDefault="00BC62DD" w:rsidP="00F565BA">
      <w:pPr>
        <w:widowControl w:val="0"/>
        <w:tabs>
          <w:tab w:val="left" w:pos="864"/>
          <w:tab w:val="left" w:pos="1152"/>
        </w:tabs>
      </w:pPr>
      <m:oMath>
        <m:sSub>
          <m:sSubPr>
            <m:ctrlPr>
              <w:rPr>
                <w:rFonts w:ascii="Cambria Math" w:hAnsi="Cambria Math"/>
                <w:i/>
              </w:rPr>
            </m:ctrlPr>
          </m:sSubPr>
          <m:e>
            <m:r>
              <w:rPr>
                <w:rFonts w:ascii="Cambria Math" w:hAnsi="Cambria Math"/>
              </w:rPr>
              <m:t>c</m:t>
            </m:r>
          </m:e>
          <m:sub>
            <m:r>
              <w:rPr>
                <w:rFonts w:ascii="Cambria Math" w:hAnsi="Cambria Math"/>
              </w:rPr>
              <m:t>n</m:t>
            </m:r>
          </m:sub>
        </m:sSub>
      </m:oMath>
      <w:r w:rsidR="00B44E49">
        <w:rPr>
          <w:vertAlign w:val="subscript"/>
        </w:rPr>
        <w:tab/>
      </w:r>
      <w:r w:rsidR="00B44E49">
        <w:t>=</w:t>
      </w:r>
      <w:r w:rsidR="00B44E49">
        <w:tab/>
        <w:t>particles per unit volume</w:t>
      </w:r>
    </w:p>
    <w:p w14:paraId="3B33590B" w14:textId="2094C76D" w:rsidR="00B44E49" w:rsidRPr="00B44E49" w:rsidRDefault="00B44E49" w:rsidP="00F565BA">
      <w:pPr>
        <w:widowControl w:val="0"/>
        <w:tabs>
          <w:tab w:val="left" w:pos="864"/>
          <w:tab w:val="left" w:pos="1152"/>
        </w:tabs>
      </w:pPr>
      <w:r w:rsidRPr="00450301">
        <w:rPr>
          <w:i/>
          <w:iCs/>
        </w:rPr>
        <w:t>D</w:t>
      </w:r>
      <w:r>
        <w:t xml:space="preserve"> </w:t>
      </w:r>
      <w:r>
        <w:tab/>
        <w:t xml:space="preserve">= </w:t>
      </w:r>
      <w:r>
        <w:tab/>
        <w:t>representative particle diameter</w:t>
      </w:r>
    </w:p>
    <w:p w14:paraId="1E12D13D" w14:textId="69219265" w:rsidR="00B44E49" w:rsidRDefault="00B44E49" w:rsidP="00F565BA">
      <w:pPr>
        <w:widowControl w:val="0"/>
        <w:tabs>
          <w:tab w:val="left" w:pos="864"/>
          <w:tab w:val="left" w:pos="1152"/>
        </w:tabs>
      </w:pPr>
      <w:r w:rsidRPr="00450301">
        <w:rPr>
          <w:i/>
          <w:iCs/>
        </w:rPr>
        <w:t>I</w:t>
      </w:r>
      <w:r>
        <w:t xml:space="preserve"> </w:t>
      </w:r>
      <w:r>
        <w:tab/>
        <w:t xml:space="preserve">= </w:t>
      </w:r>
      <w:r>
        <w:tab/>
        <w:t>light scattering intensity</w:t>
      </w:r>
    </w:p>
    <w:p w14:paraId="69786F37" w14:textId="72272075" w:rsidR="00706B4A" w:rsidRDefault="00706B4A" w:rsidP="00F565BA">
      <w:pPr>
        <w:widowControl w:val="0"/>
        <w:tabs>
          <w:tab w:val="left" w:pos="864"/>
          <w:tab w:val="left" w:pos="1152"/>
        </w:tabs>
      </w:pPr>
      <w:r w:rsidRPr="00450301">
        <w:rPr>
          <w:i/>
          <w:iCs/>
        </w:rPr>
        <w:t>M</w:t>
      </w:r>
      <w:r>
        <w:tab/>
        <w:t>=</w:t>
      </w:r>
      <w:r>
        <w:tab/>
        <w:t>Mach number</w:t>
      </w:r>
    </w:p>
    <w:p w14:paraId="62151D51" w14:textId="3A38CD67" w:rsidR="00706B4A" w:rsidRPr="00F565BA" w:rsidRDefault="00706B4A" w:rsidP="00F565BA">
      <w:pPr>
        <w:widowControl w:val="0"/>
        <w:tabs>
          <w:tab w:val="left" w:pos="864"/>
          <w:tab w:val="left" w:pos="1152"/>
        </w:tabs>
      </w:pPr>
      <w:r w:rsidRPr="00450301">
        <w:rPr>
          <w:i/>
          <w:iCs/>
        </w:rPr>
        <w:t>r</w:t>
      </w:r>
      <w:r>
        <w:tab/>
        <w:t xml:space="preserve">= </w:t>
      </w:r>
      <w:r>
        <w:tab/>
        <w:t xml:space="preserve">temperature recovery factor </w:t>
      </w:r>
    </w:p>
    <w:p w14:paraId="618F261F" w14:textId="7AE1EE05" w:rsidR="00F565BA" w:rsidRPr="00F565BA" w:rsidRDefault="00BC62DD" w:rsidP="00F565BA">
      <w:pPr>
        <w:widowControl w:val="0"/>
        <w:tabs>
          <w:tab w:val="left" w:pos="864"/>
          <w:tab w:val="left" w:pos="1152"/>
        </w:tabs>
      </w:pP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00F565BA" w:rsidRPr="00F565BA">
        <w:rPr>
          <w:i/>
        </w:rPr>
        <w:tab/>
      </w:r>
      <w:r w:rsidR="00F565BA" w:rsidRPr="00F565BA">
        <w:t>=</w:t>
      </w:r>
      <w:r w:rsidR="00F565BA" w:rsidRPr="00F565BA">
        <w:tab/>
      </w:r>
      <w:r w:rsidR="00706B4A">
        <w:t>total temperature</w:t>
      </w:r>
    </w:p>
    <w:p w14:paraId="4BB657E4" w14:textId="089809CF" w:rsidR="00F565BA" w:rsidRPr="00F565BA" w:rsidRDefault="00BC62DD" w:rsidP="00F565BA">
      <w:pPr>
        <w:widowControl w:val="0"/>
        <w:tabs>
          <w:tab w:val="left" w:pos="864"/>
          <w:tab w:val="left" w:pos="1152"/>
        </w:tabs>
      </w:pPr>
      <m:oMath>
        <m:sSub>
          <m:sSubPr>
            <m:ctrlPr>
              <w:rPr>
                <w:rFonts w:ascii="Cambria Math" w:hAnsi="Cambria Math"/>
                <w:i/>
              </w:rPr>
            </m:ctrlPr>
          </m:sSubPr>
          <m:e>
            <m:r>
              <w:rPr>
                <w:rFonts w:ascii="Cambria Math" w:hAnsi="Cambria Math"/>
              </w:rPr>
              <m:t>T</m:t>
            </m:r>
          </m:e>
          <m:sub>
            <m:r>
              <w:rPr>
                <w:rFonts w:ascii="Cambria Math" w:hAnsi="Cambria Math"/>
              </w:rPr>
              <m:t>wall</m:t>
            </m:r>
          </m:sub>
        </m:sSub>
      </m:oMath>
      <w:r w:rsidR="00F565BA" w:rsidRPr="00F565BA">
        <w:rPr>
          <w:vertAlign w:val="subscript"/>
        </w:rPr>
        <w:tab/>
      </w:r>
      <w:r w:rsidR="00F565BA" w:rsidRPr="00F565BA">
        <w:t>=</w:t>
      </w:r>
      <w:r w:rsidR="00F565BA" w:rsidRPr="00F565BA">
        <w:tab/>
      </w:r>
      <w:r w:rsidR="00706B4A">
        <w:t>adiabatic wall temperature</w:t>
      </w:r>
    </w:p>
    <w:p w14:paraId="32AE51BD"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lastRenderedPageBreak/>
        <w:t>Introduction</w:t>
      </w:r>
    </w:p>
    <w:p w14:paraId="3AC70B7C" w14:textId="419AD8E2" w:rsidR="00F565BA" w:rsidRDefault="00C96C93" w:rsidP="00C96C93">
      <w:pPr>
        <w:ind w:firstLine="288"/>
      </w:pPr>
      <w:r>
        <w:t xml:space="preserve">The Space Launch System (SLS) is a heavy-lift launch vehicle that is currently under development by the National Aeronautics and Space Administration (NASA). It consists of a core stage and two solid rocket boosters (SRB) that separate from the core after their fuel is exhausted, about two minutes after launch. This separation is aided by booster separation motors (BSM) located on the nose and aft skirt of both SRBs; these motors are fired for one second to move the SRBs away from the core </w:t>
      </w:r>
      <w:r w:rsidR="00603626">
        <w:t>and</w:t>
      </w:r>
      <w:r w:rsidR="005E1075">
        <w:t xml:space="preserve"> reduce the</w:t>
      </w:r>
      <w:r>
        <w:t xml:space="preserve"> chance of contact. </w:t>
      </w:r>
    </w:p>
    <w:p w14:paraId="731ECC35" w14:textId="6659427B" w:rsidR="00C96C93" w:rsidRDefault="00C96C93" w:rsidP="00C96C93">
      <w:pPr>
        <w:ind w:firstLine="288"/>
      </w:pPr>
      <w:r>
        <w:t xml:space="preserve">NASA Langley Research Center </w:t>
      </w:r>
      <w:r w:rsidR="005E1075">
        <w:t xml:space="preserve">has run several </w:t>
      </w:r>
      <w:r>
        <w:t>tests of scale SLS models in their Unitary Plan Wind Tunnel (UPWT)</w:t>
      </w:r>
      <w:r w:rsidR="006E5098">
        <w:t xml:space="preserve"> to study the aerodynamics of booster separation and ensure that the SRBs separate safely</w:t>
      </w:r>
      <w:r w:rsidR="00AF174C">
        <w:t xml:space="preserve"> [1]</w:t>
      </w:r>
      <w:r w:rsidR="006E5098">
        <w:t>.</w:t>
      </w:r>
      <w:r w:rsidR="00A36F5D">
        <w:t xml:space="preserve"> </w:t>
      </w:r>
      <w:r w:rsidR="00B07C86">
        <w:t>Figure 1 shows a</w:t>
      </w:r>
      <w:r w:rsidR="0051177C">
        <w:t xml:space="preserve"> variant of model, the SLS-28005, in the tunnel along with its separation rig and SRBs. </w:t>
      </w:r>
      <w:r w:rsidR="00A36F5D">
        <w:t>The nose and aft skirt of a</w:t>
      </w:r>
      <w:r w:rsidR="0051177C">
        <w:t xml:space="preserve"> standard</w:t>
      </w:r>
      <w:r w:rsidR="00A36F5D">
        <w:t xml:space="preserve"> SRB model is shown in Figure </w:t>
      </w:r>
      <w:r w:rsidR="0051177C">
        <w:t>2</w:t>
      </w:r>
      <w:r w:rsidR="00A36F5D">
        <w:t xml:space="preserve">; the four visible holes on each are the </w:t>
      </w:r>
      <w:r w:rsidR="00D3672A">
        <w:t xml:space="preserve">converging-diverging </w:t>
      </w:r>
      <w:r w:rsidR="00A36F5D">
        <w:t>BSM</w:t>
      </w:r>
      <w:r w:rsidR="00D3672A">
        <w:t xml:space="preserve"> nozzles</w:t>
      </w:r>
      <w:r w:rsidR="00A36F5D">
        <w:t xml:space="preserve">, which can be activated at various </w:t>
      </w:r>
      <w:r w:rsidR="00BB5A06">
        <w:t>total</w:t>
      </w:r>
      <w:r w:rsidR="008E1185">
        <w:t xml:space="preserve"> </w:t>
      </w:r>
      <w:r w:rsidR="00A36F5D">
        <w:t xml:space="preserve">pressures up to 1500 psia. </w:t>
      </w:r>
    </w:p>
    <w:p w14:paraId="09584A52" w14:textId="77777777" w:rsidR="00603626" w:rsidRDefault="00603626" w:rsidP="00C96C93">
      <w:pPr>
        <w:ind w:firstLine="288"/>
      </w:pPr>
    </w:p>
    <w:p w14:paraId="2FD96BA6" w14:textId="503A6EDC" w:rsidR="0051177C" w:rsidRDefault="0051177C" w:rsidP="0051177C">
      <w:pPr>
        <w:jc w:val="center"/>
      </w:pPr>
      <w:r w:rsidRPr="0051177C">
        <w:rPr>
          <w:noProof/>
        </w:rPr>
        <w:drawing>
          <wp:inline distT="0" distB="0" distL="0" distR="0" wp14:anchorId="4F1A6903" wp14:editId="537F2850">
            <wp:extent cx="5676900" cy="2755965"/>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96673" cy="2765564"/>
                    </a:xfrm>
                    <a:prstGeom prst="rect">
                      <a:avLst/>
                    </a:prstGeom>
                  </pic:spPr>
                </pic:pic>
              </a:graphicData>
            </a:graphic>
          </wp:inline>
        </w:drawing>
      </w:r>
    </w:p>
    <w:p w14:paraId="691C1EEA" w14:textId="0C2DF0D5" w:rsidR="0051177C" w:rsidRPr="00F565BA" w:rsidRDefault="0051177C" w:rsidP="0051177C">
      <w:pPr>
        <w:spacing w:before="120" w:after="120"/>
        <w:jc w:val="center"/>
        <w:rPr>
          <w:b/>
        </w:rPr>
      </w:pPr>
      <w:r w:rsidRPr="00F565BA">
        <w:rPr>
          <w:b/>
        </w:rPr>
        <w:t xml:space="preserve">Fig. </w:t>
      </w:r>
      <w:r>
        <w:rPr>
          <w:b/>
        </w:rPr>
        <w:t>1</w:t>
      </w:r>
      <w:r w:rsidRPr="00F565BA">
        <w:rPr>
          <w:b/>
        </w:rPr>
        <w:tab/>
      </w:r>
      <w:r>
        <w:rPr>
          <w:b/>
        </w:rPr>
        <w:t>SLS model in the UPWT with SRBs and separation rig</w:t>
      </w:r>
      <w:r w:rsidR="002F3DB2">
        <w:rPr>
          <w:b/>
        </w:rPr>
        <w:t xml:space="preserve"> [1].</w:t>
      </w:r>
    </w:p>
    <w:p w14:paraId="6CBBDA0A" w14:textId="77777777" w:rsidR="0051177C" w:rsidRDefault="0051177C" w:rsidP="0051177C">
      <w:pPr>
        <w:jc w:val="center"/>
      </w:pPr>
    </w:p>
    <w:p w14:paraId="4367CC18" w14:textId="25843A35" w:rsidR="00A36F5D" w:rsidRDefault="00A36F5D" w:rsidP="00A36F5D">
      <w:r>
        <w:tab/>
      </w:r>
    </w:p>
    <w:p w14:paraId="5CB9BEF9" w14:textId="261DB3AC" w:rsidR="00A36F5D" w:rsidRDefault="00A36F5D" w:rsidP="00A36F5D">
      <w:pPr>
        <w:jc w:val="center"/>
      </w:pPr>
      <w:r w:rsidRPr="00A36F5D">
        <w:rPr>
          <w:noProof/>
        </w:rPr>
        <w:drawing>
          <wp:inline distT="0" distB="0" distL="0" distR="0" wp14:anchorId="5B3249CB" wp14:editId="12962BDF">
            <wp:extent cx="5943600" cy="1985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985645"/>
                    </a:xfrm>
                    <a:prstGeom prst="rect">
                      <a:avLst/>
                    </a:prstGeom>
                  </pic:spPr>
                </pic:pic>
              </a:graphicData>
            </a:graphic>
          </wp:inline>
        </w:drawing>
      </w:r>
    </w:p>
    <w:p w14:paraId="0257AEAF" w14:textId="1B27D2E7" w:rsidR="00A36F5D" w:rsidRDefault="00A36F5D" w:rsidP="00A36F5D">
      <w:pPr>
        <w:spacing w:before="120" w:after="120"/>
        <w:jc w:val="center"/>
        <w:rPr>
          <w:b/>
        </w:rPr>
      </w:pPr>
      <w:r w:rsidRPr="00F565BA">
        <w:rPr>
          <w:b/>
        </w:rPr>
        <w:t xml:space="preserve">Fig. </w:t>
      </w:r>
      <w:r w:rsidR="0051177C">
        <w:rPr>
          <w:b/>
        </w:rPr>
        <w:t>2</w:t>
      </w:r>
      <w:r w:rsidRPr="00F565BA">
        <w:rPr>
          <w:b/>
        </w:rPr>
        <w:tab/>
      </w:r>
      <w:r>
        <w:rPr>
          <w:b/>
        </w:rPr>
        <w:t xml:space="preserve">Forward (left) and aft (right) BSM nozzles </w:t>
      </w:r>
      <w:r w:rsidR="00B3598F">
        <w:rPr>
          <w:b/>
        </w:rPr>
        <w:t>on model SRBs</w:t>
      </w:r>
      <w:r w:rsidR="002F3DB2">
        <w:rPr>
          <w:b/>
        </w:rPr>
        <w:t xml:space="preserve"> [1].</w:t>
      </w:r>
    </w:p>
    <w:p w14:paraId="61D2BAB6" w14:textId="77777777" w:rsidR="00603626" w:rsidRPr="00F565BA" w:rsidRDefault="00603626" w:rsidP="00A36F5D">
      <w:pPr>
        <w:spacing w:before="120" w:after="120"/>
        <w:jc w:val="center"/>
        <w:rPr>
          <w:b/>
        </w:rPr>
      </w:pPr>
    </w:p>
    <w:p w14:paraId="5C82A706" w14:textId="426B7469" w:rsidR="00A36F5D" w:rsidRDefault="0054634A" w:rsidP="006D149E">
      <w:r>
        <w:tab/>
      </w:r>
      <w:r w:rsidR="002D044C">
        <w:t xml:space="preserve">These models were used in experiments involving Doppler Global Velocimetry </w:t>
      </w:r>
      <w:r w:rsidR="005F4FAF">
        <w:t>[2] a</w:t>
      </w:r>
      <w:r w:rsidR="002D044C">
        <w:t xml:space="preserve">nd laser light sheet visualizations </w:t>
      </w:r>
      <w:r w:rsidR="00700CC3">
        <w:t>[3]</w:t>
      </w:r>
      <w:r w:rsidR="002D044C">
        <w:t xml:space="preserve">, where a problem with </w:t>
      </w:r>
      <w:r w:rsidR="000E4204">
        <w:t xml:space="preserve">the </w:t>
      </w:r>
      <w:r w:rsidR="002D044C">
        <w:t xml:space="preserve">high-pressure nozzles </w:t>
      </w:r>
      <w:r w:rsidR="000E4204">
        <w:t>became apparent. These studies depend on the scattering of laser light by particles introduced i</w:t>
      </w:r>
      <w:r w:rsidR="00245E8C">
        <w:t xml:space="preserve">nto the flow; however, instruments recorded insufficient scattered </w:t>
      </w:r>
      <w:r w:rsidR="00245E8C">
        <w:lastRenderedPageBreak/>
        <w:t xml:space="preserve">light signals from regions around the BSMs. </w:t>
      </w:r>
      <w:r w:rsidR="002C3B36" w:rsidRPr="002C3B36">
        <w:t xml:space="preserve">While </w:t>
      </w:r>
      <w:r w:rsidR="002C3B36">
        <w:t>this</w:t>
      </w:r>
      <w:r w:rsidR="002C3B36" w:rsidRPr="002C3B36">
        <w:t xml:space="preserve"> decrease in scattering intensity may be partially explained by the sublimation/evaporation of particles near the warm model surface</w:t>
      </w:r>
      <w:r w:rsidR="005E1075">
        <w:t xml:space="preserve"> or after they are processed by a shock wave</w:t>
      </w:r>
      <w:r w:rsidR="002C3B36" w:rsidRPr="002C3B36">
        <w:t xml:space="preserve">, it is important to note that the </w:t>
      </w:r>
      <w:r w:rsidR="002C3B36">
        <w:t xml:space="preserve">BSM </w:t>
      </w:r>
      <w:r w:rsidR="002C3B36" w:rsidRPr="002C3B36">
        <w:t xml:space="preserve">nozzles expelled </w:t>
      </w:r>
      <w:r w:rsidR="00C13F33">
        <w:t xml:space="preserve">dry, </w:t>
      </w:r>
      <w:r w:rsidR="002C3B36" w:rsidRPr="002C3B36">
        <w:t>unseeded air, which likely displaced much of the incoming seeded air</w:t>
      </w:r>
      <w:r w:rsidR="00C13F33">
        <w:t xml:space="preserve"> upon expansion</w:t>
      </w:r>
      <w:r w:rsidR="002C3B36" w:rsidRPr="002C3B36">
        <w:t xml:space="preserve">. Figure </w:t>
      </w:r>
      <w:r w:rsidR="0051177C">
        <w:t>3</w:t>
      </w:r>
      <w:r w:rsidR="002C3B36" w:rsidRPr="002C3B36">
        <w:t xml:space="preserve"> shows the results of </w:t>
      </w:r>
      <w:r w:rsidR="002C3B36">
        <w:t>the laser</w:t>
      </w:r>
      <w:r w:rsidR="002C3B36" w:rsidRPr="002C3B36">
        <w:t xml:space="preserve"> visualization study</w:t>
      </w:r>
      <w:r w:rsidR="002C3B36">
        <w:t xml:space="preserve"> by Danehy et al</w:t>
      </w:r>
      <w:r w:rsidR="002C3B36" w:rsidRPr="002C3B36">
        <w:t xml:space="preserve">. </w:t>
      </w:r>
      <w:r w:rsidR="0051177C">
        <w:t xml:space="preserve">near the forward BSMs of an SRB. </w:t>
      </w:r>
      <w:r w:rsidR="002C3B36" w:rsidRPr="002C3B36">
        <w:t xml:space="preserve">As the BSM pressures increased, </w:t>
      </w:r>
      <w:r w:rsidR="0022651F">
        <w:t xml:space="preserve">the green “sheet” of </w:t>
      </w:r>
      <w:r w:rsidR="002C3B36" w:rsidRPr="002C3B36">
        <w:t xml:space="preserve">scattered light intensity clearly diminished, save for a specific pattern </w:t>
      </w:r>
      <w:r w:rsidR="00705802">
        <w:t xml:space="preserve">in the nozzle plumes that may have formed from air condensation. </w:t>
      </w:r>
    </w:p>
    <w:p w14:paraId="4A264046" w14:textId="387C9ED6" w:rsidR="002C3B36" w:rsidRDefault="002C3B36" w:rsidP="0054634A">
      <w:pPr>
        <w:jc w:val="left"/>
      </w:pPr>
    </w:p>
    <w:p w14:paraId="1FE656AE" w14:textId="35D348AD" w:rsidR="002C3B36" w:rsidRDefault="002C3B36" w:rsidP="002C3B36">
      <w:pPr>
        <w:jc w:val="center"/>
      </w:pPr>
      <w:r w:rsidRPr="00EB3753">
        <w:rPr>
          <w:noProof/>
          <w:sz w:val="24"/>
          <w:szCs w:val="24"/>
        </w:rPr>
        <w:drawing>
          <wp:inline distT="0" distB="0" distL="0" distR="0" wp14:anchorId="7DC4BC6C" wp14:editId="66C55C00">
            <wp:extent cx="5921192" cy="2013585"/>
            <wp:effectExtent l="0" t="0" r="381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22730" cy="2014108"/>
                    </a:xfrm>
                    <a:prstGeom prst="rect">
                      <a:avLst/>
                    </a:prstGeom>
                  </pic:spPr>
                </pic:pic>
              </a:graphicData>
            </a:graphic>
          </wp:inline>
        </w:drawing>
      </w:r>
    </w:p>
    <w:p w14:paraId="7396190C" w14:textId="7B2FE5BE" w:rsidR="002C3B36" w:rsidRPr="00F565BA" w:rsidRDefault="002C3B36" w:rsidP="002C3B36">
      <w:pPr>
        <w:spacing w:before="120" w:after="120"/>
        <w:jc w:val="center"/>
        <w:rPr>
          <w:b/>
        </w:rPr>
      </w:pPr>
      <w:r w:rsidRPr="00F565BA">
        <w:rPr>
          <w:b/>
        </w:rPr>
        <w:t xml:space="preserve">Fig. </w:t>
      </w:r>
      <w:r w:rsidR="0051177C">
        <w:rPr>
          <w:b/>
        </w:rPr>
        <w:t>3</w:t>
      </w:r>
      <w:r w:rsidRPr="00F565BA">
        <w:rPr>
          <w:b/>
        </w:rPr>
        <w:tab/>
      </w:r>
      <w:r>
        <w:rPr>
          <w:b/>
        </w:rPr>
        <w:t>Laser sheet visualization at three different BSM pressures: 0 (left), 728 psi (middle), and 1509 psi (right)</w:t>
      </w:r>
      <w:r w:rsidR="002F3DB2">
        <w:rPr>
          <w:b/>
        </w:rPr>
        <w:t xml:space="preserve"> [3].</w:t>
      </w:r>
    </w:p>
    <w:p w14:paraId="0597F2E3" w14:textId="77777777" w:rsidR="002C3B36" w:rsidRPr="00F565BA" w:rsidRDefault="002C3B36" w:rsidP="002C3B36">
      <w:pPr>
        <w:jc w:val="center"/>
      </w:pPr>
    </w:p>
    <w:p w14:paraId="01106EF0" w14:textId="46EBF20D" w:rsidR="00F565BA" w:rsidRPr="00B07C86" w:rsidRDefault="00BE34E0" w:rsidP="00F565BA">
      <w:pPr>
        <w:tabs>
          <w:tab w:val="left" w:pos="288"/>
        </w:tabs>
        <w:rPr>
          <w:bCs/>
          <w:color w:val="000000"/>
        </w:rPr>
      </w:pPr>
      <w:r>
        <w:rPr>
          <w:b/>
          <w:color w:val="000000"/>
        </w:rPr>
        <w:tab/>
      </w:r>
      <w:r w:rsidR="00B07C86">
        <w:rPr>
          <w:bCs/>
          <w:color w:val="000000"/>
        </w:rPr>
        <w:t xml:space="preserve"> </w:t>
      </w:r>
      <w:r w:rsidR="00226ABC">
        <w:rPr>
          <w:bCs/>
          <w:color w:val="000000"/>
        </w:rPr>
        <w:t xml:space="preserve">A similar issue was found in the study by Lowe et al, </w:t>
      </w:r>
      <w:r w:rsidR="005A2D22">
        <w:rPr>
          <w:bCs/>
          <w:color w:val="000000"/>
        </w:rPr>
        <w:t xml:space="preserve">in which the authors were </w:t>
      </w:r>
      <w:r w:rsidR="00226ABC">
        <w:rPr>
          <w:bCs/>
          <w:color w:val="000000"/>
        </w:rPr>
        <w:t>unable to obtain results in the vicinity of</w:t>
      </w:r>
      <w:r w:rsidR="00F50784">
        <w:rPr>
          <w:bCs/>
          <w:color w:val="000000"/>
        </w:rPr>
        <w:t xml:space="preserve"> unseeded BSM plumes. </w:t>
      </w:r>
      <w:r w:rsidR="0007128A">
        <w:rPr>
          <w:bCs/>
          <w:color w:val="000000"/>
        </w:rPr>
        <w:t>Thus, a clear need to develop a seeding mechanism for such nozzles</w:t>
      </w:r>
      <w:r w:rsidR="009B68FF">
        <w:rPr>
          <w:bCs/>
          <w:color w:val="000000"/>
        </w:rPr>
        <w:t xml:space="preserve"> in high-speed flows</w:t>
      </w:r>
      <w:r w:rsidR="0007128A">
        <w:rPr>
          <w:bCs/>
          <w:color w:val="000000"/>
        </w:rPr>
        <w:t xml:space="preserve"> was established; the high</w:t>
      </w:r>
      <w:r w:rsidR="009B68FF">
        <w:rPr>
          <w:bCs/>
          <w:color w:val="000000"/>
        </w:rPr>
        <w:t xml:space="preserve"> </w:t>
      </w:r>
      <w:r w:rsidR="0007128A">
        <w:rPr>
          <w:bCs/>
          <w:color w:val="000000"/>
        </w:rPr>
        <w:t>pressures and small size present</w:t>
      </w:r>
      <w:r w:rsidR="00517F07">
        <w:rPr>
          <w:bCs/>
          <w:color w:val="000000"/>
        </w:rPr>
        <w:t>s</w:t>
      </w:r>
      <w:r w:rsidR="0007128A">
        <w:rPr>
          <w:bCs/>
          <w:color w:val="000000"/>
        </w:rPr>
        <w:t xml:space="preserve"> unique challenges in both particle generation and dispersal. </w:t>
      </w:r>
      <w:r w:rsidR="00517F07">
        <w:rPr>
          <w:bCs/>
          <w:color w:val="000000"/>
        </w:rPr>
        <w:t xml:space="preserve">In addition to the motivating SLS application, this </w:t>
      </w:r>
      <w:r w:rsidR="0007128A">
        <w:rPr>
          <w:bCs/>
          <w:color w:val="000000"/>
        </w:rPr>
        <w:t xml:space="preserve">development may be useful </w:t>
      </w:r>
      <w:r w:rsidR="004E740D">
        <w:rPr>
          <w:bCs/>
          <w:color w:val="000000"/>
        </w:rPr>
        <w:t>in</w:t>
      </w:r>
      <w:r w:rsidR="0007128A">
        <w:rPr>
          <w:bCs/>
          <w:color w:val="000000"/>
        </w:rPr>
        <w:t xml:space="preserve"> </w:t>
      </w:r>
      <w:r w:rsidR="009B68FF">
        <w:rPr>
          <w:bCs/>
          <w:color w:val="000000"/>
        </w:rPr>
        <w:t>other</w:t>
      </w:r>
      <w:r w:rsidR="0007128A">
        <w:rPr>
          <w:bCs/>
          <w:color w:val="000000"/>
        </w:rPr>
        <w:t xml:space="preserve"> studies</w:t>
      </w:r>
      <w:r w:rsidR="00D8453A">
        <w:rPr>
          <w:bCs/>
          <w:color w:val="000000"/>
        </w:rPr>
        <w:t>,</w:t>
      </w:r>
      <w:r w:rsidR="00517F07">
        <w:rPr>
          <w:bCs/>
          <w:color w:val="000000"/>
        </w:rPr>
        <w:t xml:space="preserve"> </w:t>
      </w:r>
      <w:r w:rsidR="0007128A">
        <w:rPr>
          <w:bCs/>
          <w:color w:val="000000"/>
        </w:rPr>
        <w:t xml:space="preserve">for example, </w:t>
      </w:r>
      <w:r w:rsidR="009B68FF">
        <w:rPr>
          <w:bCs/>
          <w:color w:val="000000"/>
        </w:rPr>
        <w:t xml:space="preserve">experimental testing of supersonic retropropulsion vehicles for descent and landing on planetary surfaces </w:t>
      </w:r>
      <w:r w:rsidR="006A1023">
        <w:rPr>
          <w:bCs/>
          <w:color w:val="000000"/>
        </w:rPr>
        <w:t>[4]</w:t>
      </w:r>
      <w:r w:rsidR="009B68FF">
        <w:rPr>
          <w:bCs/>
          <w:color w:val="000000"/>
        </w:rPr>
        <w:t xml:space="preserve">. </w:t>
      </w:r>
      <w:r w:rsidR="00A2283F">
        <w:rPr>
          <w:bCs/>
          <w:color w:val="000000"/>
        </w:rPr>
        <w:t xml:space="preserve">This paper presents a study conducted </w:t>
      </w:r>
      <w:r w:rsidR="00D8453A">
        <w:rPr>
          <w:bCs/>
          <w:color w:val="000000"/>
        </w:rPr>
        <w:t xml:space="preserve">at </w:t>
      </w:r>
      <w:r w:rsidR="00A2283F">
        <w:rPr>
          <w:bCs/>
          <w:color w:val="000000"/>
        </w:rPr>
        <w:t xml:space="preserve">the Virginia Tech Advanced Propulsion and Power Lab to investigate a novel seeding technique for high-pressure nozzles exposed to high-speed airflow. </w:t>
      </w:r>
    </w:p>
    <w:p w14:paraId="6E7CAD53" w14:textId="1688C62A" w:rsidR="00F565BA" w:rsidRPr="00F565BA" w:rsidRDefault="004E740D"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Analysis</w:t>
      </w:r>
    </w:p>
    <w:p w14:paraId="7BC0CAE7" w14:textId="325626D4" w:rsidR="00D52145" w:rsidRDefault="004E740D" w:rsidP="00F565BA">
      <w:pPr>
        <w:tabs>
          <w:tab w:val="left" w:pos="288"/>
        </w:tabs>
        <w:ind w:firstLine="288"/>
      </w:pPr>
      <w:r>
        <w:t xml:space="preserve">Specific parameters for the BSM nozzles in the SLS studies were </w:t>
      </w:r>
      <w:r w:rsidR="00DE64D8">
        <w:t xml:space="preserve">supplied by colleagues from </w:t>
      </w:r>
      <w:r>
        <w:t>NASA</w:t>
      </w:r>
      <w:r w:rsidR="00B242D8">
        <w:t xml:space="preserve">, as follows: </w:t>
      </w:r>
      <w:r>
        <w:t>– plenum total pressures ranging up to 1500 psia, plenum total temperatures of 100-200</w:t>
      </w:r>
      <w:r w:rsidRPr="004E740D">
        <w:t>°F</w:t>
      </w:r>
      <w:r>
        <w:t xml:space="preserve">, minimum throat diameter of 0.08 in, and a nozzle </w:t>
      </w:r>
      <w:r w:rsidR="00BB5A06">
        <w:t xml:space="preserve">exit </w:t>
      </w:r>
      <w:r>
        <w:t>Mach number of 2.5.</w:t>
      </w:r>
      <w:r w:rsidR="00D52145">
        <w:t xml:space="preserve"> Though a variety of seeding techniques exist, these parameters </w:t>
      </w:r>
      <w:r w:rsidR="00766A20">
        <w:t xml:space="preserve">and the desire to reasonably fit such a system within </w:t>
      </w:r>
      <w:r w:rsidR="004863D3">
        <w:t xml:space="preserve">volume constraints of </w:t>
      </w:r>
      <w:r w:rsidR="00302E5C">
        <w:t>models and the</w:t>
      </w:r>
      <w:r w:rsidR="004863D3">
        <w:t xml:space="preserve"> </w:t>
      </w:r>
      <w:r w:rsidR="00766A20">
        <w:t xml:space="preserve">UPWT </w:t>
      </w:r>
      <w:r w:rsidR="00302E5C">
        <w:t xml:space="preserve">test section </w:t>
      </w:r>
      <w:r w:rsidR="00D52145">
        <w:t xml:space="preserve">presented a unique situation that seemed to complicate their implementation. </w:t>
      </w:r>
    </w:p>
    <w:p w14:paraId="4BE8E490" w14:textId="64534AC1" w:rsidR="008F6C1E" w:rsidRDefault="00D52145" w:rsidP="00F565BA">
      <w:pPr>
        <w:tabs>
          <w:tab w:val="left" w:pos="288"/>
        </w:tabs>
        <w:ind w:firstLine="288"/>
      </w:pPr>
      <w:r>
        <w:t xml:space="preserve">As stated previously, there are two challenges faced when designing a seeding mechanism: seed </w:t>
      </w:r>
      <w:r w:rsidR="003D7CFD">
        <w:t xml:space="preserve">particle </w:t>
      </w:r>
      <w:r>
        <w:t>generation and seed dispersal. Condensation and atomiz</w:t>
      </w:r>
      <w:r w:rsidR="00DA0C7E">
        <w:t>ers</w:t>
      </w:r>
      <w:r>
        <w:t xml:space="preserve"> are two frequently used methods of generating seed particles </w:t>
      </w:r>
      <w:r w:rsidR="0072057C">
        <w:t>[5]</w:t>
      </w:r>
      <w:r w:rsidR="00DA0C7E">
        <w:t xml:space="preserve">. Condensation involves the evaporation of some seed liquid into gaseous form, after which condensation occurs onto impurities within the flow, creating small liquid particles. Atomizers, such as nebulizers, disintegrate liquid into individual droplets through shearing forces. </w:t>
      </w:r>
    </w:p>
    <w:p w14:paraId="159E277D" w14:textId="77621418" w:rsidR="00F565BA" w:rsidRDefault="00BC0E93" w:rsidP="00F565BA">
      <w:pPr>
        <w:tabs>
          <w:tab w:val="left" w:pos="288"/>
        </w:tabs>
        <w:ind w:firstLine="288"/>
      </w:pPr>
      <w:r>
        <w:t>As Melling describes, a</w:t>
      </w:r>
      <w:r w:rsidR="00DA0C7E">
        <w:t xml:space="preserve"> form of atomization occurs in Laskin nozzles</w:t>
      </w:r>
      <w:r w:rsidR="00D253C2">
        <w:t xml:space="preserve"> </w:t>
      </w:r>
      <w:r w:rsidR="00E37676">
        <w:t>[6]</w:t>
      </w:r>
      <w:r w:rsidR="00DA0C7E">
        <w:t xml:space="preserve">, </w:t>
      </w:r>
      <w:r w:rsidR="00766A20">
        <w:t xml:space="preserve">wherein </w:t>
      </w:r>
      <w:r>
        <w:t xml:space="preserve">compressed air is blown into a reservoir of seed liquid, which creates air bubbles that contain </w:t>
      </w:r>
      <w:r w:rsidR="006F3D69">
        <w:t>submicron</w:t>
      </w:r>
      <w:r>
        <w:t xml:space="preserve"> floating liquid droplets. These air bubbles rise into an impactor which only allows the </w:t>
      </w:r>
      <w:r w:rsidR="00305A5A">
        <w:t xml:space="preserve">micron-scale </w:t>
      </w:r>
      <w:r>
        <w:t xml:space="preserve">droplets through. </w:t>
      </w:r>
      <w:r w:rsidR="00397781">
        <w:t xml:space="preserve">A basic diagram of a Laskin nozzle from the Melling text is provided in Figure 4. </w:t>
      </w:r>
      <w:r>
        <w:t xml:space="preserve">The droplets themselves are created from the shearing process of the compressed air </w:t>
      </w:r>
      <w:r w:rsidR="007E4B27">
        <w:t xml:space="preserve">within </w:t>
      </w:r>
      <w:r>
        <w:t xml:space="preserve">the liquid reservoir </w:t>
      </w:r>
      <w:r w:rsidR="00AD3967">
        <w:t>[7,8]</w:t>
      </w:r>
      <w:r w:rsidR="006F3D69">
        <w:t xml:space="preserve">. Laskin nozzles have been used with success in several studies involving high-speed flows </w:t>
      </w:r>
      <w:r w:rsidR="006261D5">
        <w:t>[9,10]</w:t>
      </w:r>
      <w:r w:rsidR="006F3D69">
        <w:t>.</w:t>
      </w:r>
      <w:r w:rsidR="003D7CFD">
        <w:t xml:space="preserve"> However, many experiments using Laskin nozzles to generate particles then go on to disperse them into </w:t>
      </w:r>
      <w:r w:rsidR="00881123">
        <w:t>a flow using some sort of distributor bar</w:t>
      </w:r>
      <w:r w:rsidR="005D2025">
        <w:t xml:space="preserve"> [11]</w:t>
      </w:r>
      <w:r w:rsidR="00881123">
        <w:t>, which would likely be impractical at the small scales involve</w:t>
      </w:r>
      <w:r w:rsidR="004B474B">
        <w:t>d</w:t>
      </w:r>
      <w:r w:rsidR="00881123">
        <w:t xml:space="preserve"> in SLS model testing. </w:t>
      </w:r>
    </w:p>
    <w:p w14:paraId="0C488D4D" w14:textId="56617061" w:rsidR="00397781" w:rsidRDefault="00397781" w:rsidP="00397781">
      <w:pPr>
        <w:tabs>
          <w:tab w:val="left" w:pos="288"/>
        </w:tabs>
      </w:pPr>
    </w:p>
    <w:p w14:paraId="732115EC" w14:textId="0B476360" w:rsidR="00397781" w:rsidRDefault="00397781" w:rsidP="00397781">
      <w:pPr>
        <w:tabs>
          <w:tab w:val="left" w:pos="288"/>
        </w:tabs>
        <w:jc w:val="center"/>
      </w:pPr>
      <w:r w:rsidRPr="00397781">
        <w:rPr>
          <w:noProof/>
        </w:rPr>
        <w:lastRenderedPageBreak/>
        <w:drawing>
          <wp:inline distT="0" distB="0" distL="0" distR="0" wp14:anchorId="7014DF81" wp14:editId="6BCF5045">
            <wp:extent cx="1981372" cy="2712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81372" cy="2712955"/>
                    </a:xfrm>
                    <a:prstGeom prst="rect">
                      <a:avLst/>
                    </a:prstGeom>
                  </pic:spPr>
                </pic:pic>
              </a:graphicData>
            </a:graphic>
          </wp:inline>
        </w:drawing>
      </w:r>
    </w:p>
    <w:p w14:paraId="3B0F9138" w14:textId="12EEC1C0" w:rsidR="00397781" w:rsidRPr="00F565BA" w:rsidRDefault="00397781" w:rsidP="00397781">
      <w:pPr>
        <w:spacing w:before="120" w:after="120"/>
        <w:jc w:val="center"/>
        <w:rPr>
          <w:b/>
        </w:rPr>
      </w:pPr>
      <w:r w:rsidRPr="00F565BA">
        <w:rPr>
          <w:b/>
        </w:rPr>
        <w:t xml:space="preserve">Fig. </w:t>
      </w:r>
      <w:r>
        <w:rPr>
          <w:b/>
        </w:rPr>
        <w:t>4</w:t>
      </w:r>
      <w:r w:rsidRPr="00F565BA">
        <w:rPr>
          <w:b/>
        </w:rPr>
        <w:tab/>
      </w:r>
      <w:r>
        <w:rPr>
          <w:b/>
        </w:rPr>
        <w:t>Laskin nozzle diagram</w:t>
      </w:r>
      <w:r w:rsidR="002F3DB2">
        <w:rPr>
          <w:b/>
        </w:rPr>
        <w:t xml:space="preserve"> [5]</w:t>
      </w:r>
      <w:r>
        <w:rPr>
          <w:b/>
        </w:rPr>
        <w:t>.</w:t>
      </w:r>
    </w:p>
    <w:p w14:paraId="2442036D" w14:textId="77777777" w:rsidR="00397781" w:rsidRDefault="00397781" w:rsidP="00397781">
      <w:pPr>
        <w:tabs>
          <w:tab w:val="left" w:pos="288"/>
        </w:tabs>
      </w:pPr>
    </w:p>
    <w:p w14:paraId="257AEE59" w14:textId="7342C9B1" w:rsidR="00881123" w:rsidRDefault="00881123" w:rsidP="00F565BA">
      <w:pPr>
        <w:tabs>
          <w:tab w:val="left" w:pos="288"/>
        </w:tabs>
        <w:ind w:firstLine="288"/>
      </w:pPr>
      <w:r>
        <w:t xml:space="preserve">With apparently minimal literature on seed delivery at small scales, it was concluded that </w:t>
      </w:r>
      <w:r w:rsidR="00397781">
        <w:t>some new technique would need to be developed.</w:t>
      </w:r>
      <w:r w:rsidR="008F6C1E">
        <w:t xml:space="preserve"> </w:t>
      </w:r>
      <w:r w:rsidR="004B3ECC">
        <w:t xml:space="preserve">In seeking a method that would minimize reliance on moving parts or pre-existing machines, this study explored the use of a Venturi contraction to draw out seed from a reservoir of liquid. If the channel leading to the BSM was equipped with a Venturi contraction whose </w:t>
      </w:r>
      <w:r w:rsidR="00342D95">
        <w:t xml:space="preserve">subsonic </w:t>
      </w:r>
      <w:r w:rsidR="004B3ECC">
        <w:t xml:space="preserve">throat was connected to the reservoir, and both the reservoir and channel were fed the same total pressure, the small static pressure drop at the Venturi throat would cause the liquid to move from the reservoir into the channel. </w:t>
      </w:r>
      <w:r w:rsidR="00160619">
        <w:t xml:space="preserve">Additionally, it was determined that shear forces in the BSM channel, particularly in the nozzle, would break apart the seed liquid into fine droplets in similar fashion to Laskin nozzles. Thus, such a system would </w:t>
      </w:r>
      <w:r w:rsidR="00713D38">
        <w:t xml:space="preserve">hypothetically </w:t>
      </w:r>
      <w:r w:rsidR="00160619">
        <w:t xml:space="preserve">satisfy both particle generation and particle </w:t>
      </w:r>
      <w:r w:rsidR="00713D38">
        <w:t xml:space="preserve">dispersal </w:t>
      </w:r>
      <w:r w:rsidR="00160619">
        <w:t xml:space="preserve">needs. A particular advantage of this method was its simplicity and the ease with which it could be implemented into the existing SLS test at the UPWT; the tubing could be made quite small and fit within SRB models themselves. </w:t>
      </w:r>
      <w:r w:rsidR="0026157A">
        <w:t>Figure 5 shows a basic diagram of the concept; note that the same total pressure is fed to both the BSM channel and the seed liquid reservoir. The liquid is depicted as being sheared into particles, most notably in the nozzle itself (mitigating any concerns of a film building up along the length of the channel).</w:t>
      </w:r>
    </w:p>
    <w:p w14:paraId="23BB8B42" w14:textId="6CDA20F1" w:rsidR="0026157A" w:rsidRDefault="0026157A" w:rsidP="0026157A">
      <w:pPr>
        <w:tabs>
          <w:tab w:val="left" w:pos="288"/>
        </w:tabs>
      </w:pPr>
    </w:p>
    <w:p w14:paraId="072E9FB6" w14:textId="5DCE0E5A" w:rsidR="0026157A" w:rsidRDefault="009E63EE" w:rsidP="009E63EE">
      <w:pPr>
        <w:tabs>
          <w:tab w:val="left" w:pos="288"/>
        </w:tabs>
        <w:jc w:val="center"/>
      </w:pPr>
      <w:r w:rsidRPr="009E63EE">
        <w:rPr>
          <w:noProof/>
        </w:rPr>
        <w:drawing>
          <wp:inline distT="0" distB="0" distL="0" distR="0" wp14:anchorId="45098782" wp14:editId="30633B2E">
            <wp:extent cx="5907247" cy="2476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73079" cy="2504099"/>
                    </a:xfrm>
                    <a:prstGeom prst="rect">
                      <a:avLst/>
                    </a:prstGeom>
                  </pic:spPr>
                </pic:pic>
              </a:graphicData>
            </a:graphic>
          </wp:inline>
        </w:drawing>
      </w:r>
    </w:p>
    <w:p w14:paraId="09F1F435" w14:textId="793829D1" w:rsidR="0026157A" w:rsidRPr="00F565BA" w:rsidRDefault="0026157A" w:rsidP="0026157A">
      <w:pPr>
        <w:spacing w:before="120" w:after="120"/>
        <w:jc w:val="center"/>
        <w:rPr>
          <w:b/>
        </w:rPr>
      </w:pPr>
      <w:r w:rsidRPr="00F565BA">
        <w:rPr>
          <w:b/>
        </w:rPr>
        <w:t xml:space="preserve">Fig. </w:t>
      </w:r>
      <w:r>
        <w:rPr>
          <w:b/>
        </w:rPr>
        <w:t>5</w:t>
      </w:r>
      <w:r w:rsidRPr="00F565BA">
        <w:rPr>
          <w:b/>
        </w:rPr>
        <w:tab/>
      </w:r>
      <w:r>
        <w:rPr>
          <w:b/>
        </w:rPr>
        <w:t>Venturi seeding concept diagram.</w:t>
      </w:r>
    </w:p>
    <w:p w14:paraId="1757E7FF" w14:textId="7884B187" w:rsidR="0026157A" w:rsidRDefault="0026157A" w:rsidP="0026157A">
      <w:pPr>
        <w:tabs>
          <w:tab w:val="left" w:pos="288"/>
        </w:tabs>
      </w:pPr>
    </w:p>
    <w:p w14:paraId="358230BC" w14:textId="3BC35B6D" w:rsidR="00160619" w:rsidRDefault="00DF4533" w:rsidP="00F565BA">
      <w:pPr>
        <w:tabs>
          <w:tab w:val="left" w:pos="288"/>
        </w:tabs>
        <w:ind w:firstLine="288"/>
      </w:pPr>
      <w:r>
        <w:lastRenderedPageBreak/>
        <w:t xml:space="preserve">Sizing the Venturi contraction </w:t>
      </w:r>
      <w:r w:rsidR="001C5113">
        <w:t xml:space="preserve">was a challenge, as the authors could identify very little existing engineering data to </w:t>
      </w:r>
      <w:r w:rsidR="006E53C4">
        <w:t xml:space="preserve">link </w:t>
      </w:r>
      <w:r w:rsidR="001C5113">
        <w:t>design</w:t>
      </w:r>
      <w:r w:rsidR="006E53C4">
        <w:t xml:space="preserve"> parameters to particle size, concentration and liquid flow rates</w:t>
      </w:r>
      <w:r>
        <w:t xml:space="preserve">. </w:t>
      </w:r>
      <w:r w:rsidR="003E3FA6">
        <w:t xml:space="preserve">A previous study has compared the </w:t>
      </w:r>
      <w:r w:rsidR="002E6F25">
        <w:t xml:space="preserve">gauge </w:t>
      </w:r>
      <w:r w:rsidR="003E3FA6">
        <w:t xml:space="preserve">pressure of compressed air within a Laskin nozzle and the resulting seed flow rate </w:t>
      </w:r>
      <w:r w:rsidR="005D2025">
        <w:t>[6]</w:t>
      </w:r>
      <w:r w:rsidR="002E6F25">
        <w:t xml:space="preserve">; the study examined air pressures of 5-40 psig. A pressure difference of around </w:t>
      </w:r>
      <w:r w:rsidR="00EC7113">
        <w:t xml:space="preserve">10 </w:t>
      </w:r>
      <w:r w:rsidR="002E6F25">
        <w:t xml:space="preserve">psi was </w:t>
      </w:r>
      <w:r w:rsidR="008427FA">
        <w:t>selected for sizing analysis, in order to keep seed flow rates somewhat limited. Assuming a perfect gas</w:t>
      </w:r>
      <w:r w:rsidR="00EC7113">
        <w:t xml:space="preserve"> with a total pressure at the top of the given range (1500 psia), standard isentropic relations and the Area-Mach relationship dictated that the area of the Venturi throat be </w:t>
      </w:r>
      <w:r w:rsidR="00B45E7B">
        <w:t xml:space="preserve">about </w:t>
      </w:r>
      <w:r w:rsidR="00EC7113">
        <w:t>1/7 the area outside of the throat.</w:t>
      </w:r>
      <w:r w:rsidR="008427FA">
        <w:t xml:space="preserve"> </w:t>
      </w:r>
    </w:p>
    <w:p w14:paraId="730C1261" w14:textId="3C05F034" w:rsidR="00C233BE" w:rsidRDefault="00C233BE" w:rsidP="00F565BA">
      <w:pPr>
        <w:tabs>
          <w:tab w:val="left" w:pos="288"/>
        </w:tabs>
        <w:ind w:firstLine="288"/>
      </w:pPr>
      <w:r>
        <w:t xml:space="preserve">It was also important to select a fluid to serve as the seed liquid. A concern noted by NASA Langley was the potential for below-freezing temperatures and frost buildup </w:t>
      </w:r>
      <w:r w:rsidR="00706B4A">
        <w:t xml:space="preserve">near the nozzle </w:t>
      </w:r>
      <w:r>
        <w:t xml:space="preserve">if water was chosen as the liquid. </w:t>
      </w:r>
      <w:r w:rsidR="00A16FFE">
        <w:t xml:space="preserve">If this happened, frost may accumulate and block off a portion of the nozzle flow. </w:t>
      </w:r>
      <w:r>
        <w:t xml:space="preserve">This possibility was examined </w:t>
      </w:r>
      <w:r w:rsidR="00326BB3">
        <w:t xml:space="preserve">by determining the adiabatic wall temperature </w:t>
      </w:r>
      <w:r>
        <w:t xml:space="preserve">the adiabatic wall temperature of a surface exposed to a fluid flow </w:t>
      </w:r>
      <w:r w:rsidR="005D2025">
        <w:t>[12]</w:t>
      </w:r>
      <w:r w:rsidR="008E5A3B">
        <w:t>,</w:t>
      </w:r>
    </w:p>
    <w:p w14:paraId="15798B2E" w14:textId="72DD0FEA" w:rsidR="000064CA" w:rsidRDefault="000064CA" w:rsidP="000064CA">
      <w:pPr>
        <w:tabs>
          <w:tab w:val="left" w:pos="288"/>
        </w:tabs>
      </w:pPr>
    </w:p>
    <w:p w14:paraId="35F83431" w14:textId="139CD432" w:rsidR="000064CA" w:rsidRPr="00FA55D0" w:rsidRDefault="00BC62DD" w:rsidP="000064CA">
      <w:pPr>
        <w:pStyle w:val="Caption"/>
        <w:jc w:val="right"/>
        <w:rPr>
          <w:b w:val="0"/>
          <w:bCs/>
        </w:rPr>
      </w:pPr>
      <m:oMath>
        <m:sSub>
          <m:sSubPr>
            <m:ctrlPr>
              <w:rPr>
                <w:rFonts w:ascii="Cambria Math" w:hAnsi="Cambria Math"/>
                <w:b w:val="0"/>
                <w:bCs/>
                <w:i/>
                <w:iCs/>
                <w:color w:val="000000" w:themeColor="text1"/>
                <w:sz w:val="28"/>
                <w:szCs w:val="28"/>
              </w:rPr>
            </m:ctrlPr>
          </m:sSubPr>
          <m:e>
            <m:r>
              <m:rPr>
                <m:sty m:val="bi"/>
              </m:rPr>
              <w:rPr>
                <w:rFonts w:ascii="Cambria Math" w:hAnsi="Cambria Math"/>
                <w:color w:val="000000" w:themeColor="text1"/>
                <w:sz w:val="28"/>
                <w:szCs w:val="28"/>
              </w:rPr>
              <m:t>T</m:t>
            </m:r>
          </m:e>
          <m:sub>
            <m:r>
              <m:rPr>
                <m:sty m:val="bi"/>
              </m:rPr>
              <w:rPr>
                <w:rFonts w:ascii="Cambria Math" w:hAnsi="Cambria Math"/>
                <w:color w:val="000000" w:themeColor="text1"/>
                <w:sz w:val="28"/>
                <w:szCs w:val="28"/>
              </w:rPr>
              <m:t>wall</m:t>
            </m:r>
          </m:sub>
        </m:sSub>
        <m:r>
          <m:rPr>
            <m:sty m:val="bi"/>
          </m:rPr>
          <w:rPr>
            <w:rFonts w:ascii="Cambria Math" w:hAnsi="Cambria Math"/>
            <w:color w:val="000000" w:themeColor="text1"/>
            <w:sz w:val="28"/>
            <w:szCs w:val="28"/>
          </w:rPr>
          <m:t>=</m:t>
        </m:r>
        <m:f>
          <m:fPr>
            <m:ctrlPr>
              <w:rPr>
                <w:rFonts w:ascii="Cambria Math" w:hAnsi="Cambria Math"/>
                <w:b w:val="0"/>
                <w:bCs/>
                <w:i/>
                <w:iCs/>
                <w:color w:val="000000" w:themeColor="text1"/>
                <w:sz w:val="28"/>
                <w:szCs w:val="28"/>
              </w:rPr>
            </m:ctrlPr>
          </m:fPr>
          <m:num>
            <m:sSub>
              <m:sSubPr>
                <m:ctrlPr>
                  <w:rPr>
                    <w:rFonts w:ascii="Cambria Math" w:hAnsi="Cambria Math"/>
                    <w:b w:val="0"/>
                    <w:bCs/>
                    <w:i/>
                    <w:iCs/>
                    <w:color w:val="000000" w:themeColor="text1"/>
                    <w:sz w:val="28"/>
                    <w:szCs w:val="28"/>
                  </w:rPr>
                </m:ctrlPr>
              </m:sSubPr>
              <m:e>
                <m:r>
                  <m:rPr>
                    <m:sty m:val="bi"/>
                  </m:rPr>
                  <w:rPr>
                    <w:rFonts w:ascii="Cambria Math" w:hAnsi="Cambria Math"/>
                    <w:color w:val="000000" w:themeColor="text1"/>
                    <w:sz w:val="28"/>
                    <w:szCs w:val="28"/>
                  </w:rPr>
                  <m:t>T</m:t>
                </m:r>
              </m:e>
              <m:sub>
                <m:r>
                  <m:rPr>
                    <m:sty m:val="bi"/>
                  </m:rPr>
                  <w:rPr>
                    <w:rFonts w:ascii="Cambria Math" w:hAnsi="Cambria Math"/>
                    <w:color w:val="000000" w:themeColor="text1"/>
                    <w:sz w:val="28"/>
                    <w:szCs w:val="28"/>
                  </w:rPr>
                  <m:t>0</m:t>
                </m:r>
              </m:sub>
            </m:sSub>
            <m:d>
              <m:dPr>
                <m:ctrlPr>
                  <w:rPr>
                    <w:rFonts w:ascii="Cambria Math" w:hAnsi="Cambria Math"/>
                    <w:b w:val="0"/>
                    <w:bCs/>
                    <w:i/>
                    <w:iCs/>
                    <w:color w:val="000000" w:themeColor="text1"/>
                    <w:sz w:val="28"/>
                    <w:szCs w:val="28"/>
                  </w:rPr>
                </m:ctrlPr>
              </m:dPr>
              <m:e>
                <m:r>
                  <m:rPr>
                    <m:sty m:val="bi"/>
                  </m:rPr>
                  <w:rPr>
                    <w:rFonts w:ascii="Cambria Math" w:hAnsi="Cambria Math"/>
                    <w:color w:val="000000" w:themeColor="text1"/>
                    <w:sz w:val="28"/>
                    <w:szCs w:val="28"/>
                  </w:rPr>
                  <m:t>1+r</m:t>
                </m:r>
                <m:f>
                  <m:fPr>
                    <m:ctrlPr>
                      <w:rPr>
                        <w:rFonts w:ascii="Cambria Math" w:hAnsi="Cambria Math"/>
                        <w:b w:val="0"/>
                        <w:bCs/>
                        <w:i/>
                        <w:iCs/>
                        <w:color w:val="000000" w:themeColor="text1"/>
                        <w:sz w:val="28"/>
                        <w:szCs w:val="28"/>
                      </w:rPr>
                    </m:ctrlPr>
                  </m:fPr>
                  <m:num>
                    <m:r>
                      <m:rPr>
                        <m:sty m:val="bi"/>
                      </m:rPr>
                      <w:rPr>
                        <w:rFonts w:ascii="Cambria Math" w:hAnsi="Cambria Math"/>
                        <w:color w:val="000000" w:themeColor="text1"/>
                        <w:sz w:val="28"/>
                        <w:szCs w:val="28"/>
                      </w:rPr>
                      <m:t>γ-1</m:t>
                    </m:r>
                  </m:num>
                  <m:den>
                    <m:r>
                      <m:rPr>
                        <m:sty m:val="bi"/>
                      </m:rPr>
                      <w:rPr>
                        <w:rFonts w:ascii="Cambria Math" w:hAnsi="Cambria Math"/>
                        <w:color w:val="000000" w:themeColor="text1"/>
                        <w:sz w:val="28"/>
                        <w:szCs w:val="28"/>
                      </w:rPr>
                      <m:t>2</m:t>
                    </m:r>
                  </m:den>
                </m:f>
                <m:sSup>
                  <m:sSupPr>
                    <m:ctrlPr>
                      <w:rPr>
                        <w:rFonts w:ascii="Cambria Math" w:hAnsi="Cambria Math"/>
                        <w:b w:val="0"/>
                        <w:bCs/>
                        <w:i/>
                        <w:iCs/>
                        <w:color w:val="000000" w:themeColor="text1"/>
                        <w:sz w:val="28"/>
                        <w:szCs w:val="28"/>
                      </w:rPr>
                    </m:ctrlPr>
                  </m:sSupPr>
                  <m:e>
                    <m:r>
                      <m:rPr>
                        <m:sty m:val="bi"/>
                      </m:rPr>
                      <w:rPr>
                        <w:rFonts w:ascii="Cambria Math" w:hAnsi="Cambria Math"/>
                        <w:color w:val="000000" w:themeColor="text1"/>
                        <w:sz w:val="28"/>
                        <w:szCs w:val="28"/>
                      </w:rPr>
                      <m:t>M</m:t>
                    </m:r>
                  </m:e>
                  <m:sup>
                    <m:r>
                      <m:rPr>
                        <m:sty m:val="bi"/>
                      </m:rPr>
                      <w:rPr>
                        <w:rFonts w:ascii="Cambria Math" w:hAnsi="Cambria Math"/>
                        <w:color w:val="000000" w:themeColor="text1"/>
                        <w:sz w:val="28"/>
                        <w:szCs w:val="28"/>
                      </w:rPr>
                      <m:t>2</m:t>
                    </m:r>
                  </m:sup>
                </m:sSup>
              </m:e>
            </m:d>
          </m:num>
          <m:den>
            <m:r>
              <m:rPr>
                <m:sty m:val="bi"/>
              </m:rPr>
              <w:rPr>
                <w:rFonts w:ascii="Cambria Math" w:hAnsi="Cambria Math"/>
                <w:color w:val="000000" w:themeColor="text1"/>
                <w:sz w:val="28"/>
                <w:szCs w:val="28"/>
              </w:rPr>
              <m:t>1+</m:t>
            </m:r>
            <m:f>
              <m:fPr>
                <m:ctrlPr>
                  <w:rPr>
                    <w:rFonts w:ascii="Cambria Math" w:hAnsi="Cambria Math"/>
                    <w:b w:val="0"/>
                    <w:bCs/>
                    <w:i/>
                    <w:iCs/>
                    <w:color w:val="000000" w:themeColor="text1"/>
                    <w:sz w:val="28"/>
                    <w:szCs w:val="28"/>
                  </w:rPr>
                </m:ctrlPr>
              </m:fPr>
              <m:num>
                <m:r>
                  <m:rPr>
                    <m:sty m:val="bi"/>
                  </m:rPr>
                  <w:rPr>
                    <w:rFonts w:ascii="Cambria Math" w:hAnsi="Cambria Math"/>
                    <w:color w:val="000000" w:themeColor="text1"/>
                    <w:sz w:val="28"/>
                    <w:szCs w:val="28"/>
                  </w:rPr>
                  <m:t>γ-1</m:t>
                </m:r>
              </m:num>
              <m:den>
                <m:r>
                  <m:rPr>
                    <m:sty m:val="bi"/>
                  </m:rPr>
                  <w:rPr>
                    <w:rFonts w:ascii="Cambria Math" w:hAnsi="Cambria Math"/>
                    <w:color w:val="000000" w:themeColor="text1"/>
                    <w:sz w:val="28"/>
                    <w:szCs w:val="28"/>
                  </w:rPr>
                  <m:t>2</m:t>
                </m:r>
              </m:den>
            </m:f>
            <m:sSup>
              <m:sSupPr>
                <m:ctrlPr>
                  <w:rPr>
                    <w:rFonts w:ascii="Cambria Math" w:hAnsi="Cambria Math"/>
                    <w:b w:val="0"/>
                    <w:bCs/>
                    <w:i/>
                    <w:iCs/>
                    <w:color w:val="000000" w:themeColor="text1"/>
                    <w:sz w:val="28"/>
                    <w:szCs w:val="28"/>
                  </w:rPr>
                </m:ctrlPr>
              </m:sSupPr>
              <m:e>
                <m:r>
                  <m:rPr>
                    <m:sty m:val="bi"/>
                  </m:rPr>
                  <w:rPr>
                    <w:rFonts w:ascii="Cambria Math" w:hAnsi="Cambria Math"/>
                    <w:color w:val="000000" w:themeColor="text1"/>
                    <w:sz w:val="28"/>
                    <w:szCs w:val="28"/>
                  </w:rPr>
                  <m:t>M</m:t>
                </m:r>
              </m:e>
              <m:sup>
                <m:r>
                  <m:rPr>
                    <m:sty m:val="bi"/>
                  </m:rPr>
                  <w:rPr>
                    <w:rFonts w:ascii="Cambria Math" w:hAnsi="Cambria Math"/>
                    <w:color w:val="000000" w:themeColor="text1"/>
                    <w:sz w:val="28"/>
                    <w:szCs w:val="28"/>
                  </w:rPr>
                  <m:t>2</m:t>
                </m:r>
              </m:sup>
            </m:sSup>
          </m:den>
        </m:f>
      </m:oMath>
      <w:r w:rsidR="000064CA" w:rsidRPr="00FA55D0">
        <w:rPr>
          <w:rFonts w:eastAsiaTheme="minorEastAsia"/>
          <w:b w:val="0"/>
          <w:bCs/>
          <w:color w:val="000000" w:themeColor="text1"/>
          <w:sz w:val="24"/>
          <w:szCs w:val="24"/>
        </w:rPr>
        <w:tab/>
      </w:r>
      <w:r w:rsidR="000064CA" w:rsidRPr="00FA55D0">
        <w:rPr>
          <w:rFonts w:eastAsiaTheme="minorEastAsia"/>
          <w:b w:val="0"/>
          <w:bCs/>
          <w:color w:val="000000" w:themeColor="text1"/>
          <w:sz w:val="24"/>
          <w:szCs w:val="24"/>
        </w:rPr>
        <w:tab/>
      </w:r>
      <w:r w:rsidR="000064CA" w:rsidRPr="00FA55D0">
        <w:rPr>
          <w:rFonts w:eastAsiaTheme="minorEastAsia"/>
          <w:b w:val="0"/>
          <w:bCs/>
          <w:color w:val="000000" w:themeColor="text1"/>
          <w:sz w:val="24"/>
          <w:szCs w:val="24"/>
        </w:rPr>
        <w:tab/>
      </w:r>
      <w:r w:rsidR="000064CA" w:rsidRPr="00FA55D0">
        <w:rPr>
          <w:rFonts w:eastAsiaTheme="minorEastAsia"/>
          <w:b w:val="0"/>
          <w:bCs/>
          <w:color w:val="000000" w:themeColor="text1"/>
          <w:sz w:val="24"/>
          <w:szCs w:val="24"/>
        </w:rPr>
        <w:tab/>
      </w:r>
      <w:r w:rsidR="000064CA" w:rsidRPr="00FA55D0">
        <w:rPr>
          <w:rFonts w:eastAsiaTheme="minorEastAsia"/>
          <w:b w:val="0"/>
          <w:bCs/>
          <w:color w:val="000000" w:themeColor="text1"/>
          <w:sz w:val="24"/>
          <w:szCs w:val="24"/>
        </w:rPr>
        <w:tab/>
      </w:r>
      <w:r w:rsidR="000064CA" w:rsidRPr="00FA55D0">
        <w:rPr>
          <w:rFonts w:eastAsiaTheme="minorEastAsia"/>
          <w:b w:val="0"/>
          <w:bCs/>
          <w:color w:val="000000" w:themeColor="text1"/>
          <w:sz w:val="24"/>
          <w:szCs w:val="24"/>
        </w:rPr>
        <w:tab/>
      </w:r>
      <w:r w:rsidR="000064CA" w:rsidRPr="00FA55D0">
        <w:rPr>
          <w:rFonts w:eastAsiaTheme="minorEastAsia"/>
          <w:b w:val="0"/>
          <w:bCs/>
          <w:color w:val="000000" w:themeColor="text1"/>
          <w:sz w:val="24"/>
          <w:szCs w:val="24"/>
        </w:rPr>
        <w:tab/>
      </w:r>
      <w:r w:rsidR="000064CA" w:rsidRPr="00FA55D0">
        <w:rPr>
          <w:rFonts w:eastAsiaTheme="minorEastAsia"/>
          <w:b w:val="0"/>
          <w:bCs/>
          <w:color w:val="000000" w:themeColor="text1"/>
          <w:sz w:val="24"/>
          <w:szCs w:val="24"/>
        </w:rPr>
        <w:tab/>
      </w:r>
      <w:r w:rsidR="000064CA" w:rsidRPr="00FA55D0">
        <w:rPr>
          <w:rFonts w:eastAsiaTheme="minorEastAsia"/>
          <w:b w:val="0"/>
          <w:bCs/>
          <w:color w:val="000000" w:themeColor="text1"/>
          <w:sz w:val="24"/>
          <w:szCs w:val="24"/>
        </w:rPr>
        <w:tab/>
      </w:r>
      <w:r w:rsidR="000064CA" w:rsidRPr="00FA55D0">
        <w:rPr>
          <w:rFonts w:eastAsiaTheme="minorEastAsia"/>
          <w:b w:val="0"/>
          <w:bCs/>
          <w:color w:val="000000" w:themeColor="text1"/>
          <w:sz w:val="24"/>
          <w:szCs w:val="24"/>
        </w:rPr>
        <w:tab/>
      </w:r>
      <w:r w:rsidR="000064CA" w:rsidRPr="00FA55D0">
        <w:rPr>
          <w:rFonts w:eastAsiaTheme="minorEastAsia"/>
          <w:b w:val="0"/>
          <w:bCs/>
          <w:color w:val="000000" w:themeColor="text1"/>
          <w:sz w:val="24"/>
          <w:szCs w:val="24"/>
        </w:rPr>
        <w:tab/>
      </w:r>
      <w:r w:rsidR="000064CA" w:rsidRPr="00FA55D0">
        <w:rPr>
          <w:b w:val="0"/>
          <w:bCs/>
        </w:rPr>
        <w:t xml:space="preserve">( </w:t>
      </w:r>
      <w:r w:rsidR="00A6602C" w:rsidRPr="00FA55D0">
        <w:rPr>
          <w:b w:val="0"/>
          <w:bCs/>
        </w:rPr>
        <w:fldChar w:fldCharType="begin"/>
      </w:r>
      <w:r w:rsidR="00A6602C" w:rsidRPr="00FA55D0">
        <w:rPr>
          <w:b w:val="0"/>
          <w:bCs/>
        </w:rPr>
        <w:instrText xml:space="preserve"> SEQ ( \* ARABIC </w:instrText>
      </w:r>
      <w:r w:rsidR="00A6602C" w:rsidRPr="00FA55D0">
        <w:rPr>
          <w:b w:val="0"/>
          <w:bCs/>
        </w:rPr>
        <w:fldChar w:fldCharType="separate"/>
      </w:r>
      <w:r w:rsidR="000064CA" w:rsidRPr="00FA55D0">
        <w:rPr>
          <w:b w:val="0"/>
          <w:bCs/>
          <w:noProof/>
        </w:rPr>
        <w:t>1</w:t>
      </w:r>
      <w:r w:rsidR="00A6602C" w:rsidRPr="00FA55D0">
        <w:rPr>
          <w:b w:val="0"/>
          <w:bCs/>
          <w:noProof/>
        </w:rPr>
        <w:fldChar w:fldCharType="end"/>
      </w:r>
      <w:r w:rsidR="000064CA" w:rsidRPr="00FA55D0">
        <w:rPr>
          <w:b w:val="0"/>
          <w:bCs/>
        </w:rPr>
        <w:t xml:space="preserve"> )</w:t>
      </w:r>
    </w:p>
    <w:p w14:paraId="25B88AA8" w14:textId="2E89A7BC" w:rsidR="000064CA" w:rsidRPr="00C233BE" w:rsidRDefault="00FA55D0" w:rsidP="000064CA">
      <w:pPr>
        <w:tabs>
          <w:tab w:val="left" w:pos="288"/>
        </w:tabs>
      </w:pPr>
      <w:r>
        <w:tab/>
      </w:r>
      <w:r w:rsidR="000D513C">
        <w:t xml:space="preserve">Note that the temperature recovery factor </w:t>
      </w:r>
      <w:r w:rsidR="000D513C">
        <w:rPr>
          <w:i/>
          <w:iCs/>
        </w:rPr>
        <w:t>r</w:t>
      </w:r>
      <w:r w:rsidR="000D513C">
        <w:t xml:space="preserve"> was determined </w:t>
      </w:r>
      <w:r>
        <w:t xml:space="preserve">experimentally by Leontiey et al. </w:t>
      </w:r>
      <w:r w:rsidR="000D513C">
        <w:t>to be about 0.885 for turbulent boundary layers in supersonic flow.</w:t>
      </w:r>
      <w:r>
        <w:t xml:space="preserve"> The nozzle exit Mach number of 2.5 was used for this calculation.</w:t>
      </w:r>
    </w:p>
    <w:p w14:paraId="6BDCBA99" w14:textId="0AB52031" w:rsidR="00160619" w:rsidRDefault="00D44488" w:rsidP="00D44488">
      <w:pPr>
        <w:tabs>
          <w:tab w:val="left" w:pos="288"/>
        </w:tabs>
      </w:pPr>
      <w:r>
        <w:tab/>
        <w:t>For a total temperature of 100</w:t>
      </w:r>
      <w:r w:rsidRPr="004E740D">
        <w:t>°F</w:t>
      </w:r>
      <w:r>
        <w:t xml:space="preserve">, the lowest of the given UPWT BSM range, the adiabatic wall temperature </w:t>
      </w:r>
      <w:r w:rsidR="008362CC">
        <w:t>was</w:t>
      </w:r>
      <w:r>
        <w:t xml:space="preserve"> calculated to be 63.6</w:t>
      </w:r>
      <w:r w:rsidRPr="004E740D">
        <w:t>°F</w:t>
      </w:r>
      <w:r>
        <w:t>. However, the Advanced Propulsion and Power Lab proof-of-concept experiment was slated to occur at room temperature; for a total temperature of 65</w:t>
      </w:r>
      <w:r w:rsidRPr="004E740D">
        <w:t>°F</w:t>
      </w:r>
      <w:r>
        <w:t xml:space="preserve">, </w:t>
      </w:r>
      <w:r w:rsidR="008362CC">
        <w:t>the adiabatic wall temperature dropped to 36.</w:t>
      </w:r>
      <w:r w:rsidR="000D7C33">
        <w:t>2</w:t>
      </w:r>
      <w:r w:rsidR="008362CC" w:rsidRPr="004E740D">
        <w:t>°F</w:t>
      </w:r>
      <w:r w:rsidR="008362CC">
        <w:t>. While there appeared to be little threat of frost buildup purely from wall heat transfer, it was also important to consider the temperature drop of airflow due to its source’s pressure drop</w:t>
      </w:r>
      <w:r w:rsidR="00882283">
        <w:t>,</w:t>
      </w:r>
      <w:r w:rsidR="00FA55D0">
        <w:t xml:space="preserve"> </w:t>
      </w:r>
      <w:r w:rsidR="008362CC">
        <w:t xml:space="preserve">be that a compressor or pressure tank. This temperature drop was calculated with standard isentropic relations for various situations involving a pressure tank; for example, </w:t>
      </w:r>
      <w:r w:rsidR="00A16FFE">
        <w:t>a pressure tank supplying the airflow into the BSM may reduce from 2200 psi to 1500 psi over the course of a test run. For this pressure drop, a total temperature of 100</w:t>
      </w:r>
      <w:r w:rsidR="00A16FFE" w:rsidRPr="004E740D">
        <w:t>°F</w:t>
      </w:r>
      <w:r w:rsidR="00A16FFE">
        <w:t xml:space="preserve"> was found to fall to 41.</w:t>
      </w:r>
      <w:r w:rsidR="000D7C33">
        <w:t>2</w:t>
      </w:r>
      <w:r w:rsidR="00A16FFE" w:rsidRPr="004E740D">
        <w:t>°F</w:t>
      </w:r>
      <w:r w:rsidR="00A16FFE">
        <w:t>, while a total temperature of 65</w:t>
      </w:r>
      <w:r w:rsidR="00A16FFE" w:rsidRPr="004E740D">
        <w:t>°F</w:t>
      </w:r>
      <w:r w:rsidR="00A16FFE">
        <w:t xml:space="preserve"> fell to just 14.9</w:t>
      </w:r>
      <w:r w:rsidR="00A16FFE" w:rsidRPr="004E740D">
        <w:t>°F</w:t>
      </w:r>
      <w:r w:rsidR="00A16FFE">
        <w:t xml:space="preserve">. These temperature values were low enough that the risk of water freezing, even in the UPWT, was deemed significant. </w:t>
      </w:r>
      <w:r w:rsidR="000A4F62">
        <w:t>Instead, the oil DEHS (Di-Ethyl-Hexyl-Sebacat) was selected for its low freezing point of -54</w:t>
      </w:r>
      <w:r w:rsidR="000A4F62" w:rsidRPr="004E740D">
        <w:t>°F</w:t>
      </w:r>
      <w:r w:rsidR="000A4F62">
        <w:t xml:space="preserve"> and its negligible health risks. </w:t>
      </w:r>
    </w:p>
    <w:p w14:paraId="4BCD456F" w14:textId="77777777" w:rsidR="00160619" w:rsidRPr="004E740D" w:rsidRDefault="00160619" w:rsidP="00F565BA">
      <w:pPr>
        <w:tabs>
          <w:tab w:val="left" w:pos="288"/>
        </w:tabs>
        <w:ind w:firstLine="288"/>
      </w:pPr>
    </w:p>
    <w:p w14:paraId="6F5DAD24" w14:textId="09B47547" w:rsidR="00F565BA" w:rsidRPr="00F565BA" w:rsidRDefault="00C54379"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Experimental Methods</w:t>
      </w:r>
    </w:p>
    <w:p w14:paraId="77C829E6" w14:textId="147D995C" w:rsidR="00C54379" w:rsidRDefault="009631CF" w:rsidP="00C54379">
      <w:pPr>
        <w:tabs>
          <w:tab w:val="left" w:pos="288"/>
        </w:tabs>
        <w:ind w:firstLine="288"/>
      </w:pPr>
      <w:r>
        <w:t xml:space="preserve">As described earlier, </w:t>
      </w:r>
      <w:r w:rsidR="002B40EB">
        <w:t xml:space="preserve">a Venturi contraction seed delivery concept was selected, with natural shearing forces providing the necessary particle generation. </w:t>
      </w:r>
      <w:r w:rsidR="00C50C67">
        <w:t xml:space="preserve">This concept involved the Venturi contraction as well as a seed reservoir, nozzle, and pressurized gas source. </w:t>
      </w:r>
      <w:r w:rsidR="002B40EB">
        <w:t xml:space="preserve">In the interest of minimizing size and making implementation within the SLS model easier, 1/8 in. OD aluminum tubing (0.085 in. ID) was selected to form the throat of the Venturi contraction. The calculated area ratio dictated a channel diameter of close to 0.225 in., </w:t>
      </w:r>
      <w:r w:rsidR="00C9768E">
        <w:t xml:space="preserve">and thus 3/8 in. OD aluminum tubing (0.245 in. ID) was chosen. </w:t>
      </w:r>
    </w:p>
    <w:p w14:paraId="7AA312C7" w14:textId="1A252792" w:rsidR="00C9768E" w:rsidRDefault="00C9768E" w:rsidP="00C54379">
      <w:pPr>
        <w:tabs>
          <w:tab w:val="left" w:pos="288"/>
        </w:tabs>
        <w:ind w:firstLine="288"/>
      </w:pPr>
      <w:r>
        <w:t>Th</w:t>
      </w:r>
      <w:r w:rsidR="00D37A08">
        <w:t>e</w:t>
      </w:r>
      <w:r w:rsidRPr="00C9768E">
        <w:t xml:space="preserve"> tubing and Swagelok components comprised the bulk of the rig. The Venturi contraction was simply two Swagelok reducers that sandwiched the 1/8 in. tube between 3/8 in. tubes. The reservoir was constructed using a large piece of NPT pipe capped at one end, with a tee allowing for pressure to be fed in and seed to be ejected out. A compressed nitrogen tank was used to supply the desired pressures to the rig, with flexible high-pressure hosing forming the tank’s connections. Figure </w:t>
      </w:r>
      <w:r w:rsidR="00C50C67">
        <w:t>6</w:t>
      </w:r>
      <w:r w:rsidRPr="00C9768E">
        <w:t xml:space="preserve"> shows a side-view diagram of this design; note the nitrogen tank connected to both the BSM channel and seed reservoir. The reservoir and channel were side-by-side on the same surface, with the connection between them being an arc-shaped tube. That tube descended all the way into the seed reservoir, so as to draw out as much liquid as possible.</w:t>
      </w:r>
    </w:p>
    <w:p w14:paraId="1A9AEF5B" w14:textId="44DD37D8" w:rsidR="00C50C67" w:rsidRDefault="00C50C67" w:rsidP="00C50C67">
      <w:pPr>
        <w:tabs>
          <w:tab w:val="left" w:pos="288"/>
        </w:tabs>
      </w:pPr>
    </w:p>
    <w:p w14:paraId="75B445BD" w14:textId="280CAE88" w:rsidR="00C50C67" w:rsidRDefault="00C50C67" w:rsidP="003F1ABA">
      <w:pPr>
        <w:tabs>
          <w:tab w:val="left" w:pos="288"/>
        </w:tabs>
        <w:jc w:val="center"/>
      </w:pPr>
      <w:r w:rsidRPr="00F910F5">
        <w:rPr>
          <w:noProof/>
          <w:sz w:val="24"/>
          <w:szCs w:val="24"/>
        </w:rPr>
        <w:lastRenderedPageBreak/>
        <w:drawing>
          <wp:inline distT="0" distB="0" distL="0" distR="0" wp14:anchorId="7617E0F4" wp14:editId="0D1DEEF9">
            <wp:extent cx="5654040" cy="2583582"/>
            <wp:effectExtent l="0" t="0" r="381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81582" cy="2596167"/>
                    </a:xfrm>
                    <a:prstGeom prst="rect">
                      <a:avLst/>
                    </a:prstGeom>
                  </pic:spPr>
                </pic:pic>
              </a:graphicData>
            </a:graphic>
          </wp:inline>
        </w:drawing>
      </w:r>
    </w:p>
    <w:p w14:paraId="057C033B" w14:textId="6EDE0A9B" w:rsidR="00C50C67" w:rsidRDefault="00C50C67" w:rsidP="00C50C67">
      <w:pPr>
        <w:spacing w:before="120" w:after="120"/>
        <w:jc w:val="center"/>
        <w:rPr>
          <w:b/>
        </w:rPr>
      </w:pPr>
      <w:r w:rsidRPr="00F565BA">
        <w:rPr>
          <w:b/>
        </w:rPr>
        <w:t xml:space="preserve">Fig. </w:t>
      </w:r>
      <w:r>
        <w:rPr>
          <w:b/>
        </w:rPr>
        <w:t>6</w:t>
      </w:r>
      <w:r w:rsidRPr="00F565BA">
        <w:rPr>
          <w:b/>
        </w:rPr>
        <w:tab/>
      </w:r>
      <w:r>
        <w:rPr>
          <w:b/>
        </w:rPr>
        <w:t>Diagram of the experiment rig.</w:t>
      </w:r>
    </w:p>
    <w:p w14:paraId="56888812" w14:textId="77777777" w:rsidR="008C63EE" w:rsidRDefault="008C63EE" w:rsidP="00C50C67">
      <w:pPr>
        <w:spacing w:before="120" w:after="120"/>
        <w:ind w:firstLine="180"/>
        <w:jc w:val="left"/>
        <w:rPr>
          <w:bCs/>
        </w:rPr>
      </w:pPr>
    </w:p>
    <w:p w14:paraId="5749E14E" w14:textId="0BF2B6BE" w:rsidR="00C50C67" w:rsidRDefault="00C50C67" w:rsidP="008C63EE">
      <w:pPr>
        <w:spacing w:before="120" w:after="120"/>
        <w:ind w:firstLine="288"/>
        <w:jc w:val="left"/>
        <w:rPr>
          <w:bCs/>
        </w:rPr>
      </w:pPr>
      <w:r w:rsidRPr="00C50C67">
        <w:rPr>
          <w:bCs/>
        </w:rPr>
        <w:t xml:space="preserve">Lastly, the nozzle was created by conically drilling into a Swagelok plug so that the throat diameter was 0.08 inches and the exit-throat area ratio was 2.64. A simple diagram of this is shown in Figure </w:t>
      </w:r>
      <w:r>
        <w:rPr>
          <w:bCs/>
        </w:rPr>
        <w:t>7</w:t>
      </w:r>
      <w:r w:rsidRPr="00C50C67">
        <w:rPr>
          <w:bCs/>
        </w:rPr>
        <w:t>, with the red region marking the conical drilling.</w:t>
      </w:r>
    </w:p>
    <w:p w14:paraId="56034013" w14:textId="77777777" w:rsidR="00C50C67" w:rsidRDefault="00C50C67" w:rsidP="00C50C67">
      <w:pPr>
        <w:spacing w:before="120" w:after="120"/>
        <w:ind w:firstLine="180"/>
        <w:jc w:val="left"/>
        <w:rPr>
          <w:bCs/>
        </w:rPr>
      </w:pPr>
    </w:p>
    <w:p w14:paraId="4D463B0F" w14:textId="2C596BCE" w:rsidR="00C50C67" w:rsidRDefault="00C50C67" w:rsidP="00C50C67">
      <w:pPr>
        <w:spacing w:before="120" w:after="120"/>
        <w:jc w:val="center"/>
        <w:rPr>
          <w:bCs/>
        </w:rPr>
      </w:pPr>
      <w:r w:rsidRPr="00C9627C">
        <w:rPr>
          <w:noProof/>
          <w:sz w:val="24"/>
          <w:szCs w:val="24"/>
        </w:rPr>
        <w:drawing>
          <wp:inline distT="0" distB="0" distL="0" distR="0" wp14:anchorId="7D898696" wp14:editId="1FFD3702">
            <wp:extent cx="2331532" cy="1440180"/>
            <wp:effectExtent l="0" t="0" r="0" b="7620"/>
            <wp:docPr id="14" name="Picture 13">
              <a:extLst xmlns:a="http://schemas.openxmlformats.org/drawingml/2006/main">
                <a:ext uri="{FF2B5EF4-FFF2-40B4-BE49-F238E27FC236}">
                  <a16:creationId xmlns:a16="http://schemas.microsoft.com/office/drawing/2014/main" id="{1F4B0490-CB41-4D27-AA3A-4072F842DD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F4B0490-CB41-4D27-AA3A-4072F842DDA7}"/>
                        </a:ext>
                      </a:extLst>
                    </pic:cNvPr>
                    <pic:cNvPicPr>
                      <a:picLocks noChangeAspect="1"/>
                    </pic:cNvPicPr>
                  </pic:nvPicPr>
                  <pic:blipFill>
                    <a:blip r:embed="rId17"/>
                    <a:stretch>
                      <a:fillRect/>
                    </a:stretch>
                  </pic:blipFill>
                  <pic:spPr>
                    <a:xfrm>
                      <a:off x="0" y="0"/>
                      <a:ext cx="2411230" cy="1489409"/>
                    </a:xfrm>
                    <a:prstGeom prst="rect">
                      <a:avLst/>
                    </a:prstGeom>
                  </pic:spPr>
                </pic:pic>
              </a:graphicData>
            </a:graphic>
          </wp:inline>
        </w:drawing>
      </w:r>
    </w:p>
    <w:p w14:paraId="25EC318C" w14:textId="0ACB8812" w:rsidR="00C50C67" w:rsidRDefault="00C50C67" w:rsidP="00C50C67">
      <w:pPr>
        <w:spacing w:before="120" w:after="120"/>
        <w:jc w:val="center"/>
        <w:rPr>
          <w:b/>
        </w:rPr>
      </w:pPr>
      <w:r w:rsidRPr="00F565BA">
        <w:rPr>
          <w:b/>
        </w:rPr>
        <w:t xml:space="preserve">Fig. </w:t>
      </w:r>
      <w:r>
        <w:rPr>
          <w:b/>
        </w:rPr>
        <w:t>7</w:t>
      </w:r>
      <w:r w:rsidRPr="00F565BA">
        <w:rPr>
          <w:b/>
        </w:rPr>
        <w:tab/>
      </w:r>
      <w:r>
        <w:rPr>
          <w:b/>
        </w:rPr>
        <w:t>Diagram of the nozzle, fabricated from a Swagelok SS-1-P component</w:t>
      </w:r>
      <w:r w:rsidR="00652825">
        <w:rPr>
          <w:rStyle w:val="FootnoteReference"/>
          <w:b/>
        </w:rPr>
        <w:footnoteReference w:id="5"/>
      </w:r>
      <w:r>
        <w:rPr>
          <w:b/>
        </w:rPr>
        <w:t>.</w:t>
      </w:r>
    </w:p>
    <w:p w14:paraId="0857A436" w14:textId="0E1F9B16" w:rsidR="008C63EE" w:rsidRDefault="008C63EE" w:rsidP="008C63EE">
      <w:pPr>
        <w:spacing w:before="120" w:after="120"/>
        <w:jc w:val="left"/>
        <w:rPr>
          <w:bCs/>
        </w:rPr>
      </w:pPr>
    </w:p>
    <w:p w14:paraId="6D8D6684" w14:textId="3C38E5AB" w:rsidR="008C63EE" w:rsidRDefault="003F1ABA" w:rsidP="008C63EE">
      <w:pPr>
        <w:spacing w:before="120" w:after="120"/>
        <w:jc w:val="left"/>
        <w:rPr>
          <w:bCs/>
        </w:rPr>
      </w:pPr>
      <w:r>
        <w:rPr>
          <w:bCs/>
        </w:rPr>
        <w:tab/>
        <w:t>Figure 8 is a</w:t>
      </w:r>
      <w:r w:rsidR="004D71FE">
        <w:rPr>
          <w:bCs/>
        </w:rPr>
        <w:t xml:space="preserve"> photograph </w:t>
      </w:r>
      <w:r>
        <w:rPr>
          <w:bCs/>
        </w:rPr>
        <w:t xml:space="preserve">of the </w:t>
      </w:r>
      <w:r w:rsidR="004D71FE">
        <w:rPr>
          <w:bCs/>
        </w:rPr>
        <w:t xml:space="preserve">actual </w:t>
      </w:r>
      <w:r>
        <w:rPr>
          <w:bCs/>
        </w:rPr>
        <w:t>rig after fabrication. The tank feed, BSM channel, and seed reservoir are clearly visible. Note the tall, arced segment of 1/8</w:t>
      </w:r>
      <w:r w:rsidR="0045415B">
        <w:rPr>
          <w:bCs/>
        </w:rPr>
        <w:t xml:space="preserve"> in</w:t>
      </w:r>
      <w:r w:rsidR="003A735D">
        <w:rPr>
          <w:bCs/>
        </w:rPr>
        <w:t>.</w:t>
      </w:r>
      <w:r>
        <w:rPr>
          <w:bCs/>
        </w:rPr>
        <w:t xml:space="preserve"> tubing connecting the reservoir to the Venturi contraction</w:t>
      </w:r>
      <w:r w:rsidR="0045415B">
        <w:rPr>
          <w:bCs/>
        </w:rPr>
        <w:t>:</w:t>
      </w:r>
      <w:r>
        <w:rPr>
          <w:bCs/>
        </w:rPr>
        <w:t xml:space="preserve"> this pressurized line supplied the seed to the channel flow that eventually exited through the nozzle. Several clamps were added after this picture was taken</w:t>
      </w:r>
      <w:r w:rsidR="0045415B">
        <w:rPr>
          <w:bCs/>
        </w:rPr>
        <w:t xml:space="preserve"> to better secure the rig</w:t>
      </w:r>
      <w:r>
        <w:rPr>
          <w:bCs/>
        </w:rPr>
        <w:t>.</w:t>
      </w:r>
    </w:p>
    <w:p w14:paraId="244C16AB" w14:textId="691501FF" w:rsidR="003F1ABA" w:rsidRDefault="003F1ABA" w:rsidP="008C63EE">
      <w:pPr>
        <w:spacing w:before="120" w:after="120"/>
        <w:jc w:val="left"/>
        <w:rPr>
          <w:bCs/>
        </w:rPr>
      </w:pPr>
    </w:p>
    <w:p w14:paraId="65FA8A05" w14:textId="578DE1B8" w:rsidR="005121D5" w:rsidRDefault="005121D5" w:rsidP="008C63EE">
      <w:pPr>
        <w:spacing w:before="120" w:after="120"/>
        <w:jc w:val="left"/>
        <w:rPr>
          <w:bCs/>
        </w:rPr>
      </w:pPr>
    </w:p>
    <w:p w14:paraId="79192C01" w14:textId="55BA0C3C" w:rsidR="005121D5" w:rsidRDefault="005121D5" w:rsidP="008C63EE">
      <w:pPr>
        <w:spacing w:before="120" w:after="120"/>
        <w:jc w:val="left"/>
        <w:rPr>
          <w:bCs/>
        </w:rPr>
      </w:pPr>
    </w:p>
    <w:p w14:paraId="4EC53DE6" w14:textId="7FE47A51" w:rsidR="005121D5" w:rsidRDefault="005121D5" w:rsidP="008C63EE">
      <w:pPr>
        <w:spacing w:before="120" w:after="120"/>
        <w:jc w:val="left"/>
        <w:rPr>
          <w:bCs/>
        </w:rPr>
      </w:pPr>
    </w:p>
    <w:p w14:paraId="7B35667D" w14:textId="4AA9CD5C" w:rsidR="005121D5" w:rsidRDefault="005121D5" w:rsidP="005121D5">
      <w:pPr>
        <w:spacing w:before="120" w:after="120" w:line="276" w:lineRule="auto"/>
        <w:jc w:val="left"/>
        <w:rPr>
          <w:bCs/>
        </w:rPr>
      </w:pPr>
    </w:p>
    <w:p w14:paraId="425F5E16" w14:textId="77777777" w:rsidR="003F1ABA" w:rsidRDefault="003F1ABA" w:rsidP="003F1ABA">
      <w:pPr>
        <w:spacing w:before="120" w:after="120"/>
        <w:jc w:val="center"/>
        <w:rPr>
          <w:bCs/>
        </w:rPr>
      </w:pPr>
      <w:r w:rsidRPr="00E00450">
        <w:rPr>
          <w:noProof/>
          <w:sz w:val="24"/>
          <w:szCs w:val="24"/>
        </w:rPr>
        <w:lastRenderedPageBreak/>
        <w:drawing>
          <wp:inline distT="0" distB="0" distL="0" distR="0" wp14:anchorId="69F24767" wp14:editId="0EAA1B61">
            <wp:extent cx="4792980" cy="2957207"/>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00082" cy="2961589"/>
                    </a:xfrm>
                    <a:prstGeom prst="rect">
                      <a:avLst/>
                    </a:prstGeom>
                  </pic:spPr>
                </pic:pic>
              </a:graphicData>
            </a:graphic>
          </wp:inline>
        </w:drawing>
      </w:r>
    </w:p>
    <w:p w14:paraId="05C08DC7" w14:textId="36C36C30" w:rsidR="003F1ABA" w:rsidRDefault="003F1ABA" w:rsidP="003F1ABA">
      <w:pPr>
        <w:spacing w:before="120" w:after="120"/>
        <w:jc w:val="center"/>
        <w:rPr>
          <w:b/>
        </w:rPr>
      </w:pPr>
      <w:r w:rsidRPr="00F565BA">
        <w:rPr>
          <w:b/>
        </w:rPr>
        <w:t xml:space="preserve">Fig. </w:t>
      </w:r>
      <w:r>
        <w:rPr>
          <w:b/>
        </w:rPr>
        <w:t>8</w:t>
      </w:r>
      <w:r w:rsidR="000B1BBE">
        <w:rPr>
          <w:b/>
        </w:rPr>
        <w:tab/>
      </w:r>
      <w:r w:rsidR="00487864">
        <w:rPr>
          <w:b/>
        </w:rPr>
        <w:t xml:space="preserve">The as-built </w:t>
      </w:r>
      <w:r>
        <w:rPr>
          <w:b/>
        </w:rPr>
        <w:t>experiment rig.</w:t>
      </w:r>
    </w:p>
    <w:p w14:paraId="5045A624" w14:textId="1B03844E" w:rsidR="003F1ABA" w:rsidRDefault="003F1ABA" w:rsidP="003F1ABA">
      <w:pPr>
        <w:spacing w:before="120" w:after="120"/>
        <w:jc w:val="center"/>
        <w:rPr>
          <w:b/>
        </w:rPr>
      </w:pPr>
    </w:p>
    <w:p w14:paraId="774DC82E" w14:textId="1024C4CD" w:rsidR="00160FF0" w:rsidRDefault="005D1F72" w:rsidP="000B1BBE">
      <w:pPr>
        <w:spacing w:before="120" w:after="120"/>
        <w:jc w:val="left"/>
        <w:rPr>
          <w:bCs/>
        </w:rPr>
      </w:pPr>
      <w:r>
        <w:rPr>
          <w:bCs/>
        </w:rPr>
        <w:tab/>
      </w:r>
      <w:r w:rsidR="00C75EAB">
        <w:rPr>
          <w:bCs/>
        </w:rPr>
        <w:t>L</w:t>
      </w:r>
      <w:r>
        <w:rPr>
          <w:bCs/>
        </w:rPr>
        <w:t xml:space="preserve">aser sheet visualization was </w:t>
      </w:r>
      <w:r w:rsidR="00F86C90">
        <w:rPr>
          <w:bCs/>
        </w:rPr>
        <w:t xml:space="preserve">used </w:t>
      </w:r>
      <w:r>
        <w:rPr>
          <w:bCs/>
        </w:rPr>
        <w:t xml:space="preserve">to </w:t>
      </w:r>
      <w:r w:rsidR="00F86C90">
        <w:rPr>
          <w:bCs/>
        </w:rPr>
        <w:t xml:space="preserve">assess </w:t>
      </w:r>
      <w:r>
        <w:rPr>
          <w:bCs/>
        </w:rPr>
        <w:t xml:space="preserve">the technique, as that was where the BSM problem originally became apparent. A Genesis MX-Series </w:t>
      </w:r>
      <w:r w:rsidR="00257FA0">
        <w:rPr>
          <w:bCs/>
        </w:rPr>
        <w:t xml:space="preserve">continuous wave </w:t>
      </w:r>
      <w:r>
        <w:rPr>
          <w:bCs/>
        </w:rPr>
        <w:t xml:space="preserve">laser (488 nm wavelength) was directed at an oscillating scanning mirror, creating a vertical laser sheet perpendicular to the direction of the nozzle’s jet. A Thorlabs DCC3240M camera </w:t>
      </w:r>
      <w:r w:rsidR="000B1BBE">
        <w:rPr>
          <w:bCs/>
        </w:rPr>
        <w:t>was mounted downstream</w:t>
      </w:r>
      <w:r w:rsidR="00257FA0">
        <w:rPr>
          <w:bCs/>
        </w:rPr>
        <w:t xml:space="preserve"> to capture the visualization images</w:t>
      </w:r>
      <w:r w:rsidR="00160FF0">
        <w:rPr>
          <w:bCs/>
        </w:rPr>
        <w:t xml:space="preserve">. </w:t>
      </w:r>
    </w:p>
    <w:p w14:paraId="5A158B2C" w14:textId="62AC8FA1" w:rsidR="0055113E" w:rsidRDefault="00160FF0" w:rsidP="000737DB">
      <w:pPr>
        <w:spacing w:before="120" w:after="120"/>
        <w:rPr>
          <w:bCs/>
        </w:rPr>
      </w:pPr>
      <w:r>
        <w:rPr>
          <w:bCs/>
        </w:rPr>
        <w:tab/>
        <w:t>A point of emphasis in the experiment was the ability of a user to control the volumetric flow rate of the DEHS seed</w:t>
      </w:r>
      <w:r w:rsidR="00FB6DE4">
        <w:rPr>
          <w:bCs/>
        </w:rPr>
        <w:t xml:space="preserve">; because this was a proof-of-concept study, no specific rate was </w:t>
      </w:r>
      <w:r w:rsidR="00F84BBC">
        <w:rPr>
          <w:bCs/>
        </w:rPr>
        <w:t>specified</w:t>
      </w:r>
      <w:r w:rsidR="002B3720">
        <w:rPr>
          <w:bCs/>
        </w:rPr>
        <w:t>,</w:t>
      </w:r>
      <w:r w:rsidR="00F84BBC">
        <w:rPr>
          <w:bCs/>
        </w:rPr>
        <w:t xml:space="preserve"> </w:t>
      </w:r>
      <w:r w:rsidR="00FB6DE4">
        <w:rPr>
          <w:bCs/>
        </w:rPr>
        <w:t xml:space="preserve">and it was determined that NASA </w:t>
      </w:r>
      <w:r w:rsidR="002B3720">
        <w:rPr>
          <w:bCs/>
        </w:rPr>
        <w:t xml:space="preserve">end-users </w:t>
      </w:r>
      <w:r w:rsidR="00AB3EE6">
        <w:rPr>
          <w:bCs/>
        </w:rPr>
        <w:t xml:space="preserve">should have the ability to vary the rate as they saw fit. </w:t>
      </w:r>
      <w:r>
        <w:rPr>
          <w:bCs/>
        </w:rPr>
        <w:t>The plug valve, labeled in Figure</w:t>
      </w:r>
      <w:r w:rsidR="003656F9">
        <w:rPr>
          <w:bCs/>
        </w:rPr>
        <w:t>s 6 and</w:t>
      </w:r>
      <w:r>
        <w:rPr>
          <w:bCs/>
        </w:rPr>
        <w:t xml:space="preserve"> 8, served to test the extent of this ability. Quantitatively, flow rate control was measured by timing the emptying of the reservoir for a known volume of liquid at different plug valve states. Qualitatively, </w:t>
      </w:r>
      <w:r w:rsidR="00FB75AE">
        <w:rPr>
          <w:bCs/>
        </w:rPr>
        <w:t xml:space="preserve">the laser sheet visualization provided images of </w:t>
      </w:r>
      <w:r w:rsidR="00AB3EE6">
        <w:rPr>
          <w:bCs/>
        </w:rPr>
        <w:t xml:space="preserve">light </w:t>
      </w:r>
      <w:r w:rsidR="00FB75AE">
        <w:rPr>
          <w:bCs/>
        </w:rPr>
        <w:t xml:space="preserve">scattering intensity, which </w:t>
      </w:r>
      <w:r w:rsidR="00225C13">
        <w:rPr>
          <w:bCs/>
        </w:rPr>
        <w:t xml:space="preserve">from </w:t>
      </w:r>
      <w:r w:rsidR="00343A79">
        <w:rPr>
          <w:bCs/>
        </w:rPr>
        <w:t xml:space="preserve">Mie and geometry </w:t>
      </w:r>
      <w:r w:rsidR="00225C13">
        <w:rPr>
          <w:bCs/>
        </w:rPr>
        <w:t xml:space="preserve">scattering theory </w:t>
      </w:r>
      <w:r w:rsidR="00FB75AE">
        <w:rPr>
          <w:bCs/>
        </w:rPr>
        <w:t>is proportional to the number of particles per unit volume</w:t>
      </w:r>
      <w:r w:rsidR="00A173FD">
        <w:rPr>
          <w:bCs/>
        </w:rPr>
        <w:t xml:space="preserve"> [13]</w:t>
      </w:r>
      <w:r w:rsidR="000737DB">
        <w:rPr>
          <w:bCs/>
        </w:rPr>
        <w:t>.</w:t>
      </w:r>
    </w:p>
    <w:p w14:paraId="5D77865E" w14:textId="77777777" w:rsidR="00FB75AE" w:rsidRDefault="00FB75AE" w:rsidP="000B1BBE">
      <w:pPr>
        <w:spacing w:before="120" w:after="120"/>
        <w:jc w:val="left"/>
        <w:rPr>
          <w:bCs/>
        </w:rPr>
      </w:pPr>
    </w:p>
    <w:p w14:paraId="265BF367" w14:textId="333D44BE" w:rsidR="002A7F17" w:rsidRPr="00082BF5" w:rsidRDefault="00257FA0" w:rsidP="002A7F17">
      <w:pPr>
        <w:pStyle w:val="Caption"/>
        <w:jc w:val="right"/>
        <w:rPr>
          <w:rFonts w:ascii="Cambria Math" w:hAnsi="Cambria Math"/>
          <w:b w:val="0"/>
          <w:bCs/>
        </w:rPr>
      </w:pPr>
      <m:oMath>
        <m:r>
          <m:rPr>
            <m:sty m:val="bi"/>
          </m:rPr>
          <w:rPr>
            <w:rFonts w:ascii="Cambria Math" w:hAnsi="Cambria Math"/>
            <w:sz w:val="22"/>
            <w:szCs w:val="22"/>
          </w:rPr>
          <m:t>I∝</m:t>
        </m:r>
        <m:sSub>
          <m:sSubPr>
            <m:ctrlPr>
              <w:rPr>
                <w:rFonts w:ascii="Cambria Math" w:hAnsi="Cambria Math"/>
                <w:b w:val="0"/>
                <w:bCs/>
                <w:i/>
                <w:iCs/>
                <w:sz w:val="22"/>
                <w:szCs w:val="22"/>
              </w:rPr>
            </m:ctrlPr>
          </m:sSubPr>
          <m:e>
            <m:r>
              <m:rPr>
                <m:sty m:val="bi"/>
              </m:rPr>
              <w:rPr>
                <w:rFonts w:ascii="Cambria Math" w:hAnsi="Cambria Math"/>
                <w:sz w:val="22"/>
                <w:szCs w:val="22"/>
              </w:rPr>
              <m:t>c</m:t>
            </m:r>
          </m:e>
          <m:sub>
            <m:r>
              <m:rPr>
                <m:sty m:val="bi"/>
              </m:rPr>
              <w:rPr>
                <w:rFonts w:ascii="Cambria Math" w:hAnsi="Cambria Math"/>
                <w:sz w:val="22"/>
                <w:szCs w:val="22"/>
              </w:rPr>
              <m:t>n</m:t>
            </m:r>
          </m:sub>
        </m:sSub>
        <m:sSup>
          <m:sSupPr>
            <m:ctrlPr>
              <w:rPr>
                <w:rFonts w:ascii="Cambria Math" w:hAnsi="Cambria Math"/>
                <w:b w:val="0"/>
                <w:bCs/>
                <w:i/>
                <w:iCs/>
                <w:sz w:val="22"/>
                <w:szCs w:val="22"/>
              </w:rPr>
            </m:ctrlPr>
          </m:sSupPr>
          <m:e>
            <m:r>
              <m:rPr>
                <m:sty m:val="bi"/>
              </m:rPr>
              <w:rPr>
                <w:rFonts w:ascii="Cambria Math" w:hAnsi="Cambria Math"/>
                <w:sz w:val="22"/>
                <w:szCs w:val="22"/>
              </w:rPr>
              <m:t>D</m:t>
            </m:r>
          </m:e>
          <m:sup>
            <m:r>
              <m:rPr>
                <m:sty m:val="bi"/>
              </m:rPr>
              <w:rPr>
                <w:rFonts w:ascii="Cambria Math" w:hAnsi="Cambria Math"/>
                <w:sz w:val="22"/>
                <w:szCs w:val="22"/>
              </w:rPr>
              <m:t>2</m:t>
            </m:r>
          </m:sup>
        </m:sSup>
      </m:oMath>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rFonts w:eastAsiaTheme="minorEastAsia"/>
          <w:b w:val="0"/>
          <w:bCs/>
        </w:rPr>
        <w:tab/>
      </w:r>
      <w:r w:rsidR="00FB75AE" w:rsidRPr="00082BF5">
        <w:rPr>
          <w:b w:val="0"/>
          <w:bCs/>
        </w:rPr>
        <w:t>( 2 )</w:t>
      </w:r>
    </w:p>
    <w:p w14:paraId="0E5B632A" w14:textId="77777777" w:rsidR="00FB75AE" w:rsidRPr="000B1BBE" w:rsidRDefault="00FB75AE" w:rsidP="000B1BBE">
      <w:pPr>
        <w:spacing w:before="120" w:after="120"/>
        <w:jc w:val="left"/>
        <w:rPr>
          <w:bCs/>
        </w:rPr>
      </w:pPr>
    </w:p>
    <w:p w14:paraId="0788EC55" w14:textId="2DC59A73" w:rsidR="00F565BA" w:rsidRPr="00F565BA" w:rsidRDefault="000B1BBE"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Results</w:t>
      </w:r>
    </w:p>
    <w:p w14:paraId="58EF90C3" w14:textId="05520754" w:rsidR="00F565BA" w:rsidRDefault="00AA1496" w:rsidP="00F565BA">
      <w:pPr>
        <w:tabs>
          <w:tab w:val="left" w:pos="288"/>
        </w:tabs>
        <w:ind w:firstLine="288"/>
      </w:pPr>
      <w:r>
        <w:t>Initially, the system was run by expelling nitrogen from the tank into the reservoir and BSM channel; DEHS from the reservoir was observed to have successfully moved from the reservoir into the channel and emitted as a spray from the nozzle.</w:t>
      </w:r>
      <w:r w:rsidR="00960532">
        <w:t xml:space="preserve"> </w:t>
      </w:r>
      <w:r w:rsidR="001854E9">
        <w:t>To further assess the system and determine whether flow rate was indeed controllable,</w:t>
      </w:r>
      <w:r>
        <w:t xml:space="preserve"> a</w:t>
      </w:r>
      <w:r w:rsidR="003A2686">
        <w:t xml:space="preserve"> series of trials was conducted with 4 oz of DEHS in the seed reservoir. Two parameters were varied: the pressure and the state of the plug valve. In order to easily identify differences in seed flow rates, the plug valve was simply varied between fully open and 90% closed</w:t>
      </w:r>
      <w:r w:rsidR="00E13F0D">
        <w:t xml:space="preserve"> (by </w:t>
      </w:r>
      <w:r w:rsidR="00EB4F50">
        <w:t xml:space="preserve">valve-handle </w:t>
      </w:r>
      <w:r w:rsidR="00E13F0D">
        <w:t>angle)</w:t>
      </w:r>
      <w:r w:rsidR="003A2686">
        <w:t xml:space="preserve">. Tests occurred at </w:t>
      </w:r>
      <w:r w:rsidR="00EB4F50">
        <w:t xml:space="preserve">total </w:t>
      </w:r>
      <w:r w:rsidR="003A2686">
        <w:t xml:space="preserve">pressures of 300 and 800 psi; </w:t>
      </w:r>
      <w:r w:rsidR="00F62E55">
        <w:t xml:space="preserve">note that it was observed that total </w:t>
      </w:r>
      <w:r w:rsidR="003A2686">
        <w:t>pressures over 1000 psi drained the reservoir too quickly to provide any useful results</w:t>
      </w:r>
      <w:r w:rsidR="00F62E55">
        <w:t xml:space="preserve"> with the simplified setup used</w:t>
      </w:r>
      <w:r w:rsidR="003A2686">
        <w:t xml:space="preserve">. Table 1 presents the results of these trials, in addition to </w:t>
      </w:r>
      <w:r w:rsidR="00005C10">
        <w:t xml:space="preserve">the liquid </w:t>
      </w:r>
      <w:r w:rsidR="003A2686">
        <w:t xml:space="preserve">volumetric flow rate, mass ratios of DEHS to air, and volume ratios of the same, calculated from timing the drainage of the reservoir. </w:t>
      </w:r>
    </w:p>
    <w:p w14:paraId="73ADF8C0" w14:textId="742CD795" w:rsidR="003A2686" w:rsidRDefault="003A2686" w:rsidP="00F565BA">
      <w:pPr>
        <w:tabs>
          <w:tab w:val="left" w:pos="288"/>
        </w:tabs>
        <w:ind w:firstLine="288"/>
      </w:pPr>
    </w:p>
    <w:p w14:paraId="1BC051CB" w14:textId="36EFD345" w:rsidR="003A2686" w:rsidRDefault="003A2686" w:rsidP="003A2686">
      <w:pPr>
        <w:tabs>
          <w:tab w:val="left" w:pos="288"/>
        </w:tabs>
      </w:pPr>
    </w:p>
    <w:p w14:paraId="2988C8EC" w14:textId="7F90CAD1" w:rsidR="00960532" w:rsidRDefault="00960532" w:rsidP="003A2686">
      <w:pPr>
        <w:tabs>
          <w:tab w:val="left" w:pos="288"/>
        </w:tabs>
      </w:pPr>
    </w:p>
    <w:p w14:paraId="70C19FE5" w14:textId="77777777" w:rsidR="00960532" w:rsidRDefault="00960532" w:rsidP="003A2686">
      <w:pPr>
        <w:tabs>
          <w:tab w:val="left" w:pos="288"/>
        </w:tabs>
      </w:pPr>
    </w:p>
    <w:p w14:paraId="19A9CFE5" w14:textId="1315A2D7" w:rsidR="003A2686" w:rsidRPr="00CF2490" w:rsidRDefault="003A2686" w:rsidP="00CF2490">
      <w:pPr>
        <w:spacing w:before="120" w:after="120"/>
        <w:jc w:val="center"/>
        <w:rPr>
          <w:b/>
        </w:rPr>
      </w:pPr>
      <w:r>
        <w:rPr>
          <w:b/>
        </w:rPr>
        <w:lastRenderedPageBreak/>
        <w:t>Table 1</w:t>
      </w:r>
      <w:r w:rsidR="00F74B80">
        <w:rPr>
          <w:b/>
        </w:rPr>
        <w:tab/>
        <w:t>DEHS timed trials at various pressures and valve states.</w:t>
      </w:r>
    </w:p>
    <w:tbl>
      <w:tblPr>
        <w:tblStyle w:val="TableGrid"/>
        <w:tblW w:w="0" w:type="auto"/>
        <w:jc w:val="center"/>
        <w:tblLook w:val="04A0" w:firstRow="1" w:lastRow="0" w:firstColumn="1" w:lastColumn="0" w:noHBand="0" w:noVBand="1"/>
      </w:tblPr>
      <w:tblGrid>
        <w:gridCol w:w="1320"/>
        <w:gridCol w:w="1311"/>
        <w:gridCol w:w="1192"/>
        <w:gridCol w:w="1157"/>
        <w:gridCol w:w="1726"/>
        <w:gridCol w:w="1536"/>
        <w:gridCol w:w="1118"/>
      </w:tblGrid>
      <w:tr w:rsidR="003A2686" w:rsidRPr="00C9627C" w14:paraId="5836E966" w14:textId="77777777" w:rsidTr="00DF205E">
        <w:trPr>
          <w:jc w:val="center"/>
        </w:trPr>
        <w:tc>
          <w:tcPr>
            <w:tcW w:w="1320" w:type="dxa"/>
            <w:tcBorders>
              <w:top w:val="nil"/>
              <w:left w:val="nil"/>
              <w:bottom w:val="single" w:sz="4" w:space="0" w:color="auto"/>
              <w:right w:val="nil"/>
            </w:tcBorders>
          </w:tcPr>
          <w:p w14:paraId="2B6DDA1B" w14:textId="77777777" w:rsidR="003A2686" w:rsidRPr="00CF2490" w:rsidRDefault="003A2686" w:rsidP="00DF205E">
            <w:pPr>
              <w:jc w:val="center"/>
              <w:rPr>
                <w:rFonts w:ascii="Times New Roman" w:hAnsi="Times New Roman" w:cs="Times New Roman"/>
                <w:i/>
                <w:iCs/>
                <w:sz w:val="20"/>
                <w:szCs w:val="20"/>
              </w:rPr>
            </w:pPr>
            <w:r w:rsidRPr="00CF2490">
              <w:rPr>
                <w:rFonts w:ascii="Times New Roman" w:hAnsi="Times New Roman" w:cs="Times New Roman"/>
                <w:i/>
                <w:iCs/>
                <w:sz w:val="20"/>
                <w:szCs w:val="20"/>
              </w:rPr>
              <w:t>Test</w:t>
            </w:r>
          </w:p>
        </w:tc>
        <w:tc>
          <w:tcPr>
            <w:tcW w:w="1311" w:type="dxa"/>
            <w:tcBorders>
              <w:top w:val="nil"/>
              <w:left w:val="nil"/>
              <w:bottom w:val="single" w:sz="4" w:space="0" w:color="auto"/>
              <w:right w:val="nil"/>
            </w:tcBorders>
          </w:tcPr>
          <w:p w14:paraId="305510D5" w14:textId="77777777" w:rsidR="003A2686" w:rsidRPr="00CF2490" w:rsidRDefault="003A2686" w:rsidP="00DF205E">
            <w:pPr>
              <w:jc w:val="center"/>
              <w:rPr>
                <w:rFonts w:ascii="Times New Roman" w:hAnsi="Times New Roman" w:cs="Times New Roman"/>
                <w:i/>
                <w:iCs/>
                <w:sz w:val="20"/>
                <w:szCs w:val="20"/>
              </w:rPr>
            </w:pPr>
            <w:r w:rsidRPr="00CF2490">
              <w:rPr>
                <w:rFonts w:ascii="Times New Roman" w:hAnsi="Times New Roman" w:cs="Times New Roman"/>
                <w:i/>
                <w:iCs/>
                <w:sz w:val="20"/>
                <w:szCs w:val="20"/>
              </w:rPr>
              <w:t>Pressure [psi]</w:t>
            </w:r>
          </w:p>
        </w:tc>
        <w:tc>
          <w:tcPr>
            <w:tcW w:w="1192" w:type="dxa"/>
            <w:tcBorders>
              <w:top w:val="nil"/>
              <w:left w:val="nil"/>
              <w:bottom w:val="single" w:sz="4" w:space="0" w:color="auto"/>
              <w:right w:val="nil"/>
            </w:tcBorders>
          </w:tcPr>
          <w:p w14:paraId="4A7378BF" w14:textId="77777777" w:rsidR="003A2686" w:rsidRPr="00CF2490" w:rsidRDefault="003A2686" w:rsidP="00DF205E">
            <w:pPr>
              <w:jc w:val="center"/>
              <w:rPr>
                <w:rFonts w:ascii="Times New Roman" w:hAnsi="Times New Roman" w:cs="Times New Roman"/>
                <w:i/>
                <w:iCs/>
                <w:sz w:val="20"/>
                <w:szCs w:val="20"/>
              </w:rPr>
            </w:pPr>
            <w:r w:rsidRPr="00CF2490">
              <w:rPr>
                <w:rFonts w:ascii="Times New Roman" w:hAnsi="Times New Roman" w:cs="Times New Roman"/>
                <w:i/>
                <w:iCs/>
                <w:sz w:val="20"/>
                <w:szCs w:val="20"/>
              </w:rPr>
              <w:t>Plug Valve State</w:t>
            </w:r>
          </w:p>
        </w:tc>
        <w:tc>
          <w:tcPr>
            <w:tcW w:w="1157" w:type="dxa"/>
            <w:tcBorders>
              <w:top w:val="nil"/>
              <w:left w:val="nil"/>
              <w:bottom w:val="single" w:sz="4" w:space="0" w:color="auto"/>
              <w:right w:val="nil"/>
            </w:tcBorders>
          </w:tcPr>
          <w:p w14:paraId="4AEC0829" w14:textId="77777777" w:rsidR="003A2686" w:rsidRPr="00CF2490" w:rsidRDefault="003A2686" w:rsidP="00DF205E">
            <w:pPr>
              <w:jc w:val="center"/>
              <w:rPr>
                <w:rFonts w:ascii="Times New Roman" w:hAnsi="Times New Roman" w:cs="Times New Roman"/>
                <w:i/>
                <w:iCs/>
                <w:sz w:val="20"/>
                <w:szCs w:val="20"/>
              </w:rPr>
            </w:pPr>
            <w:r w:rsidRPr="00CF2490">
              <w:rPr>
                <w:rFonts w:ascii="Times New Roman" w:hAnsi="Times New Roman" w:cs="Times New Roman"/>
                <w:i/>
                <w:iCs/>
                <w:sz w:val="20"/>
                <w:szCs w:val="20"/>
              </w:rPr>
              <w:t>Time to Drain [s]</w:t>
            </w:r>
          </w:p>
        </w:tc>
        <w:tc>
          <w:tcPr>
            <w:tcW w:w="1726" w:type="dxa"/>
            <w:tcBorders>
              <w:top w:val="nil"/>
              <w:left w:val="nil"/>
              <w:bottom w:val="single" w:sz="4" w:space="0" w:color="auto"/>
              <w:right w:val="nil"/>
            </w:tcBorders>
          </w:tcPr>
          <w:p w14:paraId="5C01DF64" w14:textId="7735466E" w:rsidR="003A2686" w:rsidRPr="00CF2490" w:rsidRDefault="00005C10" w:rsidP="00DF205E">
            <w:pPr>
              <w:jc w:val="center"/>
              <w:rPr>
                <w:rFonts w:ascii="Times New Roman" w:hAnsi="Times New Roman" w:cs="Times New Roman"/>
                <w:i/>
                <w:iCs/>
                <w:sz w:val="20"/>
                <w:szCs w:val="20"/>
              </w:rPr>
            </w:pPr>
            <w:r>
              <w:rPr>
                <w:rFonts w:ascii="Times New Roman" w:hAnsi="Times New Roman" w:cs="Times New Roman"/>
                <w:i/>
                <w:iCs/>
                <w:sz w:val="20"/>
                <w:szCs w:val="20"/>
              </w:rPr>
              <w:t xml:space="preserve">Liquid </w:t>
            </w:r>
            <w:r w:rsidR="003A2686" w:rsidRPr="00CF2490">
              <w:rPr>
                <w:rFonts w:ascii="Times New Roman" w:hAnsi="Times New Roman" w:cs="Times New Roman"/>
                <w:i/>
                <w:iCs/>
                <w:sz w:val="20"/>
                <w:szCs w:val="20"/>
              </w:rPr>
              <w:t>Volumetric Flow Rate [mL/s]</w:t>
            </w:r>
          </w:p>
        </w:tc>
        <w:tc>
          <w:tcPr>
            <w:tcW w:w="1536" w:type="dxa"/>
            <w:tcBorders>
              <w:top w:val="nil"/>
              <w:left w:val="nil"/>
              <w:bottom w:val="single" w:sz="4" w:space="0" w:color="auto"/>
              <w:right w:val="nil"/>
            </w:tcBorders>
          </w:tcPr>
          <w:p w14:paraId="4EE3D8A4" w14:textId="77777777" w:rsidR="003A2686" w:rsidRPr="00CF2490" w:rsidRDefault="003A2686" w:rsidP="00DF205E">
            <w:pPr>
              <w:jc w:val="center"/>
              <w:rPr>
                <w:rFonts w:ascii="Times New Roman" w:hAnsi="Times New Roman" w:cs="Times New Roman"/>
                <w:i/>
                <w:iCs/>
                <w:sz w:val="20"/>
                <w:szCs w:val="20"/>
              </w:rPr>
            </w:pPr>
            <w:r w:rsidRPr="00CF2490">
              <w:rPr>
                <w:rFonts w:ascii="Times New Roman" w:hAnsi="Times New Roman" w:cs="Times New Roman"/>
                <w:i/>
                <w:iCs/>
                <w:sz w:val="20"/>
                <w:szCs w:val="20"/>
              </w:rPr>
              <w:t>Mass Flow Ratio (DEHS/Air)</w:t>
            </w:r>
          </w:p>
        </w:tc>
        <w:tc>
          <w:tcPr>
            <w:tcW w:w="1118" w:type="dxa"/>
            <w:tcBorders>
              <w:top w:val="nil"/>
              <w:left w:val="nil"/>
              <w:bottom w:val="single" w:sz="4" w:space="0" w:color="auto"/>
              <w:right w:val="nil"/>
            </w:tcBorders>
          </w:tcPr>
          <w:p w14:paraId="15FAF933" w14:textId="77777777" w:rsidR="003A2686" w:rsidRPr="00CF2490" w:rsidRDefault="003A2686" w:rsidP="00DF205E">
            <w:pPr>
              <w:jc w:val="center"/>
              <w:rPr>
                <w:rFonts w:ascii="Times New Roman" w:hAnsi="Times New Roman" w:cs="Times New Roman"/>
                <w:i/>
                <w:iCs/>
                <w:sz w:val="20"/>
                <w:szCs w:val="20"/>
              </w:rPr>
            </w:pPr>
            <w:r w:rsidRPr="00CF2490">
              <w:rPr>
                <w:rFonts w:ascii="Times New Roman" w:hAnsi="Times New Roman" w:cs="Times New Roman"/>
                <w:i/>
                <w:iCs/>
                <w:sz w:val="20"/>
                <w:szCs w:val="20"/>
              </w:rPr>
              <w:t>Volume Flow Ratio</w:t>
            </w:r>
          </w:p>
        </w:tc>
      </w:tr>
      <w:tr w:rsidR="003A2686" w:rsidRPr="00C9627C" w14:paraId="1B5BBF6F" w14:textId="77777777" w:rsidTr="00DF205E">
        <w:trPr>
          <w:jc w:val="center"/>
        </w:trPr>
        <w:tc>
          <w:tcPr>
            <w:tcW w:w="1320" w:type="dxa"/>
            <w:tcBorders>
              <w:top w:val="single" w:sz="4" w:space="0" w:color="auto"/>
              <w:left w:val="nil"/>
              <w:bottom w:val="nil"/>
              <w:right w:val="nil"/>
            </w:tcBorders>
          </w:tcPr>
          <w:p w14:paraId="4DA4E005" w14:textId="77777777" w:rsidR="003A2686" w:rsidRPr="00CF2490" w:rsidRDefault="003A2686" w:rsidP="00DF205E">
            <w:pPr>
              <w:jc w:val="center"/>
              <w:rPr>
                <w:rFonts w:ascii="Times New Roman" w:hAnsi="Times New Roman" w:cs="Times New Roman"/>
                <w:i/>
                <w:iCs/>
                <w:sz w:val="20"/>
                <w:szCs w:val="20"/>
              </w:rPr>
            </w:pPr>
            <w:r w:rsidRPr="00CF2490">
              <w:rPr>
                <w:rFonts w:ascii="Times New Roman" w:hAnsi="Times New Roman" w:cs="Times New Roman"/>
                <w:i/>
                <w:iCs/>
                <w:sz w:val="20"/>
                <w:szCs w:val="20"/>
              </w:rPr>
              <w:t>1</w:t>
            </w:r>
          </w:p>
        </w:tc>
        <w:tc>
          <w:tcPr>
            <w:tcW w:w="1311" w:type="dxa"/>
            <w:tcBorders>
              <w:top w:val="single" w:sz="4" w:space="0" w:color="auto"/>
              <w:left w:val="nil"/>
              <w:bottom w:val="nil"/>
              <w:right w:val="nil"/>
            </w:tcBorders>
          </w:tcPr>
          <w:p w14:paraId="49330438"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300</w:t>
            </w:r>
          </w:p>
        </w:tc>
        <w:tc>
          <w:tcPr>
            <w:tcW w:w="1192" w:type="dxa"/>
            <w:tcBorders>
              <w:top w:val="single" w:sz="4" w:space="0" w:color="auto"/>
              <w:left w:val="nil"/>
              <w:bottom w:val="nil"/>
              <w:right w:val="nil"/>
            </w:tcBorders>
          </w:tcPr>
          <w:p w14:paraId="4535C178"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Open</w:t>
            </w:r>
          </w:p>
        </w:tc>
        <w:tc>
          <w:tcPr>
            <w:tcW w:w="1157" w:type="dxa"/>
            <w:tcBorders>
              <w:top w:val="single" w:sz="4" w:space="0" w:color="auto"/>
              <w:left w:val="nil"/>
              <w:bottom w:val="nil"/>
              <w:right w:val="nil"/>
            </w:tcBorders>
          </w:tcPr>
          <w:p w14:paraId="3A4BEC5D"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15.7</w:t>
            </w:r>
          </w:p>
        </w:tc>
        <w:tc>
          <w:tcPr>
            <w:tcW w:w="1726" w:type="dxa"/>
            <w:tcBorders>
              <w:top w:val="single" w:sz="4" w:space="0" w:color="auto"/>
              <w:left w:val="nil"/>
              <w:bottom w:val="nil"/>
              <w:right w:val="nil"/>
            </w:tcBorders>
          </w:tcPr>
          <w:p w14:paraId="0DB7887A"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7.54</w:t>
            </w:r>
          </w:p>
        </w:tc>
        <w:tc>
          <w:tcPr>
            <w:tcW w:w="1536" w:type="dxa"/>
            <w:tcBorders>
              <w:top w:val="single" w:sz="4" w:space="0" w:color="auto"/>
              <w:left w:val="nil"/>
              <w:bottom w:val="nil"/>
              <w:right w:val="nil"/>
            </w:tcBorders>
          </w:tcPr>
          <w:p w14:paraId="54FB57E2"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0.1398</w:t>
            </w:r>
          </w:p>
        </w:tc>
        <w:tc>
          <w:tcPr>
            <w:tcW w:w="1118" w:type="dxa"/>
            <w:tcBorders>
              <w:top w:val="single" w:sz="4" w:space="0" w:color="auto"/>
              <w:left w:val="nil"/>
              <w:bottom w:val="nil"/>
              <w:right w:val="nil"/>
            </w:tcBorders>
          </w:tcPr>
          <w:p w14:paraId="49674F58"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0.0037</w:t>
            </w:r>
          </w:p>
        </w:tc>
      </w:tr>
      <w:tr w:rsidR="003A2686" w:rsidRPr="00C9627C" w14:paraId="13B59589" w14:textId="77777777" w:rsidTr="00DF205E">
        <w:trPr>
          <w:jc w:val="center"/>
        </w:trPr>
        <w:tc>
          <w:tcPr>
            <w:tcW w:w="1320" w:type="dxa"/>
            <w:tcBorders>
              <w:top w:val="nil"/>
              <w:left w:val="nil"/>
              <w:bottom w:val="nil"/>
              <w:right w:val="nil"/>
            </w:tcBorders>
          </w:tcPr>
          <w:p w14:paraId="29CBBE59" w14:textId="77777777" w:rsidR="003A2686" w:rsidRPr="00CF2490" w:rsidRDefault="003A2686" w:rsidP="00DF205E">
            <w:pPr>
              <w:jc w:val="center"/>
              <w:rPr>
                <w:rFonts w:ascii="Times New Roman" w:hAnsi="Times New Roman" w:cs="Times New Roman"/>
                <w:i/>
                <w:iCs/>
                <w:sz w:val="20"/>
                <w:szCs w:val="20"/>
              </w:rPr>
            </w:pPr>
            <w:r w:rsidRPr="00CF2490">
              <w:rPr>
                <w:rFonts w:ascii="Times New Roman" w:hAnsi="Times New Roman" w:cs="Times New Roman"/>
                <w:i/>
                <w:iCs/>
                <w:sz w:val="20"/>
                <w:szCs w:val="20"/>
              </w:rPr>
              <w:t>2</w:t>
            </w:r>
          </w:p>
        </w:tc>
        <w:tc>
          <w:tcPr>
            <w:tcW w:w="1311" w:type="dxa"/>
            <w:tcBorders>
              <w:top w:val="nil"/>
              <w:left w:val="nil"/>
              <w:bottom w:val="nil"/>
              <w:right w:val="nil"/>
            </w:tcBorders>
          </w:tcPr>
          <w:p w14:paraId="08521894"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300</w:t>
            </w:r>
          </w:p>
        </w:tc>
        <w:tc>
          <w:tcPr>
            <w:tcW w:w="1192" w:type="dxa"/>
            <w:tcBorders>
              <w:top w:val="nil"/>
              <w:left w:val="nil"/>
              <w:bottom w:val="nil"/>
              <w:right w:val="nil"/>
            </w:tcBorders>
          </w:tcPr>
          <w:p w14:paraId="50859ABD"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90% Closed</w:t>
            </w:r>
          </w:p>
        </w:tc>
        <w:tc>
          <w:tcPr>
            <w:tcW w:w="1157" w:type="dxa"/>
            <w:tcBorders>
              <w:top w:val="nil"/>
              <w:left w:val="nil"/>
              <w:bottom w:val="nil"/>
              <w:right w:val="nil"/>
            </w:tcBorders>
          </w:tcPr>
          <w:p w14:paraId="308E2E9C"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24.0</w:t>
            </w:r>
          </w:p>
        </w:tc>
        <w:tc>
          <w:tcPr>
            <w:tcW w:w="1726" w:type="dxa"/>
            <w:tcBorders>
              <w:top w:val="nil"/>
              <w:left w:val="nil"/>
              <w:bottom w:val="nil"/>
              <w:right w:val="nil"/>
            </w:tcBorders>
          </w:tcPr>
          <w:p w14:paraId="599EEA5E"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4.93</w:t>
            </w:r>
          </w:p>
        </w:tc>
        <w:tc>
          <w:tcPr>
            <w:tcW w:w="1536" w:type="dxa"/>
            <w:tcBorders>
              <w:top w:val="nil"/>
              <w:left w:val="nil"/>
              <w:bottom w:val="nil"/>
              <w:right w:val="nil"/>
            </w:tcBorders>
          </w:tcPr>
          <w:p w14:paraId="4091EDDE"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0.0916</w:t>
            </w:r>
          </w:p>
        </w:tc>
        <w:tc>
          <w:tcPr>
            <w:tcW w:w="1118" w:type="dxa"/>
            <w:tcBorders>
              <w:top w:val="nil"/>
              <w:left w:val="nil"/>
              <w:bottom w:val="nil"/>
              <w:right w:val="nil"/>
            </w:tcBorders>
          </w:tcPr>
          <w:p w14:paraId="395F2FB2"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0.0024</w:t>
            </w:r>
          </w:p>
        </w:tc>
      </w:tr>
      <w:tr w:rsidR="003A2686" w:rsidRPr="00C9627C" w14:paraId="73419D90" w14:textId="77777777" w:rsidTr="00DF205E">
        <w:trPr>
          <w:jc w:val="center"/>
        </w:trPr>
        <w:tc>
          <w:tcPr>
            <w:tcW w:w="1320" w:type="dxa"/>
            <w:tcBorders>
              <w:top w:val="nil"/>
              <w:left w:val="nil"/>
              <w:bottom w:val="nil"/>
              <w:right w:val="nil"/>
            </w:tcBorders>
          </w:tcPr>
          <w:p w14:paraId="38366264" w14:textId="77777777" w:rsidR="003A2686" w:rsidRPr="00CF2490" w:rsidRDefault="003A2686" w:rsidP="00DF205E">
            <w:pPr>
              <w:jc w:val="center"/>
              <w:rPr>
                <w:rFonts w:ascii="Times New Roman" w:hAnsi="Times New Roman" w:cs="Times New Roman"/>
                <w:i/>
                <w:iCs/>
                <w:sz w:val="20"/>
                <w:szCs w:val="20"/>
              </w:rPr>
            </w:pPr>
            <w:r w:rsidRPr="00CF2490">
              <w:rPr>
                <w:rFonts w:ascii="Times New Roman" w:hAnsi="Times New Roman" w:cs="Times New Roman"/>
                <w:i/>
                <w:iCs/>
                <w:sz w:val="20"/>
                <w:szCs w:val="20"/>
              </w:rPr>
              <w:t>3</w:t>
            </w:r>
          </w:p>
        </w:tc>
        <w:tc>
          <w:tcPr>
            <w:tcW w:w="1311" w:type="dxa"/>
            <w:tcBorders>
              <w:top w:val="nil"/>
              <w:left w:val="nil"/>
              <w:bottom w:val="nil"/>
              <w:right w:val="nil"/>
            </w:tcBorders>
          </w:tcPr>
          <w:p w14:paraId="196963F5"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800</w:t>
            </w:r>
          </w:p>
        </w:tc>
        <w:tc>
          <w:tcPr>
            <w:tcW w:w="1192" w:type="dxa"/>
            <w:tcBorders>
              <w:top w:val="nil"/>
              <w:left w:val="nil"/>
              <w:bottom w:val="nil"/>
              <w:right w:val="nil"/>
            </w:tcBorders>
          </w:tcPr>
          <w:p w14:paraId="7B2C685F"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Open</w:t>
            </w:r>
          </w:p>
        </w:tc>
        <w:tc>
          <w:tcPr>
            <w:tcW w:w="1157" w:type="dxa"/>
            <w:tcBorders>
              <w:top w:val="nil"/>
              <w:left w:val="nil"/>
              <w:bottom w:val="nil"/>
              <w:right w:val="nil"/>
            </w:tcBorders>
          </w:tcPr>
          <w:p w14:paraId="71ACF174"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8.9</w:t>
            </w:r>
          </w:p>
        </w:tc>
        <w:tc>
          <w:tcPr>
            <w:tcW w:w="1726" w:type="dxa"/>
            <w:tcBorders>
              <w:top w:val="nil"/>
              <w:left w:val="nil"/>
              <w:bottom w:val="nil"/>
              <w:right w:val="nil"/>
            </w:tcBorders>
          </w:tcPr>
          <w:p w14:paraId="12B7F38B"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13.29</w:t>
            </w:r>
          </w:p>
        </w:tc>
        <w:tc>
          <w:tcPr>
            <w:tcW w:w="1536" w:type="dxa"/>
            <w:tcBorders>
              <w:top w:val="nil"/>
              <w:left w:val="nil"/>
              <w:bottom w:val="nil"/>
              <w:right w:val="nil"/>
            </w:tcBorders>
          </w:tcPr>
          <w:p w14:paraId="3606CD79"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0.0932</w:t>
            </w:r>
          </w:p>
        </w:tc>
        <w:tc>
          <w:tcPr>
            <w:tcW w:w="1118" w:type="dxa"/>
            <w:tcBorders>
              <w:top w:val="nil"/>
              <w:left w:val="nil"/>
              <w:bottom w:val="nil"/>
              <w:right w:val="nil"/>
            </w:tcBorders>
          </w:tcPr>
          <w:p w14:paraId="3E057AB7"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0.0064</w:t>
            </w:r>
          </w:p>
        </w:tc>
      </w:tr>
      <w:tr w:rsidR="003A2686" w:rsidRPr="00C9627C" w14:paraId="4EB995D8" w14:textId="77777777" w:rsidTr="00DF205E">
        <w:trPr>
          <w:jc w:val="center"/>
        </w:trPr>
        <w:tc>
          <w:tcPr>
            <w:tcW w:w="1320" w:type="dxa"/>
            <w:tcBorders>
              <w:top w:val="nil"/>
              <w:left w:val="nil"/>
              <w:bottom w:val="single" w:sz="4" w:space="0" w:color="auto"/>
              <w:right w:val="nil"/>
            </w:tcBorders>
          </w:tcPr>
          <w:p w14:paraId="37468A69" w14:textId="77777777" w:rsidR="003A2686" w:rsidRPr="00CF2490" w:rsidRDefault="003A2686" w:rsidP="00DF205E">
            <w:pPr>
              <w:jc w:val="center"/>
              <w:rPr>
                <w:rFonts w:ascii="Times New Roman" w:hAnsi="Times New Roman" w:cs="Times New Roman"/>
                <w:i/>
                <w:iCs/>
                <w:sz w:val="20"/>
                <w:szCs w:val="20"/>
              </w:rPr>
            </w:pPr>
            <w:r w:rsidRPr="00CF2490">
              <w:rPr>
                <w:rFonts w:ascii="Times New Roman" w:hAnsi="Times New Roman" w:cs="Times New Roman"/>
                <w:i/>
                <w:iCs/>
                <w:sz w:val="20"/>
                <w:szCs w:val="20"/>
              </w:rPr>
              <w:t>4</w:t>
            </w:r>
          </w:p>
        </w:tc>
        <w:tc>
          <w:tcPr>
            <w:tcW w:w="1311" w:type="dxa"/>
            <w:tcBorders>
              <w:top w:val="nil"/>
              <w:left w:val="nil"/>
              <w:bottom w:val="single" w:sz="4" w:space="0" w:color="auto"/>
              <w:right w:val="nil"/>
            </w:tcBorders>
          </w:tcPr>
          <w:p w14:paraId="2838A39B"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800</w:t>
            </w:r>
          </w:p>
        </w:tc>
        <w:tc>
          <w:tcPr>
            <w:tcW w:w="1192" w:type="dxa"/>
            <w:tcBorders>
              <w:top w:val="nil"/>
              <w:left w:val="nil"/>
              <w:bottom w:val="single" w:sz="4" w:space="0" w:color="auto"/>
              <w:right w:val="nil"/>
            </w:tcBorders>
          </w:tcPr>
          <w:p w14:paraId="1FE93366"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90% Closed</w:t>
            </w:r>
          </w:p>
        </w:tc>
        <w:tc>
          <w:tcPr>
            <w:tcW w:w="1157" w:type="dxa"/>
            <w:tcBorders>
              <w:top w:val="nil"/>
              <w:left w:val="nil"/>
              <w:bottom w:val="single" w:sz="4" w:space="0" w:color="auto"/>
              <w:right w:val="nil"/>
            </w:tcBorders>
          </w:tcPr>
          <w:p w14:paraId="50658B79"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25.7</w:t>
            </w:r>
          </w:p>
        </w:tc>
        <w:tc>
          <w:tcPr>
            <w:tcW w:w="1726" w:type="dxa"/>
            <w:tcBorders>
              <w:top w:val="nil"/>
              <w:left w:val="nil"/>
              <w:bottom w:val="single" w:sz="4" w:space="0" w:color="auto"/>
              <w:right w:val="nil"/>
            </w:tcBorders>
          </w:tcPr>
          <w:p w14:paraId="62A47C5E"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4.61</w:t>
            </w:r>
          </w:p>
        </w:tc>
        <w:tc>
          <w:tcPr>
            <w:tcW w:w="1536" w:type="dxa"/>
            <w:tcBorders>
              <w:top w:val="nil"/>
              <w:left w:val="nil"/>
              <w:bottom w:val="single" w:sz="4" w:space="0" w:color="auto"/>
              <w:right w:val="nil"/>
            </w:tcBorders>
          </w:tcPr>
          <w:p w14:paraId="5B441310"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0.0323</w:t>
            </w:r>
          </w:p>
        </w:tc>
        <w:tc>
          <w:tcPr>
            <w:tcW w:w="1118" w:type="dxa"/>
            <w:tcBorders>
              <w:top w:val="nil"/>
              <w:left w:val="nil"/>
              <w:bottom w:val="single" w:sz="4" w:space="0" w:color="auto"/>
              <w:right w:val="nil"/>
            </w:tcBorders>
          </w:tcPr>
          <w:p w14:paraId="5D9C42C0" w14:textId="77777777" w:rsidR="003A2686" w:rsidRPr="00C9627C" w:rsidRDefault="003A2686" w:rsidP="00DF205E">
            <w:pPr>
              <w:jc w:val="center"/>
              <w:rPr>
                <w:rFonts w:ascii="Times New Roman" w:hAnsi="Times New Roman" w:cs="Times New Roman"/>
                <w:sz w:val="20"/>
                <w:szCs w:val="20"/>
              </w:rPr>
            </w:pPr>
            <w:r w:rsidRPr="00C9627C">
              <w:rPr>
                <w:rFonts w:ascii="Times New Roman" w:hAnsi="Times New Roman" w:cs="Times New Roman"/>
                <w:sz w:val="20"/>
                <w:szCs w:val="20"/>
              </w:rPr>
              <w:t>0.0022</w:t>
            </w:r>
          </w:p>
        </w:tc>
      </w:tr>
    </w:tbl>
    <w:p w14:paraId="2B8B0434" w14:textId="5B082267" w:rsidR="003A2686" w:rsidRDefault="003A2686" w:rsidP="003A2686">
      <w:pPr>
        <w:tabs>
          <w:tab w:val="left" w:pos="288"/>
        </w:tabs>
      </w:pPr>
    </w:p>
    <w:p w14:paraId="621CBB88" w14:textId="2F080686" w:rsidR="00F74B80" w:rsidRDefault="00AA1496" w:rsidP="003A2686">
      <w:pPr>
        <w:tabs>
          <w:tab w:val="left" w:pos="288"/>
        </w:tabs>
      </w:pPr>
      <w:r>
        <w:tab/>
        <w:t>The volumetric flo</w:t>
      </w:r>
      <w:r w:rsidR="007546DB">
        <w:t xml:space="preserve">w rate and flow ratios were clearly influenced by the positioning of the valve. As expected, </w:t>
      </w:r>
      <w:r w:rsidR="001854E9">
        <w:t>moving the valve towards a closed position decreased volumetric flow</w:t>
      </w:r>
      <w:r w:rsidR="0036336A">
        <w:t xml:space="preserve"> </w:t>
      </w:r>
      <w:r w:rsidR="001854E9">
        <w:t xml:space="preserve">rates. </w:t>
      </w:r>
      <w:r w:rsidR="00320462">
        <w:t>T</w:t>
      </w:r>
      <w:r w:rsidR="001854E9">
        <w:t xml:space="preserve">his </w:t>
      </w:r>
      <w:r w:rsidR="00320462">
        <w:t xml:space="preserve">is quantitative evidence </w:t>
      </w:r>
      <w:r w:rsidR="001854E9">
        <w:t xml:space="preserve">that the </w:t>
      </w:r>
      <w:r w:rsidR="00D21EA5">
        <w:t xml:space="preserve">liquid </w:t>
      </w:r>
      <w:r w:rsidR="001854E9">
        <w:t>flow rate is controllable</w:t>
      </w:r>
      <w:r w:rsidR="00D21EA5">
        <w:t xml:space="preserve"> in the proposed method</w:t>
      </w:r>
      <w:r w:rsidR="001854E9">
        <w:t xml:space="preserve">. </w:t>
      </w:r>
      <w:r w:rsidR="00CF2490">
        <w:t>Interestingly</w:t>
      </w:r>
      <w:r w:rsidR="001854E9">
        <w:t xml:space="preserve">, despite the increase in flow rate for open-valve cases from 300 to 800 psi, flow rate remained about the same between the two closed-valve cases. </w:t>
      </w:r>
      <w:r w:rsidR="006F1C90">
        <w:t>The plug valve was adjusted by hand, and thus prone to error; a precision flow controller would eliminate this error and accurately meter the liquid flow.</w:t>
      </w:r>
    </w:p>
    <w:p w14:paraId="35ECF4F3" w14:textId="2FE5500B" w:rsidR="002B3E08" w:rsidRDefault="005E1297" w:rsidP="002B3E08">
      <w:pPr>
        <w:tabs>
          <w:tab w:val="left" w:pos="288"/>
        </w:tabs>
      </w:pPr>
      <w:r>
        <w:tab/>
        <w:t xml:space="preserve">Laser sheet visualizations were also generated for each of these cases. In accordance with </w:t>
      </w:r>
      <w:r w:rsidR="00343A79">
        <w:t>equation (2)</w:t>
      </w:r>
      <w:r>
        <w:t xml:space="preserve">, less intensity was expected in closed-valve trials compared to open-valve trials. Figure 9 shows the mean intensity </w:t>
      </w:r>
      <w:r w:rsidR="00756C27">
        <w:t xml:space="preserve">(1000 ms exposure time per image) </w:t>
      </w:r>
      <w:r>
        <w:t xml:space="preserve">of the 300 psi trials over the full duration of both the open and closed-valve cases, as well as the ratio of the two images for comparison. In </w:t>
      </w:r>
      <w:r w:rsidR="007B79EB">
        <w:t xml:space="preserve">the </w:t>
      </w:r>
      <w:r>
        <w:t xml:space="preserve">ratio image, the region outside of the spray itself contained </w:t>
      </w:r>
      <w:r w:rsidR="00C15C8D">
        <w:t xml:space="preserve">widely </w:t>
      </w:r>
      <w:r>
        <w:t xml:space="preserve">fluctuating data due to the low intensity values; this region was conditionally excluded from the image for easier interpretation. </w:t>
      </w:r>
      <w:r w:rsidR="00C67171">
        <w:t xml:space="preserve">Figure 10 is the same set of images for the 800 psi case. </w:t>
      </w:r>
      <w:r w:rsidR="002B3E08">
        <w:tab/>
        <w:t xml:space="preserve">The data from both figures support the notion that the seed flow rate was significantly affected by the plug valve. It should be noted that the flow rates themselves were rather high, as judged visually from the amount of liquid exiting the nozzle. </w:t>
      </w:r>
    </w:p>
    <w:p w14:paraId="0554CDE7" w14:textId="216BC873" w:rsidR="005E1297" w:rsidRDefault="005E1297" w:rsidP="003A2686">
      <w:pPr>
        <w:tabs>
          <w:tab w:val="left" w:pos="288"/>
        </w:tabs>
      </w:pPr>
    </w:p>
    <w:p w14:paraId="3EF599BA" w14:textId="63010862" w:rsidR="005E1297" w:rsidRDefault="005E1297" w:rsidP="005E1297">
      <w:pPr>
        <w:tabs>
          <w:tab w:val="left" w:pos="288"/>
        </w:tabs>
        <w:jc w:val="center"/>
      </w:pPr>
      <w:r>
        <w:rPr>
          <w:noProof/>
          <w:sz w:val="24"/>
          <w:szCs w:val="24"/>
        </w:rPr>
        <w:drawing>
          <wp:inline distT="0" distB="0" distL="0" distR="0" wp14:anchorId="6AE5F24C" wp14:editId="1676B4C1">
            <wp:extent cx="5859174" cy="4069080"/>
            <wp:effectExtent l="0" t="0" r="825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3238" cy="4120516"/>
                    </a:xfrm>
                    <a:prstGeom prst="rect">
                      <a:avLst/>
                    </a:prstGeom>
                    <a:noFill/>
                    <a:ln>
                      <a:noFill/>
                    </a:ln>
                  </pic:spPr>
                </pic:pic>
              </a:graphicData>
            </a:graphic>
          </wp:inline>
        </w:drawing>
      </w:r>
    </w:p>
    <w:p w14:paraId="232C84D3" w14:textId="0A803745" w:rsidR="00C67171" w:rsidRPr="00504594" w:rsidRDefault="005E1297" w:rsidP="00504594">
      <w:pPr>
        <w:spacing w:before="120" w:after="120"/>
        <w:jc w:val="center"/>
        <w:rPr>
          <w:b/>
        </w:rPr>
      </w:pPr>
      <w:bookmarkStart w:id="2" w:name="_Hlk42086160"/>
      <w:r w:rsidRPr="00F565BA">
        <w:rPr>
          <w:b/>
        </w:rPr>
        <w:t xml:space="preserve">Fig. </w:t>
      </w:r>
      <w:r>
        <w:rPr>
          <w:b/>
        </w:rPr>
        <w:t>9</w:t>
      </w:r>
      <w:r>
        <w:rPr>
          <w:b/>
        </w:rPr>
        <w:tab/>
        <w:t xml:space="preserve">Intensity of DEHS spray light scattering at 300 psi with valve open (top left), 90% closed (top right), and as ratio of closed to open (bottom). </w:t>
      </w:r>
      <w:bookmarkEnd w:id="2"/>
    </w:p>
    <w:p w14:paraId="05DBF05F" w14:textId="61A11CB0" w:rsidR="00C67171" w:rsidRDefault="00C67171" w:rsidP="005E1297">
      <w:pPr>
        <w:tabs>
          <w:tab w:val="left" w:pos="288"/>
        </w:tabs>
        <w:jc w:val="center"/>
      </w:pPr>
    </w:p>
    <w:p w14:paraId="7CD68445" w14:textId="58405465" w:rsidR="00C67171" w:rsidRDefault="00C67171" w:rsidP="005E1297">
      <w:pPr>
        <w:tabs>
          <w:tab w:val="left" w:pos="288"/>
        </w:tabs>
        <w:jc w:val="center"/>
      </w:pPr>
      <w:r>
        <w:rPr>
          <w:noProof/>
          <w:sz w:val="24"/>
          <w:szCs w:val="24"/>
        </w:rPr>
        <w:drawing>
          <wp:inline distT="0" distB="0" distL="0" distR="0" wp14:anchorId="47B9BAB2" wp14:editId="13C71A15">
            <wp:extent cx="5913790" cy="40614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0287" cy="4086525"/>
                    </a:xfrm>
                    <a:prstGeom prst="rect">
                      <a:avLst/>
                    </a:prstGeom>
                    <a:noFill/>
                    <a:ln>
                      <a:noFill/>
                    </a:ln>
                  </pic:spPr>
                </pic:pic>
              </a:graphicData>
            </a:graphic>
          </wp:inline>
        </w:drawing>
      </w:r>
    </w:p>
    <w:p w14:paraId="2A7B6E16" w14:textId="21E1D292" w:rsidR="00C67171" w:rsidRDefault="00C67171" w:rsidP="00C67171">
      <w:pPr>
        <w:spacing w:before="120" w:after="120"/>
        <w:jc w:val="center"/>
        <w:rPr>
          <w:b/>
        </w:rPr>
      </w:pPr>
      <w:r w:rsidRPr="00F565BA">
        <w:rPr>
          <w:b/>
        </w:rPr>
        <w:t xml:space="preserve">Fig. </w:t>
      </w:r>
      <w:r>
        <w:rPr>
          <w:b/>
        </w:rPr>
        <w:t>10</w:t>
      </w:r>
      <w:r w:rsidR="00756C27">
        <w:rPr>
          <w:b/>
        </w:rPr>
        <w:tab/>
      </w:r>
      <w:r>
        <w:rPr>
          <w:b/>
        </w:rPr>
        <w:t xml:space="preserve">Intensity of DEHS spray light scattering at 800 psi with valve open (top left), 90% closed (top right), and as ratio of closed to open (bottom). </w:t>
      </w:r>
    </w:p>
    <w:p w14:paraId="7AB525DE" w14:textId="77777777" w:rsidR="00756C27" w:rsidRDefault="00756C27" w:rsidP="00756C27">
      <w:pPr>
        <w:tabs>
          <w:tab w:val="left" w:pos="288"/>
        </w:tabs>
        <w:jc w:val="left"/>
        <w:rPr>
          <w:color w:val="FF0000"/>
        </w:rPr>
      </w:pPr>
      <w:r>
        <w:rPr>
          <w:color w:val="FF0000"/>
        </w:rPr>
        <w:tab/>
      </w:r>
    </w:p>
    <w:p w14:paraId="79916992"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Conclusion</w:t>
      </w:r>
    </w:p>
    <w:p w14:paraId="5A8BF2FC" w14:textId="77F9F287" w:rsidR="00F565BA" w:rsidRDefault="0071659E" w:rsidP="00F565BA">
      <w:pPr>
        <w:tabs>
          <w:tab w:val="left" w:pos="288"/>
        </w:tabs>
        <w:ind w:firstLine="288"/>
      </w:pPr>
      <w:r>
        <w:t xml:space="preserve">A novel method was </w:t>
      </w:r>
      <w:r w:rsidR="00856985">
        <w:t xml:space="preserve">designed and tested for introducing seed particles into flow at high </w:t>
      </w:r>
      <w:r w:rsidR="004F463C">
        <w:t xml:space="preserve">total </w:t>
      </w:r>
      <w:r w:rsidR="00856985">
        <w:t xml:space="preserve">pressures and small scales, </w:t>
      </w:r>
      <w:r w:rsidR="004F463C">
        <w:t xml:space="preserve">particularly motivated by </w:t>
      </w:r>
      <w:r w:rsidR="00856985">
        <w:t xml:space="preserve">applications in </w:t>
      </w:r>
      <w:r w:rsidR="003E521E">
        <w:t xml:space="preserve">NASA </w:t>
      </w:r>
      <w:r w:rsidR="00856985">
        <w:t xml:space="preserve">SLS </w:t>
      </w:r>
      <w:r w:rsidR="003E521E">
        <w:t xml:space="preserve">wind tunnel </w:t>
      </w:r>
      <w:r w:rsidR="00856985">
        <w:t xml:space="preserve">testing. </w:t>
      </w:r>
      <w:r w:rsidR="0026619A">
        <w:t xml:space="preserve">A Venturi contraction was used to draw the </w:t>
      </w:r>
      <w:r w:rsidR="00935069">
        <w:t xml:space="preserve">DEHS </w:t>
      </w:r>
      <w:r w:rsidR="0026619A">
        <w:t xml:space="preserve">seed liquid out of a reservoir and into </w:t>
      </w:r>
      <w:r w:rsidR="00BB4629">
        <w:t>the air feed line for a miniature nozzle</w:t>
      </w:r>
      <w:r w:rsidR="0026619A">
        <w:t xml:space="preserve">, where shearing forces atomized the liquid into particles in similar fashion to a Laskin nozzle. </w:t>
      </w:r>
      <w:r w:rsidR="00A20175">
        <w:t xml:space="preserve">The system successfully generated a </w:t>
      </w:r>
      <w:r w:rsidR="00FD2FE2">
        <w:t xml:space="preserve">fine </w:t>
      </w:r>
      <w:r w:rsidR="00A20175">
        <w:t xml:space="preserve">spray that ejected out of a nozzle, </w:t>
      </w:r>
      <w:r w:rsidR="0051177E">
        <w:t xml:space="preserve">and the flow rate of seed was shown to be controllable </w:t>
      </w:r>
      <w:r w:rsidR="00FD2FE2">
        <w:t xml:space="preserve">using </w:t>
      </w:r>
      <w:r w:rsidR="0051177E">
        <w:t xml:space="preserve">plug valve in the pressure feed to the seed reservoir. </w:t>
      </w:r>
    </w:p>
    <w:p w14:paraId="17A0C28C" w14:textId="399525EB" w:rsidR="0051177E" w:rsidRDefault="0051177E" w:rsidP="00F565BA">
      <w:pPr>
        <w:tabs>
          <w:tab w:val="left" w:pos="288"/>
        </w:tabs>
        <w:ind w:firstLine="288"/>
      </w:pPr>
      <w:r>
        <w:t>Further study is needed to assess the impact of the plug valve on particle size. Additionally, some different area ratios for the Venturi contraction may be worth testing to limit the seed flow rate. The use of a proper mass controller instead of a simple valve would likely also be beneficial in giving the user maximum control</w:t>
      </w:r>
      <w:r w:rsidR="00014BE2">
        <w:t xml:space="preserve"> of the system. </w:t>
      </w:r>
    </w:p>
    <w:p w14:paraId="29DC85F5" w14:textId="20114F9D" w:rsidR="00014BE2" w:rsidRDefault="00014BE2" w:rsidP="00F565BA">
      <w:pPr>
        <w:tabs>
          <w:tab w:val="left" w:pos="288"/>
        </w:tabs>
        <w:ind w:firstLine="288"/>
      </w:pPr>
      <w:r>
        <w:t xml:space="preserve">Overall, the novel Venturi concept may be a suitable way to introduce seeded air into flows at small scales and high pressures. The concept is relatively simple, </w:t>
      </w:r>
      <w:r w:rsidR="00963337">
        <w:t>inexpensive</w:t>
      </w:r>
      <w:r>
        <w:t xml:space="preserve">, and easy to implement into existing wind tunnel models. </w:t>
      </w:r>
    </w:p>
    <w:p w14:paraId="532807BC" w14:textId="41BD9EFF" w:rsidR="005F3D2D" w:rsidRDefault="005F3D2D" w:rsidP="00F565BA">
      <w:pPr>
        <w:tabs>
          <w:tab w:val="left" w:pos="288"/>
        </w:tabs>
        <w:ind w:firstLine="288"/>
      </w:pPr>
    </w:p>
    <w:p w14:paraId="10D1DE21" w14:textId="77777777" w:rsidR="005F3D2D" w:rsidRPr="00F565BA" w:rsidRDefault="005F3D2D" w:rsidP="005F3D2D">
      <w:pPr>
        <w:keepNext/>
        <w:spacing w:before="240" w:after="60"/>
        <w:ind w:left="180"/>
        <w:jc w:val="center"/>
        <w:outlineLvl w:val="0"/>
        <w:rPr>
          <w:b/>
          <w:kern w:val="32"/>
          <w:sz w:val="22"/>
        </w:rPr>
      </w:pPr>
      <w:r w:rsidRPr="00F565BA">
        <w:rPr>
          <w:b/>
          <w:kern w:val="32"/>
          <w:sz w:val="22"/>
        </w:rPr>
        <w:t>Acknowledgments</w:t>
      </w:r>
    </w:p>
    <w:p w14:paraId="22898577" w14:textId="0F8C0546" w:rsidR="005F3D2D" w:rsidRPr="00F565BA" w:rsidRDefault="00EF6A7C" w:rsidP="00F565BA">
      <w:pPr>
        <w:tabs>
          <w:tab w:val="left" w:pos="288"/>
        </w:tabs>
        <w:ind w:firstLine="288"/>
      </w:pPr>
      <w:r>
        <w:t>The authors gratefully acknowledge the support from the NASA Langley Research Center, through the National Institute of Aerospace sub-award activity number 201166-VT.</w:t>
      </w:r>
    </w:p>
    <w:p w14:paraId="335C78CA" w14:textId="23B6BFD1" w:rsidR="004E15B0" w:rsidRPr="001B3484" w:rsidRDefault="00F565BA" w:rsidP="001B3484">
      <w:pPr>
        <w:keepNext/>
        <w:spacing w:before="240" w:after="60"/>
        <w:ind w:left="180"/>
        <w:jc w:val="center"/>
        <w:outlineLvl w:val="0"/>
        <w:rPr>
          <w:b/>
          <w:kern w:val="32"/>
          <w:sz w:val="22"/>
        </w:rPr>
      </w:pPr>
      <w:r w:rsidRPr="00F565BA">
        <w:rPr>
          <w:b/>
          <w:kern w:val="32"/>
          <w:sz w:val="22"/>
        </w:rPr>
        <w:lastRenderedPageBreak/>
        <w:t>References</w:t>
      </w:r>
    </w:p>
    <w:p w14:paraId="45EBDDDC" w14:textId="0E408FD8" w:rsidR="00744BAF" w:rsidRDefault="00744BAF" w:rsidP="00744BAF">
      <w:pPr>
        <w:ind w:left="288" w:hanging="288"/>
        <w:jc w:val="left"/>
        <w:rPr>
          <w:sz w:val="18"/>
          <w:szCs w:val="18"/>
        </w:rPr>
      </w:pPr>
      <w:r w:rsidRPr="00744BAF">
        <w:rPr>
          <w:sz w:val="18"/>
          <w:szCs w:val="18"/>
        </w:rPr>
        <w:t>[1]</w:t>
      </w:r>
      <w:r>
        <w:rPr>
          <w:sz w:val="18"/>
          <w:szCs w:val="18"/>
        </w:rPr>
        <w:tab/>
      </w:r>
      <w:r w:rsidRPr="00744BAF">
        <w:rPr>
          <w:sz w:val="18"/>
          <w:szCs w:val="18"/>
        </w:rPr>
        <w:t>Winski, C. S., Danehy, P. M., Watkins, A. N., Shea, P., Meeroff, J., Lowe, K. T., and Houlden, H.</w:t>
      </w:r>
      <w:r>
        <w:rPr>
          <w:sz w:val="18"/>
          <w:szCs w:val="18"/>
        </w:rPr>
        <w:t>,</w:t>
      </w:r>
      <w:r w:rsidRPr="00744BAF">
        <w:rPr>
          <w:sz w:val="18"/>
          <w:szCs w:val="18"/>
        </w:rPr>
        <w:t xml:space="preserve"> </w:t>
      </w:r>
      <w:r>
        <w:rPr>
          <w:sz w:val="18"/>
          <w:szCs w:val="18"/>
        </w:rPr>
        <w:t>“</w:t>
      </w:r>
      <w:r w:rsidRPr="00744BAF">
        <w:rPr>
          <w:sz w:val="18"/>
          <w:szCs w:val="18"/>
        </w:rPr>
        <w:t>Space Launch System Booster Separation Supersonic Powered Testing with Surface and Off-Body Measurements</w:t>
      </w:r>
      <w:r w:rsidR="00B470C3">
        <w:rPr>
          <w:sz w:val="18"/>
          <w:szCs w:val="18"/>
        </w:rPr>
        <w:t>”,</w:t>
      </w:r>
      <w:r w:rsidRPr="00744BAF">
        <w:rPr>
          <w:sz w:val="18"/>
          <w:szCs w:val="18"/>
        </w:rPr>
        <w:t xml:space="preserve"> </w:t>
      </w:r>
      <w:r w:rsidRPr="00744BAF">
        <w:rPr>
          <w:i/>
          <w:iCs/>
          <w:sz w:val="18"/>
          <w:szCs w:val="18"/>
        </w:rPr>
        <w:t>AIAA Aviation 2019 Forum</w:t>
      </w:r>
      <w:r w:rsidRPr="00744BAF">
        <w:rPr>
          <w:sz w:val="18"/>
          <w:szCs w:val="18"/>
        </w:rPr>
        <w:t>, Dallas, Texas, 2019.</w:t>
      </w:r>
    </w:p>
    <w:p w14:paraId="5DDAFB0D" w14:textId="71AE77E1" w:rsidR="00B470C3" w:rsidRDefault="00B470C3" w:rsidP="00744BAF">
      <w:pPr>
        <w:ind w:left="288" w:hanging="288"/>
        <w:jc w:val="left"/>
        <w:rPr>
          <w:sz w:val="18"/>
          <w:szCs w:val="18"/>
        </w:rPr>
      </w:pPr>
      <w:r>
        <w:rPr>
          <w:sz w:val="18"/>
          <w:szCs w:val="18"/>
        </w:rPr>
        <w:tab/>
        <w:t xml:space="preserve">doi: </w:t>
      </w:r>
      <w:r w:rsidRPr="00B470C3">
        <w:rPr>
          <w:sz w:val="18"/>
          <w:szCs w:val="18"/>
        </w:rPr>
        <w:t>10.2514/6.2019-3505</w:t>
      </w:r>
    </w:p>
    <w:p w14:paraId="25DADC52" w14:textId="28B8CDC8" w:rsidR="00B470C3" w:rsidRDefault="00B470C3" w:rsidP="00B470C3">
      <w:pPr>
        <w:ind w:left="288" w:hanging="288"/>
        <w:jc w:val="left"/>
        <w:rPr>
          <w:sz w:val="18"/>
          <w:szCs w:val="18"/>
        </w:rPr>
      </w:pPr>
      <w:r>
        <w:rPr>
          <w:sz w:val="18"/>
          <w:szCs w:val="18"/>
        </w:rPr>
        <w:t>[2]</w:t>
      </w:r>
      <w:r>
        <w:rPr>
          <w:sz w:val="18"/>
          <w:szCs w:val="18"/>
        </w:rPr>
        <w:tab/>
      </w:r>
      <w:r w:rsidRPr="00B470C3">
        <w:rPr>
          <w:sz w:val="18"/>
          <w:szCs w:val="18"/>
        </w:rPr>
        <w:t>Lowe, K. T., Byun, G., Shea, S., Boyda, M., and Winski, C. S.</w:t>
      </w:r>
      <w:r w:rsidR="006A1023">
        <w:rPr>
          <w:sz w:val="18"/>
          <w:szCs w:val="18"/>
        </w:rPr>
        <w:t>,</w:t>
      </w:r>
      <w:r w:rsidRPr="00B470C3">
        <w:rPr>
          <w:sz w:val="18"/>
          <w:szCs w:val="18"/>
        </w:rPr>
        <w:t xml:space="preserve"> </w:t>
      </w:r>
      <w:r>
        <w:rPr>
          <w:sz w:val="18"/>
          <w:szCs w:val="18"/>
        </w:rPr>
        <w:t>“</w:t>
      </w:r>
      <w:r w:rsidRPr="00B470C3">
        <w:rPr>
          <w:sz w:val="18"/>
          <w:szCs w:val="18"/>
        </w:rPr>
        <w:t>Three-Velocity-Component Cross-Correlation Doppler Global Velocimetry for the Space Launch System Booster Separation Test in the NASA Langley Unitary Plan Wind Tunnel</w:t>
      </w:r>
      <w:r>
        <w:rPr>
          <w:sz w:val="18"/>
          <w:szCs w:val="18"/>
        </w:rPr>
        <w:t>”,</w:t>
      </w:r>
      <w:r w:rsidRPr="00B470C3">
        <w:rPr>
          <w:sz w:val="18"/>
          <w:szCs w:val="18"/>
        </w:rPr>
        <w:t xml:space="preserve"> </w:t>
      </w:r>
      <w:r w:rsidRPr="00B470C3">
        <w:rPr>
          <w:i/>
          <w:iCs/>
          <w:sz w:val="18"/>
          <w:szCs w:val="18"/>
        </w:rPr>
        <w:t>AIAA Aviation 2019 Forum</w:t>
      </w:r>
      <w:r w:rsidRPr="00B470C3">
        <w:rPr>
          <w:sz w:val="18"/>
          <w:szCs w:val="18"/>
        </w:rPr>
        <w:t>, Dallas, Texas, 2019.</w:t>
      </w:r>
    </w:p>
    <w:p w14:paraId="49C9C5B9" w14:textId="3004E9BD" w:rsidR="00B470C3" w:rsidRDefault="00B470C3" w:rsidP="00B470C3">
      <w:pPr>
        <w:ind w:left="288" w:hanging="288"/>
        <w:jc w:val="left"/>
        <w:rPr>
          <w:sz w:val="18"/>
          <w:szCs w:val="18"/>
        </w:rPr>
      </w:pPr>
      <w:r>
        <w:rPr>
          <w:sz w:val="18"/>
          <w:szCs w:val="18"/>
        </w:rPr>
        <w:tab/>
        <w:t xml:space="preserve">doi: </w:t>
      </w:r>
      <w:r w:rsidRPr="00B470C3">
        <w:rPr>
          <w:sz w:val="18"/>
          <w:szCs w:val="18"/>
        </w:rPr>
        <w:t>10.2514/6.2019-3506</w:t>
      </w:r>
    </w:p>
    <w:p w14:paraId="04587D70" w14:textId="01290200" w:rsidR="006A1023" w:rsidRDefault="006A1023" w:rsidP="006A1023">
      <w:pPr>
        <w:ind w:left="288" w:hanging="288"/>
        <w:jc w:val="left"/>
        <w:rPr>
          <w:sz w:val="18"/>
          <w:szCs w:val="18"/>
        </w:rPr>
      </w:pPr>
      <w:r w:rsidRPr="006A1023">
        <w:rPr>
          <w:sz w:val="18"/>
          <w:szCs w:val="18"/>
        </w:rPr>
        <w:t>[</w:t>
      </w:r>
      <w:r>
        <w:rPr>
          <w:sz w:val="18"/>
          <w:szCs w:val="18"/>
        </w:rPr>
        <w:t>3</w:t>
      </w:r>
      <w:r w:rsidRPr="006A1023">
        <w:rPr>
          <w:sz w:val="18"/>
          <w:szCs w:val="18"/>
        </w:rPr>
        <w:t>]</w:t>
      </w:r>
      <w:r>
        <w:rPr>
          <w:sz w:val="18"/>
          <w:szCs w:val="18"/>
        </w:rPr>
        <w:tab/>
      </w:r>
      <w:r w:rsidRPr="006A1023">
        <w:rPr>
          <w:sz w:val="18"/>
          <w:szCs w:val="18"/>
        </w:rPr>
        <w:t>Danehy, P. M., Wisser, B. M., Fahringer, T. W., Winski, C. S., Falman, B. E., Shea, S., Boyda, M., and Lowe, K. T.</w:t>
      </w:r>
      <w:r>
        <w:rPr>
          <w:sz w:val="18"/>
          <w:szCs w:val="18"/>
        </w:rPr>
        <w:t>,</w:t>
      </w:r>
      <w:r w:rsidRPr="006A1023">
        <w:rPr>
          <w:sz w:val="18"/>
          <w:szCs w:val="18"/>
        </w:rPr>
        <w:t xml:space="preserve"> </w:t>
      </w:r>
      <w:r>
        <w:rPr>
          <w:sz w:val="18"/>
          <w:szCs w:val="18"/>
        </w:rPr>
        <w:t>“</w:t>
      </w:r>
      <w:r w:rsidRPr="006A1023">
        <w:rPr>
          <w:sz w:val="18"/>
          <w:szCs w:val="18"/>
        </w:rPr>
        <w:t>Laser Light Sheet Flow Visualization of the Space Launch System Booster Separation Test</w:t>
      </w:r>
      <w:r>
        <w:rPr>
          <w:sz w:val="18"/>
          <w:szCs w:val="18"/>
        </w:rPr>
        <w:t>”,</w:t>
      </w:r>
      <w:r w:rsidRPr="006A1023">
        <w:rPr>
          <w:sz w:val="18"/>
          <w:szCs w:val="18"/>
        </w:rPr>
        <w:t xml:space="preserve"> </w:t>
      </w:r>
      <w:r w:rsidRPr="006A1023">
        <w:rPr>
          <w:i/>
          <w:iCs/>
          <w:sz w:val="18"/>
          <w:szCs w:val="18"/>
        </w:rPr>
        <w:t>AIAA Aviation 2019 Forum</w:t>
      </w:r>
      <w:r w:rsidRPr="006A1023">
        <w:rPr>
          <w:sz w:val="18"/>
          <w:szCs w:val="18"/>
        </w:rPr>
        <w:t>, Dallas, Texas, 2019.</w:t>
      </w:r>
    </w:p>
    <w:p w14:paraId="1D3E65D6" w14:textId="79067AE5" w:rsidR="006A1023" w:rsidRDefault="006A1023" w:rsidP="006A1023">
      <w:pPr>
        <w:ind w:left="288" w:hanging="288"/>
        <w:jc w:val="left"/>
        <w:rPr>
          <w:sz w:val="18"/>
          <w:szCs w:val="18"/>
        </w:rPr>
      </w:pPr>
      <w:r>
        <w:rPr>
          <w:sz w:val="18"/>
          <w:szCs w:val="18"/>
        </w:rPr>
        <w:tab/>
        <w:t xml:space="preserve">doi: </w:t>
      </w:r>
      <w:r w:rsidRPr="006A1023">
        <w:rPr>
          <w:sz w:val="18"/>
          <w:szCs w:val="18"/>
        </w:rPr>
        <w:t>10.2514/6.2019-3507</w:t>
      </w:r>
    </w:p>
    <w:p w14:paraId="5AA32BE0" w14:textId="3C220E59" w:rsidR="006A1023" w:rsidRDefault="006A1023" w:rsidP="006A1023">
      <w:pPr>
        <w:ind w:left="288" w:hanging="288"/>
        <w:jc w:val="left"/>
        <w:rPr>
          <w:sz w:val="18"/>
          <w:szCs w:val="18"/>
        </w:rPr>
      </w:pPr>
      <w:r w:rsidRPr="006A1023">
        <w:rPr>
          <w:sz w:val="18"/>
          <w:szCs w:val="18"/>
        </w:rPr>
        <w:t xml:space="preserve">[4] </w:t>
      </w:r>
      <w:r>
        <w:rPr>
          <w:sz w:val="18"/>
          <w:szCs w:val="18"/>
        </w:rPr>
        <w:tab/>
      </w:r>
      <w:r w:rsidRPr="006A1023">
        <w:rPr>
          <w:sz w:val="18"/>
          <w:szCs w:val="18"/>
        </w:rPr>
        <w:t>Berry, S., Rhode, M., Edquist, K., and Player, C.</w:t>
      </w:r>
      <w:r>
        <w:rPr>
          <w:sz w:val="18"/>
          <w:szCs w:val="18"/>
        </w:rPr>
        <w:t>,</w:t>
      </w:r>
      <w:r w:rsidRPr="006A1023">
        <w:rPr>
          <w:sz w:val="18"/>
          <w:szCs w:val="18"/>
        </w:rPr>
        <w:t xml:space="preserve"> </w:t>
      </w:r>
      <w:r>
        <w:rPr>
          <w:sz w:val="18"/>
          <w:szCs w:val="18"/>
        </w:rPr>
        <w:t>“</w:t>
      </w:r>
      <w:r w:rsidRPr="006A1023">
        <w:rPr>
          <w:sz w:val="18"/>
          <w:szCs w:val="18"/>
        </w:rPr>
        <w:t>Supersonic Retropropulsion Experimental Results from the NASA Langley Unitary Plan Wind Tunnel</w:t>
      </w:r>
      <w:r>
        <w:rPr>
          <w:sz w:val="18"/>
          <w:szCs w:val="18"/>
        </w:rPr>
        <w:t>”,</w:t>
      </w:r>
      <w:r w:rsidRPr="006A1023">
        <w:rPr>
          <w:sz w:val="18"/>
          <w:szCs w:val="18"/>
        </w:rPr>
        <w:t xml:space="preserve"> </w:t>
      </w:r>
      <w:r w:rsidRPr="006A1023">
        <w:rPr>
          <w:i/>
          <w:iCs/>
          <w:sz w:val="18"/>
          <w:szCs w:val="18"/>
        </w:rPr>
        <w:t>42nd AIAA Thermophysics Conference</w:t>
      </w:r>
      <w:r w:rsidRPr="006A1023">
        <w:rPr>
          <w:sz w:val="18"/>
          <w:szCs w:val="18"/>
        </w:rPr>
        <w:t>, Honolulu, Hawaii, 2011.</w:t>
      </w:r>
    </w:p>
    <w:p w14:paraId="018D34B8" w14:textId="46D5E4EF" w:rsidR="00B70173" w:rsidRPr="006A1023" w:rsidRDefault="00B70173" w:rsidP="006A1023">
      <w:pPr>
        <w:ind w:left="288" w:hanging="288"/>
        <w:jc w:val="left"/>
        <w:rPr>
          <w:sz w:val="18"/>
          <w:szCs w:val="18"/>
        </w:rPr>
      </w:pPr>
      <w:r>
        <w:rPr>
          <w:sz w:val="18"/>
          <w:szCs w:val="18"/>
        </w:rPr>
        <w:tab/>
        <w:t xml:space="preserve">doi: </w:t>
      </w:r>
      <w:r w:rsidRPr="00B70173">
        <w:rPr>
          <w:sz w:val="18"/>
          <w:szCs w:val="18"/>
        </w:rPr>
        <w:t>10.2514/6.2011-3489</w:t>
      </w:r>
    </w:p>
    <w:p w14:paraId="3D3CFFA7" w14:textId="48789999" w:rsidR="00B70173" w:rsidRPr="00B70173" w:rsidRDefault="00B70173" w:rsidP="00B70173">
      <w:pPr>
        <w:ind w:left="288" w:hanging="288"/>
        <w:jc w:val="left"/>
        <w:rPr>
          <w:sz w:val="18"/>
          <w:szCs w:val="18"/>
        </w:rPr>
      </w:pPr>
      <w:r w:rsidRPr="00B70173">
        <w:rPr>
          <w:sz w:val="18"/>
          <w:szCs w:val="18"/>
        </w:rPr>
        <w:t>[</w:t>
      </w:r>
      <w:r>
        <w:rPr>
          <w:sz w:val="18"/>
          <w:szCs w:val="18"/>
        </w:rPr>
        <w:t>5</w:t>
      </w:r>
      <w:r w:rsidRPr="00B70173">
        <w:rPr>
          <w:sz w:val="18"/>
          <w:szCs w:val="18"/>
        </w:rPr>
        <w:t xml:space="preserve">] </w:t>
      </w:r>
      <w:r>
        <w:rPr>
          <w:sz w:val="18"/>
          <w:szCs w:val="18"/>
        </w:rPr>
        <w:tab/>
      </w:r>
      <w:r w:rsidRPr="00B70173">
        <w:rPr>
          <w:sz w:val="18"/>
          <w:szCs w:val="18"/>
        </w:rPr>
        <w:t>Melling, A.</w:t>
      </w:r>
      <w:r>
        <w:rPr>
          <w:sz w:val="18"/>
          <w:szCs w:val="18"/>
        </w:rPr>
        <w:t>,</w:t>
      </w:r>
      <w:r w:rsidRPr="00B70173">
        <w:rPr>
          <w:sz w:val="18"/>
          <w:szCs w:val="18"/>
        </w:rPr>
        <w:t xml:space="preserve"> “Tracer Particles and Seeding for Particle Image Velocimetry</w:t>
      </w:r>
      <w:r w:rsidR="005A4D0D">
        <w:rPr>
          <w:sz w:val="18"/>
          <w:szCs w:val="18"/>
        </w:rPr>
        <w:t xml:space="preserve">,” </w:t>
      </w:r>
      <w:r w:rsidRPr="00B70173">
        <w:rPr>
          <w:i/>
          <w:iCs/>
          <w:sz w:val="18"/>
          <w:szCs w:val="18"/>
        </w:rPr>
        <w:t>Measurement Science and Technology</w:t>
      </w:r>
      <w:r w:rsidRPr="00B70173">
        <w:rPr>
          <w:sz w:val="18"/>
          <w:szCs w:val="18"/>
        </w:rPr>
        <w:t>, Vol. 8, No. 12, 1997, pp. 1406–1416.</w:t>
      </w:r>
    </w:p>
    <w:p w14:paraId="08A5AB31" w14:textId="35942EBE" w:rsidR="006A1023" w:rsidRPr="006A1023" w:rsidRDefault="00B70173" w:rsidP="006A1023">
      <w:pPr>
        <w:ind w:left="288" w:hanging="288"/>
        <w:jc w:val="left"/>
        <w:rPr>
          <w:sz w:val="18"/>
          <w:szCs w:val="18"/>
        </w:rPr>
      </w:pPr>
      <w:r>
        <w:rPr>
          <w:sz w:val="18"/>
          <w:szCs w:val="18"/>
        </w:rPr>
        <w:tab/>
        <w:t xml:space="preserve">doi: </w:t>
      </w:r>
      <w:r w:rsidRPr="00B70173">
        <w:rPr>
          <w:sz w:val="18"/>
          <w:szCs w:val="18"/>
        </w:rPr>
        <w:t>10.1088/0957-0233/8/12/005</w:t>
      </w:r>
    </w:p>
    <w:p w14:paraId="4BA1EA27" w14:textId="6EC588DF" w:rsidR="00E37676" w:rsidRDefault="00E37676" w:rsidP="00E37676">
      <w:pPr>
        <w:jc w:val="left"/>
        <w:rPr>
          <w:sz w:val="18"/>
          <w:szCs w:val="18"/>
        </w:rPr>
      </w:pPr>
      <w:r w:rsidRPr="00E37676">
        <w:rPr>
          <w:sz w:val="18"/>
          <w:szCs w:val="18"/>
        </w:rPr>
        <w:t>[</w:t>
      </w:r>
      <w:r>
        <w:rPr>
          <w:sz w:val="18"/>
          <w:szCs w:val="18"/>
        </w:rPr>
        <w:t>6</w:t>
      </w:r>
      <w:r w:rsidRPr="00E37676">
        <w:rPr>
          <w:sz w:val="18"/>
          <w:szCs w:val="18"/>
        </w:rPr>
        <w:t xml:space="preserve">] </w:t>
      </w:r>
      <w:r>
        <w:rPr>
          <w:sz w:val="18"/>
          <w:szCs w:val="18"/>
        </w:rPr>
        <w:tab/>
      </w:r>
      <w:r w:rsidRPr="00E37676">
        <w:rPr>
          <w:sz w:val="18"/>
          <w:szCs w:val="18"/>
        </w:rPr>
        <w:t>Echols, W.H., Y</w:t>
      </w:r>
      <w:r>
        <w:rPr>
          <w:sz w:val="18"/>
          <w:szCs w:val="18"/>
        </w:rPr>
        <w:t>oung</w:t>
      </w:r>
      <w:r w:rsidRPr="00E37676">
        <w:rPr>
          <w:sz w:val="18"/>
          <w:szCs w:val="18"/>
        </w:rPr>
        <w:t>, J. A.</w:t>
      </w:r>
      <w:r>
        <w:rPr>
          <w:sz w:val="18"/>
          <w:szCs w:val="18"/>
        </w:rPr>
        <w:t>,</w:t>
      </w:r>
      <w:r w:rsidRPr="00E37676">
        <w:rPr>
          <w:sz w:val="18"/>
          <w:szCs w:val="18"/>
        </w:rPr>
        <w:t xml:space="preserve"> </w:t>
      </w:r>
      <w:r>
        <w:rPr>
          <w:sz w:val="18"/>
          <w:szCs w:val="18"/>
        </w:rPr>
        <w:t>“</w:t>
      </w:r>
      <w:r w:rsidRPr="00E37676">
        <w:rPr>
          <w:sz w:val="18"/>
          <w:szCs w:val="18"/>
        </w:rPr>
        <w:t>Studies of Portable Air-Operated Aerosol Generators</w:t>
      </w:r>
      <w:r w:rsidR="005A4D0D">
        <w:rPr>
          <w:sz w:val="18"/>
          <w:szCs w:val="18"/>
        </w:rPr>
        <w:t>”,</w:t>
      </w:r>
      <w:r w:rsidRPr="00E37676">
        <w:rPr>
          <w:sz w:val="18"/>
          <w:szCs w:val="18"/>
        </w:rPr>
        <w:t xml:space="preserve"> NRL Report 5929</w:t>
      </w:r>
      <w:r>
        <w:rPr>
          <w:sz w:val="18"/>
          <w:szCs w:val="18"/>
        </w:rPr>
        <w:t>,</w:t>
      </w:r>
      <w:r w:rsidRPr="00E37676">
        <w:rPr>
          <w:sz w:val="18"/>
          <w:szCs w:val="18"/>
        </w:rPr>
        <w:t xml:space="preserve"> 1963.</w:t>
      </w:r>
    </w:p>
    <w:p w14:paraId="4026E398" w14:textId="2870F141" w:rsidR="00E37676" w:rsidRPr="005A4D0D" w:rsidRDefault="00E37676" w:rsidP="00083D85">
      <w:pPr>
        <w:ind w:left="288" w:hanging="288"/>
        <w:jc w:val="left"/>
        <w:rPr>
          <w:sz w:val="16"/>
          <w:szCs w:val="16"/>
        </w:rPr>
      </w:pPr>
      <w:r w:rsidRPr="00E37676">
        <w:rPr>
          <w:sz w:val="18"/>
          <w:szCs w:val="18"/>
        </w:rPr>
        <w:t>[</w:t>
      </w:r>
      <w:r>
        <w:rPr>
          <w:sz w:val="18"/>
          <w:szCs w:val="18"/>
        </w:rPr>
        <w:t>7</w:t>
      </w:r>
      <w:r w:rsidRPr="00E37676">
        <w:rPr>
          <w:sz w:val="18"/>
          <w:szCs w:val="18"/>
        </w:rPr>
        <w:t xml:space="preserve">] </w:t>
      </w:r>
      <w:r>
        <w:rPr>
          <w:sz w:val="18"/>
          <w:szCs w:val="18"/>
        </w:rPr>
        <w:tab/>
      </w:r>
      <w:r w:rsidRPr="00E37676">
        <w:rPr>
          <w:sz w:val="18"/>
          <w:szCs w:val="18"/>
        </w:rPr>
        <w:t>Sabroske, K. R., Hoying, D. A., and Rabe, D. C.</w:t>
      </w:r>
      <w:r w:rsidR="00083D85">
        <w:rPr>
          <w:sz w:val="18"/>
          <w:szCs w:val="18"/>
        </w:rPr>
        <w:t xml:space="preserve">, U.S. Patent for a </w:t>
      </w:r>
      <w:r w:rsidRPr="00E37676">
        <w:rPr>
          <w:sz w:val="18"/>
          <w:szCs w:val="18"/>
        </w:rPr>
        <w:t>“</w:t>
      </w:r>
      <w:r w:rsidR="00083D85">
        <w:rPr>
          <w:sz w:val="18"/>
          <w:szCs w:val="18"/>
        </w:rPr>
        <w:t>Laskin Nozzle Particle Generator</w:t>
      </w:r>
      <w:r w:rsidR="005A4D0D">
        <w:rPr>
          <w:sz w:val="18"/>
          <w:szCs w:val="18"/>
        </w:rPr>
        <w:t>”,</w:t>
      </w:r>
      <w:r w:rsidR="00083D85">
        <w:rPr>
          <w:sz w:val="18"/>
          <w:szCs w:val="18"/>
        </w:rPr>
        <w:t xml:space="preserve"> Patent Number 5498374, dated Mar. 12, 1996.</w:t>
      </w:r>
    </w:p>
    <w:p w14:paraId="55B63F87" w14:textId="0A5665C8" w:rsidR="005A4D0D" w:rsidRPr="005A4D0D" w:rsidRDefault="005A4D0D" w:rsidP="005A4D0D">
      <w:pPr>
        <w:ind w:left="288" w:hanging="288"/>
        <w:jc w:val="left"/>
        <w:rPr>
          <w:sz w:val="18"/>
          <w:szCs w:val="18"/>
        </w:rPr>
      </w:pPr>
      <w:r w:rsidRPr="005A4D0D">
        <w:rPr>
          <w:sz w:val="18"/>
          <w:szCs w:val="18"/>
        </w:rPr>
        <w:t>[</w:t>
      </w:r>
      <w:r>
        <w:rPr>
          <w:sz w:val="18"/>
          <w:szCs w:val="18"/>
        </w:rPr>
        <w:t>8</w:t>
      </w:r>
      <w:r w:rsidRPr="005A4D0D">
        <w:rPr>
          <w:sz w:val="18"/>
          <w:szCs w:val="18"/>
        </w:rPr>
        <w:t xml:space="preserve">] </w:t>
      </w:r>
      <w:r>
        <w:rPr>
          <w:sz w:val="18"/>
          <w:szCs w:val="18"/>
        </w:rPr>
        <w:tab/>
      </w:r>
      <w:r w:rsidRPr="005A4D0D">
        <w:rPr>
          <w:sz w:val="18"/>
          <w:szCs w:val="18"/>
        </w:rPr>
        <w:t>Kähler, C., Sammler, B., and Kompenhans, J.</w:t>
      </w:r>
      <w:r>
        <w:rPr>
          <w:sz w:val="18"/>
          <w:szCs w:val="18"/>
        </w:rPr>
        <w:t>,</w:t>
      </w:r>
      <w:r w:rsidRPr="005A4D0D">
        <w:rPr>
          <w:sz w:val="18"/>
          <w:szCs w:val="18"/>
        </w:rPr>
        <w:t xml:space="preserve"> “Generation and Control of Tracer Particles for Optical Flow Investigations in Air</w:t>
      </w:r>
      <w:r>
        <w:rPr>
          <w:sz w:val="18"/>
          <w:szCs w:val="18"/>
        </w:rPr>
        <w:t>”,</w:t>
      </w:r>
      <w:r w:rsidRPr="005A4D0D">
        <w:rPr>
          <w:sz w:val="18"/>
          <w:szCs w:val="18"/>
        </w:rPr>
        <w:t xml:space="preserve"> </w:t>
      </w:r>
      <w:r w:rsidRPr="005A4D0D">
        <w:rPr>
          <w:i/>
          <w:iCs/>
          <w:sz w:val="18"/>
          <w:szCs w:val="18"/>
        </w:rPr>
        <w:t>Experiments in Fluids</w:t>
      </w:r>
      <w:r w:rsidRPr="005A4D0D">
        <w:rPr>
          <w:sz w:val="18"/>
          <w:szCs w:val="18"/>
        </w:rPr>
        <w:t>, Vol. 33, No. 6, 2002, pp. 736–742</w:t>
      </w:r>
      <w:r>
        <w:rPr>
          <w:sz w:val="18"/>
          <w:szCs w:val="18"/>
        </w:rPr>
        <w:t>.</w:t>
      </w:r>
    </w:p>
    <w:p w14:paraId="354AE79E" w14:textId="110A8988" w:rsidR="00083D85" w:rsidRPr="00E37676" w:rsidRDefault="005A4D0D" w:rsidP="005A4D0D">
      <w:pPr>
        <w:ind w:left="288"/>
        <w:jc w:val="left"/>
        <w:rPr>
          <w:sz w:val="18"/>
          <w:szCs w:val="18"/>
        </w:rPr>
      </w:pPr>
      <w:r>
        <w:rPr>
          <w:sz w:val="18"/>
          <w:szCs w:val="18"/>
        </w:rPr>
        <w:t xml:space="preserve">doi: </w:t>
      </w:r>
      <w:r w:rsidRPr="005A4D0D">
        <w:rPr>
          <w:sz w:val="18"/>
          <w:szCs w:val="18"/>
        </w:rPr>
        <w:t>10.1007/s00348-002-0492-x</w:t>
      </w:r>
    </w:p>
    <w:p w14:paraId="781C7140" w14:textId="6330B7A8" w:rsidR="00AD3967" w:rsidRPr="00AD3967" w:rsidRDefault="00AD3967" w:rsidP="00621C4C">
      <w:pPr>
        <w:ind w:left="288" w:hanging="288"/>
        <w:jc w:val="left"/>
        <w:rPr>
          <w:sz w:val="18"/>
          <w:szCs w:val="18"/>
        </w:rPr>
      </w:pPr>
      <w:r w:rsidRPr="00AD3967">
        <w:rPr>
          <w:sz w:val="18"/>
          <w:szCs w:val="18"/>
        </w:rPr>
        <w:t>[</w:t>
      </w:r>
      <w:r>
        <w:rPr>
          <w:sz w:val="18"/>
          <w:szCs w:val="18"/>
        </w:rPr>
        <w:t>9</w:t>
      </w:r>
      <w:r w:rsidRPr="00AD3967">
        <w:rPr>
          <w:sz w:val="18"/>
          <w:szCs w:val="18"/>
        </w:rPr>
        <w:t xml:space="preserve">] </w:t>
      </w:r>
      <w:r w:rsidR="00621C4C">
        <w:rPr>
          <w:sz w:val="18"/>
          <w:szCs w:val="18"/>
        </w:rPr>
        <w:tab/>
      </w:r>
      <w:r w:rsidRPr="00AD3967">
        <w:rPr>
          <w:sz w:val="18"/>
          <w:szCs w:val="18"/>
        </w:rPr>
        <w:t>Raffel, M., Höfer, H., Kost, F., Willert, C., and Kompenhans, J.</w:t>
      </w:r>
      <w:r w:rsidR="00621C4C">
        <w:rPr>
          <w:sz w:val="18"/>
          <w:szCs w:val="18"/>
        </w:rPr>
        <w:t>,</w:t>
      </w:r>
      <w:r w:rsidRPr="00AD3967">
        <w:rPr>
          <w:sz w:val="18"/>
          <w:szCs w:val="18"/>
        </w:rPr>
        <w:t xml:space="preserve"> </w:t>
      </w:r>
      <w:r w:rsidR="00621C4C">
        <w:rPr>
          <w:sz w:val="18"/>
          <w:szCs w:val="18"/>
        </w:rPr>
        <w:t>“</w:t>
      </w:r>
      <w:r w:rsidRPr="00AD3967">
        <w:rPr>
          <w:sz w:val="18"/>
          <w:szCs w:val="18"/>
        </w:rPr>
        <w:t>Experimental Aspects of PIV Measurements of Transonic Flow Fields at a Trailing Edge Model of a Turbine Blade</w:t>
      </w:r>
      <w:r w:rsidR="00621C4C">
        <w:rPr>
          <w:sz w:val="18"/>
          <w:szCs w:val="18"/>
        </w:rPr>
        <w:t>”,</w:t>
      </w:r>
      <w:r w:rsidRPr="00AD3967">
        <w:rPr>
          <w:sz w:val="18"/>
          <w:szCs w:val="18"/>
        </w:rPr>
        <w:t xml:space="preserve"> </w:t>
      </w:r>
      <w:r w:rsidRPr="00AD3967">
        <w:rPr>
          <w:i/>
          <w:iCs/>
          <w:sz w:val="18"/>
          <w:szCs w:val="18"/>
        </w:rPr>
        <w:t>8th International Symposium on Applications of Laser Techniques to Fluid Mechanics</w:t>
      </w:r>
      <w:r w:rsidRPr="00AD3967">
        <w:rPr>
          <w:sz w:val="18"/>
          <w:szCs w:val="18"/>
        </w:rPr>
        <w:t>, Lisbon, 1996.</w:t>
      </w:r>
    </w:p>
    <w:p w14:paraId="7FA2BAB6" w14:textId="6C5C4191" w:rsidR="006261D5" w:rsidRPr="006261D5" w:rsidRDefault="006261D5" w:rsidP="006261D5">
      <w:pPr>
        <w:ind w:left="360" w:hanging="360"/>
        <w:jc w:val="left"/>
        <w:rPr>
          <w:sz w:val="18"/>
          <w:szCs w:val="18"/>
        </w:rPr>
      </w:pPr>
      <w:r w:rsidRPr="006261D5">
        <w:rPr>
          <w:sz w:val="18"/>
          <w:szCs w:val="18"/>
        </w:rPr>
        <w:t>[1</w:t>
      </w:r>
      <w:r>
        <w:rPr>
          <w:sz w:val="18"/>
          <w:szCs w:val="18"/>
        </w:rPr>
        <w:t xml:space="preserve">0] </w:t>
      </w:r>
      <w:r w:rsidRPr="006261D5">
        <w:rPr>
          <w:sz w:val="18"/>
          <w:szCs w:val="18"/>
        </w:rPr>
        <w:t>Van der Draai, R., van Schinkel, R., Telesca, A., Scarano, F., Elsinga, G., and Feenstra, G.</w:t>
      </w:r>
      <w:r w:rsidR="00F66BFA">
        <w:rPr>
          <w:sz w:val="18"/>
          <w:szCs w:val="18"/>
        </w:rPr>
        <w:t>,</w:t>
      </w:r>
      <w:r w:rsidRPr="006261D5">
        <w:rPr>
          <w:sz w:val="18"/>
          <w:szCs w:val="18"/>
        </w:rPr>
        <w:t xml:space="preserve"> </w:t>
      </w:r>
      <w:r w:rsidR="00F66BFA">
        <w:rPr>
          <w:sz w:val="18"/>
          <w:szCs w:val="18"/>
        </w:rPr>
        <w:t>“</w:t>
      </w:r>
      <w:r w:rsidRPr="006261D5">
        <w:rPr>
          <w:sz w:val="18"/>
          <w:szCs w:val="18"/>
        </w:rPr>
        <w:t xml:space="preserve">Application of PIV in (Local) </w:t>
      </w:r>
      <w:r>
        <w:rPr>
          <w:sz w:val="18"/>
          <w:szCs w:val="18"/>
        </w:rPr>
        <w:t xml:space="preserve">         </w:t>
      </w:r>
      <w:r w:rsidRPr="006261D5">
        <w:rPr>
          <w:sz w:val="18"/>
          <w:szCs w:val="18"/>
        </w:rPr>
        <w:t>Supersonic Flows in DNW Wind Tunnels</w:t>
      </w:r>
      <w:r w:rsidR="00F66BFA">
        <w:rPr>
          <w:sz w:val="18"/>
          <w:szCs w:val="18"/>
        </w:rPr>
        <w:t>”,</w:t>
      </w:r>
      <w:r w:rsidRPr="006261D5">
        <w:rPr>
          <w:sz w:val="18"/>
          <w:szCs w:val="18"/>
        </w:rPr>
        <w:t xml:space="preserve"> </w:t>
      </w:r>
      <w:r w:rsidRPr="006261D5">
        <w:rPr>
          <w:i/>
          <w:iCs/>
          <w:sz w:val="18"/>
          <w:szCs w:val="18"/>
        </w:rPr>
        <w:t>41st AIAA/ASME/SAE/ASEE Joint Propulsion Conference &amp; Exhibit</w:t>
      </w:r>
      <w:r w:rsidRPr="006261D5">
        <w:rPr>
          <w:sz w:val="18"/>
          <w:szCs w:val="18"/>
        </w:rPr>
        <w:t>, Tucson, Arizona, 2005.</w:t>
      </w:r>
    </w:p>
    <w:p w14:paraId="3372D9FA" w14:textId="6B8E20C0" w:rsidR="00E37676" w:rsidRPr="00E37676" w:rsidRDefault="00664E55" w:rsidP="00F66BFA">
      <w:pPr>
        <w:ind w:left="360" w:hanging="360"/>
        <w:jc w:val="left"/>
        <w:rPr>
          <w:sz w:val="18"/>
          <w:szCs w:val="18"/>
        </w:rPr>
      </w:pPr>
      <w:r>
        <w:rPr>
          <w:sz w:val="18"/>
          <w:szCs w:val="18"/>
        </w:rPr>
        <w:t xml:space="preserve">[11] </w:t>
      </w:r>
      <w:r w:rsidRPr="00F66BFA">
        <w:rPr>
          <w:sz w:val="18"/>
          <w:szCs w:val="18"/>
        </w:rPr>
        <w:t xml:space="preserve">Scarano, F., and </w:t>
      </w:r>
      <w:r w:rsidR="00F66BFA" w:rsidRPr="00F66BFA">
        <w:rPr>
          <w:sz w:val="18"/>
          <w:szCs w:val="18"/>
        </w:rPr>
        <w:t>v</w:t>
      </w:r>
      <w:r w:rsidRPr="00F66BFA">
        <w:rPr>
          <w:sz w:val="18"/>
          <w:szCs w:val="18"/>
        </w:rPr>
        <w:t>an Oudheusden</w:t>
      </w:r>
      <w:r w:rsidR="00F66BFA" w:rsidRPr="00F66BFA">
        <w:rPr>
          <w:sz w:val="18"/>
          <w:szCs w:val="18"/>
        </w:rPr>
        <w:t>, B.W., “PIV Investigation of a Planar Supersonic Wake Flow</w:t>
      </w:r>
      <w:r w:rsidR="00F66BFA">
        <w:rPr>
          <w:sz w:val="18"/>
          <w:szCs w:val="18"/>
        </w:rPr>
        <w:t>”,</w:t>
      </w:r>
      <w:r w:rsidR="00F66BFA" w:rsidRPr="00F66BFA">
        <w:t xml:space="preserve"> </w:t>
      </w:r>
      <w:r w:rsidR="00F66BFA" w:rsidRPr="00F66BFA">
        <w:rPr>
          <w:i/>
          <w:iCs/>
          <w:sz w:val="18"/>
          <w:szCs w:val="18"/>
        </w:rPr>
        <w:t>11th Int. Symp. on Application of Laser Techniques to Fluid Mechanics</w:t>
      </w:r>
      <w:r w:rsidR="00F66BFA">
        <w:rPr>
          <w:sz w:val="18"/>
          <w:szCs w:val="18"/>
        </w:rPr>
        <w:t>, Berlin, 2002.</w:t>
      </w:r>
    </w:p>
    <w:p w14:paraId="650083C8" w14:textId="4C3ED93A" w:rsidR="005D2025" w:rsidRDefault="005D2025" w:rsidP="005D2025">
      <w:pPr>
        <w:ind w:left="360" w:hanging="360"/>
        <w:jc w:val="left"/>
        <w:rPr>
          <w:sz w:val="18"/>
          <w:szCs w:val="18"/>
        </w:rPr>
      </w:pPr>
      <w:r w:rsidRPr="005D2025">
        <w:rPr>
          <w:sz w:val="18"/>
          <w:szCs w:val="18"/>
        </w:rPr>
        <w:t>[1</w:t>
      </w:r>
      <w:r>
        <w:rPr>
          <w:sz w:val="18"/>
          <w:szCs w:val="18"/>
        </w:rPr>
        <w:t>2</w:t>
      </w:r>
      <w:r w:rsidRPr="005D2025">
        <w:rPr>
          <w:sz w:val="18"/>
          <w:szCs w:val="18"/>
        </w:rPr>
        <w:t xml:space="preserve">] Leontiev, A., Popovich, S., Strongin, M., and Vinogradov, Y. “Adiabatic Wall Temperature and Heat Transfer Coefficient Influenced by Separated Supersonic Flow.” </w:t>
      </w:r>
      <w:r w:rsidRPr="005D2025">
        <w:rPr>
          <w:i/>
          <w:iCs/>
          <w:sz w:val="18"/>
          <w:szCs w:val="18"/>
        </w:rPr>
        <w:t>EPJ Web of Conferences</w:t>
      </w:r>
      <w:r w:rsidRPr="005D2025">
        <w:rPr>
          <w:sz w:val="18"/>
          <w:szCs w:val="18"/>
        </w:rPr>
        <w:t xml:space="preserve">, Vol. 159, 2017, p. 00030. </w:t>
      </w:r>
    </w:p>
    <w:p w14:paraId="22206B9A" w14:textId="01D730EC" w:rsidR="005D2025" w:rsidRPr="005D2025" w:rsidRDefault="005D2025" w:rsidP="005D2025">
      <w:pPr>
        <w:ind w:left="360" w:hanging="360"/>
        <w:jc w:val="left"/>
        <w:rPr>
          <w:sz w:val="18"/>
          <w:szCs w:val="18"/>
        </w:rPr>
      </w:pPr>
      <w:r>
        <w:rPr>
          <w:sz w:val="18"/>
          <w:szCs w:val="18"/>
        </w:rPr>
        <w:tab/>
        <w:t xml:space="preserve">doi: </w:t>
      </w:r>
      <w:r w:rsidRPr="005D2025">
        <w:rPr>
          <w:sz w:val="18"/>
          <w:szCs w:val="18"/>
        </w:rPr>
        <w:t>10.1051/epjconf/201715900030</w:t>
      </w:r>
    </w:p>
    <w:p w14:paraId="1ED6D99B" w14:textId="0EFF0C4E" w:rsidR="00FD6619" w:rsidRPr="00FD6619" w:rsidRDefault="00FD6619" w:rsidP="00FD6619">
      <w:pPr>
        <w:jc w:val="left"/>
        <w:rPr>
          <w:sz w:val="18"/>
          <w:szCs w:val="18"/>
        </w:rPr>
      </w:pPr>
      <w:r w:rsidRPr="00FD6619">
        <w:rPr>
          <w:sz w:val="18"/>
          <w:szCs w:val="18"/>
        </w:rPr>
        <w:t>[1</w:t>
      </w:r>
      <w:r>
        <w:rPr>
          <w:sz w:val="18"/>
          <w:szCs w:val="18"/>
        </w:rPr>
        <w:t>3</w:t>
      </w:r>
      <w:r w:rsidRPr="00FD6619">
        <w:rPr>
          <w:sz w:val="18"/>
          <w:szCs w:val="18"/>
        </w:rPr>
        <w:t xml:space="preserve">] Bohren, C. F., and Huffman, D. R. </w:t>
      </w:r>
      <w:r w:rsidRPr="00FD6619">
        <w:rPr>
          <w:i/>
          <w:iCs/>
          <w:sz w:val="18"/>
          <w:szCs w:val="18"/>
        </w:rPr>
        <w:t>Absorption and Scattering of Light by Small Particles</w:t>
      </w:r>
      <w:r>
        <w:rPr>
          <w:i/>
          <w:iCs/>
          <w:sz w:val="18"/>
          <w:szCs w:val="18"/>
        </w:rPr>
        <w:t>,</w:t>
      </w:r>
      <w:r w:rsidRPr="00FD6619">
        <w:rPr>
          <w:sz w:val="18"/>
          <w:szCs w:val="18"/>
        </w:rPr>
        <w:t xml:space="preserve"> John Wiley &amp; Sons, 2008.</w:t>
      </w:r>
    </w:p>
    <w:p w14:paraId="4787D552" w14:textId="77777777" w:rsidR="00B470C3" w:rsidRPr="00B470C3" w:rsidRDefault="00B470C3" w:rsidP="00B470C3">
      <w:pPr>
        <w:ind w:left="288" w:hanging="288"/>
        <w:jc w:val="left"/>
        <w:rPr>
          <w:sz w:val="18"/>
          <w:szCs w:val="18"/>
        </w:rPr>
      </w:pPr>
    </w:p>
    <w:p w14:paraId="734DB4DD" w14:textId="77777777" w:rsidR="00E313EF" w:rsidRPr="00014BE2" w:rsidRDefault="00E313EF" w:rsidP="00F565BA">
      <w:pPr>
        <w:rPr>
          <w:color w:val="FF0000"/>
        </w:rPr>
      </w:pPr>
    </w:p>
    <w:sectPr w:rsidR="00E313EF" w:rsidRPr="00014BE2" w:rsidSect="00594FA6">
      <w:footerReference w:type="even" r:id="rId21"/>
      <w:footerReference w:type="default" r:id="rId22"/>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718E8A" w14:textId="77777777" w:rsidR="00D97496" w:rsidRDefault="00D97496">
      <w:r>
        <w:separator/>
      </w:r>
    </w:p>
  </w:endnote>
  <w:endnote w:type="continuationSeparator" w:id="0">
    <w:p w14:paraId="18CE2028" w14:textId="77777777" w:rsidR="00D97496" w:rsidRDefault="00D97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0AACA" w14:textId="77777777" w:rsidR="009631CF" w:rsidRDefault="009631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54D1DD" w14:textId="77777777" w:rsidR="009631CF" w:rsidRDefault="00963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580995"/>
      <w:docPartObj>
        <w:docPartGallery w:val="Page Numbers (Bottom of Page)"/>
        <w:docPartUnique/>
      </w:docPartObj>
    </w:sdtPr>
    <w:sdtEndPr>
      <w:rPr>
        <w:noProof/>
      </w:rPr>
    </w:sdtEndPr>
    <w:sdtContent>
      <w:p w14:paraId="37E4AC0B" w14:textId="1C071BE9" w:rsidR="009631CF" w:rsidRDefault="009631CF">
        <w:pPr>
          <w:pStyle w:val="Footer"/>
          <w:jc w:val="center"/>
        </w:pPr>
        <w:r>
          <w:fldChar w:fldCharType="begin"/>
        </w:r>
        <w:r>
          <w:instrText xml:space="preserve"> PAGE   \* MERGEFORMAT </w:instrText>
        </w:r>
        <w:r>
          <w:fldChar w:fldCharType="separate"/>
        </w:r>
        <w:r w:rsidR="003656F9">
          <w:rPr>
            <w:noProof/>
          </w:rPr>
          <w:t>10</w:t>
        </w:r>
        <w:r>
          <w:rPr>
            <w:noProof/>
          </w:rPr>
          <w:fldChar w:fldCharType="end"/>
        </w:r>
      </w:p>
    </w:sdtContent>
  </w:sdt>
  <w:p w14:paraId="5AA8F025" w14:textId="77777777" w:rsidR="009631CF" w:rsidRDefault="00963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0A76D" w14:textId="77777777" w:rsidR="00D97496" w:rsidRDefault="00D97496">
      <w:r>
        <w:separator/>
      </w:r>
    </w:p>
  </w:footnote>
  <w:footnote w:type="continuationSeparator" w:id="0">
    <w:p w14:paraId="784B1A2E" w14:textId="77777777" w:rsidR="00D97496" w:rsidRDefault="00D97496">
      <w:r>
        <w:continuationSeparator/>
      </w:r>
    </w:p>
  </w:footnote>
  <w:footnote w:id="1">
    <w:p w14:paraId="371A7726" w14:textId="0D6775E3" w:rsidR="009631CF" w:rsidRDefault="009631CF" w:rsidP="00F565BA">
      <w:bookmarkStart w:id="1" w:name="_Hlk42192566"/>
      <w:r>
        <w:rPr>
          <w:rStyle w:val="FootnoteReference"/>
        </w:rPr>
        <w:footnoteRef/>
      </w:r>
      <w:r>
        <w:t xml:space="preserve"> Graduate Research Assistant, Department of Aerospace &amp; Ocean Engineering, Student Member AIAA</w:t>
      </w:r>
      <w:bookmarkEnd w:id="1"/>
    </w:p>
  </w:footnote>
  <w:footnote w:id="2">
    <w:p w14:paraId="2AEF80C3" w14:textId="65A179E9" w:rsidR="00450301" w:rsidRPr="00450301" w:rsidRDefault="009631CF" w:rsidP="00F565BA">
      <w:r>
        <w:rPr>
          <w:rStyle w:val="FootnoteReference"/>
        </w:rPr>
        <w:footnoteRef/>
      </w:r>
      <w:r>
        <w:t xml:space="preserve"> Associate Professor, Department of Aerospace &amp; Ocean Engineering, Associate Fellow AIAA</w:t>
      </w:r>
    </w:p>
  </w:footnote>
  <w:footnote w:id="3">
    <w:p w14:paraId="1CD54475" w14:textId="77777777" w:rsidR="00652825" w:rsidRDefault="00652825" w:rsidP="00652825">
      <w:pPr>
        <w:pStyle w:val="FootnoteText"/>
      </w:pPr>
      <w:r>
        <w:rPr>
          <w:rStyle w:val="FootnoteReference"/>
        </w:rPr>
        <w:footnoteRef/>
      </w:r>
      <w:r>
        <w:t xml:space="preserve"> Christopher C. Kraft Endowed Professor, Department of Mechanical Engineering, Associate Fellow AIAA</w:t>
      </w:r>
    </w:p>
  </w:footnote>
  <w:footnote w:id="4">
    <w:p w14:paraId="5F4623C4" w14:textId="5816315B" w:rsidR="00E81D3D" w:rsidRDefault="00E81D3D">
      <w:pPr>
        <w:pStyle w:val="FootnoteText"/>
      </w:pPr>
      <w:r>
        <w:rPr>
          <w:rStyle w:val="FootnoteReference"/>
        </w:rPr>
        <w:footnoteRef/>
      </w:r>
      <w:r>
        <w:t xml:space="preserve"> </w:t>
      </w:r>
      <w:r w:rsidR="00BD6BF7">
        <w:t>Senior Technologist for Advanced Measurement Systems</w:t>
      </w:r>
      <w:r w:rsidR="00AA2294">
        <w:t>, Associate Fellow AIAA</w:t>
      </w:r>
    </w:p>
  </w:footnote>
  <w:footnote w:id="5">
    <w:p w14:paraId="3D2FDF8C" w14:textId="3262F077" w:rsidR="00652825" w:rsidRDefault="00652825">
      <w:pPr>
        <w:pStyle w:val="FootnoteText"/>
      </w:pPr>
      <w:r>
        <w:rPr>
          <w:rStyle w:val="FootnoteReference"/>
        </w:rPr>
        <w:footnoteRef/>
      </w:r>
      <w:r>
        <w:t xml:space="preserve"> </w:t>
      </w:r>
      <w:hyperlink r:id="rId1" w:history="1">
        <w:r>
          <w:rPr>
            <w:rStyle w:val="Hyperlink"/>
          </w:rPr>
          <w:t>https://www.swagelok.com/en/catalog/Product/Detail?part=SS-1-P#</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19"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5"/>
  </w:num>
  <w:num w:numId="5">
    <w:abstractNumId w:val="2"/>
    <w:lvlOverride w:ilvl="0">
      <w:startOverride w:val="1"/>
    </w:lvlOverride>
  </w:num>
  <w:num w:numId="6">
    <w:abstractNumId w:val="9"/>
  </w:num>
  <w:num w:numId="7">
    <w:abstractNumId w:val="11"/>
  </w:num>
  <w:num w:numId="8">
    <w:abstractNumId w:val="14"/>
  </w:num>
  <w:num w:numId="9">
    <w:abstractNumId w:val="17"/>
  </w:num>
  <w:num w:numId="10">
    <w:abstractNumId w:val="10"/>
  </w:num>
  <w:num w:numId="11">
    <w:abstractNumId w:val="18"/>
  </w:num>
  <w:num w:numId="12">
    <w:abstractNumId w:val="1"/>
  </w:num>
  <w:num w:numId="13">
    <w:abstractNumId w:val="4"/>
  </w:num>
  <w:num w:numId="14">
    <w:abstractNumId w:val="20"/>
  </w:num>
  <w:num w:numId="15">
    <w:abstractNumId w:val="5"/>
  </w:num>
  <w:num w:numId="16">
    <w:abstractNumId w:val="21"/>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6"/>
  </w:num>
  <w:num w:numId="23">
    <w:abstractNumId w:val="3"/>
  </w:num>
  <w:num w:numId="24">
    <w:abstractNumId w:val="13"/>
  </w:num>
  <w:num w:numId="25">
    <w:abstractNumId w:val="12"/>
  </w:num>
  <w:num w:numId="26">
    <w:abstractNumId w:val="8"/>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69B"/>
    <w:rsid w:val="00005C10"/>
    <w:rsid w:val="000064CA"/>
    <w:rsid w:val="00007726"/>
    <w:rsid w:val="00014BE2"/>
    <w:rsid w:val="00023250"/>
    <w:rsid w:val="00024843"/>
    <w:rsid w:val="0003458B"/>
    <w:rsid w:val="00044818"/>
    <w:rsid w:val="00053450"/>
    <w:rsid w:val="0007128A"/>
    <w:rsid w:val="000737DB"/>
    <w:rsid w:val="00074CCE"/>
    <w:rsid w:val="00082135"/>
    <w:rsid w:val="00082BF5"/>
    <w:rsid w:val="000837F5"/>
    <w:rsid w:val="00083D85"/>
    <w:rsid w:val="00086AAF"/>
    <w:rsid w:val="00086E30"/>
    <w:rsid w:val="00094B0F"/>
    <w:rsid w:val="000A2BBF"/>
    <w:rsid w:val="000A32CD"/>
    <w:rsid w:val="000A4F62"/>
    <w:rsid w:val="000B1BBE"/>
    <w:rsid w:val="000B26F6"/>
    <w:rsid w:val="000B5E03"/>
    <w:rsid w:val="000C1B5D"/>
    <w:rsid w:val="000C353C"/>
    <w:rsid w:val="000C6CD4"/>
    <w:rsid w:val="000D0ACA"/>
    <w:rsid w:val="000D513C"/>
    <w:rsid w:val="000D7C33"/>
    <w:rsid w:val="000E4204"/>
    <w:rsid w:val="000E7B82"/>
    <w:rsid w:val="000F2801"/>
    <w:rsid w:val="000F3AC0"/>
    <w:rsid w:val="001219BC"/>
    <w:rsid w:val="001230FB"/>
    <w:rsid w:val="001401DA"/>
    <w:rsid w:val="00143CD2"/>
    <w:rsid w:val="00160619"/>
    <w:rsid w:val="00160FF0"/>
    <w:rsid w:val="001854E9"/>
    <w:rsid w:val="00187515"/>
    <w:rsid w:val="001959D5"/>
    <w:rsid w:val="001A47F0"/>
    <w:rsid w:val="001B3484"/>
    <w:rsid w:val="001C5113"/>
    <w:rsid w:val="001D364F"/>
    <w:rsid w:val="001D6DFF"/>
    <w:rsid w:val="001D79D3"/>
    <w:rsid w:val="001F56D5"/>
    <w:rsid w:val="00200205"/>
    <w:rsid w:val="002121E3"/>
    <w:rsid w:val="0021563F"/>
    <w:rsid w:val="00223D1F"/>
    <w:rsid w:val="00224C00"/>
    <w:rsid w:val="00225C13"/>
    <w:rsid w:val="0022651F"/>
    <w:rsid w:val="00226ABC"/>
    <w:rsid w:val="00233CB7"/>
    <w:rsid w:val="00244597"/>
    <w:rsid w:val="00245E8C"/>
    <w:rsid w:val="0025048C"/>
    <w:rsid w:val="002550ED"/>
    <w:rsid w:val="00257FA0"/>
    <w:rsid w:val="0026157A"/>
    <w:rsid w:val="0026619A"/>
    <w:rsid w:val="00275FEC"/>
    <w:rsid w:val="0029228A"/>
    <w:rsid w:val="002A7F17"/>
    <w:rsid w:val="002B3720"/>
    <w:rsid w:val="002B3E08"/>
    <w:rsid w:val="002B40EB"/>
    <w:rsid w:val="002C3B36"/>
    <w:rsid w:val="002C5247"/>
    <w:rsid w:val="002D044C"/>
    <w:rsid w:val="002D33F7"/>
    <w:rsid w:val="002E6292"/>
    <w:rsid w:val="002E6F25"/>
    <w:rsid w:val="002F35EE"/>
    <w:rsid w:val="002F3DB2"/>
    <w:rsid w:val="002F54F8"/>
    <w:rsid w:val="00302E5C"/>
    <w:rsid w:val="00305A5A"/>
    <w:rsid w:val="00310B1E"/>
    <w:rsid w:val="003172CC"/>
    <w:rsid w:val="00320462"/>
    <w:rsid w:val="003204C9"/>
    <w:rsid w:val="00325698"/>
    <w:rsid w:val="00326BB3"/>
    <w:rsid w:val="00333ED6"/>
    <w:rsid w:val="00342D95"/>
    <w:rsid w:val="00343A79"/>
    <w:rsid w:val="00343E05"/>
    <w:rsid w:val="0036336A"/>
    <w:rsid w:val="003656F9"/>
    <w:rsid w:val="003757F0"/>
    <w:rsid w:val="00380B4E"/>
    <w:rsid w:val="0039095F"/>
    <w:rsid w:val="00397781"/>
    <w:rsid w:val="003A2686"/>
    <w:rsid w:val="003A3AAD"/>
    <w:rsid w:val="003A735D"/>
    <w:rsid w:val="003C01D6"/>
    <w:rsid w:val="003D7CFD"/>
    <w:rsid w:val="003E1C1E"/>
    <w:rsid w:val="003E3FA6"/>
    <w:rsid w:val="003E521E"/>
    <w:rsid w:val="003F167B"/>
    <w:rsid w:val="003F1ABA"/>
    <w:rsid w:val="003F54C3"/>
    <w:rsid w:val="00403A5D"/>
    <w:rsid w:val="00406BAD"/>
    <w:rsid w:val="00421740"/>
    <w:rsid w:val="00422277"/>
    <w:rsid w:val="00427E16"/>
    <w:rsid w:val="0044604D"/>
    <w:rsid w:val="00450301"/>
    <w:rsid w:val="0045388E"/>
    <w:rsid w:val="0045415B"/>
    <w:rsid w:val="00475ED5"/>
    <w:rsid w:val="004863D3"/>
    <w:rsid w:val="0048661A"/>
    <w:rsid w:val="00487864"/>
    <w:rsid w:val="00490BF1"/>
    <w:rsid w:val="00493A6F"/>
    <w:rsid w:val="004B3ECC"/>
    <w:rsid w:val="004B474B"/>
    <w:rsid w:val="004C1C92"/>
    <w:rsid w:val="004C23C9"/>
    <w:rsid w:val="004C2577"/>
    <w:rsid w:val="004C3C89"/>
    <w:rsid w:val="004D25CC"/>
    <w:rsid w:val="004D71FE"/>
    <w:rsid w:val="004E0666"/>
    <w:rsid w:val="004E06E9"/>
    <w:rsid w:val="004E15B0"/>
    <w:rsid w:val="004E740D"/>
    <w:rsid w:val="004F463C"/>
    <w:rsid w:val="004F7656"/>
    <w:rsid w:val="0050299E"/>
    <w:rsid w:val="00504594"/>
    <w:rsid w:val="0051177C"/>
    <w:rsid w:val="0051177E"/>
    <w:rsid w:val="005119F8"/>
    <w:rsid w:val="005121D5"/>
    <w:rsid w:val="00516FDA"/>
    <w:rsid w:val="00517F07"/>
    <w:rsid w:val="00535292"/>
    <w:rsid w:val="00543A1A"/>
    <w:rsid w:val="0054634A"/>
    <w:rsid w:val="0055113E"/>
    <w:rsid w:val="0055657E"/>
    <w:rsid w:val="0057706D"/>
    <w:rsid w:val="00594FA6"/>
    <w:rsid w:val="005A2D22"/>
    <w:rsid w:val="005A4D0D"/>
    <w:rsid w:val="005A571C"/>
    <w:rsid w:val="005B4720"/>
    <w:rsid w:val="005B5BE2"/>
    <w:rsid w:val="005C34B2"/>
    <w:rsid w:val="005C538D"/>
    <w:rsid w:val="005D1F72"/>
    <w:rsid w:val="005D2025"/>
    <w:rsid w:val="005D327C"/>
    <w:rsid w:val="005E1075"/>
    <w:rsid w:val="005E1297"/>
    <w:rsid w:val="005E64BE"/>
    <w:rsid w:val="005F3D2D"/>
    <w:rsid w:val="005F4FAF"/>
    <w:rsid w:val="00603626"/>
    <w:rsid w:val="00603BB7"/>
    <w:rsid w:val="0060658B"/>
    <w:rsid w:val="00621C4C"/>
    <w:rsid w:val="006261D5"/>
    <w:rsid w:val="00627E7E"/>
    <w:rsid w:val="00635C7A"/>
    <w:rsid w:val="00642899"/>
    <w:rsid w:val="00643F9E"/>
    <w:rsid w:val="00646CCC"/>
    <w:rsid w:val="00647819"/>
    <w:rsid w:val="00652825"/>
    <w:rsid w:val="006621F0"/>
    <w:rsid w:val="00664E55"/>
    <w:rsid w:val="00672484"/>
    <w:rsid w:val="00674285"/>
    <w:rsid w:val="00675868"/>
    <w:rsid w:val="006948C6"/>
    <w:rsid w:val="00695C90"/>
    <w:rsid w:val="006A1023"/>
    <w:rsid w:val="006B42CE"/>
    <w:rsid w:val="006B5391"/>
    <w:rsid w:val="006D149E"/>
    <w:rsid w:val="006E47D9"/>
    <w:rsid w:val="006E5098"/>
    <w:rsid w:val="006E53C4"/>
    <w:rsid w:val="006F1C90"/>
    <w:rsid w:val="006F3D69"/>
    <w:rsid w:val="0070035C"/>
    <w:rsid w:val="00700CC3"/>
    <w:rsid w:val="00702BAE"/>
    <w:rsid w:val="00705802"/>
    <w:rsid w:val="00706B4A"/>
    <w:rsid w:val="0071187C"/>
    <w:rsid w:val="00712CB5"/>
    <w:rsid w:val="00713D38"/>
    <w:rsid w:val="0071659E"/>
    <w:rsid w:val="0072057C"/>
    <w:rsid w:val="00724B78"/>
    <w:rsid w:val="00727F41"/>
    <w:rsid w:val="007351DF"/>
    <w:rsid w:val="007378C6"/>
    <w:rsid w:val="0074265B"/>
    <w:rsid w:val="00743D48"/>
    <w:rsid w:val="00744BAF"/>
    <w:rsid w:val="00750ED5"/>
    <w:rsid w:val="007546DB"/>
    <w:rsid w:val="00756C27"/>
    <w:rsid w:val="007626CF"/>
    <w:rsid w:val="00766A20"/>
    <w:rsid w:val="00772382"/>
    <w:rsid w:val="00780BC0"/>
    <w:rsid w:val="00782201"/>
    <w:rsid w:val="0078368E"/>
    <w:rsid w:val="00795FE9"/>
    <w:rsid w:val="007A169B"/>
    <w:rsid w:val="007A1EE6"/>
    <w:rsid w:val="007B6661"/>
    <w:rsid w:val="007B79EB"/>
    <w:rsid w:val="007C32D2"/>
    <w:rsid w:val="007C5B35"/>
    <w:rsid w:val="007D602B"/>
    <w:rsid w:val="007E175E"/>
    <w:rsid w:val="007E4B27"/>
    <w:rsid w:val="007F7477"/>
    <w:rsid w:val="008231FD"/>
    <w:rsid w:val="00826986"/>
    <w:rsid w:val="00835AF5"/>
    <w:rsid w:val="008362CC"/>
    <w:rsid w:val="008427FA"/>
    <w:rsid w:val="00856985"/>
    <w:rsid w:val="00865A94"/>
    <w:rsid w:val="0086727D"/>
    <w:rsid w:val="00881123"/>
    <w:rsid w:val="00882283"/>
    <w:rsid w:val="008C0384"/>
    <w:rsid w:val="008C5B8F"/>
    <w:rsid w:val="008C63EE"/>
    <w:rsid w:val="008C7D7F"/>
    <w:rsid w:val="008D61F3"/>
    <w:rsid w:val="008E1185"/>
    <w:rsid w:val="008E5A3B"/>
    <w:rsid w:val="008E6C57"/>
    <w:rsid w:val="008E74E2"/>
    <w:rsid w:val="008F6C1E"/>
    <w:rsid w:val="00915983"/>
    <w:rsid w:val="0092421F"/>
    <w:rsid w:val="00935069"/>
    <w:rsid w:val="0094306D"/>
    <w:rsid w:val="0095602A"/>
    <w:rsid w:val="00960532"/>
    <w:rsid w:val="009631CF"/>
    <w:rsid w:val="00963337"/>
    <w:rsid w:val="00966F73"/>
    <w:rsid w:val="00981523"/>
    <w:rsid w:val="009849A1"/>
    <w:rsid w:val="009968E3"/>
    <w:rsid w:val="009A0EA6"/>
    <w:rsid w:val="009B68FF"/>
    <w:rsid w:val="009E0D9B"/>
    <w:rsid w:val="009E62E1"/>
    <w:rsid w:val="009E63EE"/>
    <w:rsid w:val="009F5456"/>
    <w:rsid w:val="00A1533D"/>
    <w:rsid w:val="00A16FFE"/>
    <w:rsid w:val="00A173FD"/>
    <w:rsid w:val="00A20175"/>
    <w:rsid w:val="00A2283F"/>
    <w:rsid w:val="00A25100"/>
    <w:rsid w:val="00A36F5D"/>
    <w:rsid w:val="00A370B9"/>
    <w:rsid w:val="00A44C29"/>
    <w:rsid w:val="00A477FE"/>
    <w:rsid w:val="00A533E5"/>
    <w:rsid w:val="00A53FF9"/>
    <w:rsid w:val="00A573A1"/>
    <w:rsid w:val="00A61C93"/>
    <w:rsid w:val="00A646B3"/>
    <w:rsid w:val="00A6602C"/>
    <w:rsid w:val="00A71665"/>
    <w:rsid w:val="00A91A9A"/>
    <w:rsid w:val="00A94407"/>
    <w:rsid w:val="00AA1496"/>
    <w:rsid w:val="00AA1C43"/>
    <w:rsid w:val="00AA1E95"/>
    <w:rsid w:val="00AA2294"/>
    <w:rsid w:val="00AA6962"/>
    <w:rsid w:val="00AA77E8"/>
    <w:rsid w:val="00AB3EE6"/>
    <w:rsid w:val="00AD3967"/>
    <w:rsid w:val="00AD693E"/>
    <w:rsid w:val="00AE1536"/>
    <w:rsid w:val="00AE6E5D"/>
    <w:rsid w:val="00AF174C"/>
    <w:rsid w:val="00AF1AE6"/>
    <w:rsid w:val="00AF1B6C"/>
    <w:rsid w:val="00B01B84"/>
    <w:rsid w:val="00B07C86"/>
    <w:rsid w:val="00B242D8"/>
    <w:rsid w:val="00B24DAA"/>
    <w:rsid w:val="00B3598F"/>
    <w:rsid w:val="00B44E49"/>
    <w:rsid w:val="00B45E7B"/>
    <w:rsid w:val="00B470C3"/>
    <w:rsid w:val="00B5224A"/>
    <w:rsid w:val="00B60BF3"/>
    <w:rsid w:val="00B636E4"/>
    <w:rsid w:val="00B6396F"/>
    <w:rsid w:val="00B70173"/>
    <w:rsid w:val="00B87962"/>
    <w:rsid w:val="00B906D9"/>
    <w:rsid w:val="00B9184E"/>
    <w:rsid w:val="00B92484"/>
    <w:rsid w:val="00BA536E"/>
    <w:rsid w:val="00BA605E"/>
    <w:rsid w:val="00BB4629"/>
    <w:rsid w:val="00BB5A06"/>
    <w:rsid w:val="00BC0E93"/>
    <w:rsid w:val="00BC62DD"/>
    <w:rsid w:val="00BD6320"/>
    <w:rsid w:val="00BD6BF7"/>
    <w:rsid w:val="00BE34E0"/>
    <w:rsid w:val="00BF25DE"/>
    <w:rsid w:val="00BF7719"/>
    <w:rsid w:val="00C05933"/>
    <w:rsid w:val="00C06A96"/>
    <w:rsid w:val="00C0737B"/>
    <w:rsid w:val="00C13F33"/>
    <w:rsid w:val="00C15A4B"/>
    <w:rsid w:val="00C15C8D"/>
    <w:rsid w:val="00C16492"/>
    <w:rsid w:val="00C168CC"/>
    <w:rsid w:val="00C233BE"/>
    <w:rsid w:val="00C23793"/>
    <w:rsid w:val="00C267CE"/>
    <w:rsid w:val="00C275D2"/>
    <w:rsid w:val="00C37985"/>
    <w:rsid w:val="00C42827"/>
    <w:rsid w:val="00C42AB7"/>
    <w:rsid w:val="00C50C67"/>
    <w:rsid w:val="00C54379"/>
    <w:rsid w:val="00C623B7"/>
    <w:rsid w:val="00C643D6"/>
    <w:rsid w:val="00C67171"/>
    <w:rsid w:val="00C71CE7"/>
    <w:rsid w:val="00C723B9"/>
    <w:rsid w:val="00C73237"/>
    <w:rsid w:val="00C75EAB"/>
    <w:rsid w:val="00C81A5C"/>
    <w:rsid w:val="00C81EFD"/>
    <w:rsid w:val="00C8562D"/>
    <w:rsid w:val="00C86782"/>
    <w:rsid w:val="00C96C93"/>
    <w:rsid w:val="00C9768E"/>
    <w:rsid w:val="00CA24F9"/>
    <w:rsid w:val="00CD23B9"/>
    <w:rsid w:val="00CD6E54"/>
    <w:rsid w:val="00CE0BE9"/>
    <w:rsid w:val="00CF2490"/>
    <w:rsid w:val="00CF46C1"/>
    <w:rsid w:val="00D16AC7"/>
    <w:rsid w:val="00D21EA5"/>
    <w:rsid w:val="00D253C2"/>
    <w:rsid w:val="00D3672A"/>
    <w:rsid w:val="00D37A08"/>
    <w:rsid w:val="00D407EF"/>
    <w:rsid w:val="00D44488"/>
    <w:rsid w:val="00D50A4D"/>
    <w:rsid w:val="00D52145"/>
    <w:rsid w:val="00D57CD9"/>
    <w:rsid w:val="00D843D4"/>
    <w:rsid w:val="00D8453A"/>
    <w:rsid w:val="00D97496"/>
    <w:rsid w:val="00DA0C7E"/>
    <w:rsid w:val="00DB0C6C"/>
    <w:rsid w:val="00DD0B90"/>
    <w:rsid w:val="00DE64D8"/>
    <w:rsid w:val="00DF3D01"/>
    <w:rsid w:val="00DF4533"/>
    <w:rsid w:val="00DF7BCF"/>
    <w:rsid w:val="00E01E43"/>
    <w:rsid w:val="00E13F0D"/>
    <w:rsid w:val="00E15C4F"/>
    <w:rsid w:val="00E22CC7"/>
    <w:rsid w:val="00E313EF"/>
    <w:rsid w:val="00E37676"/>
    <w:rsid w:val="00E50675"/>
    <w:rsid w:val="00E51005"/>
    <w:rsid w:val="00E51300"/>
    <w:rsid w:val="00E60677"/>
    <w:rsid w:val="00E81D3D"/>
    <w:rsid w:val="00EB0734"/>
    <w:rsid w:val="00EB1693"/>
    <w:rsid w:val="00EB4F50"/>
    <w:rsid w:val="00EC3775"/>
    <w:rsid w:val="00EC547E"/>
    <w:rsid w:val="00EC7113"/>
    <w:rsid w:val="00ED0E7D"/>
    <w:rsid w:val="00ED621C"/>
    <w:rsid w:val="00EF6A7C"/>
    <w:rsid w:val="00F02E4F"/>
    <w:rsid w:val="00F14DEB"/>
    <w:rsid w:val="00F25056"/>
    <w:rsid w:val="00F35C40"/>
    <w:rsid w:val="00F403F9"/>
    <w:rsid w:val="00F43415"/>
    <w:rsid w:val="00F4779E"/>
    <w:rsid w:val="00F50784"/>
    <w:rsid w:val="00F565BA"/>
    <w:rsid w:val="00F6169A"/>
    <w:rsid w:val="00F62E55"/>
    <w:rsid w:val="00F66BFA"/>
    <w:rsid w:val="00F74B80"/>
    <w:rsid w:val="00F767F8"/>
    <w:rsid w:val="00F84BBC"/>
    <w:rsid w:val="00F86C90"/>
    <w:rsid w:val="00FA55D0"/>
    <w:rsid w:val="00FA629E"/>
    <w:rsid w:val="00FB5646"/>
    <w:rsid w:val="00FB6DE4"/>
    <w:rsid w:val="00FB75AE"/>
    <w:rsid w:val="00FC5B09"/>
    <w:rsid w:val="00FD2FE2"/>
    <w:rsid w:val="00FD6619"/>
    <w:rsid w:val="00FD71C3"/>
    <w:rsid w:val="00FE5638"/>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46E9C201"/>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uiPriority w:val="35"/>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unhideWhenUsed/>
    <w:rsid w:val="00AF1B6C"/>
  </w:style>
  <w:style w:type="character" w:customStyle="1" w:styleId="CommentTextChar">
    <w:name w:val="Comment Text Char"/>
    <w:basedOn w:val="DefaultParagraphFont"/>
    <w:link w:val="CommentText"/>
    <w:uiPriority w:val="99"/>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2">
    <w:name w:val="Unresolved Mention2"/>
    <w:basedOn w:val="DefaultParagraphFont"/>
    <w:uiPriority w:val="99"/>
    <w:semiHidden/>
    <w:unhideWhenUsed/>
    <w:rsid w:val="001F56D5"/>
    <w:rPr>
      <w:color w:val="605E5C"/>
      <w:shd w:val="clear" w:color="auto" w:fill="E1DFDD"/>
    </w:rPr>
  </w:style>
  <w:style w:type="table" w:styleId="TableGrid">
    <w:name w:val="Table Grid"/>
    <w:basedOn w:val="TableNormal"/>
    <w:uiPriority w:val="39"/>
    <w:rsid w:val="003A26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313EF"/>
    <w:pPr>
      <w:spacing w:before="100" w:beforeAutospacing="1" w:after="100" w:afterAutospacing="1"/>
      <w:jc w:val="left"/>
    </w:pPr>
    <w:rPr>
      <w:sz w:val="24"/>
      <w:szCs w:val="24"/>
    </w:rPr>
  </w:style>
  <w:style w:type="character" w:styleId="PlaceholderText">
    <w:name w:val="Placeholder Text"/>
    <w:basedOn w:val="DefaultParagraphFont"/>
    <w:uiPriority w:val="99"/>
    <w:semiHidden/>
    <w:rsid w:val="0050299E"/>
    <w:rPr>
      <w:color w:val="808080"/>
    </w:rPr>
  </w:style>
  <w:style w:type="paragraph" w:styleId="EndnoteText">
    <w:name w:val="endnote text"/>
    <w:basedOn w:val="Normal"/>
    <w:link w:val="EndnoteTextChar"/>
    <w:uiPriority w:val="99"/>
    <w:semiHidden/>
    <w:unhideWhenUsed/>
    <w:rsid w:val="00652825"/>
  </w:style>
  <w:style w:type="character" w:customStyle="1" w:styleId="EndnoteTextChar">
    <w:name w:val="Endnote Text Char"/>
    <w:basedOn w:val="DefaultParagraphFont"/>
    <w:link w:val="EndnoteText"/>
    <w:uiPriority w:val="99"/>
    <w:semiHidden/>
    <w:rsid w:val="00652825"/>
  </w:style>
  <w:style w:type="character" w:styleId="EndnoteReference">
    <w:name w:val="endnote reference"/>
    <w:basedOn w:val="DefaultParagraphFont"/>
    <w:uiPriority w:val="99"/>
    <w:semiHidden/>
    <w:unhideWhenUsed/>
    <w:rsid w:val="006528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5588">
      <w:bodyDiv w:val="1"/>
      <w:marLeft w:val="0"/>
      <w:marRight w:val="0"/>
      <w:marTop w:val="0"/>
      <w:marBottom w:val="0"/>
      <w:divBdr>
        <w:top w:val="none" w:sz="0" w:space="0" w:color="auto"/>
        <w:left w:val="none" w:sz="0" w:space="0" w:color="auto"/>
        <w:bottom w:val="none" w:sz="0" w:space="0" w:color="auto"/>
        <w:right w:val="none" w:sz="0" w:space="0" w:color="auto"/>
      </w:divBdr>
      <w:divsChild>
        <w:div w:id="1680619677">
          <w:marLeft w:val="0"/>
          <w:marRight w:val="0"/>
          <w:marTop w:val="0"/>
          <w:marBottom w:val="0"/>
          <w:divBdr>
            <w:top w:val="none" w:sz="0" w:space="0" w:color="auto"/>
            <w:left w:val="none" w:sz="0" w:space="0" w:color="auto"/>
            <w:bottom w:val="none" w:sz="0" w:space="0" w:color="auto"/>
            <w:right w:val="none" w:sz="0" w:space="0" w:color="auto"/>
          </w:divBdr>
          <w:divsChild>
            <w:div w:id="2025863304">
              <w:marLeft w:val="0"/>
              <w:marRight w:val="0"/>
              <w:marTop w:val="0"/>
              <w:marBottom w:val="0"/>
              <w:divBdr>
                <w:top w:val="none" w:sz="0" w:space="0" w:color="auto"/>
                <w:left w:val="none" w:sz="0" w:space="0" w:color="auto"/>
                <w:bottom w:val="none" w:sz="0" w:space="0" w:color="auto"/>
                <w:right w:val="none" w:sz="0" w:space="0" w:color="auto"/>
              </w:divBdr>
              <w:divsChild>
                <w:div w:id="148636929">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8794698">
      <w:bodyDiv w:val="1"/>
      <w:marLeft w:val="0"/>
      <w:marRight w:val="0"/>
      <w:marTop w:val="0"/>
      <w:marBottom w:val="0"/>
      <w:divBdr>
        <w:top w:val="none" w:sz="0" w:space="0" w:color="auto"/>
        <w:left w:val="none" w:sz="0" w:space="0" w:color="auto"/>
        <w:bottom w:val="none" w:sz="0" w:space="0" w:color="auto"/>
        <w:right w:val="none" w:sz="0" w:space="0" w:color="auto"/>
      </w:divBdr>
      <w:divsChild>
        <w:div w:id="723984373">
          <w:marLeft w:val="0"/>
          <w:marRight w:val="0"/>
          <w:marTop w:val="0"/>
          <w:marBottom w:val="0"/>
          <w:divBdr>
            <w:top w:val="none" w:sz="0" w:space="0" w:color="auto"/>
            <w:left w:val="none" w:sz="0" w:space="0" w:color="auto"/>
            <w:bottom w:val="none" w:sz="0" w:space="0" w:color="auto"/>
            <w:right w:val="none" w:sz="0" w:space="0" w:color="auto"/>
          </w:divBdr>
          <w:divsChild>
            <w:div w:id="1342127426">
              <w:marLeft w:val="0"/>
              <w:marRight w:val="0"/>
              <w:marTop w:val="0"/>
              <w:marBottom w:val="0"/>
              <w:divBdr>
                <w:top w:val="none" w:sz="0" w:space="0" w:color="auto"/>
                <w:left w:val="none" w:sz="0" w:space="0" w:color="auto"/>
                <w:bottom w:val="none" w:sz="0" w:space="0" w:color="auto"/>
                <w:right w:val="none" w:sz="0" w:space="0" w:color="auto"/>
              </w:divBdr>
              <w:divsChild>
                <w:div w:id="1401370323">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0240776">
      <w:bodyDiv w:val="1"/>
      <w:marLeft w:val="0"/>
      <w:marRight w:val="0"/>
      <w:marTop w:val="0"/>
      <w:marBottom w:val="0"/>
      <w:divBdr>
        <w:top w:val="none" w:sz="0" w:space="0" w:color="auto"/>
        <w:left w:val="none" w:sz="0" w:space="0" w:color="auto"/>
        <w:bottom w:val="none" w:sz="0" w:space="0" w:color="auto"/>
        <w:right w:val="none" w:sz="0" w:space="0" w:color="auto"/>
      </w:divBdr>
      <w:divsChild>
        <w:div w:id="772480136">
          <w:marLeft w:val="0"/>
          <w:marRight w:val="0"/>
          <w:marTop w:val="0"/>
          <w:marBottom w:val="0"/>
          <w:divBdr>
            <w:top w:val="none" w:sz="0" w:space="0" w:color="auto"/>
            <w:left w:val="none" w:sz="0" w:space="0" w:color="auto"/>
            <w:bottom w:val="none" w:sz="0" w:space="0" w:color="auto"/>
            <w:right w:val="none" w:sz="0" w:space="0" w:color="auto"/>
          </w:divBdr>
          <w:divsChild>
            <w:div w:id="913931194">
              <w:marLeft w:val="0"/>
              <w:marRight w:val="0"/>
              <w:marTop w:val="0"/>
              <w:marBottom w:val="0"/>
              <w:divBdr>
                <w:top w:val="none" w:sz="0" w:space="0" w:color="auto"/>
                <w:left w:val="none" w:sz="0" w:space="0" w:color="auto"/>
                <w:bottom w:val="none" w:sz="0" w:space="0" w:color="auto"/>
                <w:right w:val="none" w:sz="0" w:space="0" w:color="auto"/>
              </w:divBdr>
              <w:divsChild>
                <w:div w:id="1719891107">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487326740">
      <w:bodyDiv w:val="1"/>
      <w:marLeft w:val="0"/>
      <w:marRight w:val="0"/>
      <w:marTop w:val="0"/>
      <w:marBottom w:val="0"/>
      <w:divBdr>
        <w:top w:val="none" w:sz="0" w:space="0" w:color="auto"/>
        <w:left w:val="none" w:sz="0" w:space="0" w:color="auto"/>
        <w:bottom w:val="none" w:sz="0" w:space="0" w:color="auto"/>
        <w:right w:val="none" w:sz="0" w:space="0" w:color="auto"/>
      </w:divBdr>
      <w:divsChild>
        <w:div w:id="937910283">
          <w:marLeft w:val="0"/>
          <w:marRight w:val="0"/>
          <w:marTop w:val="0"/>
          <w:marBottom w:val="0"/>
          <w:divBdr>
            <w:top w:val="none" w:sz="0" w:space="0" w:color="auto"/>
            <w:left w:val="none" w:sz="0" w:space="0" w:color="auto"/>
            <w:bottom w:val="none" w:sz="0" w:space="0" w:color="auto"/>
            <w:right w:val="none" w:sz="0" w:space="0" w:color="auto"/>
          </w:divBdr>
          <w:divsChild>
            <w:div w:id="1201474806">
              <w:marLeft w:val="0"/>
              <w:marRight w:val="0"/>
              <w:marTop w:val="0"/>
              <w:marBottom w:val="0"/>
              <w:divBdr>
                <w:top w:val="none" w:sz="0" w:space="0" w:color="auto"/>
                <w:left w:val="none" w:sz="0" w:space="0" w:color="auto"/>
                <w:bottom w:val="none" w:sz="0" w:space="0" w:color="auto"/>
                <w:right w:val="none" w:sz="0" w:space="0" w:color="auto"/>
              </w:divBdr>
              <w:divsChild>
                <w:div w:id="576283537">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87620971">
      <w:bodyDiv w:val="1"/>
      <w:marLeft w:val="0"/>
      <w:marRight w:val="0"/>
      <w:marTop w:val="0"/>
      <w:marBottom w:val="0"/>
      <w:divBdr>
        <w:top w:val="none" w:sz="0" w:space="0" w:color="auto"/>
        <w:left w:val="none" w:sz="0" w:space="0" w:color="auto"/>
        <w:bottom w:val="none" w:sz="0" w:space="0" w:color="auto"/>
        <w:right w:val="none" w:sz="0" w:space="0" w:color="auto"/>
      </w:divBdr>
      <w:divsChild>
        <w:div w:id="2048797726">
          <w:marLeft w:val="0"/>
          <w:marRight w:val="0"/>
          <w:marTop w:val="0"/>
          <w:marBottom w:val="0"/>
          <w:divBdr>
            <w:top w:val="none" w:sz="0" w:space="0" w:color="auto"/>
            <w:left w:val="none" w:sz="0" w:space="0" w:color="auto"/>
            <w:bottom w:val="none" w:sz="0" w:space="0" w:color="auto"/>
            <w:right w:val="none" w:sz="0" w:space="0" w:color="auto"/>
          </w:divBdr>
          <w:divsChild>
            <w:div w:id="1367636263">
              <w:marLeft w:val="0"/>
              <w:marRight w:val="0"/>
              <w:marTop w:val="0"/>
              <w:marBottom w:val="0"/>
              <w:divBdr>
                <w:top w:val="none" w:sz="0" w:space="0" w:color="auto"/>
                <w:left w:val="none" w:sz="0" w:space="0" w:color="auto"/>
                <w:bottom w:val="none" w:sz="0" w:space="0" w:color="auto"/>
                <w:right w:val="none" w:sz="0" w:space="0" w:color="auto"/>
              </w:divBdr>
              <w:divsChild>
                <w:div w:id="1062367909">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69336271">
      <w:bodyDiv w:val="1"/>
      <w:marLeft w:val="0"/>
      <w:marRight w:val="0"/>
      <w:marTop w:val="0"/>
      <w:marBottom w:val="0"/>
      <w:divBdr>
        <w:top w:val="none" w:sz="0" w:space="0" w:color="auto"/>
        <w:left w:val="none" w:sz="0" w:space="0" w:color="auto"/>
        <w:bottom w:val="none" w:sz="0" w:space="0" w:color="auto"/>
        <w:right w:val="none" w:sz="0" w:space="0" w:color="auto"/>
      </w:divBdr>
      <w:divsChild>
        <w:div w:id="562444706">
          <w:marLeft w:val="0"/>
          <w:marRight w:val="0"/>
          <w:marTop w:val="0"/>
          <w:marBottom w:val="0"/>
          <w:divBdr>
            <w:top w:val="none" w:sz="0" w:space="0" w:color="auto"/>
            <w:left w:val="none" w:sz="0" w:space="0" w:color="auto"/>
            <w:bottom w:val="none" w:sz="0" w:space="0" w:color="auto"/>
            <w:right w:val="none" w:sz="0" w:space="0" w:color="auto"/>
          </w:divBdr>
          <w:divsChild>
            <w:div w:id="561406777">
              <w:marLeft w:val="0"/>
              <w:marRight w:val="0"/>
              <w:marTop w:val="0"/>
              <w:marBottom w:val="0"/>
              <w:divBdr>
                <w:top w:val="none" w:sz="0" w:space="0" w:color="auto"/>
                <w:left w:val="none" w:sz="0" w:space="0" w:color="auto"/>
                <w:bottom w:val="none" w:sz="0" w:space="0" w:color="auto"/>
                <w:right w:val="none" w:sz="0" w:space="0" w:color="auto"/>
              </w:divBdr>
              <w:divsChild>
                <w:div w:id="910652795">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86123137">
      <w:bodyDiv w:val="1"/>
      <w:marLeft w:val="0"/>
      <w:marRight w:val="0"/>
      <w:marTop w:val="0"/>
      <w:marBottom w:val="0"/>
      <w:divBdr>
        <w:top w:val="none" w:sz="0" w:space="0" w:color="auto"/>
        <w:left w:val="none" w:sz="0" w:space="0" w:color="auto"/>
        <w:bottom w:val="none" w:sz="0" w:space="0" w:color="auto"/>
        <w:right w:val="none" w:sz="0" w:space="0" w:color="auto"/>
      </w:divBdr>
      <w:divsChild>
        <w:div w:id="726803263">
          <w:marLeft w:val="0"/>
          <w:marRight w:val="0"/>
          <w:marTop w:val="0"/>
          <w:marBottom w:val="0"/>
          <w:divBdr>
            <w:top w:val="none" w:sz="0" w:space="0" w:color="auto"/>
            <w:left w:val="none" w:sz="0" w:space="0" w:color="auto"/>
            <w:bottom w:val="none" w:sz="0" w:space="0" w:color="auto"/>
            <w:right w:val="none" w:sz="0" w:space="0" w:color="auto"/>
          </w:divBdr>
          <w:divsChild>
            <w:div w:id="509492933">
              <w:marLeft w:val="0"/>
              <w:marRight w:val="0"/>
              <w:marTop w:val="0"/>
              <w:marBottom w:val="0"/>
              <w:divBdr>
                <w:top w:val="none" w:sz="0" w:space="0" w:color="auto"/>
                <w:left w:val="none" w:sz="0" w:space="0" w:color="auto"/>
                <w:bottom w:val="none" w:sz="0" w:space="0" w:color="auto"/>
                <w:right w:val="none" w:sz="0" w:space="0" w:color="auto"/>
              </w:divBdr>
              <w:divsChild>
                <w:div w:id="258217853">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27752373">
      <w:bodyDiv w:val="1"/>
      <w:marLeft w:val="0"/>
      <w:marRight w:val="0"/>
      <w:marTop w:val="0"/>
      <w:marBottom w:val="0"/>
      <w:divBdr>
        <w:top w:val="none" w:sz="0" w:space="0" w:color="auto"/>
        <w:left w:val="none" w:sz="0" w:space="0" w:color="auto"/>
        <w:bottom w:val="none" w:sz="0" w:space="0" w:color="auto"/>
        <w:right w:val="none" w:sz="0" w:space="0" w:color="auto"/>
      </w:divBdr>
      <w:divsChild>
        <w:div w:id="950624434">
          <w:marLeft w:val="0"/>
          <w:marRight w:val="0"/>
          <w:marTop w:val="0"/>
          <w:marBottom w:val="0"/>
          <w:divBdr>
            <w:top w:val="none" w:sz="0" w:space="0" w:color="auto"/>
            <w:left w:val="none" w:sz="0" w:space="0" w:color="auto"/>
            <w:bottom w:val="none" w:sz="0" w:space="0" w:color="auto"/>
            <w:right w:val="none" w:sz="0" w:space="0" w:color="auto"/>
          </w:divBdr>
          <w:divsChild>
            <w:div w:id="314191807">
              <w:marLeft w:val="0"/>
              <w:marRight w:val="0"/>
              <w:marTop w:val="0"/>
              <w:marBottom w:val="0"/>
              <w:divBdr>
                <w:top w:val="none" w:sz="0" w:space="0" w:color="auto"/>
                <w:left w:val="none" w:sz="0" w:space="0" w:color="auto"/>
                <w:bottom w:val="none" w:sz="0" w:space="0" w:color="auto"/>
                <w:right w:val="none" w:sz="0" w:space="0" w:color="auto"/>
              </w:divBdr>
              <w:divsChild>
                <w:div w:id="1228343227">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14818185">
      <w:bodyDiv w:val="1"/>
      <w:marLeft w:val="0"/>
      <w:marRight w:val="0"/>
      <w:marTop w:val="0"/>
      <w:marBottom w:val="0"/>
      <w:divBdr>
        <w:top w:val="none" w:sz="0" w:space="0" w:color="auto"/>
        <w:left w:val="none" w:sz="0" w:space="0" w:color="auto"/>
        <w:bottom w:val="none" w:sz="0" w:space="0" w:color="auto"/>
        <w:right w:val="none" w:sz="0" w:space="0" w:color="auto"/>
      </w:divBdr>
      <w:divsChild>
        <w:div w:id="1808082508">
          <w:marLeft w:val="0"/>
          <w:marRight w:val="0"/>
          <w:marTop w:val="0"/>
          <w:marBottom w:val="0"/>
          <w:divBdr>
            <w:top w:val="none" w:sz="0" w:space="0" w:color="auto"/>
            <w:left w:val="none" w:sz="0" w:space="0" w:color="auto"/>
            <w:bottom w:val="none" w:sz="0" w:space="0" w:color="auto"/>
            <w:right w:val="none" w:sz="0" w:space="0" w:color="auto"/>
          </w:divBdr>
          <w:divsChild>
            <w:div w:id="2009164380">
              <w:marLeft w:val="0"/>
              <w:marRight w:val="0"/>
              <w:marTop w:val="0"/>
              <w:marBottom w:val="0"/>
              <w:divBdr>
                <w:top w:val="none" w:sz="0" w:space="0" w:color="auto"/>
                <w:left w:val="none" w:sz="0" w:space="0" w:color="auto"/>
                <w:bottom w:val="none" w:sz="0" w:space="0" w:color="auto"/>
                <w:right w:val="none" w:sz="0" w:space="0" w:color="auto"/>
              </w:divBdr>
              <w:divsChild>
                <w:div w:id="98916862">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17445118">
      <w:bodyDiv w:val="1"/>
      <w:marLeft w:val="0"/>
      <w:marRight w:val="0"/>
      <w:marTop w:val="0"/>
      <w:marBottom w:val="0"/>
      <w:divBdr>
        <w:top w:val="none" w:sz="0" w:space="0" w:color="auto"/>
        <w:left w:val="none" w:sz="0" w:space="0" w:color="auto"/>
        <w:bottom w:val="none" w:sz="0" w:space="0" w:color="auto"/>
        <w:right w:val="none" w:sz="0" w:space="0" w:color="auto"/>
      </w:divBdr>
      <w:divsChild>
        <w:div w:id="1986085931">
          <w:marLeft w:val="0"/>
          <w:marRight w:val="0"/>
          <w:marTop w:val="0"/>
          <w:marBottom w:val="0"/>
          <w:divBdr>
            <w:top w:val="none" w:sz="0" w:space="0" w:color="auto"/>
            <w:left w:val="none" w:sz="0" w:space="0" w:color="auto"/>
            <w:bottom w:val="none" w:sz="0" w:space="0" w:color="auto"/>
            <w:right w:val="none" w:sz="0" w:space="0" w:color="auto"/>
          </w:divBdr>
          <w:divsChild>
            <w:div w:id="852113365">
              <w:marLeft w:val="0"/>
              <w:marRight w:val="0"/>
              <w:marTop w:val="0"/>
              <w:marBottom w:val="0"/>
              <w:divBdr>
                <w:top w:val="none" w:sz="0" w:space="0" w:color="auto"/>
                <w:left w:val="none" w:sz="0" w:space="0" w:color="auto"/>
                <w:bottom w:val="none" w:sz="0" w:space="0" w:color="auto"/>
                <w:right w:val="none" w:sz="0" w:space="0" w:color="auto"/>
              </w:divBdr>
              <w:divsChild>
                <w:div w:id="356586452">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35887035">
      <w:bodyDiv w:val="1"/>
      <w:marLeft w:val="0"/>
      <w:marRight w:val="0"/>
      <w:marTop w:val="0"/>
      <w:marBottom w:val="0"/>
      <w:divBdr>
        <w:top w:val="none" w:sz="0" w:space="0" w:color="auto"/>
        <w:left w:val="none" w:sz="0" w:space="0" w:color="auto"/>
        <w:bottom w:val="none" w:sz="0" w:space="0" w:color="auto"/>
        <w:right w:val="none" w:sz="0" w:space="0" w:color="auto"/>
      </w:divBdr>
      <w:divsChild>
        <w:div w:id="1375497088">
          <w:marLeft w:val="0"/>
          <w:marRight w:val="0"/>
          <w:marTop w:val="0"/>
          <w:marBottom w:val="0"/>
          <w:divBdr>
            <w:top w:val="none" w:sz="0" w:space="0" w:color="auto"/>
            <w:left w:val="none" w:sz="0" w:space="0" w:color="auto"/>
            <w:bottom w:val="none" w:sz="0" w:space="0" w:color="auto"/>
            <w:right w:val="none" w:sz="0" w:space="0" w:color="auto"/>
          </w:divBdr>
          <w:divsChild>
            <w:div w:id="1395817469">
              <w:marLeft w:val="0"/>
              <w:marRight w:val="0"/>
              <w:marTop w:val="0"/>
              <w:marBottom w:val="0"/>
              <w:divBdr>
                <w:top w:val="none" w:sz="0" w:space="0" w:color="auto"/>
                <w:left w:val="none" w:sz="0" w:space="0" w:color="auto"/>
                <w:bottom w:val="none" w:sz="0" w:space="0" w:color="auto"/>
                <w:right w:val="none" w:sz="0" w:space="0" w:color="auto"/>
              </w:divBdr>
              <w:divsChild>
                <w:div w:id="162087312">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79768192">
      <w:bodyDiv w:val="1"/>
      <w:marLeft w:val="0"/>
      <w:marRight w:val="0"/>
      <w:marTop w:val="0"/>
      <w:marBottom w:val="0"/>
      <w:divBdr>
        <w:top w:val="none" w:sz="0" w:space="0" w:color="auto"/>
        <w:left w:val="none" w:sz="0" w:space="0" w:color="auto"/>
        <w:bottom w:val="none" w:sz="0" w:space="0" w:color="auto"/>
        <w:right w:val="none" w:sz="0" w:space="0" w:color="auto"/>
      </w:divBdr>
      <w:divsChild>
        <w:div w:id="862092659">
          <w:marLeft w:val="0"/>
          <w:marRight w:val="0"/>
          <w:marTop w:val="0"/>
          <w:marBottom w:val="0"/>
          <w:divBdr>
            <w:top w:val="none" w:sz="0" w:space="0" w:color="auto"/>
            <w:left w:val="none" w:sz="0" w:space="0" w:color="auto"/>
            <w:bottom w:val="none" w:sz="0" w:space="0" w:color="auto"/>
            <w:right w:val="none" w:sz="0" w:space="0" w:color="auto"/>
          </w:divBdr>
          <w:divsChild>
            <w:div w:id="40985321">
              <w:marLeft w:val="0"/>
              <w:marRight w:val="0"/>
              <w:marTop w:val="0"/>
              <w:marBottom w:val="0"/>
              <w:divBdr>
                <w:top w:val="none" w:sz="0" w:space="0" w:color="auto"/>
                <w:left w:val="none" w:sz="0" w:space="0" w:color="auto"/>
                <w:bottom w:val="none" w:sz="0" w:space="0" w:color="auto"/>
                <w:right w:val="none" w:sz="0" w:space="0" w:color="auto"/>
              </w:divBdr>
              <w:divsChild>
                <w:div w:id="1605763809">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34086610">
      <w:bodyDiv w:val="1"/>
      <w:marLeft w:val="0"/>
      <w:marRight w:val="0"/>
      <w:marTop w:val="0"/>
      <w:marBottom w:val="0"/>
      <w:divBdr>
        <w:top w:val="none" w:sz="0" w:space="0" w:color="auto"/>
        <w:left w:val="none" w:sz="0" w:space="0" w:color="auto"/>
        <w:bottom w:val="none" w:sz="0" w:space="0" w:color="auto"/>
        <w:right w:val="none" w:sz="0" w:space="0" w:color="auto"/>
      </w:divBdr>
      <w:divsChild>
        <w:div w:id="1902790467">
          <w:marLeft w:val="0"/>
          <w:marRight w:val="0"/>
          <w:marTop w:val="0"/>
          <w:marBottom w:val="0"/>
          <w:divBdr>
            <w:top w:val="none" w:sz="0" w:space="0" w:color="auto"/>
            <w:left w:val="none" w:sz="0" w:space="0" w:color="auto"/>
            <w:bottom w:val="none" w:sz="0" w:space="0" w:color="auto"/>
            <w:right w:val="none" w:sz="0" w:space="0" w:color="auto"/>
          </w:divBdr>
          <w:divsChild>
            <w:div w:id="1933388542">
              <w:marLeft w:val="0"/>
              <w:marRight w:val="0"/>
              <w:marTop w:val="0"/>
              <w:marBottom w:val="0"/>
              <w:divBdr>
                <w:top w:val="none" w:sz="0" w:space="0" w:color="auto"/>
                <w:left w:val="none" w:sz="0" w:space="0" w:color="auto"/>
                <w:bottom w:val="none" w:sz="0" w:space="0" w:color="auto"/>
                <w:right w:val="none" w:sz="0" w:space="0" w:color="auto"/>
              </w:divBdr>
              <w:divsChild>
                <w:div w:id="1972978719">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87526752">
      <w:bodyDiv w:val="1"/>
      <w:marLeft w:val="0"/>
      <w:marRight w:val="0"/>
      <w:marTop w:val="0"/>
      <w:marBottom w:val="0"/>
      <w:divBdr>
        <w:top w:val="none" w:sz="0" w:space="0" w:color="auto"/>
        <w:left w:val="none" w:sz="0" w:space="0" w:color="auto"/>
        <w:bottom w:val="none" w:sz="0" w:space="0" w:color="auto"/>
        <w:right w:val="none" w:sz="0" w:space="0" w:color="auto"/>
      </w:divBdr>
      <w:divsChild>
        <w:div w:id="628051059">
          <w:marLeft w:val="0"/>
          <w:marRight w:val="0"/>
          <w:marTop w:val="0"/>
          <w:marBottom w:val="0"/>
          <w:divBdr>
            <w:top w:val="none" w:sz="0" w:space="0" w:color="auto"/>
            <w:left w:val="none" w:sz="0" w:space="0" w:color="auto"/>
            <w:bottom w:val="none" w:sz="0" w:space="0" w:color="auto"/>
            <w:right w:val="none" w:sz="0" w:space="0" w:color="auto"/>
          </w:divBdr>
          <w:divsChild>
            <w:div w:id="126167227">
              <w:marLeft w:val="0"/>
              <w:marRight w:val="0"/>
              <w:marTop w:val="0"/>
              <w:marBottom w:val="0"/>
              <w:divBdr>
                <w:top w:val="none" w:sz="0" w:space="0" w:color="auto"/>
                <w:left w:val="none" w:sz="0" w:space="0" w:color="auto"/>
                <w:bottom w:val="none" w:sz="0" w:space="0" w:color="auto"/>
                <w:right w:val="none" w:sz="0" w:space="0" w:color="auto"/>
              </w:divBdr>
              <w:divsChild>
                <w:div w:id="2123500038">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4544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wagelok.com/en/catalog/Product/Detail?part=SS-1-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AC05D03EB7CF43ACF31E75C4C5AC5A" ma:contentTypeVersion="11" ma:contentTypeDescription="Create a new document." ma:contentTypeScope="" ma:versionID="56da6b058780651f944f2e3b4959e502">
  <xsd:schema xmlns:xsd="http://www.w3.org/2001/XMLSchema" xmlns:xs="http://www.w3.org/2001/XMLSchema" xmlns:p="http://schemas.microsoft.com/office/2006/metadata/properties" xmlns:ns3="83dd57c9-8164-41a4-b574-5c76fe3a5c3d" xmlns:ns4="6bbd963c-b96d-4ca2-a894-083d72af5cb6" targetNamespace="http://schemas.microsoft.com/office/2006/metadata/properties" ma:root="true" ma:fieldsID="2ad7908452f3299f6859772c39eb70d6" ns3:_="" ns4:_="">
    <xsd:import namespace="83dd57c9-8164-41a4-b574-5c76fe3a5c3d"/>
    <xsd:import namespace="6bbd963c-b96d-4ca2-a894-083d72af5cb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d57c9-8164-41a4-b574-5c76fe3a5c3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bd963c-b96d-4ca2-a894-083d72af5cb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A2E70-A4F8-4A2B-9B73-AC13E7CDE89D}">
  <ds:schemaRefs>
    <ds:schemaRef ds:uri="http://schemas.microsoft.com/sharepoint/v3/contenttype/forms"/>
  </ds:schemaRefs>
</ds:datastoreItem>
</file>

<file path=customXml/itemProps2.xml><?xml version="1.0" encoding="utf-8"?>
<ds:datastoreItem xmlns:ds="http://schemas.openxmlformats.org/officeDocument/2006/customXml" ds:itemID="{203803BC-E467-4C41-BCB2-9347048FA55D}">
  <ds:schemaRef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purl.org/dc/terms/"/>
    <ds:schemaRef ds:uri="http://purl.org/dc/dcmitype/"/>
    <ds:schemaRef ds:uri="6bbd963c-b96d-4ca2-a894-083d72af5cb6"/>
    <ds:schemaRef ds:uri="http://schemas.openxmlformats.org/package/2006/metadata/core-properties"/>
    <ds:schemaRef ds:uri="83dd57c9-8164-41a4-b574-5c76fe3a5c3d"/>
    <ds:schemaRef ds:uri="http://www.w3.org/XML/1998/namespace"/>
  </ds:schemaRefs>
</ds:datastoreItem>
</file>

<file path=customXml/itemProps3.xml><?xml version="1.0" encoding="utf-8"?>
<ds:datastoreItem xmlns:ds="http://schemas.openxmlformats.org/officeDocument/2006/customXml" ds:itemID="{23250839-C455-46D6-AB53-B416B83E5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d57c9-8164-41a4-b574-5c76fe3a5c3d"/>
    <ds:schemaRef ds:uri="6bbd963c-b96d-4ca2-a894-083d72af5c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5E04E2-855D-405C-B9F4-3D9E0B9B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3561</Words>
  <Characters>18789</Characters>
  <Application>Microsoft Office Word</Application>
  <DocSecurity>4</DocSecurity>
  <Lines>156</Lines>
  <Paragraphs>44</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22306</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May, Tracy L. (LARC-B401B)[LAMPS 2]</cp:lastModifiedBy>
  <cp:revision>2</cp:revision>
  <cp:lastPrinted>2016-06-27T18:55:00Z</cp:lastPrinted>
  <dcterms:created xsi:type="dcterms:W3CDTF">2020-06-09T12:23:00Z</dcterms:created>
  <dcterms:modified xsi:type="dcterms:W3CDTF">2020-06-09T12:23:00Z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0x01010083AC05D03EB7CF43ACF31E75C4C5AC5A</vt:lpwstr>
  </property>
</Properties>
</file>