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9303D9" w:rsidRDefault="00646926" w:rsidP="006347CF">
      <w:pPr>
        <w:pStyle w:val="papertitle"/>
        <w:spacing w:before="5pt" w:beforeAutospacing="1" w:after="5pt" w:afterAutospacing="1"/>
      </w:pPr>
      <w:r w:rsidRPr="00646926">
        <w:rPr>
          <w:i/>
          <w:iCs/>
        </w:rPr>
        <w:t>Terminal Area Size and Switching Technique Analysis for Unmanned Aircraft Systems Operations</w:t>
      </w:r>
    </w:p>
    <w:p w:rsidR="00D7522C" w:rsidRDefault="00D7522C" w:rsidP="00CA4392">
      <w:pPr>
        <w:pStyle w:val="Author"/>
        <w:spacing w:before="5pt" w:beforeAutospacing="1" w:after="5pt" w:afterAutospacing="1" w:line="6pt" w:lineRule="auto"/>
        <w:rPr>
          <w:sz w:val="16"/>
          <w:szCs w:val="16"/>
        </w:rPr>
      </w:pPr>
    </w:p>
    <w:p w:rsidR="00D7522C" w:rsidRPr="00CA4392" w:rsidRDefault="00D7522C" w:rsidP="00CA4392">
      <w:pPr>
        <w:pStyle w:val="Author"/>
        <w:spacing w:before="5pt" w:beforeAutospacing="1" w:after="5pt" w:afterAutospacing="1" w:line="6pt" w:lineRule="auto"/>
        <w:rPr>
          <w:sz w:val="16"/>
          <w:szCs w:val="16"/>
        </w:rPr>
        <w:sectPr w:rsidR="00D7522C" w:rsidRPr="00CA4392" w:rsidSect="001A3B3D">
          <w:footerReference w:type="first" r:id="rId8"/>
          <w:pgSz w:w="612pt" w:h="792pt" w:code="1"/>
          <w:pgMar w:top="54pt" w:right="44.65pt" w:bottom="72pt" w:left="44.65pt" w:header="36pt" w:footer="36pt" w:gutter="0pt"/>
          <w:cols w:space="36pt"/>
          <w:titlePg/>
          <w:docGrid w:linePitch="360"/>
        </w:sectPr>
      </w:pPr>
    </w:p>
    <w:p w:rsidR="004906AF" w:rsidRDefault="00646926" w:rsidP="004906AF">
      <w:pPr>
        <w:pStyle w:val="Author"/>
        <w:spacing w:before="0pt"/>
        <w:ind w:end="0.90pt"/>
        <w:contextualSpacing/>
        <w:rPr>
          <w:sz w:val="18"/>
          <w:szCs w:val="18"/>
        </w:rPr>
      </w:pPr>
      <w:r>
        <w:rPr>
          <w:sz w:val="18"/>
          <w:szCs w:val="18"/>
        </w:rPr>
        <w:t>Sagar Kc</w:t>
      </w:r>
      <w:r w:rsidR="001A3B3D" w:rsidRPr="00F847A6">
        <w:rPr>
          <w:sz w:val="18"/>
          <w:szCs w:val="18"/>
        </w:rPr>
        <w:t xml:space="preserve"> </w:t>
      </w:r>
    </w:p>
    <w:p w:rsidR="004906AF" w:rsidRDefault="004906AF" w:rsidP="00E130A6">
      <w:pPr>
        <w:pStyle w:val="Author"/>
        <w:spacing w:before="0pt"/>
        <w:ind w:end="0.90pt"/>
        <w:contextualSpacing/>
        <w:rPr>
          <w:sz w:val="18"/>
          <w:szCs w:val="18"/>
        </w:rPr>
      </w:pPr>
      <w:r>
        <w:rPr>
          <w:sz w:val="18"/>
          <w:szCs w:val="18"/>
        </w:rPr>
        <w:t>Aerospace Engineer</w:t>
      </w:r>
      <w:r w:rsidR="001A3B3D" w:rsidRPr="00F847A6">
        <w:rPr>
          <w:sz w:val="18"/>
          <w:szCs w:val="18"/>
        </w:rPr>
        <w:br/>
      </w:r>
      <w:r>
        <w:rPr>
          <w:i/>
          <w:sz w:val="18"/>
          <w:szCs w:val="18"/>
        </w:rPr>
        <w:t xml:space="preserve">NASA </w:t>
      </w:r>
      <w:r w:rsidR="00195EA4">
        <w:rPr>
          <w:i/>
          <w:sz w:val="18"/>
          <w:szCs w:val="18"/>
        </w:rPr>
        <w:t>Langley Rese</w:t>
      </w:r>
      <w:r>
        <w:rPr>
          <w:i/>
          <w:sz w:val="18"/>
          <w:szCs w:val="18"/>
        </w:rPr>
        <w:t>arch Center</w:t>
      </w:r>
      <w:r w:rsidR="00D72D06" w:rsidRPr="00F847A6">
        <w:rPr>
          <w:sz w:val="18"/>
          <w:szCs w:val="18"/>
        </w:rPr>
        <w:br/>
      </w:r>
      <w:r>
        <w:rPr>
          <w:sz w:val="18"/>
          <w:szCs w:val="18"/>
        </w:rPr>
        <w:t xml:space="preserve">Hampton, Virginia </w:t>
      </w:r>
      <w:r w:rsidR="00646926" w:rsidRPr="00646926">
        <w:rPr>
          <w:sz w:val="18"/>
          <w:szCs w:val="18"/>
        </w:rPr>
        <w:t>USA</w:t>
      </w:r>
      <w:r w:rsidR="001A3B3D" w:rsidRPr="00F847A6">
        <w:rPr>
          <w:sz w:val="18"/>
          <w:szCs w:val="18"/>
        </w:rPr>
        <w:br/>
      </w:r>
      <w:r w:rsidR="00646926" w:rsidRPr="002868C8">
        <w:rPr>
          <w:sz w:val="18"/>
          <w:szCs w:val="18"/>
        </w:rPr>
        <w:t>sagar.kc@nasa.gov</w:t>
      </w:r>
      <w:r w:rsidR="006347CF">
        <w:rPr>
          <w:sz w:val="18"/>
          <w:szCs w:val="18"/>
        </w:rPr>
        <w:br/>
      </w:r>
    </w:p>
    <w:p w:rsidR="004906AF" w:rsidRDefault="00646926" w:rsidP="004906AF">
      <w:pPr>
        <w:pStyle w:val="Author"/>
        <w:spacing w:before="0pt"/>
        <w:contextualSpacing/>
        <w:rPr>
          <w:sz w:val="18"/>
          <w:szCs w:val="18"/>
        </w:rPr>
      </w:pPr>
      <w:r>
        <w:rPr>
          <w:sz w:val="18"/>
          <w:szCs w:val="18"/>
        </w:rPr>
        <w:t xml:space="preserve">Devin P. Jack      </w:t>
      </w:r>
    </w:p>
    <w:p w:rsidR="004906AF" w:rsidRDefault="004906AF" w:rsidP="004906AF">
      <w:pPr>
        <w:pStyle w:val="Author"/>
        <w:spacing w:before="0pt"/>
        <w:contextualSpacing/>
        <w:rPr>
          <w:sz w:val="18"/>
          <w:szCs w:val="18"/>
        </w:rPr>
      </w:pPr>
      <w:r>
        <w:rPr>
          <w:sz w:val="18"/>
          <w:szCs w:val="18"/>
        </w:rPr>
        <w:t>R&amp;D Engineer</w:t>
      </w:r>
    </w:p>
    <w:p w:rsidR="00CA4392" w:rsidRDefault="00646926" w:rsidP="004906AF">
      <w:pPr>
        <w:pStyle w:val="Author"/>
        <w:spacing w:before="0pt"/>
        <w:contextualSpacing/>
        <w:rPr>
          <w:sz w:val="18"/>
          <w:szCs w:val="18"/>
        </w:rPr>
      </w:pPr>
      <w:r w:rsidRPr="002868C8">
        <w:rPr>
          <w:i/>
          <w:sz w:val="18"/>
          <w:szCs w:val="18"/>
        </w:rPr>
        <w:t>Adaptive Aerospace Group</w:t>
      </w:r>
      <w:r w:rsidR="001A3B3D" w:rsidRPr="00F847A6">
        <w:rPr>
          <w:i/>
          <w:sz w:val="18"/>
          <w:szCs w:val="18"/>
        </w:rPr>
        <w:br/>
      </w:r>
      <w:r w:rsidR="004906AF">
        <w:rPr>
          <w:sz w:val="18"/>
          <w:szCs w:val="18"/>
        </w:rPr>
        <w:t>Hampton, Virginia</w:t>
      </w:r>
      <w:r w:rsidR="002868C8">
        <w:rPr>
          <w:sz w:val="18"/>
          <w:szCs w:val="18"/>
        </w:rPr>
        <w:t xml:space="preserve"> USA</w:t>
      </w:r>
      <w:r w:rsidR="001A3B3D" w:rsidRPr="00F847A6">
        <w:rPr>
          <w:sz w:val="18"/>
          <w:szCs w:val="18"/>
        </w:rPr>
        <w:br/>
      </w:r>
      <w:r w:rsidR="002868C8">
        <w:rPr>
          <w:sz w:val="18"/>
          <w:szCs w:val="18"/>
        </w:rPr>
        <w:t>djack@adaptiveaero.com</w:t>
      </w:r>
      <w:r w:rsidR="006347CF">
        <w:rPr>
          <w:sz w:val="18"/>
          <w:szCs w:val="18"/>
        </w:rPr>
        <w:br/>
      </w:r>
    </w:p>
    <w:p w:rsidR="00CA4392" w:rsidRPr="00F847A6" w:rsidRDefault="00CA4392" w:rsidP="00C75F5C">
      <w:pPr>
        <w:pStyle w:val="Author"/>
        <w:spacing w:before="5pt" w:beforeAutospacing="1"/>
        <w:jc w:val="both"/>
        <w:rPr>
          <w:sz w:val="16"/>
          <w:szCs w:val="16"/>
        </w:rPr>
        <w:sectPr w:rsidR="00CA4392" w:rsidRPr="00F847A6" w:rsidSect="00C75F5C">
          <w:type w:val="continuous"/>
          <w:pgSz w:w="612pt" w:h="792pt" w:code="1"/>
          <w:pgMar w:top="54pt" w:right="44.65pt" w:bottom="72pt" w:left="44.65pt" w:header="36pt" w:footer="36pt" w:gutter="0pt"/>
          <w:cols w:num="2" w:space="5.75pt"/>
          <w:docGrid w:linePitch="360"/>
        </w:sectPr>
      </w:pPr>
    </w:p>
    <w:p w:rsidR="006347CF" w:rsidRPr="00F847A6" w:rsidRDefault="006347CF" w:rsidP="00C75F5C">
      <w:pPr>
        <w:pStyle w:val="Author"/>
        <w:spacing w:before="5pt" w:beforeAutospacing="1"/>
        <w:jc w:val="both"/>
        <w:rPr>
          <w:sz w:val="16"/>
          <w:szCs w:val="16"/>
        </w:rPr>
        <w:sectPr w:rsidR="006347CF" w:rsidRPr="00F847A6" w:rsidSect="00F847A6">
          <w:type w:val="continuous"/>
          <w:pgSz w:w="612pt" w:h="792pt" w:code="1"/>
          <w:pgMar w:top="54pt" w:right="44.65pt" w:bottom="72pt" w:left="44.65pt" w:header="36pt" w:footer="36pt" w:gutter="0pt"/>
          <w:cols w:num="4" w:space="10.80pt"/>
          <w:docGrid w:linePitch="360"/>
        </w:sectPr>
      </w:pPr>
    </w:p>
    <w:p w:rsidR="004D72B5" w:rsidRPr="004F461A" w:rsidRDefault="009303D9" w:rsidP="00972203">
      <w:pPr>
        <w:pStyle w:val="Abstract"/>
        <w:rPr>
          <w:i/>
          <w:iCs/>
          <w:color w:val="000000" w:themeColor="text1"/>
        </w:rPr>
      </w:pPr>
      <w:r>
        <w:rPr>
          <w:i/>
          <w:iCs/>
        </w:rPr>
        <w:t>Abstract</w:t>
      </w:r>
      <w:r>
        <w:t>—</w:t>
      </w:r>
      <w:r w:rsidR="002868C8" w:rsidRPr="002868C8">
        <w:t xml:space="preserve"> </w:t>
      </w:r>
      <w:r w:rsidR="001B4E3D" w:rsidRPr="008A52BE">
        <w:t xml:space="preserve">Unmanned Aircraft Systems (UAS) need to be able to comply with </w:t>
      </w:r>
      <w:r w:rsidR="001B4E3D">
        <w:t xml:space="preserve">the </w:t>
      </w:r>
      <w:r w:rsidR="001B4E3D" w:rsidRPr="008A52BE">
        <w:t xml:space="preserve">Code of Federal Regulations </w:t>
      </w:r>
      <w:r w:rsidR="000164F4">
        <w:t>Part 91</w:t>
      </w:r>
      <w:r w:rsidR="001B4E3D" w:rsidRPr="008A52BE">
        <w:t xml:space="preserve"> ‘see and avoid’ requirement. </w:t>
      </w:r>
      <w:r w:rsidR="001B4E3D" w:rsidRPr="0018320A">
        <w:t xml:space="preserve">Detect and avoid (DAA) is an essential enabler for integrating </w:t>
      </w:r>
      <w:r w:rsidR="000164F4">
        <w:t>UAS</w:t>
      </w:r>
      <w:r w:rsidR="001B4E3D" w:rsidRPr="0018320A">
        <w:t xml:space="preserve"> into the National Ai</w:t>
      </w:r>
      <w:r w:rsidR="000164F4">
        <w:t>rspace System.</w:t>
      </w:r>
      <w:r w:rsidR="001B4E3D" w:rsidRPr="008A52BE">
        <w:t xml:space="preserve"> A DAA system is a suite of sensors, trackers, and alerting and guidance algorithms that assists a remote pilot in maintaining separation from airborne traffic. Previous works have focused on operations transiting to and from Class A or special use airspace. </w:t>
      </w:r>
      <w:r w:rsidR="001C0941" w:rsidRPr="004F461A">
        <w:rPr>
          <w:color w:val="000000" w:themeColor="text1"/>
        </w:rPr>
        <w:t xml:space="preserve">More recent </w:t>
      </w:r>
      <w:r w:rsidR="001B4E3D" w:rsidRPr="004F461A">
        <w:rPr>
          <w:color w:val="000000" w:themeColor="text1"/>
        </w:rPr>
        <w:t xml:space="preserve">efforts </w:t>
      </w:r>
      <w:r w:rsidR="001C0941" w:rsidRPr="004F461A">
        <w:rPr>
          <w:color w:val="000000" w:themeColor="text1"/>
        </w:rPr>
        <w:t>have defined</w:t>
      </w:r>
      <w:r w:rsidR="001B4E3D" w:rsidRPr="004F461A">
        <w:rPr>
          <w:color w:val="000000" w:themeColor="text1"/>
        </w:rPr>
        <w:t xml:space="preserve"> DAA system requirements for operations in and around the airport terminal environment. </w:t>
      </w:r>
      <w:r w:rsidR="001C0941" w:rsidRPr="004F461A">
        <w:rPr>
          <w:color w:val="000000" w:themeColor="text1"/>
        </w:rPr>
        <w:t>In continuation</w:t>
      </w:r>
      <w:r w:rsidR="001B4E3D" w:rsidRPr="004F461A">
        <w:rPr>
          <w:color w:val="000000" w:themeColor="text1"/>
        </w:rPr>
        <w:t xml:space="preserve"> of this effort, this paper defines the DAA Terminal Area (DTA) size and switching technique for the DAA Well Clear (DWC) volume while transitioning between </w:t>
      </w:r>
      <w:proofErr w:type="spellStart"/>
      <w:r w:rsidR="001B4E3D" w:rsidRPr="004F461A">
        <w:rPr>
          <w:color w:val="000000" w:themeColor="text1"/>
        </w:rPr>
        <w:t>en</w:t>
      </w:r>
      <w:proofErr w:type="spellEnd"/>
      <w:r w:rsidR="001B4E3D" w:rsidRPr="004F461A">
        <w:rPr>
          <w:color w:val="000000" w:themeColor="text1"/>
        </w:rPr>
        <w:t xml:space="preserve"> route and</w:t>
      </w:r>
      <w:r w:rsidR="005805BC">
        <w:rPr>
          <w:color w:val="000000" w:themeColor="text1"/>
        </w:rPr>
        <w:t xml:space="preserve"> the</w:t>
      </w:r>
      <w:r w:rsidR="001B4E3D" w:rsidRPr="004F461A">
        <w:rPr>
          <w:color w:val="000000" w:themeColor="text1"/>
        </w:rPr>
        <w:t xml:space="preserve"> terminal area.</w:t>
      </w:r>
    </w:p>
    <w:p w:rsidR="000727F2" w:rsidRPr="000727F2" w:rsidRDefault="000727F2" w:rsidP="000727F2">
      <w:pPr>
        <w:jc w:val="start"/>
        <w:rPr>
          <w:b/>
          <w:i/>
        </w:rPr>
      </w:pPr>
      <w:r>
        <w:rPr>
          <w:b/>
          <w:i/>
        </w:rPr>
        <w:t xml:space="preserve">     </w:t>
      </w:r>
      <w:r w:rsidRPr="000727F2">
        <w:rPr>
          <w:b/>
          <w:i/>
        </w:rPr>
        <w:t>Keywords – Unmanned Aircraft Systems, Terminal Area, Detect and Avoid</w:t>
      </w:r>
    </w:p>
    <w:p w:rsidR="009303D9" w:rsidRPr="00D632BE" w:rsidRDefault="009303D9" w:rsidP="006B6B66">
      <w:pPr>
        <w:pStyle w:val="Heading1"/>
      </w:pPr>
      <w:r w:rsidRPr="00D632BE">
        <w:t xml:space="preserve">Introduction </w:t>
      </w:r>
    </w:p>
    <w:p w:rsidR="00947374" w:rsidRDefault="00947374" w:rsidP="00947374">
      <w:pPr>
        <w:pStyle w:val="BodyText"/>
      </w:pPr>
      <w:r>
        <w:t xml:space="preserve">Detect and avoid (DAA) is an essential component of integrating unmanned aircraft systems (UAS) into the National Airspace System (NAS) </w:t>
      </w:r>
      <w:r w:rsidR="003075DE">
        <w:rPr>
          <w:lang w:val="en-US"/>
        </w:rPr>
        <w:t xml:space="preserve"> in order t</w:t>
      </w:r>
      <w:r w:rsidR="00F144A4">
        <w:rPr>
          <w:lang w:val="en-US"/>
        </w:rPr>
        <w:t>o ensure that unmanned aircraft</w:t>
      </w:r>
      <w:r w:rsidR="003075DE">
        <w:rPr>
          <w:lang w:val="en-US"/>
        </w:rPr>
        <w:t xml:space="preserve"> (UA) remain </w:t>
      </w:r>
      <w:r w:rsidR="00F144A4">
        <w:rPr>
          <w:lang w:val="en-US"/>
        </w:rPr>
        <w:t>well clear of intruder aircraft</w:t>
      </w:r>
      <w:r w:rsidR="003075DE">
        <w:rPr>
          <w:lang w:val="en-US"/>
        </w:rPr>
        <w:t xml:space="preserve">. </w:t>
      </w:r>
      <w:r>
        <w:t>A DAA system is a suite of sensors, trackers, and guidance and alerting algorithms used to enable UAS compliance with the Code of Federal Regulations (14 CFR) Part 91</w:t>
      </w:r>
      <w:r w:rsidR="003075DE">
        <w:rPr>
          <w:lang w:val="en-US"/>
        </w:rPr>
        <w:t xml:space="preserve"> [1]</w:t>
      </w:r>
      <w:r>
        <w:t xml:space="preserve"> ‘see and avoid’ requirements. The published </w:t>
      </w:r>
      <w:r w:rsidR="003075DE">
        <w:rPr>
          <w:lang w:val="en-US"/>
        </w:rPr>
        <w:t xml:space="preserve">RTCA </w:t>
      </w:r>
      <w:r w:rsidR="003075DE">
        <w:t>DO-365 [2</w:t>
      </w:r>
      <w:r>
        <w:t>] outlines Minimum Operational Performance Standards (MOPS), or minimum technical requi</w:t>
      </w:r>
      <w:r w:rsidR="002176C7">
        <w:t>rements, for DAA system</w:t>
      </w:r>
      <w:r>
        <w:t xml:space="preserve"> for UA</w:t>
      </w:r>
      <w:r w:rsidR="00210ADA">
        <w:rPr>
          <w:lang w:val="en-US"/>
        </w:rPr>
        <w:t>S</w:t>
      </w:r>
      <w:r>
        <w:t xml:space="preserve"> transiting to/from Class A, or special use airspace, but does not include requirements for terminal operations. </w:t>
      </w:r>
    </w:p>
    <w:p w:rsidR="00D33861" w:rsidRDefault="00947374" w:rsidP="00947374">
      <w:pPr>
        <w:jc w:val="both"/>
      </w:pPr>
      <w:r>
        <w:t>Currently, UAS are required to fly under IFR (I</w:t>
      </w:r>
      <w:r w:rsidR="003075DE">
        <w:t>nstrument Flight Rules) [3</w:t>
      </w:r>
      <w:r>
        <w:t>]. However, under the ‘see and avoid’ requirement, UAS will still need to maintain separation from air traffic e</w:t>
      </w:r>
      <w:r w:rsidR="001B4E3D">
        <w:t>ven when air traffic control</w:t>
      </w:r>
      <w:r>
        <w:t xml:space="preserve"> (ATC) </w:t>
      </w:r>
      <w:r w:rsidR="001B4E3D">
        <w:t>is</w:t>
      </w:r>
      <w:r>
        <w:t xml:space="preserve"> not providing the separation service, such as</w:t>
      </w:r>
      <w:r w:rsidR="001B4E3D">
        <w:t xml:space="preserve"> at</w:t>
      </w:r>
      <w:r>
        <w:t xml:space="preserve"> non-towered airports with instrument approaches. </w:t>
      </w:r>
      <w:r w:rsidR="00210ADA">
        <w:t>Research is being performed by the NASA UAS Integration in the NAS (UAS-NAS) Project [4],</w:t>
      </w:r>
      <w:r w:rsidR="007751CD">
        <w:t xml:space="preserve"> to develop r</w:t>
      </w:r>
      <w:r>
        <w:t>equirements to facilita</w:t>
      </w:r>
      <w:r w:rsidR="007751CD">
        <w:t>te routine UAS operations (e.g. t</w:t>
      </w:r>
      <w:r>
        <w:t xml:space="preserve">ake-offs, </w:t>
      </w:r>
      <w:r w:rsidR="005805BC">
        <w:t xml:space="preserve">and </w:t>
      </w:r>
      <w:r>
        <w:t xml:space="preserve">landings) within </w:t>
      </w:r>
      <w:r w:rsidR="007751CD">
        <w:t>towered and non-towered</w:t>
      </w:r>
      <w:r>
        <w:t xml:space="preserve"> airport terminal environment. Previous </w:t>
      </w:r>
      <w:r w:rsidR="007751CD">
        <w:t xml:space="preserve">work developed the parameters </w:t>
      </w:r>
    </w:p>
    <w:p w:rsidR="001B4E3D" w:rsidRDefault="007751CD" w:rsidP="00947374">
      <w:pPr>
        <w:jc w:val="both"/>
      </w:pPr>
      <w:proofErr w:type="gramStart"/>
      <w:r>
        <w:t>for</w:t>
      </w:r>
      <w:proofErr w:type="gramEnd"/>
      <w:r>
        <w:t xml:space="preserve"> a smaller T</w:t>
      </w:r>
      <w:r w:rsidR="00947374">
        <w:t xml:space="preserve">erminal </w:t>
      </w:r>
      <w:r>
        <w:t xml:space="preserve">DAA </w:t>
      </w:r>
      <w:r w:rsidR="00947374">
        <w:t>Well Clear (DWC)</w:t>
      </w:r>
      <w:r>
        <w:t xml:space="preserve"> volume than</w:t>
      </w:r>
    </w:p>
    <w:p w:rsidR="009303D9" w:rsidRPr="005B520E" w:rsidRDefault="007751CD" w:rsidP="00947374">
      <w:pPr>
        <w:jc w:val="both"/>
      </w:pPr>
      <w:proofErr w:type="gramStart"/>
      <w:r>
        <w:t>that</w:t>
      </w:r>
      <w:proofErr w:type="gramEnd"/>
      <w:r>
        <w:t xml:space="preserve"> for the </w:t>
      </w:r>
      <w:proofErr w:type="spellStart"/>
      <w:r>
        <w:t>en</w:t>
      </w:r>
      <w:proofErr w:type="spellEnd"/>
      <w:r>
        <w:t xml:space="preserve"> route environment</w:t>
      </w:r>
      <w:r w:rsidR="00947374">
        <w:t xml:space="preserve">. </w:t>
      </w:r>
      <w:r w:rsidR="001B4E3D">
        <w:t xml:space="preserve">The DAA algorithms use the </w:t>
      </w:r>
      <w:r w:rsidR="00097F40">
        <w:t>D</w:t>
      </w:r>
      <w:r w:rsidR="001B4E3D">
        <w:t>WC</w:t>
      </w:r>
      <w:r w:rsidR="00097F40">
        <w:t xml:space="preserve"> definition</w:t>
      </w:r>
      <w:r w:rsidR="001B4E3D">
        <w:t xml:space="preserve"> to alert UAS pilots of a potent</w:t>
      </w:r>
      <w:r w:rsidR="0019182A">
        <w:t xml:space="preserve">ial Loss of Well </w:t>
      </w:r>
      <w:r w:rsidR="001B4E3D">
        <w:t>Clear (</w:t>
      </w:r>
      <w:proofErr w:type="spellStart"/>
      <w:r w:rsidR="001B4E3D">
        <w:t>LoWC</w:t>
      </w:r>
      <w:proofErr w:type="spellEnd"/>
      <w:r w:rsidR="001B4E3D">
        <w:t>) and to provide guidance to remain well clear of other aircraft [5</w:t>
      </w:r>
      <w:r w:rsidR="0019182A">
        <w:t>, 6</w:t>
      </w:r>
      <w:r w:rsidR="001B4E3D">
        <w:t>]</w:t>
      </w:r>
      <w:r w:rsidR="0019182A">
        <w:t xml:space="preserve">. </w:t>
      </w:r>
      <w:r w:rsidR="000164F4">
        <w:t xml:space="preserve">The </w:t>
      </w:r>
      <w:r w:rsidR="00097F40">
        <w:t xml:space="preserve">DAA Terminal Area (DTA) </w:t>
      </w:r>
      <w:r w:rsidR="000164F4">
        <w:t>is the volume within wh</w:t>
      </w:r>
      <w:r w:rsidR="00097F40">
        <w:t>ich the terminal DWC definition is</w:t>
      </w:r>
      <w:r w:rsidR="000164F4">
        <w:t xml:space="preserve"> applied for alerting and guidance purposes. </w:t>
      </w:r>
      <w:r w:rsidR="0019182A">
        <w:t>The</w:t>
      </w:r>
      <w:r w:rsidR="00947374">
        <w:t xml:space="preserve"> DTA</w:t>
      </w:r>
      <w:r w:rsidR="0019182A">
        <w:t>, as</w:t>
      </w:r>
      <w:r w:rsidR="00947374">
        <w:t xml:space="preserve"> defined </w:t>
      </w:r>
      <w:r w:rsidR="0019182A">
        <w:t>in this study, was a</w:t>
      </w:r>
      <w:r w:rsidR="00947374">
        <w:t xml:space="preserve"> cylindrical volume centered at the runway center point, and extending up to</w:t>
      </w:r>
      <w:r w:rsidR="0019182A">
        <w:t xml:space="preserve"> 2,500 feet</w:t>
      </w:r>
      <w:r w:rsidR="00947374">
        <w:t xml:space="preserve">. </w:t>
      </w:r>
      <w:r w:rsidR="00097F40">
        <w:t>This fast-time study</w:t>
      </w:r>
      <w:r w:rsidR="00DC03E6">
        <w:t>, in which the simulation perfo</w:t>
      </w:r>
      <w:r w:rsidR="00676B60">
        <w:t>rmed</w:t>
      </w:r>
      <w:r w:rsidR="00DC03E6">
        <w:t xml:space="preserve"> analysis </w:t>
      </w:r>
      <w:r w:rsidR="001C4562">
        <w:t>within short period of time to produce data for relatively longer period of time,</w:t>
      </w:r>
      <w:r w:rsidR="00DC03E6">
        <w:t xml:space="preserve"> is </w:t>
      </w:r>
      <w:r w:rsidR="00097F40">
        <w:t xml:space="preserve">focused on deriving the appropriate DTA size and DWC switching method when transitioning from the </w:t>
      </w:r>
      <w:proofErr w:type="spellStart"/>
      <w:r w:rsidR="00097F40">
        <w:t>en</w:t>
      </w:r>
      <w:proofErr w:type="spellEnd"/>
      <w:r w:rsidR="00097F40">
        <w:t xml:space="preserve"> route to </w:t>
      </w:r>
      <w:r w:rsidR="005805BC">
        <w:t xml:space="preserve">the </w:t>
      </w:r>
      <w:r w:rsidR="00097F40">
        <w:t xml:space="preserve">terminal </w:t>
      </w:r>
      <w:r w:rsidR="005805BC">
        <w:t>area</w:t>
      </w:r>
      <w:r w:rsidR="00097F40">
        <w:t>.</w:t>
      </w:r>
      <w:r w:rsidR="00DC03E6">
        <w:t xml:space="preserve"> </w:t>
      </w:r>
    </w:p>
    <w:p w:rsidR="000727F2" w:rsidRPr="00DD3F2E" w:rsidRDefault="000727F2" w:rsidP="000727F2">
      <w:pPr>
        <w:pStyle w:val="Heading1"/>
        <w:keepLines w:val="0"/>
        <w:tabs>
          <w:tab w:val="clear" w:pos="10.80pt"/>
          <w:tab w:val="clear" w:pos="28.80pt"/>
          <w:tab w:val="num" w:pos="14.40pt"/>
        </w:tabs>
        <w:spacing w:before="12pt" w:after="12pt" w:line="12.95pt" w:lineRule="auto"/>
      </w:pPr>
      <w:r w:rsidRPr="00DD3F2E">
        <w:t>DAA Well-Clear Definition</w:t>
      </w:r>
    </w:p>
    <w:p w:rsidR="00586CDF" w:rsidRDefault="000727F2" w:rsidP="00E7596C">
      <w:pPr>
        <w:pStyle w:val="BodyText"/>
      </w:pPr>
      <w:r w:rsidRPr="000727F2">
        <w:t>Per 14 CFR 91.113 [1], “vigilance shall be maintained by each person operating an aircraft so as to see and avoid other aircraft. When a rule of this section gives another aircraft the right-of-way, the pilot shall give way to that aircraft and may not pass over, under, or</w:t>
      </w:r>
      <w:r w:rsidR="0019182A">
        <w:t xml:space="preserve"> ahead of it unless well clear</w:t>
      </w:r>
      <w:r w:rsidR="0019182A">
        <w:rPr>
          <w:lang w:val="en-US"/>
        </w:rPr>
        <w:t>.</w:t>
      </w:r>
      <w:r w:rsidR="0019182A">
        <w:t>”</w:t>
      </w:r>
      <w:r w:rsidRPr="000727F2">
        <w:t xml:space="preserve"> Thus, the onboard pilot must ensure that the aircraft is well clear of other traffic, based on the pilot’s judgement. In t</w:t>
      </w:r>
      <w:r w:rsidR="00DC03E6">
        <w:t>he case of a</w:t>
      </w:r>
      <w:r w:rsidRPr="000727F2">
        <w:t xml:space="preserve"> UAS, a quantitative definition of well clear is required to </w:t>
      </w:r>
      <w:r w:rsidR="0019182A">
        <w:rPr>
          <w:lang w:val="en-US"/>
        </w:rPr>
        <w:t xml:space="preserve">provide </w:t>
      </w:r>
      <w:r w:rsidR="00F144A4">
        <w:rPr>
          <w:lang w:val="en-US"/>
        </w:rPr>
        <w:t xml:space="preserve">a </w:t>
      </w:r>
      <w:r w:rsidR="0019182A">
        <w:rPr>
          <w:lang w:val="en-US"/>
        </w:rPr>
        <w:t>reference for the DAA algorithms to use for providing alerting and guidance</w:t>
      </w:r>
      <w:r w:rsidR="0019182A">
        <w:t xml:space="preserve">. Table 1 </w:t>
      </w:r>
      <w:r w:rsidRPr="000727F2">
        <w:t xml:space="preserve">presents the </w:t>
      </w:r>
      <w:r w:rsidR="0019182A">
        <w:rPr>
          <w:lang w:val="en-US"/>
        </w:rPr>
        <w:t>DWC</w:t>
      </w:r>
      <w:r w:rsidRPr="000727F2">
        <w:t xml:space="preserve"> parameters</w:t>
      </w:r>
      <w:r w:rsidR="0019182A">
        <w:rPr>
          <w:lang w:val="en-US"/>
        </w:rPr>
        <w:t xml:space="preserve"> for </w:t>
      </w:r>
      <w:r w:rsidR="00097F40">
        <w:rPr>
          <w:lang w:val="en-US"/>
        </w:rPr>
        <w:t xml:space="preserve">both the </w:t>
      </w:r>
      <w:proofErr w:type="spellStart"/>
      <w:r w:rsidR="0019182A">
        <w:rPr>
          <w:lang w:val="en-US"/>
        </w:rPr>
        <w:t>en</w:t>
      </w:r>
      <w:proofErr w:type="spellEnd"/>
      <w:r w:rsidR="0019182A">
        <w:rPr>
          <w:lang w:val="en-US"/>
        </w:rPr>
        <w:t xml:space="preserve"> route and terminal environment</w:t>
      </w:r>
      <w:r w:rsidR="00F144A4">
        <w:rPr>
          <w:lang w:val="en-US"/>
        </w:rPr>
        <w:t>s</w:t>
      </w:r>
      <w:r w:rsidRPr="000727F2">
        <w:t>.</w:t>
      </w:r>
    </w:p>
    <w:p w:rsidR="006163F9" w:rsidRPr="0058433D" w:rsidRDefault="006163F9" w:rsidP="0058433D">
      <w:pPr>
        <w:pStyle w:val="Caption"/>
        <w:spacing w:before="12pt"/>
        <w:jc w:val="center"/>
        <w:rPr>
          <w:b w:val="0"/>
        </w:rPr>
      </w:pPr>
      <w:bookmarkStart w:id="0" w:name="_Ref26086755"/>
      <w:r w:rsidRPr="0058433D">
        <w:rPr>
          <w:rFonts w:ascii="Times New Roman" w:hAnsi="Times New Roman" w:cs="Times New Roman"/>
          <w:b w:val="0"/>
          <w:sz w:val="16"/>
          <w:szCs w:val="16"/>
        </w:rPr>
        <w:t xml:space="preserve">TABLE </w:t>
      </w:r>
      <w:r w:rsidRPr="0058433D">
        <w:rPr>
          <w:rFonts w:ascii="Times New Roman" w:hAnsi="Times New Roman" w:cs="Times New Roman"/>
          <w:b w:val="0"/>
          <w:sz w:val="16"/>
          <w:szCs w:val="16"/>
        </w:rPr>
        <w:fldChar w:fldCharType="begin"/>
      </w:r>
      <w:r w:rsidRPr="0058433D">
        <w:rPr>
          <w:rFonts w:ascii="Times New Roman" w:hAnsi="Times New Roman" w:cs="Times New Roman"/>
          <w:b w:val="0"/>
          <w:sz w:val="16"/>
          <w:szCs w:val="16"/>
        </w:rPr>
        <w:instrText xml:space="preserve"> SEQ Table \* ARABIC </w:instrText>
      </w:r>
      <w:r w:rsidRPr="0058433D">
        <w:rPr>
          <w:rFonts w:ascii="Times New Roman" w:hAnsi="Times New Roman" w:cs="Times New Roman"/>
          <w:b w:val="0"/>
          <w:sz w:val="16"/>
          <w:szCs w:val="16"/>
        </w:rPr>
        <w:fldChar w:fldCharType="separate"/>
      </w:r>
      <w:r w:rsidRPr="0058433D">
        <w:rPr>
          <w:rFonts w:ascii="Times New Roman" w:hAnsi="Times New Roman" w:cs="Times New Roman"/>
          <w:b w:val="0"/>
          <w:noProof/>
          <w:sz w:val="16"/>
          <w:szCs w:val="16"/>
        </w:rPr>
        <w:t>1</w:t>
      </w:r>
      <w:r w:rsidRPr="0058433D">
        <w:rPr>
          <w:rFonts w:ascii="Times New Roman" w:hAnsi="Times New Roman" w:cs="Times New Roman"/>
          <w:b w:val="0"/>
          <w:noProof/>
          <w:sz w:val="16"/>
          <w:szCs w:val="16"/>
        </w:rPr>
        <w:fldChar w:fldCharType="end"/>
      </w:r>
      <w:bookmarkEnd w:id="0"/>
      <w:r w:rsidRPr="0058433D">
        <w:rPr>
          <w:rFonts w:ascii="Times New Roman" w:hAnsi="Times New Roman" w:cs="Times New Roman"/>
          <w:b w:val="0"/>
          <w:noProof/>
          <w:sz w:val="16"/>
          <w:szCs w:val="16"/>
        </w:rPr>
        <w:t>.</w:t>
      </w:r>
      <w:r w:rsidRPr="0058433D">
        <w:rPr>
          <w:rFonts w:ascii="Times New Roman" w:hAnsi="Times New Roman" w:cs="Times New Roman"/>
          <w:b w:val="0"/>
          <w:sz w:val="16"/>
          <w:szCs w:val="16"/>
        </w:rPr>
        <w:tab/>
      </w:r>
      <w:r w:rsidR="0058433D" w:rsidRPr="0058433D">
        <w:rPr>
          <w:rFonts w:ascii="Times New Roman" w:hAnsi="Times New Roman" w:cs="Times New Roman"/>
          <w:b w:val="0"/>
          <w:sz w:val="16"/>
          <w:szCs w:val="16"/>
        </w:rPr>
        <w:t xml:space="preserve"> </w:t>
      </w:r>
      <w:r w:rsidRPr="0058433D">
        <w:rPr>
          <w:rFonts w:ascii="Times New Roman" w:hAnsi="Times New Roman" w:cs="Times New Roman"/>
          <w:b w:val="0"/>
          <w:sz w:val="16"/>
          <w:szCs w:val="16"/>
        </w:rPr>
        <w:t>DAA WELL CLEAR PARAMETERS</w:t>
      </w:r>
    </w:p>
    <w:tbl>
      <w:tblPr>
        <w:tblStyle w:val="GridTable5Dark-Accent1"/>
        <w:tblW w:w="100.0%" w:type="pct"/>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894"/>
        <w:gridCol w:w="726"/>
        <w:gridCol w:w="1227"/>
        <w:gridCol w:w="1176"/>
      </w:tblGrid>
      <w:tr w:rsidR="00D71A0C" w:rsidRPr="00D71A0C" w:rsidTr="005F6F1C">
        <w:trPr>
          <w:cnfStyle w:firstRow="1" w:lastRow="0" w:firstColumn="0" w:lastColumn="0" w:oddVBand="0" w:evenVBand="0" w:oddHBand="0" w:evenHBand="0" w:firstRowFirstColumn="0" w:firstRowLastColumn="0" w:lastRowFirstColumn="0" w:lastRowLastColumn="0"/>
          <w:trHeight w:val="432"/>
        </w:trPr>
        <w:tc>
          <w:tcPr>
            <w:cnfStyle w:firstRow="0" w:lastRow="0" w:firstColumn="1" w:lastColumn="0" w:oddVBand="0" w:evenVBand="0" w:oddHBand="0" w:evenHBand="0" w:firstRowFirstColumn="0" w:firstRowLastColumn="0" w:lastRowFirstColumn="0" w:lastRowLastColumn="0"/>
            <w:tcW w:w="37.0%" w:type="pct"/>
            <w:vMerge w:val="restart"/>
            <w:tcBorders>
              <w:top w:val="none" w:sz="0" w:space="0" w:color="auto"/>
              <w:start w:val="none" w:sz="0" w:space="0" w:color="auto"/>
              <w:end w:val="none" w:sz="0" w:space="0" w:color="auto"/>
            </w:tcBorders>
            <w:vAlign w:val="center"/>
          </w:tcPr>
          <w:p w:rsidR="006163F9" w:rsidRPr="00D71A0C" w:rsidRDefault="006163F9" w:rsidP="00A860CC">
            <w:pPr>
              <w:pStyle w:val="BodyText"/>
              <w:ind w:firstLine="0pt"/>
              <w:jc w:val="start"/>
              <w:rPr>
                <w:color w:val="000000" w:themeColor="text1"/>
                <w:sz w:val="16"/>
                <w:szCs w:val="16"/>
                <w:lang w:val="en-US"/>
              </w:rPr>
            </w:pPr>
          </w:p>
          <w:p w:rsidR="006163F9" w:rsidRPr="00D71A0C" w:rsidRDefault="006163F9" w:rsidP="00A860CC">
            <w:pPr>
              <w:pStyle w:val="BodyText"/>
              <w:ind w:firstLine="0pt"/>
              <w:jc w:val="start"/>
              <w:rPr>
                <w:color w:val="000000" w:themeColor="text1"/>
                <w:sz w:val="16"/>
                <w:szCs w:val="16"/>
                <w:lang w:val="en-US"/>
              </w:rPr>
            </w:pPr>
            <w:r w:rsidRPr="00D71A0C">
              <w:rPr>
                <w:color w:val="000000" w:themeColor="text1"/>
                <w:sz w:val="16"/>
                <w:szCs w:val="16"/>
                <w:lang w:val="en-US"/>
              </w:rPr>
              <w:t>Parameters</w:t>
            </w:r>
          </w:p>
        </w:tc>
        <w:tc>
          <w:tcPr>
            <w:tcW w:w="14.0%" w:type="pct"/>
            <w:vMerge w:val="restart"/>
            <w:tcBorders>
              <w:top w:val="none" w:sz="0" w:space="0" w:color="auto"/>
              <w:start w:val="none" w:sz="0" w:space="0" w:color="auto"/>
              <w:end w:val="none" w:sz="0" w:space="0" w:color="auto"/>
            </w:tcBorders>
            <w:vAlign w:val="center"/>
          </w:tcPr>
          <w:p w:rsidR="006163F9" w:rsidRPr="00D71A0C" w:rsidRDefault="006163F9"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p>
          <w:p w:rsidR="006163F9" w:rsidRPr="00D71A0C" w:rsidRDefault="006163F9"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Symbol</w:t>
            </w:r>
          </w:p>
        </w:tc>
        <w:tc>
          <w:tcPr>
            <w:tcW w:w="47.0%" w:type="pct"/>
            <w:gridSpan w:val="2"/>
            <w:tcBorders>
              <w:top w:val="none" w:sz="0" w:space="0" w:color="auto"/>
              <w:start w:val="none" w:sz="0" w:space="0" w:color="auto"/>
              <w:end w:val="none" w:sz="0" w:space="0" w:color="auto"/>
            </w:tcBorders>
            <w:vAlign w:val="center"/>
          </w:tcPr>
          <w:p w:rsidR="006163F9" w:rsidRPr="00D71A0C" w:rsidRDefault="006163F9"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Values</w:t>
            </w:r>
          </w:p>
        </w:tc>
      </w:tr>
      <w:tr w:rsidR="00D71A0C" w:rsidRPr="00D71A0C" w:rsidTr="005F6F1C">
        <w:trPr>
          <w:cnfStyle w:firstRow="0" w:lastRow="0" w:firstColumn="0" w:lastColumn="0" w:oddVBand="0" w:evenVBand="0" w:oddHBand="1" w:evenHBand="0" w:firstRowFirstColumn="0" w:firstRowLastColumn="0" w:lastRowFirstColumn="0" w:lastRowLastColumn="0"/>
          <w:trHeight w:val="432"/>
        </w:trPr>
        <w:tc>
          <w:tcPr>
            <w:cnfStyle w:firstRow="0" w:lastRow="0" w:firstColumn="1" w:lastColumn="0" w:oddVBand="0" w:evenVBand="0" w:oddHBand="0" w:evenHBand="0" w:firstRowFirstColumn="0" w:firstRowLastColumn="0" w:lastRowFirstColumn="0" w:lastRowLastColumn="0"/>
            <w:tcW w:w="37.0%" w:type="pct"/>
            <w:vMerge/>
            <w:tcBorders>
              <w:start w:val="none" w:sz="0" w:space="0" w:color="auto"/>
            </w:tcBorders>
            <w:vAlign w:val="center"/>
          </w:tcPr>
          <w:p w:rsidR="006163F9" w:rsidRPr="00D71A0C" w:rsidRDefault="006163F9" w:rsidP="00A860CC">
            <w:pPr>
              <w:pStyle w:val="BodyText"/>
              <w:ind w:firstLine="0pt"/>
              <w:jc w:val="start"/>
              <w:rPr>
                <w:color w:val="000000" w:themeColor="text1"/>
                <w:sz w:val="16"/>
                <w:szCs w:val="16"/>
                <w:lang w:val="en-US"/>
              </w:rPr>
            </w:pPr>
          </w:p>
        </w:tc>
        <w:tc>
          <w:tcPr>
            <w:tcW w:w="14.0%" w:type="pct"/>
            <w:vMerge/>
            <w:vAlign w:val="center"/>
          </w:tcPr>
          <w:p w:rsidR="006163F9" w:rsidRPr="00D71A0C" w:rsidRDefault="006163F9"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24.0%" w:type="pct"/>
            <w:vAlign w:val="center"/>
          </w:tcPr>
          <w:p w:rsidR="006163F9" w:rsidRPr="00EF30AC" w:rsidRDefault="006163F9" w:rsidP="00A860CC">
            <w:pPr>
              <w:pStyle w:val="BodyText"/>
              <w:ind w:firstLine="0pt"/>
              <w:jc w:val="start"/>
              <w:cnfStyle w:firstRow="0" w:lastRow="0" w:firstColumn="0" w:lastColumn="0" w:oddVBand="0" w:evenVBand="0" w:oddHBand="1" w:evenHBand="0" w:firstRowFirstColumn="0" w:firstRowLastColumn="0" w:lastRowFirstColumn="0" w:lastRowLastColumn="0"/>
              <w:rPr>
                <w:i/>
                <w:color w:val="000000" w:themeColor="text1"/>
                <w:sz w:val="16"/>
                <w:szCs w:val="16"/>
                <w:lang w:val="en-US"/>
              </w:rPr>
            </w:pPr>
            <w:proofErr w:type="spellStart"/>
            <w:r w:rsidRPr="00EF30AC">
              <w:rPr>
                <w:i/>
                <w:color w:val="000000" w:themeColor="text1"/>
                <w:sz w:val="16"/>
                <w:szCs w:val="16"/>
                <w:lang w:val="en-US"/>
              </w:rPr>
              <w:t>En</w:t>
            </w:r>
            <w:proofErr w:type="spellEnd"/>
            <w:r w:rsidRPr="00EF30AC">
              <w:rPr>
                <w:i/>
                <w:color w:val="000000" w:themeColor="text1"/>
                <w:sz w:val="16"/>
                <w:szCs w:val="16"/>
                <w:lang w:val="en-US"/>
              </w:rPr>
              <w:t xml:space="preserve"> Route </w:t>
            </w:r>
            <w:r w:rsidR="00EF30AC">
              <w:rPr>
                <w:i/>
                <w:color w:val="000000" w:themeColor="text1"/>
                <w:sz w:val="16"/>
                <w:szCs w:val="16"/>
                <w:lang w:val="en-US"/>
              </w:rPr>
              <w:t>D</w:t>
            </w:r>
            <w:r w:rsidRPr="00EF30AC">
              <w:rPr>
                <w:i/>
                <w:color w:val="000000" w:themeColor="text1"/>
                <w:sz w:val="16"/>
                <w:szCs w:val="16"/>
                <w:lang w:val="en-US"/>
              </w:rPr>
              <w:t>WC</w:t>
            </w:r>
          </w:p>
        </w:tc>
        <w:tc>
          <w:tcPr>
            <w:tcW w:w="23.0%" w:type="pct"/>
            <w:vAlign w:val="center"/>
          </w:tcPr>
          <w:p w:rsidR="006163F9" w:rsidRPr="00EF30AC" w:rsidRDefault="006163F9" w:rsidP="00A860CC">
            <w:pPr>
              <w:pStyle w:val="BodyText"/>
              <w:ind w:firstLine="0pt"/>
              <w:jc w:val="start"/>
              <w:cnfStyle w:firstRow="0" w:lastRow="0" w:firstColumn="0" w:lastColumn="0" w:oddVBand="0" w:evenVBand="0" w:oddHBand="1" w:evenHBand="0" w:firstRowFirstColumn="0" w:firstRowLastColumn="0" w:lastRowFirstColumn="0" w:lastRowLastColumn="0"/>
              <w:rPr>
                <w:i/>
                <w:color w:val="000000" w:themeColor="text1"/>
                <w:sz w:val="16"/>
                <w:szCs w:val="16"/>
                <w:lang w:val="en-US"/>
              </w:rPr>
            </w:pPr>
            <w:r w:rsidRPr="00EF30AC">
              <w:rPr>
                <w:i/>
                <w:color w:val="000000" w:themeColor="text1"/>
                <w:sz w:val="16"/>
                <w:szCs w:val="16"/>
                <w:lang w:val="en-US"/>
              </w:rPr>
              <w:t xml:space="preserve">Terminal </w:t>
            </w:r>
            <w:r w:rsidR="00EF30AC">
              <w:rPr>
                <w:i/>
                <w:color w:val="000000" w:themeColor="text1"/>
                <w:sz w:val="16"/>
                <w:szCs w:val="16"/>
                <w:lang w:val="en-US"/>
              </w:rPr>
              <w:t>D</w:t>
            </w:r>
            <w:r w:rsidRPr="00EF30AC">
              <w:rPr>
                <w:i/>
                <w:color w:val="000000" w:themeColor="text1"/>
                <w:sz w:val="16"/>
                <w:szCs w:val="16"/>
                <w:lang w:val="en-US"/>
              </w:rPr>
              <w:t>WC</w:t>
            </w:r>
          </w:p>
        </w:tc>
      </w:tr>
      <w:tr w:rsidR="00D71A0C" w:rsidRPr="00D71A0C" w:rsidTr="005F6F1C">
        <w:trPr>
          <w:trHeight w:val="432"/>
        </w:trPr>
        <w:tc>
          <w:tcPr>
            <w:cnfStyle w:firstRow="0" w:lastRow="0" w:firstColumn="1" w:lastColumn="0" w:oddVBand="0" w:evenVBand="0" w:oddHBand="0" w:evenHBand="0" w:firstRowFirstColumn="0" w:firstRowLastColumn="0" w:lastRowFirstColumn="0" w:lastRowLastColumn="0"/>
            <w:tcW w:w="37.0%" w:type="pct"/>
            <w:tcBorders>
              <w:start w:val="none" w:sz="0" w:space="0" w:color="auto"/>
            </w:tcBorders>
            <w:vAlign w:val="center"/>
          </w:tcPr>
          <w:p w:rsidR="006163F9" w:rsidRPr="00D71A0C" w:rsidRDefault="006163F9" w:rsidP="00A860CC">
            <w:pPr>
              <w:pStyle w:val="BodyText"/>
              <w:ind w:firstLine="0pt"/>
              <w:jc w:val="start"/>
              <w:rPr>
                <w:color w:val="000000" w:themeColor="text1"/>
                <w:sz w:val="16"/>
                <w:szCs w:val="16"/>
                <w:lang w:val="en-US"/>
              </w:rPr>
            </w:pPr>
            <w:r w:rsidRPr="00D71A0C">
              <w:rPr>
                <w:color w:val="000000" w:themeColor="text1"/>
                <w:sz w:val="16"/>
                <w:szCs w:val="16"/>
                <w:lang w:val="en-US"/>
              </w:rPr>
              <w:t>Vertical Displacement</w:t>
            </w:r>
          </w:p>
        </w:tc>
        <w:tc>
          <w:tcPr>
            <w:tcW w:w="14.0%" w:type="pct"/>
            <w:vAlign w:val="center"/>
          </w:tcPr>
          <w:p w:rsidR="006163F9" w:rsidRPr="00D71A0C" w:rsidRDefault="006163F9"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h*</w:t>
            </w:r>
          </w:p>
        </w:tc>
        <w:tc>
          <w:tcPr>
            <w:tcW w:w="24.0%" w:type="pct"/>
            <w:vAlign w:val="center"/>
          </w:tcPr>
          <w:p w:rsidR="006163F9" w:rsidRPr="00D71A0C" w:rsidRDefault="006163F9"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450 Feet</w:t>
            </w:r>
          </w:p>
        </w:tc>
        <w:tc>
          <w:tcPr>
            <w:tcW w:w="23.0%" w:type="pct"/>
            <w:vAlign w:val="center"/>
          </w:tcPr>
          <w:p w:rsidR="006163F9" w:rsidRPr="00D71A0C" w:rsidRDefault="006163F9"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450 Feet</w:t>
            </w:r>
          </w:p>
        </w:tc>
      </w:tr>
      <w:tr w:rsidR="00D71A0C" w:rsidRPr="00D71A0C" w:rsidTr="005F6F1C">
        <w:trPr>
          <w:cnfStyle w:firstRow="0" w:lastRow="0" w:firstColumn="0" w:lastColumn="0" w:oddVBand="0" w:evenVBand="0" w:oddHBand="1" w:evenHBand="0" w:firstRowFirstColumn="0" w:firstRowLastColumn="0" w:lastRowFirstColumn="0" w:lastRowLastColumn="0"/>
          <w:trHeight w:val="432"/>
        </w:trPr>
        <w:tc>
          <w:tcPr>
            <w:cnfStyle w:firstRow="0" w:lastRow="0" w:firstColumn="1" w:lastColumn="0" w:oddVBand="0" w:evenVBand="0" w:oddHBand="0" w:evenHBand="0" w:firstRowFirstColumn="0" w:firstRowLastColumn="0" w:lastRowFirstColumn="0" w:lastRowLastColumn="0"/>
            <w:tcW w:w="37.0%" w:type="pct"/>
            <w:tcBorders>
              <w:start w:val="none" w:sz="0" w:space="0" w:color="auto"/>
            </w:tcBorders>
            <w:vAlign w:val="center"/>
          </w:tcPr>
          <w:p w:rsidR="006163F9" w:rsidRPr="00D71A0C" w:rsidRDefault="006163F9" w:rsidP="00A860CC">
            <w:pPr>
              <w:pStyle w:val="BodyText"/>
              <w:ind w:firstLine="0pt"/>
              <w:jc w:val="start"/>
              <w:rPr>
                <w:color w:val="000000" w:themeColor="text1"/>
                <w:sz w:val="16"/>
                <w:szCs w:val="16"/>
                <w:lang w:val="en-US"/>
              </w:rPr>
            </w:pPr>
            <w:r w:rsidRPr="00D71A0C">
              <w:rPr>
                <w:color w:val="000000" w:themeColor="text1"/>
                <w:sz w:val="16"/>
                <w:szCs w:val="16"/>
                <w:lang w:val="en-US"/>
              </w:rPr>
              <w:t>Modified Tau</w:t>
            </w:r>
          </w:p>
        </w:tc>
        <w:tc>
          <w:tcPr>
            <w:tcW w:w="14.0%" w:type="pct"/>
            <w:vAlign w:val="center"/>
          </w:tcPr>
          <w:p w:rsidR="006163F9" w:rsidRPr="00D71A0C" w:rsidRDefault="00262E46"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m:oMathPara>
              <m:oMathParaPr>
                <m:jc m:val="left"/>
              </m:oMathParaPr>
              <m:oMath>
                <m:sSubSup>
                  <m:sSubSupPr>
                    <m:ctrlPr>
                      <w:rPr>
                        <w:rFonts w:ascii="Cambria Math" w:hAnsi="Cambria Math"/>
                        <w:i/>
                        <w:iCs/>
                        <w:color w:val="000000" w:themeColor="text1"/>
                        <w:sz w:val="16"/>
                        <w:szCs w:val="16"/>
                        <w:lang w:val="en-US"/>
                      </w:rPr>
                    </m:ctrlPr>
                  </m:sSubSupPr>
                  <m:e>
                    <m:r>
                      <m:rPr>
                        <m:sty m:val="b"/>
                      </m:rPr>
                      <w:rPr>
                        <w:rFonts w:ascii="Cambria Math" w:hAnsi="Cambria Math"/>
                        <w:color w:val="000000" w:themeColor="text1"/>
                        <w:sz w:val="16"/>
                        <w:szCs w:val="16"/>
                        <w:lang w:val="en-US"/>
                      </w:rPr>
                      <m:t>τ</m:t>
                    </m:r>
                  </m:e>
                  <m:sub>
                    <m:r>
                      <m:rPr>
                        <m:sty m:val="b"/>
                      </m:rPr>
                      <w:rPr>
                        <w:rFonts w:ascii="Cambria Math" w:hAnsi="Cambria Math"/>
                        <w:color w:val="000000" w:themeColor="text1"/>
                        <w:sz w:val="16"/>
                        <w:szCs w:val="16"/>
                        <w:lang w:val="en-US"/>
                      </w:rPr>
                      <m:t>mod</m:t>
                    </m:r>
                  </m:sub>
                  <m:sup>
                    <m:r>
                      <m:rPr>
                        <m:sty m:val="p"/>
                      </m:rPr>
                      <w:rPr>
                        <w:rFonts w:ascii="Cambria Math" w:hAnsi="Cambria Math"/>
                        <w:color w:val="000000" w:themeColor="text1"/>
                        <w:sz w:val="16"/>
                        <w:szCs w:val="16"/>
                        <w:lang w:val="en-US"/>
                      </w:rPr>
                      <m:t>*</m:t>
                    </m:r>
                  </m:sup>
                </m:sSubSup>
              </m:oMath>
            </m:oMathPara>
          </w:p>
        </w:tc>
        <w:tc>
          <w:tcPr>
            <w:tcW w:w="24.0%" w:type="pct"/>
            <w:vAlign w:val="center"/>
          </w:tcPr>
          <w:p w:rsidR="006163F9" w:rsidRPr="00D71A0C" w:rsidRDefault="006163F9"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35 Seconds</w:t>
            </w:r>
          </w:p>
        </w:tc>
        <w:tc>
          <w:tcPr>
            <w:tcW w:w="23.0%" w:type="pct"/>
            <w:vAlign w:val="center"/>
          </w:tcPr>
          <w:p w:rsidR="006163F9" w:rsidRPr="00D71A0C" w:rsidRDefault="00D71A0C"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0 Second</w:t>
            </w:r>
          </w:p>
        </w:tc>
      </w:tr>
      <w:tr w:rsidR="00D71A0C" w:rsidRPr="00D71A0C" w:rsidTr="005F6F1C">
        <w:trPr>
          <w:trHeight w:val="432"/>
        </w:trPr>
        <w:tc>
          <w:tcPr>
            <w:cnfStyle w:firstRow="0" w:lastRow="0" w:firstColumn="1" w:lastColumn="0" w:oddVBand="0" w:evenVBand="0" w:oddHBand="0" w:evenHBand="0" w:firstRowFirstColumn="0" w:firstRowLastColumn="0" w:lastRowFirstColumn="0" w:lastRowLastColumn="0"/>
            <w:tcW w:w="37.0%" w:type="pct"/>
            <w:tcBorders>
              <w:start w:val="none" w:sz="0" w:space="0" w:color="auto"/>
              <w:bottom w:val="none" w:sz="0" w:space="0" w:color="auto"/>
            </w:tcBorders>
            <w:vAlign w:val="center"/>
          </w:tcPr>
          <w:p w:rsidR="006163F9" w:rsidRPr="00D71A0C" w:rsidRDefault="006163F9" w:rsidP="00A860CC">
            <w:pPr>
              <w:pStyle w:val="BodyText"/>
              <w:ind w:firstLine="0pt"/>
              <w:jc w:val="start"/>
              <w:rPr>
                <w:color w:val="000000" w:themeColor="text1"/>
                <w:sz w:val="16"/>
                <w:szCs w:val="16"/>
                <w:lang w:val="en-US"/>
              </w:rPr>
            </w:pPr>
            <w:r w:rsidRPr="00D71A0C">
              <w:rPr>
                <w:color w:val="000000" w:themeColor="text1"/>
                <w:sz w:val="16"/>
                <w:szCs w:val="16"/>
                <w:lang w:val="en-US"/>
              </w:rPr>
              <w:t>Horizontal Miss Distance</w:t>
            </w:r>
          </w:p>
        </w:tc>
        <w:tc>
          <w:tcPr>
            <w:tcW w:w="14.0%" w:type="pct"/>
            <w:vAlign w:val="center"/>
          </w:tcPr>
          <w:p w:rsidR="006163F9" w:rsidRPr="00D71A0C" w:rsidRDefault="006163F9"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HMD*</w:t>
            </w:r>
          </w:p>
        </w:tc>
        <w:tc>
          <w:tcPr>
            <w:tcW w:w="24.0%" w:type="pct"/>
            <w:vAlign w:val="center"/>
          </w:tcPr>
          <w:p w:rsidR="006163F9" w:rsidRPr="00D71A0C" w:rsidRDefault="006163F9"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4000 Feet</w:t>
            </w:r>
          </w:p>
        </w:tc>
        <w:tc>
          <w:tcPr>
            <w:tcW w:w="23.0%" w:type="pct"/>
            <w:vAlign w:val="center"/>
          </w:tcPr>
          <w:p w:rsidR="006163F9" w:rsidRPr="00D71A0C" w:rsidRDefault="006163F9"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1500 Feet</w:t>
            </w:r>
          </w:p>
        </w:tc>
      </w:tr>
    </w:tbl>
    <w:p w:rsidR="000727F2" w:rsidRPr="005B520E" w:rsidRDefault="000727F2" w:rsidP="00E7596C">
      <w:pPr>
        <w:pStyle w:val="BodyText"/>
      </w:pPr>
    </w:p>
    <w:p w:rsidR="00586CDF" w:rsidRDefault="00DC03E6" w:rsidP="00E7596C">
      <w:pPr>
        <w:pStyle w:val="BodyText"/>
        <w:rPr>
          <w:lang w:val="en-US"/>
        </w:rPr>
      </w:pPr>
      <w:r>
        <w:t>Anytime</w:t>
      </w:r>
      <w:r w:rsidR="00586CDF" w:rsidRPr="00586CDF">
        <w:t xml:space="preserve"> </w:t>
      </w:r>
      <w:r w:rsidR="00097F40">
        <w:rPr>
          <w:lang w:val="en-US"/>
        </w:rPr>
        <w:t xml:space="preserve">all </w:t>
      </w:r>
      <w:r w:rsidR="00586CDF" w:rsidRPr="00586CDF">
        <w:t xml:space="preserve">parameters for </w:t>
      </w:r>
      <w:r w:rsidR="00097F40">
        <w:rPr>
          <w:lang w:val="en-US"/>
        </w:rPr>
        <w:t>DWC</w:t>
      </w:r>
      <w:r w:rsidR="00586CDF" w:rsidRPr="00586CDF">
        <w:t xml:space="preserve"> are </w:t>
      </w:r>
      <w:r w:rsidR="00E04AA8">
        <w:t>violated by an intruder, the UA</w:t>
      </w:r>
      <w:r w:rsidR="00586CDF" w:rsidRPr="00586CDF">
        <w:t xml:space="preserve"> has </w:t>
      </w:r>
      <w:r w:rsidR="00D33861">
        <w:rPr>
          <w:lang w:val="en-US"/>
        </w:rPr>
        <w:t xml:space="preserve">a </w:t>
      </w:r>
      <w:proofErr w:type="spellStart"/>
      <w:r w:rsidR="00D33861">
        <w:t>LoWC</w:t>
      </w:r>
      <w:proofErr w:type="spellEnd"/>
      <w:r w:rsidR="00586CDF">
        <w:rPr>
          <w:lang w:val="en-US"/>
        </w:rPr>
        <w:t>.</w:t>
      </w:r>
      <w:r w:rsidR="00D33861">
        <w:rPr>
          <w:lang w:val="en-US"/>
        </w:rPr>
        <w:t xml:space="preserve"> </w:t>
      </w:r>
      <w:proofErr w:type="spellStart"/>
      <w:r w:rsidR="00586CDF" w:rsidRPr="00586CDF">
        <w:rPr>
          <w:lang w:val="en-US"/>
        </w:rPr>
        <w:t>LoWC</w:t>
      </w:r>
      <w:proofErr w:type="spellEnd"/>
      <w:r w:rsidR="00586CDF" w:rsidRPr="00586CDF">
        <w:rPr>
          <w:lang w:val="en-US"/>
        </w:rPr>
        <w:t xml:space="preserve"> is defined as:</w:t>
      </w:r>
    </w:p>
    <w:p w:rsidR="00892A37" w:rsidRDefault="00892A37" w:rsidP="00E7596C">
      <w:pPr>
        <w:pStyle w:val="BodyText"/>
        <w:rPr>
          <w:rFonts w:ascii="Cambria Math" w:hAnsi="Cambria Math"/>
          <w:lang w:val="en-US"/>
          <w:oMath/>
        </w:rPr>
        <w:sectPr w:rsidR="00892A37" w:rsidSect="00C919A4">
          <w:type w:val="continuous"/>
          <w:pgSz w:w="612pt" w:h="792pt" w:code="1"/>
          <w:pgMar w:top="54pt" w:right="45.35pt" w:bottom="72pt" w:left="45.35pt" w:header="36pt" w:footer="36pt" w:gutter="0pt"/>
          <w:cols w:num="2" w:space="18pt"/>
          <w:docGrid w:linePitch="360"/>
        </w:sectPr>
      </w:pPr>
    </w:p>
    <w:p w:rsidR="00892A37" w:rsidRPr="00892A37" w:rsidRDefault="00262E46" w:rsidP="0019182A">
      <w:pPr>
        <w:pStyle w:val="BodyText"/>
        <w:jc w:val="end"/>
        <w:sectPr w:rsidR="00892A37" w:rsidRPr="00892A37" w:rsidSect="00892A37">
          <w:type w:val="continuous"/>
          <w:pgSz w:w="612pt" w:h="792pt" w:code="1"/>
          <w:pgMar w:top="54pt" w:right="45.35pt" w:bottom="72pt" w:left="45.35pt" w:header="36pt" w:footer="36pt" w:gutter="0pt"/>
          <w:cols w:space="18pt"/>
          <w:docGrid w:linePitch="360"/>
        </w:sectPr>
      </w:pPr>
      <m:oMath>
        <m:d>
          <m:dPr>
            <m:begChr m:val="["/>
            <m:endChr m:val="]"/>
            <m:ctrlPr>
              <w:rPr>
                <w:rFonts w:ascii="Cambria Math" w:hAnsi="Cambria Math"/>
                <w:lang w:val="en-US"/>
              </w:rPr>
            </m:ctrlPr>
          </m:dPr>
          <m:e>
            <m:r>
              <w:rPr>
                <w:rFonts w:ascii="Cambria Math" w:hAnsi="Cambria Math"/>
                <w:lang w:val="en-US"/>
              </w:rPr>
              <m:t>0≤</m:t>
            </m:r>
            <m:sSub>
              <m:sSubPr>
                <m:ctrlPr>
                  <w:rPr>
                    <w:rFonts w:ascii="Cambria Math" w:hAnsi="Cambria Math"/>
                    <w:lang w:val="en-US"/>
                  </w:rPr>
                </m:ctrlPr>
              </m:sSubPr>
              <m:e>
                <m:r>
                  <w:rPr>
                    <w:rFonts w:ascii="Cambria Math" w:hAnsi="Cambria Math"/>
                    <w:lang w:val="en-US"/>
                  </w:rPr>
                  <m:t>τ</m:t>
                </m:r>
              </m:e>
              <m:sub>
                <m:r>
                  <w:rPr>
                    <w:rFonts w:ascii="Cambria Math" w:hAnsi="Cambria Math"/>
                    <w:lang w:val="en-US"/>
                  </w:rPr>
                  <m:t>mod</m:t>
                </m:r>
              </m:sub>
            </m:sSub>
            <m:r>
              <w:rPr>
                <w:rFonts w:ascii="Cambria Math" w:hAnsi="Cambria Math"/>
                <w:lang w:val="en-US"/>
              </w:rPr>
              <m:t>≤</m:t>
            </m:r>
            <m:sSubSup>
              <m:sSubSupPr>
                <m:ctrlPr>
                  <w:rPr>
                    <w:rFonts w:ascii="Cambria Math" w:hAnsi="Cambria Math"/>
                    <w:lang w:val="en-US"/>
                  </w:rPr>
                </m:ctrlPr>
              </m:sSubSupPr>
              <m:e>
                <m:r>
                  <w:rPr>
                    <w:rFonts w:ascii="Cambria Math" w:hAnsi="Cambria Math"/>
                    <w:lang w:val="en-US"/>
                  </w:rPr>
                  <m:t>τ</m:t>
                </m:r>
              </m:e>
              <m:sub>
                <m:r>
                  <w:rPr>
                    <w:rFonts w:ascii="Cambria Math" w:hAnsi="Cambria Math"/>
                    <w:lang w:val="en-US"/>
                  </w:rPr>
                  <m:t>mod</m:t>
                </m:r>
              </m:sub>
              <m:sup>
                <m:r>
                  <w:rPr>
                    <w:rFonts w:ascii="Cambria Math" w:hAnsi="Cambria Math"/>
                    <w:lang w:val="en-US"/>
                  </w:rPr>
                  <m:t>*</m:t>
                </m:r>
              </m:sup>
            </m:sSubSup>
            <m:r>
              <w:rPr>
                <w:rFonts w:ascii="Cambria Math" w:hAnsi="Cambria Math"/>
                <w:lang w:val="en-US"/>
              </w:rPr>
              <m:t>] and [HMD≤HM</m:t>
            </m:r>
            <m:sSup>
              <m:sSupPr>
                <m:ctrlPr>
                  <w:rPr>
                    <w:rFonts w:ascii="Cambria Math" w:hAnsi="Cambria Math"/>
                    <w:lang w:val="en-US"/>
                  </w:rPr>
                </m:ctrlPr>
              </m:sSupPr>
              <m:e>
                <m:r>
                  <w:rPr>
                    <w:rFonts w:ascii="Cambria Math" w:hAnsi="Cambria Math"/>
                    <w:lang w:val="en-US"/>
                  </w:rPr>
                  <m:t>D</m:t>
                </m:r>
              </m:e>
              <m:sup>
                <m:r>
                  <w:rPr>
                    <w:rFonts w:ascii="Cambria Math" w:hAnsi="Cambria Math"/>
                    <w:lang w:val="en-US"/>
                  </w:rPr>
                  <m:t>*</m:t>
                </m:r>
              </m:sup>
            </m:sSup>
          </m:e>
        </m:d>
        <m:r>
          <w:rPr>
            <w:rFonts w:ascii="Cambria Math" w:hAnsi="Cambria Math"/>
            <w:lang w:val="en-US"/>
          </w:rPr>
          <m:t xml:space="preserve"> and </m:t>
        </m:r>
        <m:d>
          <m:dPr>
            <m:begChr m:val="["/>
            <m:endChr m:val="]"/>
            <m:ctrlPr>
              <w:rPr>
                <w:rFonts w:ascii="Cambria Math" w:hAnsi="Cambria Math"/>
                <w:lang w:val="en-US"/>
              </w:rPr>
            </m:ctrlPr>
          </m:dPr>
          <m:e>
            <m:r>
              <w:rPr>
                <w:rFonts w:ascii="Cambria Math" w:hAnsi="Cambria Math"/>
                <w:lang w:val="en-US"/>
              </w:rPr>
              <m:t>-</m:t>
            </m:r>
            <m:sSup>
              <m:sSupPr>
                <m:ctrlPr>
                  <w:rPr>
                    <w:rFonts w:ascii="Cambria Math" w:hAnsi="Cambria Math"/>
                    <w:lang w:val="en-US"/>
                  </w:rPr>
                </m:ctrlPr>
              </m:sSupPr>
              <m:e>
                <m:r>
                  <w:rPr>
                    <w:rFonts w:ascii="Cambria Math" w:hAnsi="Cambria Math"/>
                    <w:lang w:val="en-US"/>
                  </w:rPr>
                  <m:t>h</m:t>
                </m:r>
              </m:e>
              <m:sup>
                <m:r>
                  <w:rPr>
                    <w:rFonts w:ascii="Cambria Math" w:hAnsi="Cambria Math"/>
                    <w:lang w:val="en-US"/>
                  </w:rPr>
                  <m:t>*</m:t>
                </m:r>
              </m:sup>
            </m:sSup>
            <m:r>
              <w:rPr>
                <w:rFonts w:ascii="Cambria Math" w:hAnsi="Cambria Math"/>
                <w:lang w:val="en-US"/>
              </w:rPr>
              <m:t>≤dh≤</m:t>
            </m:r>
            <m:sSup>
              <m:sSupPr>
                <m:ctrlPr>
                  <w:rPr>
                    <w:rFonts w:ascii="Cambria Math" w:hAnsi="Cambria Math"/>
                    <w:lang w:val="en-US"/>
                  </w:rPr>
                </m:ctrlPr>
              </m:sSupPr>
              <m:e>
                <m:r>
                  <w:rPr>
                    <w:rFonts w:ascii="Cambria Math" w:hAnsi="Cambria Math"/>
                    <w:lang w:val="en-US"/>
                  </w:rPr>
                  <m:t>h</m:t>
                </m:r>
              </m:e>
              <m:sup>
                <m:r>
                  <w:rPr>
                    <w:rFonts w:ascii="Cambria Math" w:hAnsi="Cambria Math"/>
                    <w:lang w:val="en-US"/>
                  </w:rPr>
                  <m:t>*</m:t>
                </m:r>
              </m:sup>
            </m:sSup>
          </m:e>
        </m:d>
      </m:oMath>
      <w:r w:rsidR="001E2B4D">
        <w:rPr>
          <w:lang w:val="en-US"/>
        </w:rPr>
        <w:t xml:space="preserve"> </w:t>
      </w:r>
      <w:r w:rsidR="00892A37">
        <w:rPr>
          <w:lang w:val="en-US"/>
        </w:rPr>
        <w:t xml:space="preserve">                                                (1)                    </w:t>
      </w:r>
    </w:p>
    <w:p w:rsidR="00892A37" w:rsidRDefault="00892A37" w:rsidP="00E7596C">
      <w:pPr>
        <w:pStyle w:val="BodyText"/>
        <w:sectPr w:rsidR="00892A37" w:rsidSect="00C919A4">
          <w:type w:val="continuous"/>
          <w:pgSz w:w="612pt" w:h="792pt" w:code="1"/>
          <w:pgMar w:top="54pt" w:right="45.35pt" w:bottom="72pt" w:left="45.35pt" w:header="36pt" w:footer="36pt" w:gutter="0pt"/>
          <w:cols w:num="2" w:space="18pt"/>
          <w:docGrid w:linePitch="360"/>
        </w:sectPr>
      </w:pPr>
    </w:p>
    <w:p w:rsidR="00305644" w:rsidRDefault="00892A37" w:rsidP="00892A37">
      <w:pPr>
        <w:pStyle w:val="BodyText"/>
        <w:ind w:firstLine="0pt"/>
      </w:pPr>
      <w:r w:rsidRPr="00892A37">
        <w:t xml:space="preserve">where </w:t>
      </w:r>
      <w:proofErr w:type="spellStart"/>
      <w:r w:rsidRPr="00892A37">
        <w:rPr>
          <w:i/>
          <w:lang w:val="en-US"/>
        </w:rPr>
        <w:t>τ</w:t>
      </w:r>
      <w:r w:rsidRPr="00892A37">
        <w:rPr>
          <w:vertAlign w:val="subscript"/>
          <w:lang w:val="en-US"/>
        </w:rPr>
        <w:t>mod</w:t>
      </w:r>
      <w:proofErr w:type="spellEnd"/>
      <w:r w:rsidRPr="00892A37">
        <w:rPr>
          <w:lang w:val="en-US"/>
        </w:rPr>
        <w:t xml:space="preserve"> </w:t>
      </w:r>
      <w:r w:rsidRPr="00892A37">
        <w:t xml:space="preserve">is the temporal separation, HMD is the horizontal miss distance, and dh and h* are </w:t>
      </w:r>
      <w:r w:rsidR="00344997">
        <w:t>the vertical separation. The UA</w:t>
      </w:r>
      <w:r w:rsidRPr="00892A37">
        <w:t xml:space="preserve"> is “well clear” of other traffic as long as it is outsi</w:t>
      </w:r>
      <w:r>
        <w:t xml:space="preserve">de of the minimum thresholds- </w:t>
      </w:r>
      <m:oMath>
        <m:r>
          <m:rPr>
            <m:sty m:val="p"/>
          </m:rPr>
          <w:rPr>
            <w:rFonts w:ascii="Cambria Math" w:hAnsi="Cambria Math"/>
          </w:rPr>
          <m:t xml:space="preserve"> </m:t>
        </m:r>
        <m:sSubSup>
          <m:sSubSupPr>
            <m:ctrlPr>
              <w:rPr>
                <w:rFonts w:ascii="Cambria Math" w:hAnsi="Cambria Math"/>
              </w:rPr>
            </m:ctrlPr>
          </m:sSubSupPr>
          <m:e>
            <m:r>
              <w:rPr>
                <w:rFonts w:ascii="Cambria Math" w:hAnsi="Cambria Math"/>
              </w:rPr>
              <m:t>τ</m:t>
            </m:r>
          </m:e>
          <m:sub>
            <m:r>
              <w:rPr>
                <w:rFonts w:ascii="Cambria Math" w:hAnsi="Cambria Math"/>
              </w:rPr>
              <m:t>mod</m:t>
            </m:r>
          </m:sub>
          <m:sup>
            <m:r>
              <w:rPr>
                <w:rFonts w:ascii="Cambria Math" w:hAnsi="Cambria Math"/>
              </w:rPr>
              <m:t>*</m:t>
            </m:r>
          </m:sup>
        </m:sSubSup>
      </m:oMath>
      <w:r w:rsidRPr="00892A37">
        <w:t xml:space="preserve"> , HMD*, and h*. </w:t>
      </w:r>
    </w:p>
    <w:p w:rsidR="00305644" w:rsidRDefault="00305644" w:rsidP="00305644">
      <w:pPr>
        <w:pStyle w:val="Heading1"/>
      </w:pPr>
      <w:r>
        <w:t>DAA Well Clear ALerting</w:t>
      </w:r>
    </w:p>
    <w:p w:rsidR="00305644" w:rsidRPr="00305644" w:rsidRDefault="00305644" w:rsidP="00305644">
      <w:pPr>
        <w:pStyle w:val="BodyText"/>
        <w:rPr>
          <w:lang w:val="en-US"/>
        </w:rPr>
      </w:pPr>
      <w:r>
        <w:t xml:space="preserve">DO-365 defines </w:t>
      </w:r>
      <w:r w:rsidR="00D33861">
        <w:rPr>
          <w:lang w:val="en-US"/>
        </w:rPr>
        <w:t>DAA</w:t>
      </w:r>
      <w:r>
        <w:t xml:space="preserve"> alerting scheme consisting of three alert types: Preventive, Corrective, and Warning. Each alert protects a Hazard Alert Zone (HAZ) which is closely tied to the DWC volume. A preventive alert means the traffic is currently not a threat, but needs to be monitored for potential increase in threat level</w:t>
      </w:r>
      <w:r w:rsidR="00D33861">
        <w:rPr>
          <w:lang w:val="en-US"/>
        </w:rPr>
        <w:t>; typically by a change in altitude by the UA or the intruder</w:t>
      </w:r>
      <w:r>
        <w:t xml:space="preserve">. A corrective alert means the traffic is a threat and an </w:t>
      </w:r>
      <w:r>
        <w:t xml:space="preserve">appropriate maneuver should be coordinated with </w:t>
      </w:r>
      <w:r w:rsidR="00D33861">
        <w:rPr>
          <w:lang w:val="en-US"/>
        </w:rPr>
        <w:t>ATC</w:t>
      </w:r>
      <w:r>
        <w:t>. A warning alert means immediate action is required, f</w:t>
      </w:r>
      <w:r>
        <w:rPr>
          <w:lang w:val="en-US"/>
        </w:rPr>
        <w:t xml:space="preserve">ollowed by communication with ATC or </w:t>
      </w:r>
      <w:r w:rsidR="006E4673">
        <w:rPr>
          <w:lang w:val="en-US"/>
        </w:rPr>
        <w:t xml:space="preserve">the </w:t>
      </w:r>
      <w:r>
        <w:rPr>
          <w:lang w:val="en-US"/>
        </w:rPr>
        <w:t>intruding traffic.</w:t>
      </w:r>
    </w:p>
    <w:p w:rsidR="0058433D" w:rsidRDefault="00305644" w:rsidP="00A64A42">
      <w:pPr>
        <w:pStyle w:val="BodyText"/>
        <w:ind w:firstLine="0pt"/>
        <w:rPr>
          <w:sz w:val="16"/>
          <w:szCs w:val="16"/>
        </w:rPr>
        <w:sectPr w:rsidR="0058433D" w:rsidSect="00C919A4">
          <w:type w:val="continuous"/>
          <w:pgSz w:w="612pt" w:h="792pt" w:code="1"/>
          <w:pgMar w:top="54pt" w:right="45.35pt" w:bottom="72pt" w:left="45.35pt" w:header="36pt" w:footer="36pt" w:gutter="0pt"/>
          <w:cols w:num="2" w:space="18pt"/>
          <w:docGrid w:linePitch="360"/>
        </w:sectPr>
      </w:pPr>
      <w:r w:rsidRPr="004F461A">
        <w:t xml:space="preserve">A DAA system issues alerts with respect to the time before reaching the HAZ volume. The HAZ volume definitions and alerting times are listed in Table 2. </w:t>
      </w:r>
      <w:r w:rsidR="00A64A42" w:rsidRPr="004F461A">
        <w:t>According to an earlier study [</w:t>
      </w:r>
      <w:r w:rsidR="00A64A42" w:rsidRPr="004F461A">
        <w:rPr>
          <w:lang w:val="en-US"/>
        </w:rPr>
        <w:t>7</w:t>
      </w:r>
      <w:r w:rsidR="00A64A42" w:rsidRPr="004F461A">
        <w:t>], there is insufficient time for effective coordination with ATC in the terminal area prior to needing to maneuv</w:t>
      </w:r>
      <w:r w:rsidR="005805BC">
        <w:t xml:space="preserve">er to </w:t>
      </w:r>
      <w:proofErr w:type="spellStart"/>
      <w:r w:rsidR="005805BC">
        <w:t>deconflict</w:t>
      </w:r>
      <w:proofErr w:type="spellEnd"/>
      <w:r w:rsidR="005805BC">
        <w:t xml:space="preserve"> with traffic.</w:t>
      </w:r>
      <w:r w:rsidR="005805BC">
        <w:rPr>
          <w:lang w:val="en-US"/>
        </w:rPr>
        <w:t xml:space="preserve"> </w:t>
      </w:r>
      <w:r w:rsidR="00A64A42" w:rsidRPr="004F461A">
        <w:t xml:space="preserve">Therefore, the corrective alert is not issued in the terminal area. The terminal HAZ is smaller than the </w:t>
      </w:r>
      <w:proofErr w:type="spellStart"/>
      <w:r w:rsidR="00A64A42" w:rsidRPr="004F461A">
        <w:t>en</w:t>
      </w:r>
      <w:proofErr w:type="spellEnd"/>
      <w:r w:rsidR="00A64A42" w:rsidRPr="004F461A">
        <w:t xml:space="preserve"> route HAZ primarily to prevent alerts for traffic that is properly flying the Visual Flight Rules (VFR) pattern to land.</w:t>
      </w:r>
      <w:r w:rsidR="00A64A42" w:rsidRPr="00A64A42">
        <w:t xml:space="preserve">  </w:t>
      </w:r>
    </w:p>
    <w:p w:rsidR="0058433D" w:rsidRPr="007A2673" w:rsidRDefault="007A2673" w:rsidP="007A2673">
      <w:pPr>
        <w:pStyle w:val="Caption"/>
        <w:spacing w:before="12pt"/>
        <w:jc w:val="center"/>
        <w:rPr>
          <w:b w:val="0"/>
        </w:rPr>
        <w:sectPr w:rsidR="0058433D" w:rsidRPr="007A2673" w:rsidSect="0058433D">
          <w:type w:val="continuous"/>
          <w:pgSz w:w="612pt" w:h="792pt" w:code="1"/>
          <w:pgMar w:top="54pt" w:right="45.35pt" w:bottom="72pt" w:left="45.35pt" w:header="36pt" w:footer="36pt" w:gutter="0pt"/>
          <w:cols w:space="18pt"/>
          <w:docGrid w:linePitch="360"/>
        </w:sectPr>
      </w:pPr>
      <w:r>
        <w:rPr>
          <w:rFonts w:ascii="Times New Roman" w:hAnsi="Times New Roman" w:cs="Times New Roman"/>
          <w:b w:val="0"/>
          <w:sz w:val="16"/>
          <w:szCs w:val="16"/>
        </w:rPr>
        <w:t>TABLE 2.  DWC ALERTING SCHEME</w:t>
      </w:r>
    </w:p>
    <w:tbl>
      <w:tblPr>
        <w:tblStyle w:val="GridTable5Dark-Accent1"/>
        <w:tblW w:w="0pt" w:type="dxa"/>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848"/>
        <w:gridCol w:w="726"/>
        <w:gridCol w:w="847"/>
        <w:gridCol w:w="935"/>
        <w:gridCol w:w="935"/>
        <w:gridCol w:w="823"/>
      </w:tblGrid>
      <w:tr w:rsidR="00D71A0C" w:rsidRPr="00D71A0C" w:rsidTr="005F6F1C">
        <w:trPr>
          <w:cnfStyle w:firstRow="1" w:lastRow="0" w:firstColumn="0" w:lastColumn="0" w:oddVBand="0" w:evenVBand="0" w:oddHBand="0" w:evenHBand="0" w:firstRowFirstColumn="0" w:firstRowLastColumn="0" w:lastRowFirstColumn="0" w:lastRowLastColumn="0"/>
          <w:trHeight w:val="432"/>
          <w:jc w:val="center"/>
        </w:trPr>
        <w:tc>
          <w:tcPr>
            <w:cnfStyle w:firstRow="0" w:lastRow="0" w:firstColumn="1" w:lastColumn="0" w:oddVBand="0" w:evenVBand="0" w:oddHBand="0" w:evenHBand="0" w:firstRowFirstColumn="0" w:firstRowLastColumn="0" w:lastRowFirstColumn="0" w:lastRowLastColumn="0"/>
            <w:tcW w:w="0pt" w:type="dxa"/>
            <w:tcBorders>
              <w:top w:val="none" w:sz="0" w:space="0" w:color="auto"/>
              <w:start w:val="none" w:sz="0" w:space="0" w:color="auto"/>
              <w:end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gridSpan w:val="2"/>
            <w:tcBorders>
              <w:top w:val="none" w:sz="0" w:space="0" w:color="auto"/>
              <w:start w:val="none" w:sz="0" w:space="0" w:color="auto"/>
              <w:end w:val="none" w:sz="0" w:space="0" w:color="auto"/>
            </w:tcBorders>
            <w:vAlign w:val="center"/>
            <w:hideMark/>
          </w:tcPr>
          <w:p w:rsidR="002576E3" w:rsidRPr="00D71A0C" w:rsidRDefault="002576E3"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DWC Alerting Criteria</w:t>
            </w:r>
          </w:p>
        </w:tc>
        <w:tc>
          <w:tcPr>
            <w:tcW w:w="0pt" w:type="dxa"/>
            <w:tcBorders>
              <w:top w:val="none" w:sz="0" w:space="0" w:color="auto"/>
              <w:start w:val="none" w:sz="0" w:space="0" w:color="auto"/>
              <w:end w:val="none" w:sz="0" w:space="0" w:color="auto"/>
            </w:tcBorders>
            <w:vAlign w:val="center"/>
            <w:hideMark/>
          </w:tcPr>
          <w:p w:rsidR="002576E3" w:rsidRPr="00D71A0C" w:rsidRDefault="002576E3"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Preventive Alert</w:t>
            </w:r>
          </w:p>
        </w:tc>
        <w:tc>
          <w:tcPr>
            <w:tcW w:w="0pt" w:type="dxa"/>
            <w:tcBorders>
              <w:top w:val="none" w:sz="0" w:space="0" w:color="auto"/>
              <w:start w:val="none" w:sz="0" w:space="0" w:color="auto"/>
              <w:end w:val="none" w:sz="0" w:space="0" w:color="auto"/>
            </w:tcBorders>
            <w:vAlign w:val="center"/>
            <w:hideMark/>
          </w:tcPr>
          <w:p w:rsidR="002576E3" w:rsidRPr="00D71A0C" w:rsidRDefault="002576E3"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Corrective Alert</w:t>
            </w:r>
          </w:p>
        </w:tc>
        <w:tc>
          <w:tcPr>
            <w:tcW w:w="0pt" w:type="dxa"/>
            <w:tcBorders>
              <w:top w:val="none" w:sz="0" w:space="0" w:color="auto"/>
              <w:start w:val="none" w:sz="0" w:space="0" w:color="auto"/>
              <w:end w:val="none" w:sz="0" w:space="0" w:color="auto"/>
            </w:tcBorders>
            <w:vAlign w:val="center"/>
            <w:hideMark/>
          </w:tcPr>
          <w:p w:rsidR="002576E3" w:rsidRPr="00D71A0C" w:rsidRDefault="002576E3"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Warning Alert</w:t>
            </w:r>
          </w:p>
        </w:tc>
      </w:tr>
      <w:tr w:rsidR="00D71A0C" w:rsidRPr="00D71A0C" w:rsidTr="005F6F1C">
        <w:trPr>
          <w:cnfStyle w:firstRow="0" w:lastRow="0" w:firstColumn="0" w:lastColumn="0" w:oddVBand="0" w:evenVBand="0" w:oddHBand="1" w:evenHBand="0" w:firstRowFirstColumn="0" w:firstRowLastColumn="0" w:lastRowFirstColumn="0" w:lastRowLastColumn="0"/>
          <w:trHeight w:val="432"/>
          <w:jc w:val="center"/>
        </w:trPr>
        <w:tc>
          <w:tcPr>
            <w:cnfStyle w:firstRow="0" w:lastRow="0" w:firstColumn="1" w:lastColumn="0" w:oddVBand="0" w:evenVBand="0" w:oddHBand="0" w:evenHBand="0" w:firstRowFirstColumn="0" w:firstRowLastColumn="0" w:lastRowFirstColumn="0" w:lastRowLastColumn="0"/>
            <w:tcW w:w="0pt" w:type="dxa"/>
            <w:vMerge w:val="restart"/>
            <w:tcBorders>
              <w:start w:val="none" w:sz="0" w:space="0" w:color="auto"/>
            </w:tcBorders>
            <w:vAlign w:val="center"/>
          </w:tcPr>
          <w:p w:rsidR="00D71A0C" w:rsidRDefault="00D71A0C" w:rsidP="00A860CC">
            <w:pPr>
              <w:pStyle w:val="BodyText"/>
              <w:ind w:firstLine="0pt"/>
              <w:jc w:val="start"/>
              <w:rPr>
                <w:color w:val="000000" w:themeColor="text1"/>
                <w:sz w:val="16"/>
                <w:szCs w:val="16"/>
                <w:lang w:val="en-US"/>
              </w:rPr>
            </w:pPr>
          </w:p>
          <w:p w:rsidR="00D71A0C" w:rsidRDefault="00D71A0C" w:rsidP="00A860CC">
            <w:pPr>
              <w:pStyle w:val="BodyText"/>
              <w:ind w:firstLine="0pt"/>
              <w:jc w:val="start"/>
              <w:rPr>
                <w:color w:val="000000" w:themeColor="text1"/>
                <w:sz w:val="16"/>
                <w:szCs w:val="16"/>
                <w:lang w:val="en-US"/>
              </w:rPr>
            </w:pPr>
          </w:p>
          <w:p w:rsidR="002576E3" w:rsidRPr="00D71A0C" w:rsidRDefault="002576E3" w:rsidP="00A860CC">
            <w:pPr>
              <w:pStyle w:val="BodyText"/>
              <w:ind w:firstLine="0pt"/>
              <w:jc w:val="start"/>
              <w:rPr>
                <w:color w:val="000000" w:themeColor="text1"/>
                <w:sz w:val="16"/>
                <w:szCs w:val="16"/>
                <w:lang w:val="en-US"/>
              </w:rPr>
            </w:pPr>
            <w:proofErr w:type="spellStart"/>
            <w:r w:rsidRPr="00D71A0C">
              <w:rPr>
                <w:color w:val="000000" w:themeColor="text1"/>
                <w:sz w:val="16"/>
                <w:szCs w:val="16"/>
                <w:lang w:val="en-US"/>
              </w:rPr>
              <w:t>En</w:t>
            </w:r>
            <w:proofErr w:type="spellEnd"/>
            <w:r w:rsidRPr="00D71A0C">
              <w:rPr>
                <w:color w:val="000000" w:themeColor="text1"/>
                <w:sz w:val="16"/>
                <w:szCs w:val="16"/>
                <w:lang w:val="en-US"/>
              </w:rPr>
              <w:t xml:space="preserve"> Route DWC</w:t>
            </w:r>
          </w:p>
        </w:tc>
        <w:tc>
          <w:tcPr>
            <w:tcW w:w="0pt" w:type="dxa"/>
            <w:vMerge w:val="restart"/>
            <w:vAlign w:val="center"/>
            <w:hideMark/>
          </w:tcPr>
          <w:p w:rsidR="00D71A0C" w:rsidRDefault="00D71A0C" w:rsidP="00A860CC">
            <w:pPr>
              <w:pStyle w:val="BodyText"/>
              <w:ind w:firstLine="0pt"/>
              <w:jc w:val="start"/>
              <w:cnfStyle w:firstRow="0" w:lastRow="0" w:firstColumn="0" w:lastColumn="0" w:oddVBand="0" w:evenVBand="0" w:oddHBand="1" w:evenHBand="0" w:firstRowFirstColumn="0" w:firstRowLastColumn="0" w:lastRowFirstColumn="0" w:lastRowLastColumn="0"/>
              <w:rPr>
                <w:b/>
                <w:bCs/>
                <w:color w:val="000000" w:themeColor="text1"/>
                <w:sz w:val="16"/>
                <w:szCs w:val="16"/>
                <w:lang w:val="en-US"/>
              </w:rPr>
            </w:pPr>
          </w:p>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b/>
                <w:bCs/>
                <w:color w:val="000000" w:themeColor="text1"/>
                <w:sz w:val="16"/>
                <w:szCs w:val="16"/>
                <w:lang w:val="en-US"/>
              </w:rPr>
              <w:t>Hazard Zone (HAZ)</w:t>
            </w:r>
          </w:p>
        </w:tc>
        <w:tc>
          <w:tcPr>
            <w:tcW w:w="0pt" w:type="dxa"/>
            <w:vAlign w:val="center"/>
            <w:hideMark/>
          </w:tcPr>
          <w:p w:rsidR="002576E3" w:rsidRPr="00D71A0C" w:rsidRDefault="00262E46"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m:oMath>
              <m:sSubSup>
                <m:sSubSupPr>
                  <m:ctrlPr>
                    <w:rPr>
                      <w:rFonts w:ascii="Cambria Math" w:hAnsi="Cambria Math"/>
                      <w:i/>
                      <w:iCs/>
                      <w:color w:val="000000" w:themeColor="text1"/>
                      <w:sz w:val="16"/>
                      <w:szCs w:val="16"/>
                      <w:lang w:val="en-US"/>
                    </w:rPr>
                  </m:ctrlPr>
                </m:sSubSupPr>
                <m:e>
                  <m:r>
                    <m:rPr>
                      <m:sty m:val="b"/>
                    </m:rPr>
                    <w:rPr>
                      <w:rFonts w:ascii="Cambria Math" w:hAnsi="Cambria Math"/>
                      <w:color w:val="000000" w:themeColor="text1"/>
                      <w:sz w:val="16"/>
                      <w:szCs w:val="16"/>
                      <w:lang w:val="en-US"/>
                    </w:rPr>
                    <m:t>τ</m:t>
                  </m:r>
                </m:e>
                <m:sub>
                  <m:r>
                    <m:rPr>
                      <m:sty m:val="b"/>
                    </m:rPr>
                    <w:rPr>
                      <w:rFonts w:ascii="Cambria Math" w:hAnsi="Cambria Math"/>
                      <w:color w:val="000000" w:themeColor="text1"/>
                      <w:sz w:val="16"/>
                      <w:szCs w:val="16"/>
                      <w:lang w:val="en-US"/>
                    </w:rPr>
                    <m:t>mod</m:t>
                  </m:r>
                </m:sub>
                <m:sup>
                  <m:r>
                    <m:rPr>
                      <m:sty m:val="p"/>
                    </m:rPr>
                    <w:rPr>
                      <w:rFonts w:ascii="Cambria Math" w:hAnsi="Cambria Math"/>
                      <w:color w:val="000000" w:themeColor="text1"/>
                      <w:sz w:val="16"/>
                      <w:szCs w:val="16"/>
                      <w:lang w:val="en-US"/>
                    </w:rPr>
                    <m:t>*</m:t>
                  </m:r>
                </m:sup>
              </m:sSubSup>
            </m:oMath>
            <w:r w:rsidR="002576E3" w:rsidRPr="00D71A0C">
              <w:rPr>
                <w:color w:val="000000" w:themeColor="text1"/>
                <w:sz w:val="16"/>
                <w:szCs w:val="16"/>
                <w:lang w:val="en-US"/>
              </w:rPr>
              <w:t xml:space="preserve"> (Seconds)</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35</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35</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35</w:t>
            </w:r>
          </w:p>
        </w:tc>
      </w:tr>
      <w:tr w:rsidR="00D71A0C" w:rsidRPr="00D71A0C" w:rsidTr="005F6F1C">
        <w:trPr>
          <w:trHeight w:val="432"/>
          <w:jc w:val="center"/>
        </w:trPr>
        <w:tc>
          <w:tcPr>
            <w:cnfStyle w:firstRow="0" w:lastRow="0" w:firstColumn="1" w:lastColumn="0" w:oddVBand="0" w:evenVBand="0" w:oddHBand="0" w:evenHBand="0" w:firstRowFirstColumn="0" w:firstRowLastColumn="0" w:lastRowFirstColumn="0" w:lastRowLastColumn="0"/>
            <w:tcW w:w="0pt" w:type="dxa"/>
            <w:vMerge/>
            <w:tcBorders>
              <w:start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HMD* (Feet)</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4,000</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4,000</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4,000</w:t>
            </w:r>
          </w:p>
        </w:tc>
      </w:tr>
      <w:tr w:rsidR="00D71A0C" w:rsidRPr="00D71A0C" w:rsidTr="005F6F1C">
        <w:trPr>
          <w:cnfStyle w:firstRow="0" w:lastRow="0" w:firstColumn="0" w:lastColumn="0" w:oddVBand="0" w:evenVBand="0" w:oddHBand="1" w:evenHBand="0" w:firstRowFirstColumn="0" w:firstRowLastColumn="0" w:lastRowFirstColumn="0" w:lastRowLastColumn="0"/>
          <w:trHeight w:val="432"/>
          <w:jc w:val="center"/>
        </w:trPr>
        <w:tc>
          <w:tcPr>
            <w:cnfStyle w:firstRow="0" w:lastRow="0" w:firstColumn="1" w:lastColumn="0" w:oddVBand="0" w:evenVBand="0" w:oddHBand="0" w:evenHBand="0" w:firstRowFirstColumn="0" w:firstRowLastColumn="0" w:lastRowFirstColumn="0" w:lastRowLastColumn="0"/>
            <w:tcW w:w="0pt" w:type="dxa"/>
            <w:vMerge/>
            <w:tcBorders>
              <w:start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h* (Feet)</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700</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450</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450</w:t>
            </w:r>
          </w:p>
        </w:tc>
      </w:tr>
      <w:tr w:rsidR="00D71A0C" w:rsidRPr="00D71A0C" w:rsidTr="005F6F1C">
        <w:trPr>
          <w:trHeight w:val="432"/>
          <w:jc w:val="center"/>
        </w:trPr>
        <w:tc>
          <w:tcPr>
            <w:cnfStyle w:firstRow="0" w:lastRow="0" w:firstColumn="1" w:lastColumn="0" w:oddVBand="0" w:evenVBand="0" w:oddHBand="0" w:evenHBand="0" w:firstRowFirstColumn="0" w:firstRowLastColumn="0" w:lastRowFirstColumn="0" w:lastRowLastColumn="0"/>
            <w:tcW w:w="0pt" w:type="dxa"/>
            <w:vMerge/>
            <w:tcBorders>
              <w:start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gridSpan w:val="2"/>
            <w:vAlign w:val="center"/>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Alert time (Seconds before HAZ)</w:t>
            </w:r>
          </w:p>
        </w:tc>
        <w:tc>
          <w:tcPr>
            <w:tcW w:w="0pt" w:type="dxa"/>
            <w:vAlign w:val="center"/>
          </w:tcPr>
          <w:p w:rsidR="002576E3" w:rsidRPr="00D71A0C" w:rsidRDefault="0058433D"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55</w:t>
            </w:r>
          </w:p>
        </w:tc>
        <w:tc>
          <w:tcPr>
            <w:tcW w:w="0pt" w:type="dxa"/>
            <w:vAlign w:val="center"/>
          </w:tcPr>
          <w:p w:rsidR="002576E3" w:rsidRPr="00D71A0C" w:rsidRDefault="0058433D"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55</w:t>
            </w:r>
          </w:p>
        </w:tc>
        <w:tc>
          <w:tcPr>
            <w:tcW w:w="0pt" w:type="dxa"/>
            <w:vAlign w:val="center"/>
          </w:tcPr>
          <w:p w:rsidR="002576E3" w:rsidRPr="00D71A0C" w:rsidRDefault="0058433D"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25</w:t>
            </w:r>
          </w:p>
        </w:tc>
      </w:tr>
      <w:tr w:rsidR="00D71A0C" w:rsidRPr="00D71A0C" w:rsidTr="005F6F1C">
        <w:trPr>
          <w:cnfStyle w:firstRow="0" w:lastRow="0" w:firstColumn="0" w:lastColumn="0" w:oddVBand="0" w:evenVBand="0" w:oddHBand="1" w:evenHBand="0" w:firstRowFirstColumn="0" w:firstRowLastColumn="0" w:lastRowFirstColumn="0" w:lastRowLastColumn="0"/>
          <w:trHeight w:val="432"/>
          <w:jc w:val="center"/>
        </w:trPr>
        <w:tc>
          <w:tcPr>
            <w:cnfStyle w:firstRow="0" w:lastRow="0" w:firstColumn="1" w:lastColumn="0" w:oddVBand="0" w:evenVBand="0" w:oddHBand="0" w:evenHBand="0" w:firstRowFirstColumn="0" w:firstRowLastColumn="0" w:lastRowFirstColumn="0" w:lastRowLastColumn="0"/>
            <w:tcW w:w="0pt" w:type="dxa"/>
            <w:vMerge w:val="restart"/>
            <w:tcBorders>
              <w:start w:val="none" w:sz="0" w:space="0" w:color="auto"/>
            </w:tcBorders>
            <w:vAlign w:val="center"/>
          </w:tcPr>
          <w:p w:rsidR="00D71A0C" w:rsidRDefault="00D71A0C" w:rsidP="00A860CC">
            <w:pPr>
              <w:pStyle w:val="BodyText"/>
              <w:ind w:firstLine="0pt"/>
              <w:jc w:val="start"/>
              <w:rPr>
                <w:color w:val="000000" w:themeColor="text1"/>
                <w:sz w:val="16"/>
                <w:szCs w:val="16"/>
                <w:lang w:val="en-US"/>
              </w:rPr>
            </w:pPr>
          </w:p>
          <w:p w:rsidR="00D71A0C" w:rsidRDefault="00D71A0C" w:rsidP="00A860CC">
            <w:pPr>
              <w:pStyle w:val="BodyText"/>
              <w:ind w:firstLine="0pt"/>
              <w:jc w:val="start"/>
              <w:rPr>
                <w:color w:val="000000" w:themeColor="text1"/>
                <w:sz w:val="16"/>
                <w:szCs w:val="16"/>
                <w:lang w:val="en-US"/>
              </w:rPr>
            </w:pPr>
          </w:p>
          <w:p w:rsidR="002576E3" w:rsidRPr="00D71A0C" w:rsidRDefault="0058433D" w:rsidP="00A860CC">
            <w:pPr>
              <w:pStyle w:val="BodyText"/>
              <w:ind w:firstLine="0pt"/>
              <w:jc w:val="start"/>
              <w:rPr>
                <w:color w:val="000000" w:themeColor="text1"/>
                <w:sz w:val="16"/>
                <w:szCs w:val="16"/>
                <w:lang w:val="en-US"/>
              </w:rPr>
            </w:pPr>
            <w:r w:rsidRPr="00D71A0C">
              <w:rPr>
                <w:color w:val="000000" w:themeColor="text1"/>
                <w:sz w:val="16"/>
                <w:szCs w:val="16"/>
                <w:lang w:val="en-US"/>
              </w:rPr>
              <w:t>Terminal</w:t>
            </w:r>
            <w:r w:rsidR="002576E3" w:rsidRPr="00D71A0C">
              <w:rPr>
                <w:color w:val="000000" w:themeColor="text1"/>
                <w:sz w:val="16"/>
                <w:szCs w:val="16"/>
                <w:lang w:val="en-US"/>
              </w:rPr>
              <w:t xml:space="preserve"> DWC</w:t>
            </w:r>
          </w:p>
        </w:tc>
        <w:tc>
          <w:tcPr>
            <w:tcW w:w="0pt" w:type="dxa"/>
            <w:vMerge w:val="restart"/>
            <w:vAlign w:val="center"/>
            <w:hideMark/>
          </w:tcPr>
          <w:p w:rsidR="00D71A0C" w:rsidRDefault="00D71A0C" w:rsidP="00A860CC">
            <w:pPr>
              <w:pStyle w:val="BodyText"/>
              <w:ind w:firstLine="0pt"/>
              <w:jc w:val="start"/>
              <w:cnfStyle w:firstRow="0" w:lastRow="0" w:firstColumn="0" w:lastColumn="0" w:oddVBand="0" w:evenVBand="0" w:oddHBand="1" w:evenHBand="0" w:firstRowFirstColumn="0" w:firstRowLastColumn="0" w:lastRowFirstColumn="0" w:lastRowLastColumn="0"/>
              <w:rPr>
                <w:b/>
                <w:bCs/>
                <w:color w:val="000000" w:themeColor="text1"/>
                <w:sz w:val="16"/>
                <w:szCs w:val="16"/>
                <w:lang w:val="en-US"/>
              </w:rPr>
            </w:pPr>
          </w:p>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b/>
                <w:bCs/>
                <w:color w:val="000000" w:themeColor="text1"/>
                <w:sz w:val="16"/>
                <w:szCs w:val="16"/>
                <w:lang w:val="en-US"/>
              </w:rPr>
              <w:t>Hazard Zone (HAZ)</w:t>
            </w:r>
          </w:p>
        </w:tc>
        <w:tc>
          <w:tcPr>
            <w:tcW w:w="0pt" w:type="dxa"/>
            <w:vAlign w:val="center"/>
            <w:hideMark/>
          </w:tcPr>
          <w:p w:rsidR="002576E3" w:rsidRPr="00D71A0C" w:rsidRDefault="00262E46"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m:oMath>
              <m:sSubSup>
                <m:sSubSupPr>
                  <m:ctrlPr>
                    <w:rPr>
                      <w:rFonts w:ascii="Cambria Math" w:hAnsi="Cambria Math"/>
                      <w:i/>
                      <w:iCs/>
                      <w:color w:val="000000" w:themeColor="text1"/>
                      <w:sz w:val="16"/>
                      <w:szCs w:val="16"/>
                      <w:lang w:val="en-US"/>
                    </w:rPr>
                  </m:ctrlPr>
                </m:sSubSupPr>
                <m:e>
                  <m:r>
                    <m:rPr>
                      <m:sty m:val="b"/>
                    </m:rPr>
                    <w:rPr>
                      <w:rFonts w:ascii="Cambria Math" w:hAnsi="Cambria Math"/>
                      <w:color w:val="000000" w:themeColor="text1"/>
                      <w:sz w:val="16"/>
                      <w:szCs w:val="16"/>
                      <w:lang w:val="en-US"/>
                    </w:rPr>
                    <m:t>τ</m:t>
                  </m:r>
                </m:e>
                <m:sub>
                  <m:r>
                    <m:rPr>
                      <m:sty m:val="b"/>
                    </m:rPr>
                    <w:rPr>
                      <w:rFonts w:ascii="Cambria Math" w:hAnsi="Cambria Math"/>
                      <w:color w:val="000000" w:themeColor="text1"/>
                      <w:sz w:val="16"/>
                      <w:szCs w:val="16"/>
                      <w:lang w:val="en-US"/>
                    </w:rPr>
                    <m:t>mod</m:t>
                  </m:r>
                </m:sub>
                <m:sup>
                  <m:r>
                    <m:rPr>
                      <m:sty m:val="p"/>
                    </m:rPr>
                    <w:rPr>
                      <w:rFonts w:ascii="Cambria Math" w:hAnsi="Cambria Math"/>
                      <w:color w:val="000000" w:themeColor="text1"/>
                      <w:sz w:val="16"/>
                      <w:szCs w:val="16"/>
                      <w:lang w:val="en-US"/>
                    </w:rPr>
                    <m:t>*</m:t>
                  </m:r>
                </m:sup>
              </m:sSubSup>
            </m:oMath>
            <w:r w:rsidR="002576E3" w:rsidRPr="00D71A0C">
              <w:rPr>
                <w:color w:val="000000" w:themeColor="text1"/>
                <w:sz w:val="16"/>
                <w:szCs w:val="16"/>
                <w:lang w:val="en-US"/>
              </w:rPr>
              <w:t xml:space="preserve"> (Seconds)</w:t>
            </w:r>
          </w:p>
        </w:tc>
        <w:tc>
          <w:tcPr>
            <w:tcW w:w="0pt" w:type="dxa"/>
            <w:vMerge w:val="restart"/>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N/A</w:t>
            </w:r>
          </w:p>
        </w:tc>
        <w:tc>
          <w:tcPr>
            <w:tcW w:w="0pt" w:type="dxa"/>
            <w:vMerge w:val="restart"/>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N/A</w:t>
            </w: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0</w:t>
            </w:r>
          </w:p>
        </w:tc>
      </w:tr>
      <w:tr w:rsidR="00D71A0C" w:rsidRPr="00D71A0C" w:rsidTr="005F6F1C">
        <w:trPr>
          <w:trHeight w:val="432"/>
          <w:jc w:val="center"/>
        </w:trPr>
        <w:tc>
          <w:tcPr>
            <w:cnfStyle w:firstRow="0" w:lastRow="0" w:firstColumn="1" w:lastColumn="0" w:oddVBand="0" w:evenVBand="0" w:oddHBand="0" w:evenHBand="0" w:firstRowFirstColumn="0" w:firstRowLastColumn="0" w:lastRowFirstColumn="0" w:lastRowLastColumn="0"/>
            <w:tcW w:w="0pt" w:type="dxa"/>
            <w:vMerge/>
            <w:tcBorders>
              <w:start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HMD* (Feet)</w:t>
            </w: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1,500</w:t>
            </w:r>
          </w:p>
        </w:tc>
      </w:tr>
      <w:tr w:rsidR="00D71A0C" w:rsidRPr="00D71A0C" w:rsidTr="005F6F1C">
        <w:trPr>
          <w:cnfStyle w:firstRow="0" w:lastRow="0" w:firstColumn="0" w:lastColumn="0" w:oddVBand="0" w:evenVBand="0" w:oddHBand="1" w:evenHBand="0" w:firstRowFirstColumn="0" w:firstRowLastColumn="0" w:lastRowFirstColumn="0" w:lastRowLastColumn="0"/>
          <w:trHeight w:val="432"/>
          <w:jc w:val="center"/>
        </w:trPr>
        <w:tc>
          <w:tcPr>
            <w:cnfStyle w:firstRow="0" w:lastRow="0" w:firstColumn="1" w:lastColumn="0" w:oddVBand="0" w:evenVBand="0" w:oddHBand="0" w:evenHBand="0" w:firstRowFirstColumn="0" w:firstRowLastColumn="0" w:lastRowFirstColumn="0" w:lastRowLastColumn="0"/>
            <w:tcW w:w="0pt" w:type="dxa"/>
            <w:vMerge/>
            <w:tcBorders>
              <w:start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h* (Feet)</w:t>
            </w: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0pt" w:type="dxa"/>
            <w:vMerge/>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p>
        </w:tc>
        <w:tc>
          <w:tcPr>
            <w:tcW w:w="0pt" w:type="dxa"/>
            <w:vAlign w:val="center"/>
            <w:hideMark/>
          </w:tcPr>
          <w:p w:rsidR="002576E3" w:rsidRPr="00D71A0C" w:rsidRDefault="002576E3"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450</w:t>
            </w:r>
          </w:p>
        </w:tc>
      </w:tr>
      <w:tr w:rsidR="00D71A0C" w:rsidRPr="00D71A0C" w:rsidTr="005F6F1C">
        <w:trPr>
          <w:trHeight w:val="432"/>
          <w:jc w:val="center"/>
        </w:trPr>
        <w:tc>
          <w:tcPr>
            <w:cnfStyle w:firstRow="0" w:lastRow="0" w:firstColumn="1" w:lastColumn="0" w:oddVBand="0" w:evenVBand="0" w:oddHBand="0" w:evenHBand="0" w:firstRowFirstColumn="0" w:firstRowLastColumn="0" w:lastRowFirstColumn="0" w:lastRowLastColumn="0"/>
            <w:tcW w:w="0pt" w:type="dxa"/>
            <w:vMerge/>
            <w:tcBorders>
              <w:start w:val="none" w:sz="0" w:space="0" w:color="auto"/>
              <w:bottom w:val="none" w:sz="0" w:space="0" w:color="auto"/>
            </w:tcBorders>
            <w:vAlign w:val="center"/>
          </w:tcPr>
          <w:p w:rsidR="002576E3" w:rsidRPr="00D71A0C" w:rsidRDefault="002576E3" w:rsidP="00A860CC">
            <w:pPr>
              <w:pStyle w:val="BodyText"/>
              <w:ind w:firstLine="0pt"/>
              <w:jc w:val="start"/>
              <w:rPr>
                <w:color w:val="000000" w:themeColor="text1"/>
                <w:sz w:val="16"/>
                <w:szCs w:val="16"/>
                <w:lang w:val="en-US"/>
              </w:rPr>
            </w:pPr>
          </w:p>
        </w:tc>
        <w:tc>
          <w:tcPr>
            <w:tcW w:w="0pt" w:type="dxa"/>
            <w:gridSpan w:val="2"/>
            <w:vAlign w:val="center"/>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Alert time (Seconds before HAZ)</w:t>
            </w:r>
          </w:p>
        </w:tc>
        <w:tc>
          <w:tcPr>
            <w:tcW w:w="0pt" w:type="dxa"/>
            <w:vMerge/>
            <w:vAlign w:val="center"/>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0pt" w:type="dxa"/>
            <w:vMerge/>
            <w:vAlign w:val="center"/>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p>
        </w:tc>
        <w:tc>
          <w:tcPr>
            <w:tcW w:w="0pt" w:type="dxa"/>
            <w:vAlign w:val="center"/>
          </w:tcPr>
          <w:p w:rsidR="002576E3" w:rsidRPr="00D71A0C" w:rsidRDefault="002576E3"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30</w:t>
            </w:r>
          </w:p>
        </w:tc>
      </w:tr>
    </w:tbl>
    <w:p w:rsidR="002576E3" w:rsidRDefault="002576E3" w:rsidP="00892A37">
      <w:pPr>
        <w:pStyle w:val="BodyText"/>
        <w:ind w:firstLine="0pt"/>
        <w:sectPr w:rsidR="002576E3" w:rsidSect="002576E3">
          <w:type w:val="continuous"/>
          <w:pgSz w:w="612pt" w:h="792pt" w:code="1"/>
          <w:pgMar w:top="54pt" w:right="45.35pt" w:bottom="72pt" w:left="45.35pt" w:header="36pt" w:footer="36pt" w:gutter="0pt"/>
          <w:cols w:space="18pt"/>
          <w:docGrid w:linePitch="360"/>
        </w:sectPr>
      </w:pPr>
    </w:p>
    <w:p w:rsidR="009303D9" w:rsidRDefault="00120F3D" w:rsidP="006B6B66">
      <w:pPr>
        <w:pStyle w:val="Heading1"/>
      </w:pPr>
      <w:r>
        <w:t>Experiment</w:t>
      </w:r>
      <w:r w:rsidR="0066657F">
        <w:t xml:space="preserve"> design</w:t>
      </w:r>
    </w:p>
    <w:p w:rsidR="009303D9" w:rsidRDefault="0066657F" w:rsidP="00ED0149">
      <w:pPr>
        <w:pStyle w:val="Heading2"/>
      </w:pPr>
      <w:r>
        <w:t>DAA Terminal Area Dimensions</w:t>
      </w:r>
    </w:p>
    <w:p w:rsidR="009303D9" w:rsidRDefault="0066657F" w:rsidP="00E7596C">
      <w:pPr>
        <w:pStyle w:val="BodyText"/>
        <w:rPr>
          <w:lang w:val="en-US"/>
        </w:rPr>
      </w:pPr>
      <w:r w:rsidRPr="0066657F">
        <w:t xml:space="preserve">A DTA is a </w:t>
      </w:r>
      <w:r w:rsidR="009B2361">
        <w:rPr>
          <w:lang w:val="en-US"/>
        </w:rPr>
        <w:t>cylindrical</w:t>
      </w:r>
      <w:r w:rsidRPr="0066657F">
        <w:t xml:space="preserve"> region around a runway in which the Terminal DWC definition is applied to account for the reduced separation between aircraft arriving and departing the active runway. </w:t>
      </w:r>
      <w:r w:rsidR="001F441D">
        <w:t xml:space="preserve">In order to </w:t>
      </w:r>
      <w:r w:rsidR="001F441D">
        <w:rPr>
          <w:lang w:val="en-US"/>
        </w:rPr>
        <w:t>arrive at a recommended DTA size and DWC switching method combination that provided acceptable alerting behavior</w:t>
      </w:r>
      <w:r w:rsidR="001F441D">
        <w:t xml:space="preserve">, it was necessary to look at a range of DTA sizes. Thus, DTA </w:t>
      </w:r>
      <w:r w:rsidR="00F728BC">
        <w:rPr>
          <w:lang w:val="en-US"/>
        </w:rPr>
        <w:t xml:space="preserve">radius </w:t>
      </w:r>
      <w:r w:rsidR="001F441D">
        <w:t>sizes of 3, 3.5, 4, 4.4, and 5 nautical miles (NM) were used for the analysis.</w:t>
      </w:r>
      <w:r w:rsidRPr="0066657F">
        <w:t>. During the experiment, typical l</w:t>
      </w:r>
      <w:r w:rsidR="001F441D">
        <w:t>anding approaches i.e.</w:t>
      </w:r>
      <w:r w:rsidR="005805BC">
        <w:rPr>
          <w:lang w:val="en-US"/>
        </w:rPr>
        <w:t>,</w:t>
      </w:r>
      <w:r w:rsidR="001F441D">
        <w:t xml:space="preserve"> straight</w:t>
      </w:r>
      <w:r w:rsidR="001F441D">
        <w:rPr>
          <w:lang w:val="en-US"/>
        </w:rPr>
        <w:t>-</w:t>
      </w:r>
      <w:r w:rsidRPr="0066657F">
        <w:t xml:space="preserve">in, extended base, and </w:t>
      </w:r>
      <w:r w:rsidR="009B2361">
        <w:t>VFR</w:t>
      </w:r>
      <w:r w:rsidRPr="0066657F">
        <w:t xml:space="preserve"> pattern were simulated to resemble the airport terminal env</w:t>
      </w:r>
      <w:r w:rsidR="00F144A4">
        <w:t>ironment. The intruder aircraft</w:t>
      </w:r>
      <w:r w:rsidRPr="0066657F">
        <w:t xml:space="preserve"> made extended base entries as well as 45 degree entries to join the VFR patterns whi</w:t>
      </w:r>
      <w:r w:rsidR="00DC03E6">
        <w:t>le the UA</w:t>
      </w:r>
      <w:r w:rsidR="009B2361">
        <w:t xml:space="preserve"> always made straight-</w:t>
      </w:r>
      <w:r w:rsidRPr="0066657F">
        <w:t xml:space="preserve">in </w:t>
      </w:r>
      <w:r w:rsidR="00F144A4">
        <w:rPr>
          <w:lang w:val="en-US"/>
        </w:rPr>
        <w:t xml:space="preserve">instrument </w:t>
      </w:r>
      <w:r w:rsidR="00F144A4">
        <w:t>approaches</w:t>
      </w:r>
      <w:r w:rsidR="00F144A4">
        <w:rPr>
          <w:lang w:val="en-US"/>
        </w:rPr>
        <w:t xml:space="preserve"> per DO-365 assumptions</w:t>
      </w:r>
      <w:r w:rsidRPr="0066657F">
        <w:t xml:space="preserve">. These intruders varied in airspeed, pattern altitude, vertical rate etc. that will be discussed </w:t>
      </w:r>
      <w:r w:rsidR="00F144A4">
        <w:t>in more detail</w:t>
      </w:r>
      <w:r w:rsidR="00195EA4">
        <w:t xml:space="preserve"> shortly.  </w:t>
      </w:r>
      <w:r w:rsidR="00195EA4" w:rsidRPr="00E130A6">
        <w:t>Fig</w:t>
      </w:r>
      <w:r w:rsidR="00195EA4" w:rsidRPr="00E130A6">
        <w:rPr>
          <w:lang w:val="en-US"/>
        </w:rPr>
        <w:t>.</w:t>
      </w:r>
      <w:r w:rsidRPr="00E130A6">
        <w:t xml:space="preserve"> 1</w:t>
      </w:r>
      <w:r w:rsidRPr="0066657F">
        <w:t xml:space="preserve"> illustrates the test conditions for the experiment, in which the dotted lines represent the </w:t>
      </w:r>
      <w:r w:rsidR="009B2361">
        <w:rPr>
          <w:lang w:val="en-US"/>
        </w:rPr>
        <w:t xml:space="preserve">aircraft flight </w:t>
      </w:r>
      <w:r w:rsidRPr="0066657F">
        <w:t>paths</w:t>
      </w:r>
      <w:r w:rsidR="009B2361">
        <w:t xml:space="preserve"> prior to </w:t>
      </w:r>
      <w:r w:rsidRPr="0066657F">
        <w:t>landing.</w:t>
      </w:r>
      <w:r>
        <w:rPr>
          <w:lang w:val="en-US"/>
        </w:rPr>
        <w:t xml:space="preserve"> </w:t>
      </w:r>
    </w:p>
    <w:p w:rsidR="009303D9" w:rsidRDefault="009B2361" w:rsidP="00195EA4">
      <w:pPr>
        <w:pStyle w:val="Heading2"/>
      </w:pPr>
      <w:r>
        <w:t>DWC</w:t>
      </w:r>
      <w:r w:rsidR="0066657F">
        <w:t xml:space="preserve"> Switching Methods</w:t>
      </w:r>
    </w:p>
    <w:p w:rsidR="00195EA4" w:rsidRDefault="009B2361" w:rsidP="009256F7">
      <w:pPr>
        <w:spacing w:after="6pt" w:line="11.40pt" w:lineRule="auto"/>
        <w:ind w:firstLine="14.40pt"/>
        <w:jc w:val="both"/>
      </w:pPr>
      <w:r>
        <w:t>DWC s</w:t>
      </w:r>
      <w:r w:rsidR="00195EA4">
        <w:t>witching methods provide possible ways to im</w:t>
      </w:r>
      <w:r>
        <w:t xml:space="preserve">plement terminal DWC when </w:t>
      </w:r>
      <w:r w:rsidR="00DC03E6">
        <w:t>a</w:t>
      </w:r>
      <w:r>
        <w:t xml:space="preserve"> UA</w:t>
      </w:r>
      <w:r w:rsidR="00195EA4">
        <w:t xml:space="preserve"> transitions from </w:t>
      </w:r>
      <w:r>
        <w:t xml:space="preserve">the </w:t>
      </w:r>
      <w:proofErr w:type="spellStart"/>
      <w:r w:rsidR="00195EA4">
        <w:t>en</w:t>
      </w:r>
      <w:proofErr w:type="spellEnd"/>
      <w:r w:rsidR="00195EA4">
        <w:t xml:space="preserve"> route to terminal environment. Two switching methods te</w:t>
      </w:r>
      <w:r>
        <w:t>sted in this experiment were</w:t>
      </w:r>
      <w:r w:rsidR="00195EA4">
        <w:t xml:space="preserve"> ownsh</w:t>
      </w:r>
      <w:r>
        <w:t>ip-centric</w:t>
      </w:r>
      <w:r w:rsidR="00195EA4">
        <w:t xml:space="preserve"> and intruder-centric.</w:t>
      </w:r>
    </w:p>
    <w:p w:rsidR="00195EA4" w:rsidRDefault="00195EA4" w:rsidP="009256F7">
      <w:pPr>
        <w:spacing w:after="6pt" w:line="11.40pt" w:lineRule="auto"/>
        <w:ind w:firstLine="14.40pt"/>
        <w:jc w:val="both"/>
      </w:pPr>
      <w:r>
        <w:t>For ownship-centric switching</w:t>
      </w:r>
      <w:r w:rsidRPr="00AD32C7">
        <w:t>,</w:t>
      </w:r>
      <w:r w:rsidR="00AD32C7">
        <w:t xml:space="preserve"> if the UA is outside the DTA,</w:t>
      </w:r>
      <w:r w:rsidRPr="00AD32C7">
        <w:t xml:space="preserve"> the </w:t>
      </w:r>
      <w:proofErr w:type="spellStart"/>
      <w:r w:rsidRPr="00AD32C7">
        <w:t>en</w:t>
      </w:r>
      <w:proofErr w:type="spellEnd"/>
      <w:r w:rsidRPr="00AD32C7">
        <w:t xml:space="preserve"> route DWC definition</w:t>
      </w:r>
      <w:r>
        <w:t xml:space="preserve"> is applied to all traffic detected by the UAS, </w:t>
      </w:r>
      <w:r w:rsidR="00AD32C7">
        <w:t>regardless of whether the traffic is within or outside the DTA</w:t>
      </w:r>
      <w:r>
        <w:t xml:space="preserve">. Once the UAS enters the DTA, </w:t>
      </w:r>
      <w:r w:rsidR="00AD32C7">
        <w:t xml:space="preserve">the </w:t>
      </w:r>
      <w:r>
        <w:t>terminal DWC definition is applied to all traffic regardless of their positions (</w:t>
      </w:r>
      <w:r w:rsidR="00E130A6">
        <w:t>Fig.</w:t>
      </w:r>
      <w:r>
        <w:t xml:space="preserve"> 2). </w:t>
      </w:r>
    </w:p>
    <w:p w:rsidR="00305644" w:rsidRPr="00305644" w:rsidRDefault="00195EA4" w:rsidP="009256F7">
      <w:pPr>
        <w:spacing w:after="6pt" w:line="11.40pt" w:lineRule="auto"/>
        <w:ind w:firstLine="14.40pt"/>
        <w:jc w:val="both"/>
      </w:pPr>
      <w:r>
        <w:t xml:space="preserve">In the case of intruder-centric switching, </w:t>
      </w:r>
      <w:r w:rsidR="00AD32C7">
        <w:t xml:space="preserve">the </w:t>
      </w:r>
      <w:proofErr w:type="spellStart"/>
      <w:r>
        <w:t>en</w:t>
      </w:r>
      <w:proofErr w:type="spellEnd"/>
      <w:r>
        <w:t xml:space="preserve"> route DWC definition is applied to all </w:t>
      </w:r>
      <w:r w:rsidR="00AD32C7">
        <w:t>traffic detected by the UAS</w:t>
      </w:r>
      <w:r>
        <w:t xml:space="preserve"> that are outside of the DTA. Conversely, </w:t>
      </w:r>
      <w:r w:rsidR="00AD32C7">
        <w:t xml:space="preserve">the </w:t>
      </w:r>
      <w:r>
        <w:t xml:space="preserve">terminal DWC definition is applied to all </w:t>
      </w:r>
      <w:r w:rsidR="00AD32C7">
        <w:t>traffic</w:t>
      </w:r>
      <w:r>
        <w:t xml:space="preserve"> that are inside</w:t>
      </w:r>
      <w:r w:rsidR="00F144A4">
        <w:t xml:space="preserve"> the DTA, regardless of the UA</w:t>
      </w:r>
      <w:r>
        <w:t xml:space="preserve"> position (</w:t>
      </w:r>
      <w:r w:rsidR="00E130A6">
        <w:t>Fig.</w:t>
      </w:r>
      <w:r>
        <w:t xml:space="preserve"> 2).</w:t>
      </w:r>
    </w:p>
    <w:p w:rsidR="00305644" w:rsidRPr="00305644" w:rsidRDefault="00195EA4" w:rsidP="00B06D64">
      <w:pPr>
        <w:pStyle w:val="Heading2"/>
      </w:pPr>
      <w:r>
        <w:t>Encounter Geometry</w:t>
      </w:r>
    </w:p>
    <w:p w:rsidR="00C624AC" w:rsidRPr="00DC3974" w:rsidRDefault="00E93C21" w:rsidP="009256F7">
      <w:pPr>
        <w:pStyle w:val="BodyText"/>
        <w:rPr>
          <w:lang w:val="en-US"/>
        </w:rPr>
        <w:sectPr w:rsidR="00C624AC" w:rsidRPr="00DC3974" w:rsidSect="00C919A4">
          <w:type w:val="continuous"/>
          <w:pgSz w:w="612pt" w:h="792pt" w:code="1"/>
          <w:pgMar w:top="54pt" w:right="45.35pt" w:bottom="72pt" w:left="45.35pt" w:header="36pt" w:footer="36pt" w:gutter="0pt"/>
          <w:cols w:num="2" w:space="18pt"/>
          <w:docGrid w:linePitch="360"/>
        </w:sectPr>
      </w:pPr>
      <w:r w:rsidRPr="00E93C21">
        <w:t xml:space="preserve">Encounters were created </w:t>
      </w:r>
      <w:r w:rsidR="001F441D">
        <w:rPr>
          <w:lang w:val="en-US"/>
        </w:rPr>
        <w:t>to represent standard VFR operations around an airport. In</w:t>
      </w:r>
      <w:proofErr w:type="spellStart"/>
      <w:r w:rsidRPr="00E93C21">
        <w:t>truders</w:t>
      </w:r>
      <w:proofErr w:type="spellEnd"/>
      <w:r w:rsidRPr="00E93C21">
        <w:t xml:space="preserve"> </w:t>
      </w:r>
      <w:r w:rsidR="001F441D">
        <w:rPr>
          <w:lang w:val="en-US"/>
        </w:rPr>
        <w:t>were modeled at</w:t>
      </w:r>
      <w:r w:rsidRPr="00E93C21">
        <w:t xml:space="preserve"> various </w:t>
      </w:r>
    </w:p>
    <w:p w:rsidR="00C624AC" w:rsidRDefault="000A43B2" w:rsidP="00C624AC">
      <w:pPr>
        <w:pStyle w:val="BodyText"/>
        <w:jc w:val="center"/>
      </w:pPr>
      <w:r>
        <w:rPr>
          <w:noProof/>
          <w:lang w:val="en-US" w:eastAsia="en-US"/>
        </w:rPr>
        <w:lastRenderedPageBreak/>
        <w:drawing>
          <wp:inline distT="0" distB="0" distL="0" distR="0" wp14:anchorId="6876F9EA" wp14:editId="16ADC5C6">
            <wp:extent cx="5747252" cy="3709358"/>
            <wp:effectExtent l="0" t="0" r="6350" b="5715"/>
            <wp:docPr id="4" name="Picture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9"/>
                    <a:srcRect l="26.142%" t="32.232%" r="22.533%" b="8.882%"/>
                    <a:stretch/>
                  </pic:blipFill>
                  <pic:spPr bwMode="auto">
                    <a:xfrm>
                      <a:off x="0" y="0"/>
                      <a:ext cx="5814226" cy="3752584"/>
                    </a:xfrm>
                    <a:prstGeom prst="rect">
                      <a:avLst/>
                    </a:prstGeom>
                    <a:ln>
                      <a:noFill/>
                    </a:ln>
                    <a:extLst>
                      <a:ext uri="{53640926-AAD7-44D8-BBD7-CCE9431645EC}">
                        <a14:shadowObscured xmlns:a14="http://schemas.microsoft.com/office/drawing/2010/main"/>
                      </a:ext>
                    </a:extLst>
                  </pic:spPr>
                </pic:pic>
              </a:graphicData>
            </a:graphic>
          </wp:inline>
        </w:drawing>
      </w:r>
    </w:p>
    <w:p w:rsidR="00C624AC" w:rsidRDefault="00C624AC" w:rsidP="00C624AC">
      <w:pPr>
        <w:pStyle w:val="BodyText"/>
        <w:jc w:val="center"/>
        <w:rPr>
          <w:sz w:val="16"/>
          <w:szCs w:val="16"/>
          <w:lang w:val="en-US"/>
        </w:rPr>
      </w:pPr>
      <w:r w:rsidRPr="00F923AD">
        <w:rPr>
          <w:sz w:val="16"/>
          <w:szCs w:val="16"/>
          <w:lang w:val="en-US"/>
        </w:rPr>
        <w:t>Fig. 1.  Illustration of DAA Terminal Area operations.</w:t>
      </w:r>
    </w:p>
    <w:p w:rsidR="00C75F5C" w:rsidRDefault="00C75F5C" w:rsidP="00C624AC">
      <w:pPr>
        <w:pStyle w:val="BodyText"/>
        <w:jc w:val="center"/>
        <w:rPr>
          <w:sz w:val="16"/>
          <w:szCs w:val="16"/>
          <w:lang w:val="en-US"/>
        </w:rPr>
      </w:pPr>
    </w:p>
    <w:p w:rsidR="00C75F5C" w:rsidRPr="00F923AD" w:rsidRDefault="00C75F5C" w:rsidP="00C624AC">
      <w:pPr>
        <w:pStyle w:val="BodyText"/>
        <w:jc w:val="center"/>
        <w:rPr>
          <w:sz w:val="16"/>
          <w:szCs w:val="16"/>
          <w:lang w:val="en-US"/>
        </w:rPr>
      </w:pPr>
    </w:p>
    <w:p w:rsidR="00DC3974" w:rsidRDefault="00DC3974" w:rsidP="00C624AC">
      <w:pPr>
        <w:pStyle w:val="BodyText"/>
        <w:jc w:val="center"/>
        <w:rPr>
          <w:lang w:val="en-US"/>
        </w:rPr>
      </w:pPr>
    </w:p>
    <w:p w:rsidR="00C624AC" w:rsidRDefault="00C624AC" w:rsidP="00C624AC">
      <w:pPr>
        <w:pStyle w:val="BodyText"/>
        <w:jc w:val="center"/>
        <w:rPr>
          <w:lang w:val="en-US"/>
        </w:rPr>
      </w:pPr>
    </w:p>
    <w:p w:rsidR="00DC3974" w:rsidRDefault="005805BC" w:rsidP="00C624AC">
      <w:pPr>
        <w:pStyle w:val="BodyText"/>
        <w:jc w:val="center"/>
        <w:rPr>
          <w:lang w:val="en-US"/>
        </w:rPr>
      </w:pPr>
      <w:r>
        <w:rPr>
          <w:noProof/>
          <w:lang w:val="en-US" w:eastAsia="en-US"/>
        </w:rPr>
        <w:drawing>
          <wp:inline distT="0" distB="0" distL="0" distR="0" wp14:anchorId="3078EF85" wp14:editId="61A6B34A">
            <wp:extent cx="5482492" cy="3455720"/>
            <wp:effectExtent l="0" t="0" r="4445" b="0"/>
            <wp:docPr id="3" name="Picture 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0"/>
                    <a:srcRect l="19.421%" t="26.855%" r="26.481%" b="12.53%"/>
                    <a:stretch/>
                  </pic:blipFill>
                  <pic:spPr bwMode="auto">
                    <a:xfrm>
                      <a:off x="0" y="0"/>
                      <a:ext cx="5526161" cy="3483246"/>
                    </a:xfrm>
                    <a:prstGeom prst="rect">
                      <a:avLst/>
                    </a:prstGeom>
                    <a:ln>
                      <a:noFill/>
                    </a:ln>
                    <a:extLst>
                      <a:ext uri="{53640926-AAD7-44D8-BBD7-CCE9431645EC}">
                        <a14:shadowObscured xmlns:a14="http://schemas.microsoft.com/office/drawing/2010/main"/>
                      </a:ext>
                    </a:extLst>
                  </pic:spPr>
                </pic:pic>
              </a:graphicData>
            </a:graphic>
          </wp:inline>
        </w:drawing>
      </w:r>
    </w:p>
    <w:p w:rsidR="00DC3974" w:rsidRPr="00F923AD" w:rsidRDefault="00DC3974" w:rsidP="00C624AC">
      <w:pPr>
        <w:pStyle w:val="BodyText"/>
        <w:jc w:val="center"/>
        <w:rPr>
          <w:sz w:val="16"/>
          <w:szCs w:val="16"/>
          <w:lang w:val="en-US"/>
        </w:rPr>
        <w:sectPr w:rsidR="00DC3974" w:rsidRPr="00F923AD" w:rsidSect="00C624AC">
          <w:type w:val="continuous"/>
          <w:pgSz w:w="612pt" w:h="792pt" w:code="1"/>
          <w:pgMar w:top="54pt" w:right="45.35pt" w:bottom="72pt" w:left="45.35pt" w:header="36pt" w:footer="36pt" w:gutter="0pt"/>
          <w:cols w:space="18pt"/>
          <w:docGrid w:linePitch="360"/>
        </w:sectPr>
      </w:pPr>
      <w:r w:rsidRPr="00F923AD">
        <w:rPr>
          <w:sz w:val="16"/>
          <w:szCs w:val="16"/>
          <w:lang w:val="en-US"/>
        </w:rPr>
        <w:t xml:space="preserve">Fig. 2.  </w:t>
      </w:r>
      <w:r w:rsidRPr="00F923AD">
        <w:rPr>
          <w:sz w:val="16"/>
          <w:szCs w:val="16"/>
        </w:rPr>
        <w:t>Ownship-</w:t>
      </w:r>
      <w:r w:rsidR="00CC0F8F" w:rsidRPr="00F923AD">
        <w:rPr>
          <w:sz w:val="16"/>
          <w:szCs w:val="16"/>
        </w:rPr>
        <w:t>centric versus intruder-</w:t>
      </w:r>
      <w:r w:rsidRPr="00F923AD">
        <w:rPr>
          <w:sz w:val="16"/>
          <w:szCs w:val="16"/>
        </w:rPr>
        <w:t>centric switching</w:t>
      </w:r>
      <w:r w:rsidRPr="00F923AD">
        <w:rPr>
          <w:sz w:val="16"/>
          <w:szCs w:val="16"/>
          <w:lang w:val="en-US"/>
        </w:rPr>
        <w:t>.</w:t>
      </w:r>
    </w:p>
    <w:p w:rsidR="009303D9" w:rsidRPr="003E1CE8" w:rsidRDefault="005D11E8" w:rsidP="005D11E8">
      <w:pPr>
        <w:pStyle w:val="BodyText"/>
        <w:ind w:firstLine="0pt"/>
        <w:rPr>
          <w:lang w:val="en-US"/>
        </w:rPr>
      </w:pPr>
      <w:r>
        <w:lastRenderedPageBreak/>
        <w:t xml:space="preserve">combinations of airspeeds, flight paths, and DTA sizes. A variety of aircraft performance parameters such as vertical rate, bank limit, etc., were also used for the encounter sets. These  </w:t>
      </w:r>
      <w:r w:rsidR="00D95130" w:rsidRPr="00E93C21">
        <w:t xml:space="preserve">variables generated a large number of combinations </w:t>
      </w:r>
      <w:r w:rsidR="003E1CE8">
        <w:rPr>
          <w:lang w:val="en-US"/>
        </w:rPr>
        <w:t>in order to encompass the large design space of potential encounters.</w:t>
      </w:r>
    </w:p>
    <w:p w:rsidR="00D95130" w:rsidRPr="00B26FA2" w:rsidRDefault="00CE1DCD" w:rsidP="00D95130">
      <w:pPr>
        <w:pStyle w:val="BodyText"/>
        <w:rPr>
          <w:lang w:val="en-US"/>
        </w:rPr>
      </w:pPr>
      <w:r>
        <w:t>The UA</w:t>
      </w:r>
      <w:r w:rsidR="00D95130">
        <w:t xml:space="preserve"> </w:t>
      </w:r>
      <w:r w:rsidR="00B26FA2">
        <w:rPr>
          <w:lang w:val="en-US"/>
        </w:rPr>
        <w:t>was flying an instrument approach to the active runway on</w:t>
      </w:r>
      <w:r w:rsidR="00D95130">
        <w:t xml:space="preserve"> a constant glideslope of 3 degrees </w:t>
      </w:r>
      <w:r w:rsidR="00F144A4">
        <w:rPr>
          <w:lang w:val="en-US"/>
        </w:rPr>
        <w:t>with</w:t>
      </w:r>
      <w:r w:rsidR="00D95130">
        <w:t xml:space="preserve"> the airspeed </w:t>
      </w:r>
      <w:r w:rsidR="00B26FA2">
        <w:rPr>
          <w:lang w:val="en-US"/>
        </w:rPr>
        <w:t>ranging</w:t>
      </w:r>
      <w:r w:rsidR="00D95130">
        <w:t xml:space="preserve"> from 40 – 200 KTAS in 20 KTAS increments. The touch</w:t>
      </w:r>
      <w:r>
        <w:t>down time offset between the UA</w:t>
      </w:r>
      <w:r w:rsidR="00D95130">
        <w:t xml:space="preserve"> and the intruder were 50, 60, 70, 80, and 90 seconds</w:t>
      </w:r>
      <w:r>
        <w:rPr>
          <w:lang w:val="en-US"/>
        </w:rPr>
        <w:t xml:space="preserve"> with the UA landing behind the intruder in all cases</w:t>
      </w:r>
      <w:r w:rsidR="00B26FA2" w:rsidRPr="00B26FA2">
        <w:t xml:space="preserve">. These touchdown time offsets were chosen </w:t>
      </w:r>
      <w:r w:rsidR="00B26FA2" w:rsidRPr="00B26FA2">
        <w:t>to represent a nominal scenario in which an intruder lands well ahead of the UA</w:t>
      </w:r>
      <w:r w:rsidR="00EF30AC">
        <w:rPr>
          <w:lang w:val="en-US"/>
        </w:rPr>
        <w:t xml:space="preserve"> [8].</w:t>
      </w:r>
    </w:p>
    <w:p w:rsidR="00D95130" w:rsidRDefault="00D95130" w:rsidP="00D95130">
      <w:pPr>
        <w:pStyle w:val="BodyText"/>
      </w:pPr>
      <w:r>
        <w:t>The intrud</w:t>
      </w:r>
      <w:r w:rsidR="00F144A4">
        <w:t>ers were grouped by engine type</w:t>
      </w:r>
      <w:r>
        <w:t xml:space="preserve"> as piston and turbine intruders. </w:t>
      </w:r>
      <w:r w:rsidR="00B26FA2">
        <w:rPr>
          <w:lang w:val="en-US"/>
        </w:rPr>
        <w:t xml:space="preserve">These </w:t>
      </w:r>
      <w:r w:rsidR="00120F3D">
        <w:rPr>
          <w:lang w:val="en-US"/>
        </w:rPr>
        <w:t>were</w:t>
      </w:r>
      <w:r w:rsidR="00B26FA2">
        <w:rPr>
          <w:lang w:val="en-US"/>
        </w:rPr>
        <w:t xml:space="preserve"> categorical groupings used to define approach speed and traffic pattern dimensions.</w:t>
      </w:r>
      <w:r w:rsidR="00120ED1">
        <w:rPr>
          <w:lang w:val="en-US"/>
        </w:rPr>
        <w:t xml:space="preserve"> For instance, the piston engine intruders </w:t>
      </w:r>
      <w:r w:rsidR="00F144A4">
        <w:rPr>
          <w:lang w:val="en-US"/>
        </w:rPr>
        <w:t>flew a standard 1,000 feet pattern altitude</w:t>
      </w:r>
      <w:r w:rsidR="00E36987">
        <w:rPr>
          <w:lang w:val="en-US"/>
        </w:rPr>
        <w:t>,</w:t>
      </w:r>
      <w:r w:rsidR="00120ED1">
        <w:rPr>
          <w:lang w:val="en-US"/>
        </w:rPr>
        <w:t xml:space="preserve"> while the turbine engine intruders </w:t>
      </w:r>
      <w:r w:rsidR="000364D3">
        <w:rPr>
          <w:lang w:val="en-US"/>
        </w:rPr>
        <w:t xml:space="preserve">flew a standard 1,500 feet pattern altitude. </w:t>
      </w:r>
      <w:r>
        <w:t>These intruders made either a 45 degree entry to a VFR pattern or an extended base entry. A complete list of all the variables are presented in Table 3</w:t>
      </w:r>
      <w:r w:rsidR="009303D9">
        <w:t>.</w:t>
      </w:r>
    </w:p>
    <w:p w:rsidR="00D95130" w:rsidRDefault="00D95130" w:rsidP="00D95130">
      <w:pPr>
        <w:pStyle w:val="Caption"/>
        <w:spacing w:before="12pt"/>
        <w:jc w:val="center"/>
        <w:rPr>
          <w:rFonts w:ascii="Times New Roman" w:hAnsi="Times New Roman" w:cs="Times New Roman"/>
          <w:b w:val="0"/>
          <w:sz w:val="16"/>
          <w:szCs w:val="16"/>
        </w:rPr>
        <w:sectPr w:rsidR="00D95130" w:rsidSect="00C919A4">
          <w:type w:val="continuous"/>
          <w:pgSz w:w="612pt" w:h="792pt" w:code="1"/>
          <w:pgMar w:top="54pt" w:right="45.35pt" w:bottom="72pt" w:left="45.35pt" w:header="36pt" w:footer="36pt" w:gutter="0pt"/>
          <w:cols w:num="2" w:space="18pt"/>
          <w:docGrid w:linePitch="360"/>
        </w:sectPr>
      </w:pPr>
    </w:p>
    <w:p w:rsidR="00D95130" w:rsidRPr="005B520E" w:rsidRDefault="00D95130" w:rsidP="00D95130">
      <w:pPr>
        <w:pStyle w:val="Caption"/>
        <w:spacing w:before="12pt"/>
        <w:jc w:val="center"/>
      </w:pPr>
      <w:r>
        <w:rPr>
          <w:rFonts w:ascii="Times New Roman" w:hAnsi="Times New Roman" w:cs="Times New Roman"/>
          <w:b w:val="0"/>
          <w:sz w:val="16"/>
          <w:szCs w:val="16"/>
        </w:rPr>
        <w:t>TABLE 3</w:t>
      </w:r>
      <w:r w:rsidRPr="0058433D">
        <w:rPr>
          <w:rFonts w:ascii="Times New Roman" w:hAnsi="Times New Roman" w:cs="Times New Roman"/>
          <w:b w:val="0"/>
          <w:sz w:val="16"/>
          <w:szCs w:val="16"/>
        </w:rPr>
        <w:t xml:space="preserve">.  </w:t>
      </w:r>
      <w:r>
        <w:rPr>
          <w:rFonts w:ascii="Times New Roman" w:hAnsi="Times New Roman" w:cs="Times New Roman"/>
          <w:b w:val="0"/>
          <w:sz w:val="16"/>
          <w:szCs w:val="16"/>
        </w:rPr>
        <w:t>EX</w:t>
      </w:r>
      <w:r w:rsidR="00F2174A">
        <w:rPr>
          <w:rFonts w:ascii="Times New Roman" w:hAnsi="Times New Roman" w:cs="Times New Roman"/>
          <w:b w:val="0"/>
          <w:sz w:val="16"/>
          <w:szCs w:val="16"/>
        </w:rPr>
        <w:t>PERIMENT</w:t>
      </w:r>
      <w:r>
        <w:rPr>
          <w:rFonts w:ascii="Times New Roman" w:hAnsi="Times New Roman" w:cs="Times New Roman"/>
          <w:b w:val="0"/>
          <w:sz w:val="16"/>
          <w:szCs w:val="16"/>
        </w:rPr>
        <w:t xml:space="preserve"> VARIABLES</w:t>
      </w:r>
    </w:p>
    <w:p w:rsidR="00D95130" w:rsidRDefault="00D95130" w:rsidP="00D95130">
      <w:pPr>
        <w:pStyle w:val="BodyText"/>
        <w:spacing w:after="0pt"/>
        <w:rPr>
          <w:b/>
          <w:bCs/>
          <w:color w:val="FFFFFF" w:themeColor="background1"/>
          <w:lang w:val="en-US"/>
        </w:rPr>
        <w:sectPr w:rsidR="00D95130" w:rsidSect="00D95130">
          <w:type w:val="continuous"/>
          <w:pgSz w:w="612pt" w:h="792pt" w:code="1"/>
          <w:pgMar w:top="54pt" w:right="45.35pt" w:bottom="72pt" w:left="45.35pt" w:header="36pt" w:footer="36pt" w:gutter="0pt"/>
          <w:cols w:space="18pt"/>
          <w:docGrid w:linePitch="360"/>
        </w:sectPr>
      </w:pPr>
    </w:p>
    <w:tbl>
      <w:tblPr>
        <w:tblStyle w:val="GridTable5Dark-Accent1"/>
        <w:tblW w:w="367.15pt" w:type="dxa"/>
        <w:jc w:val="cente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1223"/>
        <w:gridCol w:w="2648"/>
        <w:gridCol w:w="3472"/>
      </w:tblGrid>
      <w:tr w:rsidR="00D71A0C" w:rsidRPr="00D71A0C" w:rsidTr="005D11E8">
        <w:trPr>
          <w:cnfStyle w:firstRow="1" w:lastRow="0" w:firstColumn="0" w:lastColumn="0" w:oddVBand="0" w:evenVBand="0" w:oddHBand="0"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tcBorders>
              <w:top w:val="none" w:sz="0" w:space="0" w:color="auto"/>
              <w:start w:val="none" w:sz="0" w:space="0" w:color="auto"/>
              <w:end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tcBorders>
              <w:top w:val="none" w:sz="0" w:space="0" w:color="auto"/>
              <w:start w:val="none" w:sz="0" w:space="0" w:color="auto"/>
              <w:end w:val="none" w:sz="0" w:space="0" w:color="auto"/>
            </w:tcBorders>
            <w:vAlign w:val="center"/>
          </w:tcPr>
          <w:p w:rsidR="00D95130" w:rsidRPr="00D71A0C" w:rsidRDefault="00D95130"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Variable</w:t>
            </w:r>
          </w:p>
        </w:tc>
        <w:tc>
          <w:tcPr>
            <w:tcW w:w="173.60pt" w:type="dxa"/>
            <w:tcBorders>
              <w:top w:val="none" w:sz="0" w:space="0" w:color="auto"/>
              <w:start w:val="none" w:sz="0" w:space="0" w:color="auto"/>
              <w:end w:val="none" w:sz="0" w:space="0" w:color="auto"/>
            </w:tcBorders>
            <w:vAlign w:val="center"/>
          </w:tcPr>
          <w:p w:rsidR="00D95130" w:rsidRPr="00D71A0C" w:rsidRDefault="00D95130" w:rsidP="00A860CC">
            <w:pPr>
              <w:pStyle w:val="BodyText"/>
              <w:ind w:firstLine="0pt"/>
              <w:jc w:val="start"/>
              <w:cnfStyle w:firstRow="1"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Values</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 xml:space="preserve">Touchdown Time </w:t>
            </w:r>
            <w:r w:rsidR="00D77DD5" w:rsidRPr="00D71A0C">
              <w:rPr>
                <w:b/>
                <w:color w:val="000000" w:themeColor="text1"/>
                <w:sz w:val="16"/>
                <w:szCs w:val="16"/>
                <w:lang w:val="en-US"/>
              </w:rPr>
              <w:t>Offset</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50, 60, 70, 80, 90 seconds</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tcBorders>
              <w:start w:val="none" w:sz="0" w:space="0" w:color="auto"/>
            </w:tcBorders>
            <w:vAlign w:val="center"/>
          </w:tcPr>
          <w:p w:rsidR="004800EB" w:rsidRPr="00D71A0C" w:rsidRDefault="004800EB" w:rsidP="00A860CC">
            <w:pPr>
              <w:pStyle w:val="BodyText"/>
              <w:ind w:firstLine="0pt"/>
              <w:jc w:val="start"/>
              <w:rPr>
                <w:color w:val="000000" w:themeColor="text1"/>
                <w:sz w:val="16"/>
                <w:szCs w:val="16"/>
                <w:lang w:val="en-US"/>
              </w:rPr>
            </w:pPr>
          </w:p>
        </w:tc>
        <w:tc>
          <w:tcPr>
            <w:tcW w:w="132.40pt" w:type="dxa"/>
            <w:vAlign w:val="center"/>
          </w:tcPr>
          <w:p w:rsidR="004800EB" w:rsidRPr="00D71A0C" w:rsidRDefault="004800EB"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DTA size</w:t>
            </w:r>
          </w:p>
        </w:tc>
        <w:tc>
          <w:tcPr>
            <w:tcW w:w="173.60pt" w:type="dxa"/>
            <w:vAlign w:val="center"/>
          </w:tcPr>
          <w:p w:rsidR="004800EB" w:rsidRPr="00D71A0C" w:rsidRDefault="004800EB"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 3.5, 4, 4.4, 5 NM</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val="restart"/>
            <w:tcBorders>
              <w:start w:val="none" w:sz="0" w:space="0" w:color="auto"/>
            </w:tcBorders>
            <w:vAlign w:val="center"/>
          </w:tcPr>
          <w:p w:rsidR="00F2174A" w:rsidRPr="00D71A0C" w:rsidRDefault="00F2174A" w:rsidP="00A860CC">
            <w:pPr>
              <w:pStyle w:val="BodyText"/>
              <w:ind w:firstLine="0pt"/>
              <w:jc w:val="start"/>
              <w:rPr>
                <w:color w:val="000000" w:themeColor="text1"/>
                <w:sz w:val="16"/>
                <w:szCs w:val="16"/>
                <w:lang w:val="en-US"/>
              </w:rPr>
            </w:pPr>
            <w:r w:rsidRPr="00D71A0C">
              <w:rPr>
                <w:color w:val="000000" w:themeColor="text1"/>
                <w:sz w:val="16"/>
                <w:szCs w:val="16"/>
                <w:lang w:val="en-US"/>
              </w:rPr>
              <w:t>UAS</w:t>
            </w:r>
          </w:p>
        </w:tc>
        <w:tc>
          <w:tcPr>
            <w:tcW w:w="132.40pt" w:type="dxa"/>
            <w:vAlign w:val="center"/>
          </w:tcPr>
          <w:p w:rsidR="00F2174A" w:rsidRPr="00D71A0C" w:rsidRDefault="00F2174A"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DWC Switching Methods</w:t>
            </w:r>
          </w:p>
        </w:tc>
        <w:tc>
          <w:tcPr>
            <w:tcW w:w="173.60pt" w:type="dxa"/>
            <w:vAlign w:val="center"/>
          </w:tcPr>
          <w:p w:rsidR="00F2174A" w:rsidRPr="00D71A0C" w:rsidRDefault="00F2174A"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Ownship-centric, Intruder-centric</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F2174A" w:rsidRPr="00D71A0C" w:rsidRDefault="00F2174A" w:rsidP="00A860CC">
            <w:pPr>
              <w:pStyle w:val="BodyText"/>
              <w:ind w:firstLine="0pt"/>
              <w:jc w:val="start"/>
              <w:rPr>
                <w:color w:val="000000" w:themeColor="text1"/>
                <w:sz w:val="16"/>
                <w:szCs w:val="16"/>
                <w:lang w:val="en-US"/>
              </w:rPr>
            </w:pPr>
          </w:p>
        </w:tc>
        <w:tc>
          <w:tcPr>
            <w:tcW w:w="132.40pt" w:type="dxa"/>
            <w:vAlign w:val="center"/>
          </w:tcPr>
          <w:p w:rsidR="00F2174A" w:rsidRPr="00D71A0C" w:rsidRDefault="00F2174A"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Approach Path</w:t>
            </w:r>
          </w:p>
        </w:tc>
        <w:tc>
          <w:tcPr>
            <w:tcW w:w="173.60pt" w:type="dxa"/>
            <w:vAlign w:val="center"/>
          </w:tcPr>
          <w:p w:rsidR="00F2174A" w:rsidRPr="00D71A0C" w:rsidRDefault="00F26495"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Pr>
                <w:color w:val="000000" w:themeColor="text1"/>
                <w:sz w:val="16"/>
                <w:szCs w:val="16"/>
                <w:lang w:val="en-US"/>
              </w:rPr>
              <w:t>-</w:t>
            </w:r>
            <w:r w:rsidR="00F2174A" w:rsidRPr="00D71A0C">
              <w:rPr>
                <w:color w:val="000000" w:themeColor="text1"/>
                <w:sz w:val="16"/>
                <w:szCs w:val="16"/>
                <w:lang w:val="en-US"/>
              </w:rPr>
              <w:t>3 degree glideslope</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F2174A" w:rsidRPr="00D71A0C" w:rsidRDefault="00F2174A" w:rsidP="00A860CC">
            <w:pPr>
              <w:pStyle w:val="BodyText"/>
              <w:ind w:firstLine="0pt"/>
              <w:jc w:val="start"/>
              <w:rPr>
                <w:color w:val="000000" w:themeColor="text1"/>
                <w:sz w:val="16"/>
                <w:szCs w:val="16"/>
                <w:lang w:val="en-US"/>
              </w:rPr>
            </w:pPr>
          </w:p>
        </w:tc>
        <w:tc>
          <w:tcPr>
            <w:tcW w:w="132.40pt" w:type="dxa"/>
            <w:vAlign w:val="center"/>
          </w:tcPr>
          <w:p w:rsidR="00F2174A" w:rsidRPr="00D71A0C" w:rsidRDefault="00D77DD5" w:rsidP="00D77DD5">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Pr>
                <w:b/>
                <w:color w:val="000000" w:themeColor="text1"/>
                <w:sz w:val="16"/>
                <w:szCs w:val="16"/>
                <w:lang w:val="en-US"/>
              </w:rPr>
              <w:t xml:space="preserve">Airspeed </w:t>
            </w:r>
          </w:p>
        </w:tc>
        <w:tc>
          <w:tcPr>
            <w:tcW w:w="173.60pt" w:type="dxa"/>
            <w:vAlign w:val="center"/>
          </w:tcPr>
          <w:p w:rsidR="00F2174A" w:rsidRPr="00D71A0C" w:rsidRDefault="00F2174A"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40-200 KTAS (In 20 KTAS increments)</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val="restart"/>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r w:rsidRPr="00D71A0C">
              <w:rPr>
                <w:color w:val="000000" w:themeColor="text1"/>
                <w:sz w:val="16"/>
                <w:szCs w:val="16"/>
                <w:lang w:val="en-US"/>
              </w:rPr>
              <w:t>Intruder</w:t>
            </w: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Approach Path</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Full VFR Pattern, Extended Base</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VFR Pattern Vertical rate</w:t>
            </w:r>
          </w:p>
        </w:tc>
        <w:tc>
          <w:tcPr>
            <w:tcW w:w="173.60pt" w:type="dxa"/>
            <w:vAlign w:val="center"/>
          </w:tcPr>
          <w:p w:rsidR="00D95130" w:rsidRPr="00D71A0C" w:rsidRDefault="00D95130" w:rsidP="00F26495">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 xml:space="preserve">-500 </w:t>
            </w:r>
            <w:r w:rsidR="00F26495">
              <w:rPr>
                <w:color w:val="000000" w:themeColor="text1"/>
                <w:sz w:val="16"/>
                <w:szCs w:val="16"/>
                <w:lang w:val="en-US"/>
              </w:rPr>
              <w:t>feet per minute</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Base Entry Vertical rate</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 -6 degree glide slope</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Bank Limit</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15, 30 degrees</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Normal Acceleration</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1.25g</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Final Glideslope</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-3 degree</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Runway Length</w:t>
            </w:r>
          </w:p>
        </w:tc>
        <w:tc>
          <w:tcPr>
            <w:tcW w:w="173.60pt" w:type="dxa"/>
            <w:vAlign w:val="center"/>
          </w:tcPr>
          <w:p w:rsidR="00D95130" w:rsidRPr="00D71A0C" w:rsidRDefault="00D95130" w:rsidP="00F26495">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 xml:space="preserve">8000 </w:t>
            </w:r>
            <w:r w:rsidR="00F26495">
              <w:rPr>
                <w:color w:val="000000" w:themeColor="text1"/>
                <w:sz w:val="16"/>
                <w:szCs w:val="16"/>
                <w:lang w:val="en-US"/>
              </w:rPr>
              <w:t>feet</w:t>
            </w:r>
            <w:r w:rsidRPr="00D71A0C">
              <w:rPr>
                <w:color w:val="000000" w:themeColor="text1"/>
                <w:sz w:val="16"/>
                <w:szCs w:val="16"/>
                <w:lang w:val="en-US"/>
              </w:rPr>
              <w:t>.</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Downwind Offset (Piston)</w:t>
            </w:r>
          </w:p>
        </w:tc>
        <w:tc>
          <w:tcPr>
            <w:tcW w:w="173.60pt" w:type="dxa"/>
            <w:vAlign w:val="center"/>
          </w:tcPr>
          <w:p w:rsidR="00D95130" w:rsidRPr="00D71A0C" w:rsidRDefault="00F26495" w:rsidP="00F26495">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Pr>
                <w:color w:val="000000" w:themeColor="text1"/>
                <w:sz w:val="16"/>
                <w:szCs w:val="16"/>
                <w:lang w:val="en-US"/>
              </w:rPr>
              <w:t xml:space="preserve">2000-4000 feet </w:t>
            </w:r>
            <w:r w:rsidR="00D95130" w:rsidRPr="00D71A0C">
              <w:rPr>
                <w:color w:val="000000" w:themeColor="text1"/>
                <w:sz w:val="16"/>
                <w:szCs w:val="16"/>
                <w:lang w:val="en-US"/>
              </w:rPr>
              <w:t xml:space="preserve"> (In 500</w:t>
            </w:r>
            <w:r>
              <w:rPr>
                <w:color w:val="000000" w:themeColor="text1"/>
                <w:sz w:val="16"/>
                <w:szCs w:val="16"/>
                <w:lang w:val="en-US"/>
              </w:rPr>
              <w:t xml:space="preserve"> feet</w:t>
            </w:r>
            <w:r w:rsidR="00D95130" w:rsidRPr="00D71A0C">
              <w:rPr>
                <w:color w:val="000000" w:themeColor="text1"/>
                <w:sz w:val="16"/>
                <w:szCs w:val="16"/>
                <w:lang w:val="en-US"/>
              </w:rPr>
              <w:t xml:space="preserve"> increments)</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Downwind Offset (Turbine)</w:t>
            </w:r>
          </w:p>
        </w:tc>
        <w:tc>
          <w:tcPr>
            <w:tcW w:w="173.60pt" w:type="dxa"/>
            <w:vAlign w:val="center"/>
          </w:tcPr>
          <w:p w:rsidR="00D95130" w:rsidRPr="00D71A0C" w:rsidRDefault="00F26495" w:rsidP="00F26495">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Pr>
                <w:color w:val="000000" w:themeColor="text1"/>
                <w:sz w:val="16"/>
                <w:szCs w:val="16"/>
                <w:lang w:val="en-US"/>
              </w:rPr>
              <w:t>4000-9000 feet  (In 1000 feet</w:t>
            </w:r>
            <w:r w:rsidR="00D95130" w:rsidRPr="00D71A0C">
              <w:rPr>
                <w:color w:val="000000" w:themeColor="text1"/>
                <w:sz w:val="16"/>
                <w:szCs w:val="16"/>
                <w:lang w:val="en-US"/>
              </w:rPr>
              <w:t xml:space="preserve"> increments)</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Pattern Altitude (Piston)</w:t>
            </w:r>
          </w:p>
        </w:tc>
        <w:tc>
          <w:tcPr>
            <w:tcW w:w="173.60pt" w:type="dxa"/>
            <w:vAlign w:val="center"/>
          </w:tcPr>
          <w:p w:rsidR="00D95130" w:rsidRPr="00D71A0C" w:rsidRDefault="00F26495"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Pr>
                <w:color w:val="000000" w:themeColor="text1"/>
                <w:sz w:val="16"/>
                <w:szCs w:val="16"/>
                <w:lang w:val="en-US"/>
              </w:rPr>
              <w:t>1000 feet</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Pattern Altitude (Turbine)</w:t>
            </w:r>
          </w:p>
        </w:tc>
        <w:tc>
          <w:tcPr>
            <w:tcW w:w="173.60pt" w:type="dxa"/>
            <w:vAlign w:val="center"/>
          </w:tcPr>
          <w:p w:rsidR="00D95130" w:rsidRPr="00D71A0C" w:rsidRDefault="00F26495"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Pr>
                <w:color w:val="000000" w:themeColor="text1"/>
                <w:sz w:val="16"/>
                <w:szCs w:val="16"/>
                <w:lang w:val="en-US"/>
              </w:rPr>
              <w:t>1500 feet</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Base Altitude (Piston)</w:t>
            </w:r>
          </w:p>
        </w:tc>
        <w:tc>
          <w:tcPr>
            <w:tcW w:w="173.60pt" w:type="dxa"/>
            <w:vAlign w:val="center"/>
          </w:tcPr>
          <w:p w:rsidR="00D95130" w:rsidRPr="00D71A0C" w:rsidRDefault="00F26495"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Pr>
                <w:color w:val="000000" w:themeColor="text1"/>
                <w:sz w:val="16"/>
                <w:szCs w:val="16"/>
                <w:lang w:val="en-US"/>
              </w:rPr>
              <w:t>750 feet</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Base Altitude (Turbine)</w:t>
            </w:r>
          </w:p>
        </w:tc>
        <w:tc>
          <w:tcPr>
            <w:tcW w:w="173.60pt" w:type="dxa"/>
            <w:vAlign w:val="center"/>
          </w:tcPr>
          <w:p w:rsidR="00D95130" w:rsidRPr="00D71A0C" w:rsidRDefault="00F26495"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Pr>
                <w:color w:val="000000" w:themeColor="text1"/>
                <w:sz w:val="16"/>
                <w:szCs w:val="16"/>
                <w:lang w:val="en-US"/>
              </w:rPr>
              <w:t>1125 feet</w:t>
            </w:r>
          </w:p>
        </w:tc>
      </w:tr>
      <w:tr w:rsidR="00D71A0C" w:rsidRPr="00D71A0C" w:rsidTr="005D11E8">
        <w:trPr>
          <w:cnfStyle w:firstRow="0" w:lastRow="0" w:firstColumn="0" w:lastColumn="0" w:oddVBand="0" w:evenVBand="0" w:oddHBand="1" w:evenHBand="0" w:firstRowFirstColumn="0" w:firstRowLastColumn="0" w:lastRowFirstColumn="0" w:lastRowLastColumn="0"/>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Airspeed (Piston)</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1"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60-120 KTAS (In 20 KTAS increments)</w:t>
            </w:r>
          </w:p>
        </w:tc>
      </w:tr>
      <w:tr w:rsidR="00D71A0C" w:rsidRPr="00D71A0C" w:rsidTr="005D11E8">
        <w:trPr>
          <w:trHeight w:val="474"/>
          <w:jc w:val="center"/>
        </w:trPr>
        <w:tc>
          <w:tcPr>
            <w:cnfStyle w:firstRow="0" w:lastRow="0" w:firstColumn="1" w:lastColumn="0" w:oddVBand="0" w:evenVBand="0" w:oddHBand="0" w:evenHBand="0" w:firstRowFirstColumn="0" w:firstRowLastColumn="0" w:lastRowFirstColumn="0" w:lastRowLastColumn="0"/>
            <w:tcW w:w="61.15pt" w:type="dxa"/>
            <w:vMerge/>
            <w:tcBorders>
              <w:start w:val="none" w:sz="0" w:space="0" w:color="auto"/>
              <w:bottom w:val="none" w:sz="0" w:space="0" w:color="auto"/>
            </w:tcBorders>
            <w:vAlign w:val="center"/>
          </w:tcPr>
          <w:p w:rsidR="00D95130" w:rsidRPr="00D71A0C" w:rsidRDefault="00D95130" w:rsidP="00A860CC">
            <w:pPr>
              <w:pStyle w:val="BodyText"/>
              <w:ind w:firstLine="0pt"/>
              <w:jc w:val="start"/>
              <w:rPr>
                <w:color w:val="000000" w:themeColor="text1"/>
                <w:sz w:val="16"/>
                <w:szCs w:val="16"/>
                <w:lang w:val="en-US"/>
              </w:rPr>
            </w:pPr>
          </w:p>
        </w:tc>
        <w:tc>
          <w:tcPr>
            <w:tcW w:w="132.4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b/>
                <w:color w:val="000000" w:themeColor="text1"/>
                <w:sz w:val="16"/>
                <w:szCs w:val="16"/>
                <w:lang w:val="en-US"/>
              </w:rPr>
            </w:pPr>
            <w:r w:rsidRPr="00D71A0C">
              <w:rPr>
                <w:b/>
                <w:color w:val="000000" w:themeColor="text1"/>
                <w:sz w:val="16"/>
                <w:szCs w:val="16"/>
                <w:lang w:val="en-US"/>
              </w:rPr>
              <w:t>Airspeed (Turbine)</w:t>
            </w:r>
          </w:p>
        </w:tc>
        <w:tc>
          <w:tcPr>
            <w:tcW w:w="173.60pt" w:type="dxa"/>
            <w:vAlign w:val="center"/>
          </w:tcPr>
          <w:p w:rsidR="00D95130" w:rsidRPr="00D71A0C" w:rsidRDefault="00D95130" w:rsidP="00A860CC">
            <w:pPr>
              <w:pStyle w:val="BodyText"/>
              <w:ind w:firstLine="0pt"/>
              <w:jc w:val="start"/>
              <w:cnfStyle w:firstRow="0" w:lastRow="0" w:firstColumn="0" w:lastColumn="0" w:oddVBand="0" w:evenVBand="0" w:oddHBand="0" w:evenHBand="0" w:firstRowFirstColumn="0" w:firstRowLastColumn="0" w:lastRowFirstColumn="0" w:lastRowLastColumn="0"/>
              <w:rPr>
                <w:color w:val="000000" w:themeColor="text1"/>
                <w:sz w:val="16"/>
                <w:szCs w:val="16"/>
                <w:lang w:val="en-US"/>
              </w:rPr>
            </w:pPr>
            <w:r w:rsidRPr="00D71A0C">
              <w:rPr>
                <w:color w:val="000000" w:themeColor="text1"/>
                <w:sz w:val="16"/>
                <w:szCs w:val="16"/>
                <w:lang w:val="en-US"/>
              </w:rPr>
              <w:t>100-200 KTAS (In 20 KTAS increments)</w:t>
            </w:r>
          </w:p>
        </w:tc>
      </w:tr>
    </w:tbl>
    <w:p w:rsidR="00D95130" w:rsidRDefault="00D95130" w:rsidP="00E7596C">
      <w:pPr>
        <w:pStyle w:val="BodyText"/>
        <w:sectPr w:rsidR="00D95130" w:rsidSect="00D95130">
          <w:type w:val="continuous"/>
          <w:pgSz w:w="612pt" w:h="792pt" w:code="1"/>
          <w:pgMar w:top="54pt" w:right="45.35pt" w:bottom="72pt" w:left="45.35pt" w:header="36pt" w:footer="36pt" w:gutter="0pt"/>
          <w:cols w:space="18pt"/>
          <w:docGrid w:linePitch="360"/>
        </w:sectPr>
      </w:pPr>
    </w:p>
    <w:p w:rsidR="009303D9" w:rsidRDefault="002D59F1" w:rsidP="002D59F1">
      <w:pPr>
        <w:pStyle w:val="Heading1"/>
      </w:pPr>
      <w:r>
        <w:lastRenderedPageBreak/>
        <w:t>RESULTS</w:t>
      </w:r>
    </w:p>
    <w:p w:rsidR="002D59F1" w:rsidRDefault="002D59F1" w:rsidP="002D59F1">
      <w:pPr>
        <w:pStyle w:val="BodyText"/>
      </w:pPr>
      <w:r>
        <w:t xml:space="preserve">During the analysis, </w:t>
      </w:r>
      <w:proofErr w:type="spellStart"/>
      <w:r>
        <w:t>en</w:t>
      </w:r>
      <w:proofErr w:type="spellEnd"/>
      <w:r>
        <w:t xml:space="preserve"> route a</w:t>
      </w:r>
      <w:r w:rsidR="00CE1DCD">
        <w:t xml:space="preserve">lerts present at the time </w:t>
      </w:r>
      <w:r w:rsidR="00DC03E6">
        <w:rPr>
          <w:lang w:val="en-US"/>
        </w:rPr>
        <w:t>a</w:t>
      </w:r>
      <w:r w:rsidR="00CE1DCD">
        <w:t xml:space="preserve"> UA</w:t>
      </w:r>
      <w:r>
        <w:t xml:space="preserve"> crossed the DTA were </w:t>
      </w:r>
      <w:r w:rsidR="005805BC">
        <w:t>studied. Since</w:t>
      </w:r>
      <w:r w:rsidR="00CE1DCD">
        <w:t xml:space="preserve"> the UA</w:t>
      </w:r>
      <w:r>
        <w:t xml:space="preserve"> was landing at least 50 seconds after the intruders, all encounters were designed to avoid a loss of well clear. Hence, any corrective or warning alerts issued for intruders on an extended base entry or a 45 degree entry to the VFR traffic pattern would create a false sense of urgency. These alerts are undesirable </w:t>
      </w:r>
      <w:r w:rsidR="00B26FA2">
        <w:rPr>
          <w:lang w:val="en-US"/>
        </w:rPr>
        <w:t xml:space="preserve">as they </w:t>
      </w:r>
      <w:r>
        <w:t>do not reflect a need for an avoidance maneuver.</w:t>
      </w:r>
    </w:p>
    <w:p w:rsidR="002D59F1" w:rsidRDefault="002D59F1" w:rsidP="002D59F1">
      <w:pPr>
        <w:pStyle w:val="BodyText"/>
      </w:pPr>
      <w:r>
        <w:t xml:space="preserve">For the purpose of this study, different alert levels were assigned different numbers. </w:t>
      </w:r>
      <w:r w:rsidR="00ED357B">
        <w:rPr>
          <w:lang w:val="en-US"/>
        </w:rPr>
        <w:t xml:space="preserve">0, </w:t>
      </w:r>
      <w:r>
        <w:t xml:space="preserve">1, 2, and 3 were assigned for </w:t>
      </w:r>
      <w:r w:rsidR="00ED357B">
        <w:rPr>
          <w:lang w:val="en-US"/>
        </w:rPr>
        <w:t xml:space="preserve">no alert, </w:t>
      </w:r>
      <w:r>
        <w:t xml:space="preserve">preventive, corrective, and warning alert respectively. </w:t>
      </w:r>
      <w:r w:rsidR="00CE1DCD">
        <w:t>In some encounters, when the UA</w:t>
      </w:r>
      <w:r>
        <w:t xml:space="preserve"> speed was very high, the UAS did not cross the DTA boundary by the time the intruder got to the touchdown point because of the minimum 50 seconds time offset. For those encounters, no alerting data for ownship-centric switching was available since the UAS did not switch from </w:t>
      </w:r>
      <w:r w:rsidR="00CE1DCD">
        <w:rPr>
          <w:lang w:val="en-US"/>
        </w:rPr>
        <w:t xml:space="preserve">the </w:t>
      </w:r>
      <w:proofErr w:type="spellStart"/>
      <w:r>
        <w:t>en</w:t>
      </w:r>
      <w:proofErr w:type="spellEnd"/>
      <w:r>
        <w:t xml:space="preserve"> route to </w:t>
      </w:r>
      <w:r w:rsidR="005805BC">
        <w:rPr>
          <w:lang w:val="en-US"/>
        </w:rPr>
        <w:t xml:space="preserve">the </w:t>
      </w:r>
      <w:r>
        <w:t xml:space="preserve">terminal DWC </w:t>
      </w:r>
      <w:r w:rsidR="00CE1DCD">
        <w:rPr>
          <w:lang w:val="en-US"/>
        </w:rPr>
        <w:t>definition</w:t>
      </w:r>
      <w:r>
        <w:t xml:space="preserve">. To account for those encounters with no alerting data, number 9 was assigned </w:t>
      </w:r>
      <w:r w:rsidR="00CE1DCD">
        <w:rPr>
          <w:lang w:val="en-US"/>
        </w:rPr>
        <w:t>to distinguish them</w:t>
      </w:r>
      <w:r>
        <w:t xml:space="preserve"> from other alert levels.</w:t>
      </w:r>
    </w:p>
    <w:p w:rsidR="00B45DB3" w:rsidRDefault="00B45DB3" w:rsidP="002D59F1">
      <w:pPr>
        <w:pStyle w:val="BodyText"/>
        <w:sectPr w:rsidR="00B45DB3" w:rsidSect="00C919A4">
          <w:type w:val="continuous"/>
          <w:pgSz w:w="612pt" w:h="792pt" w:code="1"/>
          <w:pgMar w:top="54pt" w:right="45.35pt" w:bottom="72pt" w:left="45.35pt" w:header="36pt" w:footer="36pt" w:gutter="0pt"/>
          <w:cols w:num="2" w:space="18pt"/>
          <w:docGrid w:linePitch="360"/>
        </w:sectPr>
      </w:pPr>
    </w:p>
    <w:p w:rsidR="00F923AD" w:rsidRDefault="00B45DB3" w:rsidP="006E4673">
      <w:pPr>
        <w:pStyle w:val="BodyText"/>
        <w:spacing w:after="0pt"/>
        <w:jc w:val="center"/>
        <w:sectPr w:rsidR="00F923AD" w:rsidSect="00F923AD">
          <w:type w:val="continuous"/>
          <w:pgSz w:w="612pt" w:h="792pt" w:code="1"/>
          <w:pgMar w:top="54pt" w:right="45.35pt" w:bottom="72pt" w:left="45.35pt" w:header="36pt" w:footer="36pt" w:gutter="0pt"/>
          <w:cols w:space="18pt"/>
          <w:docGrid w:linePitch="360"/>
        </w:sectPr>
      </w:pPr>
      <w:r>
        <w:rPr>
          <w:noProof/>
          <w:lang w:val="en-US" w:eastAsia="en-US"/>
        </w:rPr>
        <w:drawing>
          <wp:inline distT="0" distB="0" distL="0" distR="0" wp14:anchorId="224A810E" wp14:editId="1F45B22E">
            <wp:extent cx="5756688" cy="2852382"/>
            <wp:effectExtent l="0" t="0" r="0" b="5715"/>
            <wp:docPr id="5" name="Picture 5"/>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1"/>
                    <a:srcRect l="27.884%" t="31.624%" r="19.07%" b="21.653%"/>
                    <a:stretch/>
                  </pic:blipFill>
                  <pic:spPr bwMode="auto">
                    <a:xfrm>
                      <a:off x="0" y="0"/>
                      <a:ext cx="5973809" cy="2959964"/>
                    </a:xfrm>
                    <a:prstGeom prst="rect">
                      <a:avLst/>
                    </a:prstGeom>
                    <a:ln>
                      <a:noFill/>
                    </a:ln>
                    <a:extLst>
                      <a:ext uri="{53640926-AAD7-44D8-BBD7-CCE9431645EC}">
                        <a14:shadowObscured xmlns:a14="http://schemas.microsoft.com/office/drawing/2010/main"/>
                      </a:ext>
                    </a:extLst>
                  </pic:spPr>
                </pic:pic>
              </a:graphicData>
            </a:graphic>
          </wp:inline>
        </w:drawing>
      </w:r>
    </w:p>
    <w:p w:rsidR="00B45DB3" w:rsidRPr="00F923AD" w:rsidRDefault="00F923AD" w:rsidP="00F923AD">
      <w:pPr>
        <w:pStyle w:val="BodyText"/>
        <w:ind w:firstLine="0pt"/>
        <w:jc w:val="center"/>
        <w:rPr>
          <w:sz w:val="16"/>
          <w:szCs w:val="16"/>
          <w:lang w:val="en-US"/>
        </w:rPr>
      </w:pPr>
      <w:r w:rsidRPr="00F923AD">
        <w:rPr>
          <w:sz w:val="16"/>
          <w:szCs w:val="16"/>
        </w:rPr>
        <w:t>Fig</w:t>
      </w:r>
      <w:r w:rsidRPr="00F923AD">
        <w:rPr>
          <w:sz w:val="16"/>
          <w:szCs w:val="16"/>
          <w:lang w:val="en-US"/>
        </w:rPr>
        <w:t>.</w:t>
      </w:r>
      <w:r w:rsidRPr="00F923AD">
        <w:rPr>
          <w:sz w:val="16"/>
          <w:szCs w:val="16"/>
        </w:rPr>
        <w:t xml:space="preserve"> 3</w:t>
      </w:r>
      <w:r w:rsidR="00E130A6">
        <w:rPr>
          <w:sz w:val="16"/>
          <w:szCs w:val="16"/>
        </w:rPr>
        <w:t>. Alerting data for intruder-</w:t>
      </w:r>
      <w:r w:rsidRPr="00F923AD">
        <w:rPr>
          <w:sz w:val="16"/>
          <w:szCs w:val="16"/>
        </w:rPr>
        <w:t>centric switching</w:t>
      </w:r>
      <w:r w:rsidRPr="00F923AD">
        <w:rPr>
          <w:sz w:val="16"/>
          <w:szCs w:val="16"/>
          <w:lang w:val="en-US"/>
        </w:rPr>
        <w:t>.</w:t>
      </w:r>
    </w:p>
    <w:p w:rsidR="00F923AD" w:rsidRDefault="00601DF2" w:rsidP="00CC09E9">
      <w:pPr>
        <w:pStyle w:val="BodyText"/>
        <w:spacing w:line="12pt" w:lineRule="auto"/>
        <w:jc w:val="center"/>
      </w:pPr>
      <w:r>
        <w:rPr>
          <w:noProof/>
          <w:lang w:val="en-US" w:eastAsia="en-US"/>
        </w:rPr>
        <w:drawing>
          <wp:inline distT="0" distB="0" distL="0" distR="0" wp14:anchorId="08FEADB2" wp14:editId="2D5A35FF">
            <wp:extent cx="6357601" cy="3562065"/>
            <wp:effectExtent l="0" t="0" r="5715" b="635"/>
            <wp:docPr id="6" name="Picture 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2"/>
                    <a:srcRect l="27.243%" t="29.345%" r="18.59%" b="16.141%"/>
                    <a:stretch/>
                  </pic:blipFill>
                  <pic:spPr bwMode="auto">
                    <a:xfrm>
                      <a:off x="0" y="0"/>
                      <a:ext cx="6445313" cy="3611209"/>
                    </a:xfrm>
                    <a:prstGeom prst="rect">
                      <a:avLst/>
                    </a:prstGeom>
                    <a:ln>
                      <a:noFill/>
                    </a:ln>
                    <a:extLst>
                      <a:ext uri="{53640926-AAD7-44D8-BBD7-CCE9431645EC}">
                        <a14:shadowObscured xmlns:a14="http://schemas.microsoft.com/office/drawing/2010/main"/>
                      </a:ext>
                    </a:extLst>
                  </pic:spPr>
                </pic:pic>
              </a:graphicData>
            </a:graphic>
          </wp:inline>
        </w:drawing>
      </w:r>
    </w:p>
    <w:p w:rsidR="00F923AD" w:rsidRDefault="00F923AD" w:rsidP="00B45DB3">
      <w:pPr>
        <w:pStyle w:val="BodyText"/>
        <w:jc w:val="center"/>
        <w:sectPr w:rsidR="00F923AD" w:rsidSect="00F923AD">
          <w:type w:val="continuous"/>
          <w:pgSz w:w="612pt" w:h="792pt" w:code="1"/>
          <w:pgMar w:top="54pt" w:right="45.35pt" w:bottom="72pt" w:left="45.35pt" w:header="36pt" w:footer="36pt" w:gutter="0pt"/>
          <w:cols w:space="18pt"/>
          <w:docGrid w:linePitch="360"/>
        </w:sectPr>
      </w:pPr>
    </w:p>
    <w:p w:rsidR="00F923AD" w:rsidRDefault="00F923AD" w:rsidP="00CC09E9">
      <w:pPr>
        <w:pStyle w:val="BodyText"/>
        <w:tabs>
          <w:tab w:val="start" w:pos="247.15pt"/>
          <w:tab w:val="center" w:pos="267.85pt"/>
        </w:tabs>
        <w:jc w:val="center"/>
        <w:rPr>
          <w:lang w:val="en-US"/>
        </w:rPr>
        <w:sectPr w:rsidR="00F923AD" w:rsidSect="00F923AD">
          <w:type w:val="continuous"/>
          <w:pgSz w:w="612pt" w:h="792pt" w:code="1"/>
          <w:pgMar w:top="54pt" w:right="45.35pt" w:bottom="72pt" w:left="45.35pt" w:header="36pt" w:footer="36pt" w:gutter="0pt"/>
          <w:cols w:space="18pt"/>
          <w:docGrid w:linePitch="360"/>
        </w:sectPr>
      </w:pPr>
      <w:r w:rsidRPr="00F923AD">
        <w:rPr>
          <w:sz w:val="16"/>
          <w:szCs w:val="16"/>
        </w:rPr>
        <w:t>Fig 4. Alerting data for ownship-centric switching</w:t>
      </w:r>
      <w:r w:rsidRPr="00F923AD">
        <w:rPr>
          <w:sz w:val="16"/>
          <w:szCs w:val="16"/>
          <w:lang w:val="en-US"/>
        </w:rPr>
        <w:t>.</w:t>
      </w:r>
    </w:p>
    <w:p w:rsidR="00676B60" w:rsidRDefault="00676B60" w:rsidP="00676B60">
      <w:pPr>
        <w:pStyle w:val="BodyText"/>
      </w:pPr>
      <w:r>
        <w:lastRenderedPageBreak/>
        <w:t xml:space="preserve">A total of 4,725 encounters were generated from all the variable combinations for each </w:t>
      </w:r>
      <w:r>
        <w:rPr>
          <w:lang w:val="en-US"/>
        </w:rPr>
        <w:t>DWC</w:t>
      </w:r>
      <w:r>
        <w:t xml:space="preserve"> switching method and DTA size. The encounters were divided into piston and turbine intruders, which was further divided into base entry and 45 degree entry traffic.</w:t>
      </w:r>
    </w:p>
    <w:p w:rsidR="00F923AD" w:rsidRPr="00F923AD" w:rsidRDefault="00F923AD" w:rsidP="00C75F5C">
      <w:pPr>
        <w:pStyle w:val="BodyText"/>
        <w:rPr>
          <w:lang w:val="en-US"/>
        </w:rPr>
      </w:pPr>
      <w:r w:rsidRPr="00F923AD">
        <w:rPr>
          <w:lang w:val="en-US"/>
        </w:rPr>
        <w:t>As th</w:t>
      </w:r>
      <w:r w:rsidR="00E130A6">
        <w:rPr>
          <w:lang w:val="en-US"/>
        </w:rPr>
        <w:t>e cumulative chart for intruder-</w:t>
      </w:r>
      <w:r w:rsidRPr="00F923AD">
        <w:rPr>
          <w:lang w:val="en-US"/>
        </w:rPr>
        <w:t xml:space="preserve">centric switching is compared with </w:t>
      </w:r>
      <w:r w:rsidR="00E130A6">
        <w:rPr>
          <w:lang w:val="en-US"/>
        </w:rPr>
        <w:t>that of ownship-</w:t>
      </w:r>
      <w:r w:rsidRPr="00F923AD">
        <w:rPr>
          <w:lang w:val="en-US"/>
        </w:rPr>
        <w:t xml:space="preserve">centric switching, a deeper </w:t>
      </w:r>
      <w:r w:rsidRPr="00F923AD">
        <w:rPr>
          <w:lang w:val="en-US"/>
        </w:rPr>
        <w:t xml:space="preserve">understanding about the effect of DTA sizes on alerting behavior can be gained. As depicted in Fig. 5, only a handful of warning </w:t>
      </w:r>
      <w:r w:rsidR="00E130A6">
        <w:rPr>
          <w:lang w:val="en-US"/>
        </w:rPr>
        <w:t>alerts were issued for intruder-</w:t>
      </w:r>
      <w:r w:rsidRPr="00F923AD">
        <w:rPr>
          <w:lang w:val="en-US"/>
        </w:rPr>
        <w:t xml:space="preserve">centric switching with DTA size of 4 NM while no warning alerts were issued for DTA sizes of 4.4 and 5 NM. On the other hand, there were </w:t>
      </w:r>
      <w:r w:rsidR="00CE1DCD">
        <w:rPr>
          <w:lang w:val="en-US"/>
        </w:rPr>
        <w:t>many</w:t>
      </w:r>
      <w:r w:rsidRPr="00F923AD">
        <w:rPr>
          <w:lang w:val="en-US"/>
        </w:rPr>
        <w:t xml:space="preserve"> m</w:t>
      </w:r>
      <w:r w:rsidR="00E130A6">
        <w:rPr>
          <w:lang w:val="en-US"/>
        </w:rPr>
        <w:t>ore warning alerts with ownship-</w:t>
      </w:r>
      <w:r w:rsidRPr="00F923AD">
        <w:rPr>
          <w:lang w:val="en-US"/>
        </w:rPr>
        <w:t>centric switching for all DTA sizes.</w:t>
      </w:r>
    </w:p>
    <w:p w:rsidR="00F923AD" w:rsidRDefault="00F923AD" w:rsidP="00B45DB3">
      <w:pPr>
        <w:pStyle w:val="BodyText"/>
        <w:jc w:val="center"/>
      </w:pPr>
    </w:p>
    <w:p w:rsidR="00676B60" w:rsidRDefault="00676B60" w:rsidP="00B45DB3">
      <w:pPr>
        <w:pStyle w:val="BodyText"/>
        <w:jc w:val="center"/>
        <w:sectPr w:rsidR="00676B60" w:rsidSect="00F923AD">
          <w:type w:val="continuous"/>
          <w:pgSz w:w="612pt" w:h="792pt" w:code="1"/>
          <w:pgMar w:top="54pt" w:right="45.35pt" w:bottom="72pt" w:left="45.35pt" w:header="36pt" w:footer="36pt" w:gutter="0pt"/>
          <w:cols w:num="2" w:space="18pt"/>
          <w:docGrid w:linePitch="360"/>
        </w:sectPr>
      </w:pPr>
    </w:p>
    <w:p w:rsidR="00F923AD" w:rsidRDefault="00F923AD" w:rsidP="00B45DB3">
      <w:pPr>
        <w:pStyle w:val="BodyText"/>
        <w:jc w:val="center"/>
        <w:sectPr w:rsidR="00F923AD" w:rsidSect="00F923AD">
          <w:type w:val="continuous"/>
          <w:pgSz w:w="612pt" w:h="792pt" w:code="1"/>
          <w:pgMar w:top="54pt" w:right="45.35pt" w:bottom="72pt" w:left="45.35pt" w:header="36pt" w:footer="36pt" w:gutter="0pt"/>
          <w:cols w:space="18pt"/>
          <w:docGrid w:linePitch="360"/>
        </w:sectPr>
      </w:pPr>
      <w:r>
        <w:rPr>
          <w:noProof/>
          <w:lang w:val="en-US" w:eastAsia="en-US"/>
        </w:rPr>
        <w:drawing>
          <wp:inline distT="0" distB="0" distL="0" distR="0" wp14:anchorId="3DECC6BA" wp14:editId="3F90B426">
            <wp:extent cx="6054140" cy="4399471"/>
            <wp:effectExtent l="0" t="0" r="3810" b="1270"/>
            <wp:docPr id="7" name="Picture 7"/>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1" name=""/>
                    <pic:cNvPicPr/>
                  </pic:nvPicPr>
                  <pic:blipFill rotWithShape="1">
                    <a:blip r:embed="rId13"/>
                    <a:srcRect l="29.327%" t="26.781%" r="20.833%" b="8.832%"/>
                    <a:stretch/>
                  </pic:blipFill>
                  <pic:spPr bwMode="auto">
                    <a:xfrm>
                      <a:off x="0" y="0"/>
                      <a:ext cx="6082376" cy="4419990"/>
                    </a:xfrm>
                    <a:prstGeom prst="rect">
                      <a:avLst/>
                    </a:prstGeom>
                    <a:ln>
                      <a:noFill/>
                    </a:ln>
                    <a:extLst>
                      <a:ext uri="{53640926-AAD7-44D8-BBD7-CCE9431645EC}">
                        <a14:shadowObscured xmlns:a14="http://schemas.microsoft.com/office/drawing/2010/main"/>
                      </a:ext>
                    </a:extLst>
                  </pic:spPr>
                </pic:pic>
              </a:graphicData>
            </a:graphic>
          </wp:inline>
        </w:drawing>
      </w:r>
    </w:p>
    <w:p w:rsidR="00F923AD" w:rsidRPr="00F923AD" w:rsidRDefault="00F923AD" w:rsidP="00F923AD">
      <w:pPr>
        <w:pStyle w:val="BodyText"/>
        <w:ind w:firstLine="0pt"/>
        <w:jc w:val="center"/>
        <w:rPr>
          <w:sz w:val="16"/>
          <w:szCs w:val="16"/>
          <w:lang w:val="en-US"/>
        </w:rPr>
      </w:pPr>
      <w:r w:rsidRPr="00F923AD">
        <w:rPr>
          <w:sz w:val="16"/>
          <w:szCs w:val="16"/>
        </w:rPr>
        <w:t>Fig</w:t>
      </w:r>
      <w:r w:rsidRPr="00F923AD">
        <w:rPr>
          <w:sz w:val="16"/>
          <w:szCs w:val="16"/>
          <w:lang w:val="en-US"/>
        </w:rPr>
        <w:t>.</w:t>
      </w:r>
      <w:r w:rsidRPr="00F923AD">
        <w:rPr>
          <w:sz w:val="16"/>
          <w:szCs w:val="16"/>
        </w:rPr>
        <w:t xml:space="preserve"> 5. Cumulative Alerting data for intruder-centric and ownship-centric switching</w:t>
      </w:r>
      <w:r w:rsidRPr="00F923AD">
        <w:rPr>
          <w:sz w:val="16"/>
          <w:szCs w:val="16"/>
          <w:lang w:val="en-US"/>
        </w:rPr>
        <w:t>.</w:t>
      </w:r>
    </w:p>
    <w:p w:rsidR="00F923AD" w:rsidRDefault="00F923AD" w:rsidP="00B45DB3">
      <w:pPr>
        <w:pStyle w:val="BodyText"/>
        <w:jc w:val="center"/>
        <w:sectPr w:rsidR="00F923AD" w:rsidSect="00F923AD">
          <w:type w:val="continuous"/>
          <w:pgSz w:w="612pt" w:h="792pt" w:code="1"/>
          <w:pgMar w:top="54pt" w:right="45.35pt" w:bottom="72pt" w:left="45.35pt" w:header="36pt" w:footer="36pt" w:gutter="0pt"/>
          <w:cols w:space="18pt"/>
          <w:docGrid w:linePitch="360"/>
        </w:sectPr>
      </w:pPr>
    </w:p>
    <w:p w:rsidR="00B45DB3" w:rsidRDefault="00B45DB3" w:rsidP="00B45DB3">
      <w:pPr>
        <w:pStyle w:val="BodyText"/>
        <w:jc w:val="center"/>
      </w:pPr>
    </w:p>
    <w:p w:rsidR="00F923AD" w:rsidRDefault="00F923AD" w:rsidP="00B45DB3">
      <w:pPr>
        <w:pStyle w:val="BodyText"/>
        <w:jc w:val="center"/>
        <w:sectPr w:rsidR="00F923AD" w:rsidSect="00F923AD">
          <w:type w:val="continuous"/>
          <w:pgSz w:w="612pt" w:h="792pt" w:code="1"/>
          <w:pgMar w:top="54pt" w:right="45.35pt" w:bottom="72pt" w:left="45.35pt" w:header="36pt" w:footer="36pt" w:gutter="0pt"/>
          <w:cols w:num="2" w:space="18pt"/>
          <w:docGrid w:linePitch="360"/>
        </w:sectPr>
      </w:pPr>
    </w:p>
    <w:p w:rsidR="00B45DB3" w:rsidRDefault="00B45DB3" w:rsidP="002D59F1">
      <w:pPr>
        <w:pStyle w:val="BodyText"/>
      </w:pPr>
    </w:p>
    <w:p w:rsidR="009303D9" w:rsidRPr="00C75F5C" w:rsidRDefault="002D59F1" w:rsidP="00C75F5C">
      <w:pPr>
        <w:pStyle w:val="Heading1"/>
      </w:pPr>
      <w:r>
        <w:t xml:space="preserve"> </w:t>
      </w:r>
      <w:r w:rsidR="004F461A">
        <w:t>Co</w:t>
      </w:r>
      <w:r w:rsidR="00C75F5C">
        <w:t>nclusions</w:t>
      </w:r>
    </w:p>
    <w:p w:rsidR="009303D9" w:rsidRDefault="00C75F5C" w:rsidP="00C75F5C">
      <w:pPr>
        <w:pStyle w:val="Heading3"/>
        <w:numPr>
          <w:ilvl w:val="0"/>
          <w:numId w:val="0"/>
        </w:numPr>
        <w:ind w:start="14.40pt"/>
        <w:rPr>
          <w:i w:val="0"/>
          <w:iCs w:val="0"/>
          <w:noProof w:val="0"/>
          <w:spacing w:val="-1"/>
          <w:lang w:eastAsia="x-none"/>
        </w:rPr>
      </w:pPr>
      <w:r>
        <w:rPr>
          <w:i w:val="0"/>
          <w:iCs w:val="0"/>
          <w:noProof w:val="0"/>
          <w:spacing w:val="-1"/>
          <w:lang w:eastAsia="x-none"/>
        </w:rPr>
        <w:t xml:space="preserve"> </w:t>
      </w:r>
      <w:r>
        <w:rPr>
          <w:i w:val="0"/>
          <w:iCs w:val="0"/>
          <w:noProof w:val="0"/>
          <w:spacing w:val="-1"/>
          <w:lang w:eastAsia="x-none"/>
        </w:rPr>
        <w:tab/>
      </w:r>
      <w:r w:rsidRPr="00C75F5C">
        <w:rPr>
          <w:i w:val="0"/>
          <w:iCs w:val="0"/>
          <w:noProof w:val="0"/>
          <w:spacing w:val="-1"/>
          <w:lang w:val="x-none" w:eastAsia="x-none"/>
        </w:rPr>
        <w:t xml:space="preserve">As part of the greater effort to allow routine UAS operations in the NAS, this fast time study made recommendations for appropriate DTA size and </w:t>
      </w:r>
      <w:r w:rsidR="00CE1DCD">
        <w:rPr>
          <w:i w:val="0"/>
          <w:iCs w:val="0"/>
          <w:noProof w:val="0"/>
          <w:spacing w:val="-1"/>
          <w:lang w:eastAsia="x-none"/>
        </w:rPr>
        <w:t xml:space="preserve">DWC </w:t>
      </w:r>
      <w:r w:rsidRPr="00C75F5C">
        <w:rPr>
          <w:i w:val="0"/>
          <w:iCs w:val="0"/>
          <w:noProof w:val="0"/>
          <w:spacing w:val="-1"/>
          <w:lang w:val="x-none" w:eastAsia="x-none"/>
        </w:rPr>
        <w:t>switching technique. Safety of flight is of utmost importance while integrating UAS in the NAS. While safety critical alerts must be issued by the DAA system during UAS flight operations, it is also imperative that undesirable a</w:t>
      </w:r>
      <w:r w:rsidR="00CE1DCD">
        <w:rPr>
          <w:i w:val="0"/>
          <w:iCs w:val="0"/>
          <w:noProof w:val="0"/>
          <w:spacing w:val="-1"/>
          <w:lang w:val="x-none" w:eastAsia="x-none"/>
        </w:rPr>
        <w:t>nd nuisance alerts be minimized</w:t>
      </w:r>
      <w:r w:rsidR="00CE1DCD" w:rsidRPr="004F461A">
        <w:rPr>
          <w:i w:val="0"/>
          <w:iCs w:val="0"/>
          <w:noProof w:val="0"/>
          <w:spacing w:val="-1"/>
          <w:lang w:val="x-none" w:eastAsia="x-none"/>
        </w:rPr>
        <w:t xml:space="preserve">. </w:t>
      </w:r>
      <w:r w:rsidRPr="004F461A">
        <w:rPr>
          <w:i w:val="0"/>
          <w:iCs w:val="0"/>
          <w:noProof w:val="0"/>
          <w:spacing w:val="-1"/>
          <w:lang w:val="x-none" w:eastAsia="x-none"/>
        </w:rPr>
        <w:t xml:space="preserve">Based on the results </w:t>
      </w:r>
      <w:r w:rsidR="00CE1DCD" w:rsidRPr="004F461A">
        <w:rPr>
          <w:i w:val="0"/>
          <w:iCs w:val="0"/>
          <w:noProof w:val="0"/>
          <w:spacing w:val="-1"/>
          <w:lang w:eastAsia="x-none"/>
        </w:rPr>
        <w:t>of</w:t>
      </w:r>
      <w:r w:rsidRPr="004F461A">
        <w:rPr>
          <w:i w:val="0"/>
          <w:iCs w:val="0"/>
          <w:noProof w:val="0"/>
          <w:spacing w:val="-1"/>
          <w:lang w:val="x-none" w:eastAsia="x-none"/>
        </w:rPr>
        <w:t xml:space="preserve"> the study, </w:t>
      </w:r>
      <w:r w:rsidR="00CE1DCD" w:rsidRPr="004F461A">
        <w:rPr>
          <w:i w:val="0"/>
          <w:iCs w:val="0"/>
          <w:noProof w:val="0"/>
          <w:spacing w:val="-1"/>
          <w:lang w:val="x-none" w:eastAsia="x-none"/>
        </w:rPr>
        <w:t xml:space="preserve">desirable alerting behavior was achieved using intruder-centric DWC switching in combination with a DTA </w:t>
      </w:r>
      <w:r w:rsidR="00F728BC" w:rsidRPr="004F461A">
        <w:rPr>
          <w:i w:val="0"/>
          <w:iCs w:val="0"/>
          <w:noProof w:val="0"/>
          <w:spacing w:val="-1"/>
          <w:lang w:eastAsia="x-none"/>
        </w:rPr>
        <w:t>size</w:t>
      </w:r>
      <w:r w:rsidR="00CE1DCD" w:rsidRPr="004F461A">
        <w:rPr>
          <w:i w:val="0"/>
          <w:iCs w:val="0"/>
          <w:noProof w:val="0"/>
          <w:spacing w:val="-1"/>
          <w:lang w:val="x-none" w:eastAsia="x-none"/>
        </w:rPr>
        <w:t xml:space="preserve"> ranging between 4 and 5 NM.  These findings directly support requirements for terminal operations in RTCA DO-365A</w:t>
      </w:r>
      <w:r w:rsidRPr="004F461A">
        <w:rPr>
          <w:i w:val="0"/>
          <w:iCs w:val="0"/>
          <w:noProof w:val="0"/>
          <w:spacing w:val="-1"/>
          <w:lang w:val="x-none" w:eastAsia="x-none"/>
        </w:rPr>
        <w:t>.</w:t>
      </w:r>
      <w:r>
        <w:rPr>
          <w:i w:val="0"/>
          <w:iCs w:val="0"/>
          <w:noProof w:val="0"/>
          <w:spacing w:val="-1"/>
          <w:lang w:eastAsia="x-none"/>
        </w:rPr>
        <w:t xml:space="preserve"> </w:t>
      </w:r>
    </w:p>
    <w:p w:rsidR="00C75F5C" w:rsidRDefault="00C75F5C" w:rsidP="00C75F5C">
      <w:pPr>
        <w:rPr>
          <w:lang w:eastAsia="x-none"/>
        </w:rPr>
      </w:pPr>
    </w:p>
    <w:p w:rsidR="00C75F5C" w:rsidRPr="00C75F5C" w:rsidRDefault="00C75F5C" w:rsidP="00C75F5C">
      <w:pPr>
        <w:pStyle w:val="Heading5"/>
      </w:pPr>
      <w:r>
        <w:t>acknowledgements</w:t>
      </w:r>
    </w:p>
    <w:p w:rsidR="009303D9" w:rsidRDefault="00C75F5C" w:rsidP="00E7596C">
      <w:pPr>
        <w:pStyle w:val="BodyText"/>
      </w:pPr>
      <w:r>
        <w:t>The authors would like to express gratitude to UAS-NAS Project Tech Lead Tod Lewis for valuable guidance throughout design and execution of this study. Furthermore, the authors wish to thank members of SAIC software development team, Keith Hoffler (Adaptive Aerospace Group), and NASA Researcher Anna Trujillo for their unrelenting support and inputs. This research was funded by the Detect and Avoid Well-Clear subproject of NASA’s UAS-NAS project.</w:t>
      </w:r>
    </w:p>
    <w:p w:rsidR="00C75F5C" w:rsidRDefault="00C75F5C" w:rsidP="00C75F5C">
      <w:pPr>
        <w:pStyle w:val="Heading5"/>
      </w:pPr>
      <w:r w:rsidRPr="003E1CE8">
        <w:t>references</w:t>
      </w:r>
    </w:p>
    <w:p w:rsidR="00C75F5C" w:rsidRDefault="00C75F5C" w:rsidP="00C75F5C">
      <w:pPr>
        <w:pStyle w:val="references"/>
      </w:pPr>
      <w:r>
        <w:t>Federal Aviation Administration, “14 CFR 91 General Operating and Flight Rules,” Federal regulations, Department of Transportati</w:t>
      </w:r>
      <w:r w:rsidR="00DB57DF">
        <w:t>on, Washington, D.C., April</w:t>
      </w:r>
      <w:r>
        <w:t xml:space="preserve">  2018. URL https://www.ecfr.gov/cgi-bin/retrieveECFR?gp=&amp;SID=de5f9357d1e2716832f6ca8b6f84244a&amp;mc=true&amp;n=pt14.2.91&amp;r=PART&amp;ty=HTML.</w:t>
      </w:r>
    </w:p>
    <w:p w:rsidR="00C75F5C" w:rsidRDefault="00DB57DF" w:rsidP="00C75F5C">
      <w:pPr>
        <w:pStyle w:val="references"/>
      </w:pPr>
      <w:r>
        <w:lastRenderedPageBreak/>
        <w:t>RTCA Special Committee 228,</w:t>
      </w:r>
      <w:r w:rsidR="00C75F5C" w:rsidRPr="009949B6">
        <w:t xml:space="preserve"> </w:t>
      </w:r>
      <w:r>
        <w:t>“</w:t>
      </w:r>
      <w:r w:rsidR="00C75F5C" w:rsidRPr="009949B6">
        <w:t>DO-365: Minimum Operational Performance Standards (MOPS) for Detect and</w:t>
      </w:r>
      <w:r>
        <w:t xml:space="preserve"> Avoid (DAA)</w:t>
      </w:r>
      <w:r w:rsidR="00773C83">
        <w:t xml:space="preserve"> Systems,</w:t>
      </w:r>
      <w:r>
        <w:t xml:space="preserve">” </w:t>
      </w:r>
      <w:r w:rsidR="00C75F5C" w:rsidRPr="009949B6">
        <w:t>RTCA, Inc. (2017)</w:t>
      </w:r>
    </w:p>
    <w:p w:rsidR="00C75F5C" w:rsidRDefault="00DB57DF" w:rsidP="00C75F5C">
      <w:pPr>
        <w:pStyle w:val="references"/>
      </w:pPr>
      <w:r>
        <w:t>RTCA, Inc.:,“</w:t>
      </w:r>
      <w:r w:rsidR="00773C83">
        <w:t>UAS Landing Requirements,</w:t>
      </w:r>
      <w:r>
        <w:t>”</w:t>
      </w:r>
      <w:r w:rsidR="00C75F5C" w:rsidRPr="009949B6">
        <w:t xml:space="preserve">  Requirements from SC-228 committee meeting. SC-228 (2018)</w:t>
      </w:r>
    </w:p>
    <w:p w:rsidR="00C75F5C" w:rsidRDefault="00C75F5C" w:rsidP="00C75F5C">
      <w:pPr>
        <w:pStyle w:val="references"/>
      </w:pPr>
      <w:r w:rsidRPr="009949B6">
        <w:t>M.J.</w:t>
      </w:r>
      <w:r w:rsidR="00DB57DF">
        <w:t xml:space="preserve"> </w:t>
      </w:r>
      <w:r w:rsidR="00DB57DF" w:rsidRPr="009949B6">
        <w:t>Vincent,</w:t>
      </w:r>
      <w:r w:rsidRPr="009949B6">
        <w:t xml:space="preserve"> R.D.</w:t>
      </w:r>
      <w:r w:rsidR="00DB57DF">
        <w:t xml:space="preserve"> Roper, “</w:t>
      </w:r>
      <w:r w:rsidRPr="009949B6">
        <w:t>Concept of Operations for UAS Detect-a</w:t>
      </w:r>
      <w:r w:rsidR="00773C83">
        <w:t>nd-Avoid in Terminal Operations,</w:t>
      </w:r>
      <w:r w:rsidR="00DB57DF">
        <w:t>”</w:t>
      </w:r>
      <w:r w:rsidRPr="009949B6">
        <w:t xml:space="preserve"> In: NASA (ed.). NASA Langley Research Center, Hampton, VA (2018)</w:t>
      </w:r>
    </w:p>
    <w:p w:rsidR="00C75F5C" w:rsidRDefault="00C75F5C" w:rsidP="00C75F5C">
      <w:pPr>
        <w:pStyle w:val="references"/>
      </w:pPr>
      <w:r w:rsidRPr="009949B6">
        <w:t>A.C.</w:t>
      </w:r>
      <w:r w:rsidR="00C7023F">
        <w:t xml:space="preserve"> Trujillo</w:t>
      </w:r>
      <w:r w:rsidRPr="009949B6">
        <w:t>, D.P.</w:t>
      </w:r>
      <w:r w:rsidR="00C7023F">
        <w:t xml:space="preserve"> </w:t>
      </w:r>
      <w:r w:rsidR="00C7023F" w:rsidRPr="009949B6">
        <w:t>Jack</w:t>
      </w:r>
      <w:r w:rsidRPr="009949B6">
        <w:t>, D.</w:t>
      </w:r>
      <w:r w:rsidR="00C7023F">
        <w:t xml:space="preserve"> </w:t>
      </w:r>
      <w:r w:rsidR="00C7023F" w:rsidRPr="009949B6">
        <w:t>Tsakpinis</w:t>
      </w:r>
      <w:r w:rsidR="00C7023F">
        <w:t>,</w:t>
      </w:r>
      <w:r w:rsidRPr="009949B6">
        <w:t xml:space="preserve"> </w:t>
      </w:r>
      <w:r w:rsidR="00C7023F">
        <w:t>“</w:t>
      </w:r>
      <w:r w:rsidRPr="009949B6">
        <w:t>En Route Detect and Avoid Well Clear in Terminal Area Landing Pattern</w:t>
      </w:r>
      <w:r w:rsidR="00773C83">
        <w:t>,</w:t>
      </w:r>
      <w:r w:rsidR="00C7023F">
        <w:t>”</w:t>
      </w:r>
      <w:r w:rsidRPr="009949B6">
        <w:t xml:space="preserve"> </w:t>
      </w:r>
      <w:r w:rsidR="00C7023F">
        <w:t>AIAA 2018-2872</w:t>
      </w:r>
      <w:r w:rsidRPr="009949B6">
        <w:t>.  AIAA Aviation Forum, Atlanta, GA</w:t>
      </w:r>
      <w:r w:rsidR="00773C83">
        <w:t>, 2018</w:t>
      </w:r>
      <w:r w:rsidRPr="009949B6">
        <w:t xml:space="preserve"> </w:t>
      </w:r>
      <w:r w:rsidR="00773C83">
        <w:t xml:space="preserve">, </w:t>
      </w:r>
      <w:r w:rsidR="00773C83" w:rsidRPr="009949B6">
        <w:t>pp. 11.</w:t>
      </w:r>
    </w:p>
    <w:p w:rsidR="00C75F5C" w:rsidRDefault="00C75F5C" w:rsidP="00C75F5C">
      <w:pPr>
        <w:pStyle w:val="references"/>
      </w:pPr>
      <w:r w:rsidRPr="009949B6">
        <w:t>M.J.</w:t>
      </w:r>
      <w:r w:rsidR="00773C83">
        <w:t xml:space="preserve"> </w:t>
      </w:r>
      <w:r w:rsidR="00773C83" w:rsidRPr="009949B6">
        <w:t>Vincent</w:t>
      </w:r>
      <w:r w:rsidRPr="009949B6">
        <w:t>, A.C.</w:t>
      </w:r>
      <w:r w:rsidR="00773C83">
        <w:t xml:space="preserve"> </w:t>
      </w:r>
      <w:r w:rsidR="00773C83" w:rsidRPr="009949B6">
        <w:t>Trujillo</w:t>
      </w:r>
      <w:r w:rsidRPr="009949B6">
        <w:t>, D.P.</w:t>
      </w:r>
      <w:r w:rsidR="00773C83">
        <w:t xml:space="preserve"> </w:t>
      </w:r>
      <w:r w:rsidR="00773C83" w:rsidRPr="009949B6">
        <w:t>Jack</w:t>
      </w:r>
      <w:r w:rsidR="00773C83">
        <w:t xml:space="preserve">, K.D. </w:t>
      </w:r>
      <w:r w:rsidR="00773C83" w:rsidRPr="009949B6">
        <w:t>Hoffler</w:t>
      </w:r>
      <w:r w:rsidR="00773C83">
        <w:t xml:space="preserve">, D. </w:t>
      </w:r>
      <w:r w:rsidR="00773C83" w:rsidRPr="009949B6">
        <w:t>Tsakpinis</w:t>
      </w:r>
      <w:r w:rsidR="00773C83">
        <w:t>,</w:t>
      </w:r>
      <w:r w:rsidRPr="009949B6">
        <w:t xml:space="preserve"> </w:t>
      </w:r>
      <w:r w:rsidR="00773C83">
        <w:t>“</w:t>
      </w:r>
      <w:r w:rsidRPr="009949B6">
        <w:t>A Recommended DAA Well-Clear Definition for the Terminal Environment</w:t>
      </w:r>
      <w:r w:rsidR="00773C83">
        <w:t>,” AIAA 2018-2873</w:t>
      </w:r>
      <w:r w:rsidRPr="009949B6">
        <w:t xml:space="preserve">.  </w:t>
      </w:r>
      <w:r w:rsidR="00773C83" w:rsidRPr="009949B6">
        <w:t>AIAA Aviation Forum, Atlanta, GA</w:t>
      </w:r>
      <w:r w:rsidR="00773C83">
        <w:t>, 2018, pp 13.</w:t>
      </w:r>
    </w:p>
    <w:p w:rsidR="009303D9" w:rsidRPr="00EF30AC" w:rsidRDefault="007A2673" w:rsidP="00A64A42">
      <w:pPr>
        <w:pStyle w:val="references"/>
        <w:rPr>
          <w:color w:val="FF0000"/>
        </w:rPr>
      </w:pPr>
      <w:r>
        <w:t>R.</w:t>
      </w:r>
      <w:r w:rsidR="00773C83">
        <w:t xml:space="preserve"> </w:t>
      </w:r>
      <w:r w:rsidR="00773C83" w:rsidRPr="00A64A42">
        <w:t>Rorie</w:t>
      </w:r>
      <w:r>
        <w:t>,</w:t>
      </w:r>
      <w:r w:rsidR="00773C83">
        <w:t xml:space="preserve"> </w:t>
      </w:r>
      <w:r>
        <w:t>K.</w:t>
      </w:r>
      <w:r w:rsidR="00773C83">
        <w:t xml:space="preserve"> </w:t>
      </w:r>
      <w:r w:rsidR="00773C83" w:rsidRPr="00A64A42">
        <w:t>Monk</w:t>
      </w:r>
      <w:r w:rsidR="00A64A42" w:rsidRPr="00A64A42">
        <w:t xml:space="preserve">, </w:t>
      </w:r>
      <w:r>
        <w:t>S.</w:t>
      </w:r>
      <w:r w:rsidR="00773C83">
        <w:t xml:space="preserve"> </w:t>
      </w:r>
      <w:r w:rsidR="00773C83" w:rsidRPr="00A64A42">
        <w:t>Brandt</w:t>
      </w:r>
      <w:r w:rsidR="00A64A42" w:rsidRPr="00A64A42">
        <w:t xml:space="preserve">, </w:t>
      </w:r>
      <w:r>
        <w:t>Z.</w:t>
      </w:r>
      <w:r w:rsidR="00773C83">
        <w:t xml:space="preserve"> </w:t>
      </w:r>
      <w:r w:rsidR="00773C83" w:rsidRPr="00A64A42">
        <w:t>Roberts</w:t>
      </w:r>
      <w:r w:rsidR="00A64A42" w:rsidRPr="00A64A42">
        <w:t xml:space="preserve">, </w:t>
      </w:r>
      <w:r>
        <w:t>L</w:t>
      </w:r>
      <w:r w:rsidR="00A64A42" w:rsidRPr="00A64A42">
        <w:t>.</w:t>
      </w:r>
      <w:r w:rsidR="00773C83">
        <w:t xml:space="preserve"> </w:t>
      </w:r>
      <w:r w:rsidR="00773C83" w:rsidRPr="00A64A42">
        <w:t>Fern</w:t>
      </w:r>
      <w:r w:rsidR="00773C83">
        <w:t>, “</w:t>
      </w:r>
      <w:r w:rsidR="00A64A42" w:rsidRPr="00A64A42">
        <w:t xml:space="preserve">A Comparison of Two Terminal Area Detect </w:t>
      </w:r>
      <w:r w:rsidR="00773C83">
        <w:t xml:space="preserve">and Avoid Well Clear Definition,” </w:t>
      </w:r>
      <w:r w:rsidR="00A64A42" w:rsidRPr="00A64A42">
        <w:t>10.2514/6.2019-3182.</w:t>
      </w:r>
    </w:p>
    <w:p w:rsidR="00EF30AC" w:rsidRPr="00F96569" w:rsidRDefault="00EF30AC" w:rsidP="00DB57DF">
      <w:pPr>
        <w:pStyle w:val="references"/>
        <w:rPr>
          <w:color w:val="FF0000"/>
        </w:rPr>
      </w:pPr>
      <w:r>
        <w:t>Federal Aviation Administration, “Arrival Procedures and Separation</w:t>
      </w:r>
      <w:r w:rsidR="00773C83">
        <w:t>,</w:t>
      </w:r>
      <w:r>
        <w:t>”</w:t>
      </w:r>
      <w:r w:rsidR="00773C83">
        <w:t xml:space="preserve"> </w:t>
      </w:r>
      <w:r w:rsidR="00DB57DF">
        <w:t>August</w:t>
      </w:r>
      <w:r>
        <w:t xml:space="preserve"> 2019.</w:t>
      </w:r>
      <w:r w:rsidR="00DB57DF">
        <w:t xml:space="preserve"> FAA Order JO 7110.65, Para 3-10-3.</w:t>
      </w:r>
      <w:r>
        <w:t xml:space="preserve"> URL </w:t>
      </w:r>
      <w:r w:rsidRPr="00EF30AC">
        <w:t>https://www.faa.gov/air_traffic/publications/atpubs/atc_html/chap3_section_10.html</w:t>
      </w:r>
    </w:p>
    <w:sectPr w:rsidR="00EF30AC" w:rsidRPr="00F96569" w:rsidSect="00C75F5C">
      <w:type w:val="continuous"/>
      <w:pgSz w:w="612pt" w:h="792pt" w:code="1"/>
      <w:pgMar w:top="54pt" w:right="45.35pt" w:bottom="72pt" w:left="45.35pt" w:header="36pt" w:footer="36pt" w:gutter="0pt"/>
      <w:cols w:num="2" w:space="18pt"/>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262E46" w:rsidRDefault="00262E46" w:rsidP="001A3B3D">
      <w:r>
        <w:separator/>
      </w:r>
    </w:p>
  </w:endnote>
  <w:endnote w:type="continuationSeparator" w:id="0">
    <w:p w:rsidR="00262E46" w:rsidRDefault="00262E46"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003" w:usb1="288F0000" w:usb2="00000016" w:usb3="00000000" w:csb0="00040001" w:csb1="00000000"/>
  </w:font>
  <w:font w:name="MS Mincho">
    <w:altName w:val="ＭＳ 明朝"/>
    <w:panose1 w:val="02020609040205080304"/>
    <w:charset w:characterSet="shift_jis"/>
    <w:family w:val="roman"/>
    <w:pitch w:val="fixed"/>
    <w:sig w:usb0="00000001" w:usb1="08070000" w:usb2="00000010" w:usb3="00000000" w:csb0="00020000" w:csb1="00000000"/>
  </w:font>
  <w:font w:name="Calibri">
    <w:panose1 w:val="020F0502020204030204"/>
    <w:charset w:characterSet="iso-8859-1"/>
    <w:family w:val="swiss"/>
    <w:pitch w:val="variable"/>
    <w:sig w:usb0="E0002EFF" w:usb1="C000247B" w:usb2="00000009" w:usb3="00000000" w:csb0="000001FF" w:csb1="00000000"/>
  </w:font>
  <w:font w:name="Times">
    <w:panose1 w:val="02020603050405020304"/>
    <w:charset w:characterSet="iso-8859-1"/>
    <w:family w:val="roman"/>
    <w:pitch w:val="variable"/>
    <w:sig w:usb0="E0002EFF" w:usb1="C000785B" w:usb2="00000009" w:usb3="00000000" w:csb0="000001FF" w:csb1="00000000"/>
  </w:font>
  <w:font w:name="Cambria Math">
    <w:panose1 w:val="02040503050406030204"/>
    <w:charset w:characterSet="iso-8859-1"/>
    <w:family w:val="roman"/>
    <w:pitch w:val="variable"/>
    <w:sig w:usb0="E00006FF" w:usb1="420024FF" w:usb2="02000000" w:usb3="00000000" w:csb0="0000019F" w:csb1="00000000"/>
  </w:font>
  <w:font w:name="Calibri Light">
    <w:panose1 w:val="020F0302020204030204"/>
    <w:charset w:characterSet="iso-8859-1"/>
    <w:family w:val="swiss"/>
    <w:pitch w:val="variable"/>
    <w:sig w:usb0="E0002AFF" w:usb1="C000247B" w:usb2="00000009" w:usb3="00000000" w:csb0="000001F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rsidR="001A3B3D" w:rsidRPr="006F6D3D" w:rsidRDefault="001A3B3D" w:rsidP="0056610F">
    <w:pPr>
      <w:pStyle w:val="Footer"/>
      <w:jc w:val="start"/>
      <w:rPr>
        <w:sz w:val="16"/>
        <w:szCs w:val="16"/>
      </w:rPr>
    </w:pPr>
  </w:p>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262E46" w:rsidRDefault="00262E46" w:rsidP="001A3B3D">
      <w:r>
        <w:separator/>
      </w:r>
    </w:p>
  </w:footnote>
  <w:footnote w:type="continuationSeparator" w:id="0">
    <w:p w:rsidR="00262E46" w:rsidRDefault="00262E46" w:rsidP="001A3B3D">
      <w:r>
        <w:continuationSeparator/>
      </w:r>
    </w:p>
  </w:footnote>
</w:footnotes>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6E041A8C"/>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color w:val="000000" w:themeColor="text1"/>
        <w:sz w:val="16"/>
        <w:szCs w:val="16"/>
      </w:rPr>
    </w:lvl>
  </w:abstractNum>
  <w:abstractNum w:abstractNumId="19" w15:restartNumberingAfterBreak="0">
    <w:nsid w:val="67CE1EEC"/>
    <w:multiLevelType w:val="hybridMultilevel"/>
    <w:tmpl w:val="44886184"/>
    <w:lvl w:ilvl="0" w:tplc="0409000F">
      <w:start w:val="1"/>
      <w:numFmt w:val="decimal"/>
      <w:lvlText w:val="%1."/>
      <w:lvlJc w:val="start"/>
      <w:pPr>
        <w:ind w:start="36pt" w:hanging="18pt"/>
      </w:pPr>
      <w:rPr>
        <w:rFonts w:hint="default"/>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20" w15:restartNumberingAfterBreak="0">
    <w:nsid w:val="689B562C"/>
    <w:multiLevelType w:val="hybridMultilevel"/>
    <w:tmpl w:val="47D086BC"/>
    <w:lvl w:ilvl="0" w:tplc="04090001">
      <w:start w:val="1"/>
      <w:numFmt w:val="bullet"/>
      <w:lvlText w:val=""/>
      <w:lvlJc w:val="start"/>
      <w:pPr>
        <w:tabs>
          <w:tab w:val="num" w:pos="18pt"/>
        </w:tabs>
        <w:ind w:start="18pt" w:hanging="18pt"/>
      </w:pPr>
      <w:rPr>
        <w:rFonts w:ascii="Symbol" w:hAnsi="Symbol" w:hint="default"/>
      </w:rPr>
    </w:lvl>
    <w:lvl w:ilvl="1" w:tplc="04090001">
      <w:start w:val="1"/>
      <w:numFmt w:val="bullet"/>
      <w:lvlText w:val=""/>
      <w:lvlJc w:val="start"/>
      <w:pPr>
        <w:tabs>
          <w:tab w:val="num" w:pos="72pt"/>
        </w:tabs>
        <w:ind w:start="72pt" w:hanging="18pt"/>
      </w:pPr>
      <w:rPr>
        <w:rFonts w:ascii="Symbol" w:hAnsi="Symbol" w:hint="default"/>
      </w:rPr>
    </w:lvl>
    <w:lvl w:ilvl="2" w:tplc="0409001B" w:tentative="1">
      <w:start w:val="1"/>
      <w:numFmt w:val="lowerRoman"/>
      <w:lvlText w:val="%3."/>
      <w:lvlJc w:val="end"/>
      <w:pPr>
        <w:tabs>
          <w:tab w:val="num" w:pos="108pt"/>
        </w:tabs>
        <w:ind w:start="108pt" w:hanging="9pt"/>
      </w:pPr>
    </w:lvl>
    <w:lvl w:ilvl="3" w:tplc="0409000F" w:tentative="1">
      <w:start w:val="1"/>
      <w:numFmt w:val="decimal"/>
      <w:lvlText w:val="%4."/>
      <w:lvlJc w:val="start"/>
      <w:pPr>
        <w:tabs>
          <w:tab w:val="num" w:pos="144pt"/>
        </w:tabs>
        <w:ind w:start="144pt" w:hanging="18pt"/>
      </w:pPr>
    </w:lvl>
    <w:lvl w:ilvl="4" w:tplc="04090019" w:tentative="1">
      <w:start w:val="1"/>
      <w:numFmt w:val="lowerLetter"/>
      <w:lvlText w:val="%5."/>
      <w:lvlJc w:val="start"/>
      <w:pPr>
        <w:tabs>
          <w:tab w:val="num" w:pos="180pt"/>
        </w:tabs>
        <w:ind w:start="180pt" w:hanging="18pt"/>
      </w:pPr>
    </w:lvl>
    <w:lvl w:ilvl="5" w:tplc="0409001B" w:tentative="1">
      <w:start w:val="1"/>
      <w:numFmt w:val="lowerRoman"/>
      <w:lvlText w:val="%6."/>
      <w:lvlJc w:val="end"/>
      <w:pPr>
        <w:tabs>
          <w:tab w:val="num" w:pos="216pt"/>
        </w:tabs>
        <w:ind w:start="216pt" w:hanging="9pt"/>
      </w:pPr>
    </w:lvl>
    <w:lvl w:ilvl="6" w:tplc="0409000F" w:tentative="1">
      <w:start w:val="1"/>
      <w:numFmt w:val="decimal"/>
      <w:lvlText w:val="%7."/>
      <w:lvlJc w:val="start"/>
      <w:pPr>
        <w:tabs>
          <w:tab w:val="num" w:pos="252pt"/>
        </w:tabs>
        <w:ind w:start="252pt" w:hanging="18pt"/>
      </w:pPr>
    </w:lvl>
    <w:lvl w:ilvl="7" w:tplc="04090019" w:tentative="1">
      <w:start w:val="1"/>
      <w:numFmt w:val="lowerLetter"/>
      <w:lvlText w:val="%8."/>
      <w:lvlJc w:val="start"/>
      <w:pPr>
        <w:tabs>
          <w:tab w:val="num" w:pos="288pt"/>
        </w:tabs>
        <w:ind w:start="288pt" w:hanging="18pt"/>
      </w:pPr>
    </w:lvl>
    <w:lvl w:ilvl="8" w:tplc="0409001B" w:tentative="1">
      <w:start w:val="1"/>
      <w:numFmt w:val="lowerRoman"/>
      <w:lvlText w:val="%9."/>
      <w:lvlJc w:val="end"/>
      <w:pPr>
        <w:tabs>
          <w:tab w:val="num" w:pos="324pt"/>
        </w:tabs>
        <w:ind w:start="324pt" w:hanging="9pt"/>
      </w:pPr>
    </w:lvl>
  </w:abstractNum>
  <w:abstractNum w:abstractNumId="21"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2"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21"/>
  </w:num>
  <w:num w:numId="3">
    <w:abstractNumId w:val="13"/>
  </w:num>
  <w:num w:numId="4">
    <w:abstractNumId w:val="16"/>
  </w:num>
  <w:num w:numId="5">
    <w:abstractNumId w:val="16"/>
  </w:num>
  <w:num w:numId="6">
    <w:abstractNumId w:val="16"/>
  </w:num>
  <w:num w:numId="7">
    <w:abstractNumId w:val="16"/>
  </w:num>
  <w:num w:numId="8">
    <w:abstractNumId w:val="18"/>
  </w:num>
  <w:num w:numId="9">
    <w:abstractNumId w:val="22"/>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 w:numId="25">
    <w:abstractNumId w:val="20"/>
  </w:num>
  <w:num w:numId="26">
    <w:abstractNumId w:val="19"/>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164F4"/>
    <w:rsid w:val="000232D4"/>
    <w:rsid w:val="000364D3"/>
    <w:rsid w:val="0004781E"/>
    <w:rsid w:val="000571EB"/>
    <w:rsid w:val="000727F2"/>
    <w:rsid w:val="0008758A"/>
    <w:rsid w:val="00097F40"/>
    <w:rsid w:val="000A43B2"/>
    <w:rsid w:val="000C1E68"/>
    <w:rsid w:val="000D4303"/>
    <w:rsid w:val="00120ED1"/>
    <w:rsid w:val="00120F3D"/>
    <w:rsid w:val="001211FB"/>
    <w:rsid w:val="0015079E"/>
    <w:rsid w:val="001600E2"/>
    <w:rsid w:val="0019182A"/>
    <w:rsid w:val="00195EA4"/>
    <w:rsid w:val="001A2EFD"/>
    <w:rsid w:val="001A3B3D"/>
    <w:rsid w:val="001A42EA"/>
    <w:rsid w:val="001B4E3D"/>
    <w:rsid w:val="001B67DC"/>
    <w:rsid w:val="001C0941"/>
    <w:rsid w:val="001C4562"/>
    <w:rsid w:val="001D2B58"/>
    <w:rsid w:val="001D7BCF"/>
    <w:rsid w:val="001E2B4D"/>
    <w:rsid w:val="001F441D"/>
    <w:rsid w:val="00210ADA"/>
    <w:rsid w:val="002176C7"/>
    <w:rsid w:val="002254A9"/>
    <w:rsid w:val="00233D97"/>
    <w:rsid w:val="0023795B"/>
    <w:rsid w:val="002576E3"/>
    <w:rsid w:val="00262E46"/>
    <w:rsid w:val="002850E3"/>
    <w:rsid w:val="002868C8"/>
    <w:rsid w:val="002D59F1"/>
    <w:rsid w:val="00305644"/>
    <w:rsid w:val="003075DE"/>
    <w:rsid w:val="00344997"/>
    <w:rsid w:val="00354FCF"/>
    <w:rsid w:val="00370DDC"/>
    <w:rsid w:val="003A19E2"/>
    <w:rsid w:val="003E1CE8"/>
    <w:rsid w:val="004214D4"/>
    <w:rsid w:val="00421EC6"/>
    <w:rsid w:val="004325FB"/>
    <w:rsid w:val="004432BA"/>
    <w:rsid w:val="0044407E"/>
    <w:rsid w:val="004711C7"/>
    <w:rsid w:val="00475F0B"/>
    <w:rsid w:val="004800EB"/>
    <w:rsid w:val="004906AF"/>
    <w:rsid w:val="004D72B5"/>
    <w:rsid w:val="004F461A"/>
    <w:rsid w:val="005139B7"/>
    <w:rsid w:val="00536C9A"/>
    <w:rsid w:val="00547E73"/>
    <w:rsid w:val="00551B7F"/>
    <w:rsid w:val="0056610F"/>
    <w:rsid w:val="0057443A"/>
    <w:rsid w:val="00575BCA"/>
    <w:rsid w:val="005805BC"/>
    <w:rsid w:val="0058433D"/>
    <w:rsid w:val="00586CDF"/>
    <w:rsid w:val="005A7907"/>
    <w:rsid w:val="005B0344"/>
    <w:rsid w:val="005B520E"/>
    <w:rsid w:val="005D11E8"/>
    <w:rsid w:val="005E2800"/>
    <w:rsid w:val="005F6F1C"/>
    <w:rsid w:val="00601DF2"/>
    <w:rsid w:val="006163F9"/>
    <w:rsid w:val="006347CF"/>
    <w:rsid w:val="00645D22"/>
    <w:rsid w:val="00646926"/>
    <w:rsid w:val="00651A08"/>
    <w:rsid w:val="00654204"/>
    <w:rsid w:val="0066657F"/>
    <w:rsid w:val="00670434"/>
    <w:rsid w:val="00676B60"/>
    <w:rsid w:val="006B6B66"/>
    <w:rsid w:val="006E4673"/>
    <w:rsid w:val="006F6D3D"/>
    <w:rsid w:val="00704134"/>
    <w:rsid w:val="00715BEA"/>
    <w:rsid w:val="00740EEA"/>
    <w:rsid w:val="00743C1D"/>
    <w:rsid w:val="00773C83"/>
    <w:rsid w:val="007751CD"/>
    <w:rsid w:val="00794804"/>
    <w:rsid w:val="007A2673"/>
    <w:rsid w:val="007B33F1"/>
    <w:rsid w:val="007C0308"/>
    <w:rsid w:val="007C2FF2"/>
    <w:rsid w:val="007D6232"/>
    <w:rsid w:val="007F1F99"/>
    <w:rsid w:val="007F768F"/>
    <w:rsid w:val="008048CB"/>
    <w:rsid w:val="0080791D"/>
    <w:rsid w:val="008140C9"/>
    <w:rsid w:val="00873603"/>
    <w:rsid w:val="00892A37"/>
    <w:rsid w:val="008A2C7D"/>
    <w:rsid w:val="008C4B23"/>
    <w:rsid w:val="008F6E2C"/>
    <w:rsid w:val="009245A7"/>
    <w:rsid w:val="009256F7"/>
    <w:rsid w:val="009303D9"/>
    <w:rsid w:val="00933C64"/>
    <w:rsid w:val="00947374"/>
    <w:rsid w:val="00972203"/>
    <w:rsid w:val="009B2361"/>
    <w:rsid w:val="00A059B3"/>
    <w:rsid w:val="00A64A42"/>
    <w:rsid w:val="00A83751"/>
    <w:rsid w:val="00A860CC"/>
    <w:rsid w:val="00AD32C7"/>
    <w:rsid w:val="00AE3409"/>
    <w:rsid w:val="00B11A60"/>
    <w:rsid w:val="00B22613"/>
    <w:rsid w:val="00B26FA2"/>
    <w:rsid w:val="00B45DB3"/>
    <w:rsid w:val="00BA1025"/>
    <w:rsid w:val="00BC3420"/>
    <w:rsid w:val="00BC3677"/>
    <w:rsid w:val="00BE7D3C"/>
    <w:rsid w:val="00BF5FF6"/>
    <w:rsid w:val="00C0207F"/>
    <w:rsid w:val="00C02952"/>
    <w:rsid w:val="00C16117"/>
    <w:rsid w:val="00C3075A"/>
    <w:rsid w:val="00C624AC"/>
    <w:rsid w:val="00C7023F"/>
    <w:rsid w:val="00C75F5C"/>
    <w:rsid w:val="00C76FFC"/>
    <w:rsid w:val="00C9198B"/>
    <w:rsid w:val="00C919A4"/>
    <w:rsid w:val="00CA4392"/>
    <w:rsid w:val="00CC09E9"/>
    <w:rsid w:val="00CC0F8F"/>
    <w:rsid w:val="00CC393F"/>
    <w:rsid w:val="00CE1DCD"/>
    <w:rsid w:val="00D038A0"/>
    <w:rsid w:val="00D13749"/>
    <w:rsid w:val="00D2176E"/>
    <w:rsid w:val="00D33861"/>
    <w:rsid w:val="00D54C29"/>
    <w:rsid w:val="00D632BE"/>
    <w:rsid w:val="00D71A0C"/>
    <w:rsid w:val="00D72D06"/>
    <w:rsid w:val="00D7522C"/>
    <w:rsid w:val="00D7536F"/>
    <w:rsid w:val="00D76668"/>
    <w:rsid w:val="00D77DD5"/>
    <w:rsid w:val="00D95130"/>
    <w:rsid w:val="00DB57DF"/>
    <w:rsid w:val="00DC03E6"/>
    <w:rsid w:val="00DC3974"/>
    <w:rsid w:val="00E04AA8"/>
    <w:rsid w:val="00E130A6"/>
    <w:rsid w:val="00E36987"/>
    <w:rsid w:val="00E443CB"/>
    <w:rsid w:val="00E61E12"/>
    <w:rsid w:val="00E7596C"/>
    <w:rsid w:val="00E878F2"/>
    <w:rsid w:val="00E93C21"/>
    <w:rsid w:val="00EA1063"/>
    <w:rsid w:val="00ED0149"/>
    <w:rsid w:val="00ED357B"/>
    <w:rsid w:val="00EF30AC"/>
    <w:rsid w:val="00EF7DE3"/>
    <w:rsid w:val="00F03103"/>
    <w:rsid w:val="00F06992"/>
    <w:rsid w:val="00F144A4"/>
    <w:rsid w:val="00F2174A"/>
    <w:rsid w:val="00F26495"/>
    <w:rsid w:val="00F271DE"/>
    <w:rsid w:val="00F627DA"/>
    <w:rsid w:val="00F7288F"/>
    <w:rsid w:val="00F728BC"/>
    <w:rsid w:val="00F847A6"/>
    <w:rsid w:val="00F923AD"/>
    <w:rsid w:val="00F9441B"/>
    <w:rsid w:val="00F96569"/>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0AD592B"/>
  <w15:chartTrackingRefBased/>
  <w15:docId w15:val="{F70393F7-BE71-4745-A4B2-AE3F69CD35C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 w:type="character" w:styleId="Hyperlink">
    <w:name w:val="Hyperlink"/>
    <w:basedOn w:val="DefaultParagraphFont"/>
    <w:rsid w:val="00646926"/>
    <w:rPr>
      <w:color w:val="0563C1" w:themeColor="hyperlink"/>
      <w:u w:val="single"/>
    </w:rPr>
  </w:style>
  <w:style w:type="table" w:styleId="GridTable5Dark-Accent1">
    <w:name w:val="Grid Table 5 Dark Accent 1"/>
    <w:basedOn w:val="TableNormal"/>
    <w:uiPriority w:val="50"/>
    <w:rsid w:val="000727F2"/>
    <w:tblPr>
      <w:tblStyleRowBandSize w:val="1"/>
      <w:tblStyleColBandSize w:val="1"/>
      <w:tblBorders>
        <w:top w:val="single" w:sz="4" w:space="0" w:color="FFFFFF" w:themeColor="background1"/>
        <w:start w:val="single" w:sz="4" w:space="0" w:color="FFFFFF" w:themeColor="background1"/>
        <w:bottom w:val="single" w:sz="4" w:space="0" w:color="FFFFFF" w:themeColor="background1"/>
        <w:end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start w:val="single" w:sz="4" w:space="0" w:color="FFFFFF" w:themeColor="background1"/>
          <w:end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start w:val="single" w:sz="4" w:space="0" w:color="FFFFFF" w:themeColor="background1"/>
          <w:bottom w:val="single" w:sz="4" w:space="0" w:color="FFFFFF" w:themeColor="background1"/>
          <w:end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star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end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Caption">
    <w:name w:val="caption"/>
    <w:basedOn w:val="Normal"/>
    <w:next w:val="Normal"/>
    <w:qFormat/>
    <w:rsid w:val="006163F9"/>
    <w:pPr>
      <w:spacing w:before="6pt" w:after="6pt" w:line="12.95pt" w:lineRule="auto"/>
      <w:jc w:val="start"/>
    </w:pPr>
    <w:rPr>
      <w:rFonts w:asciiTheme="minorHAnsi" w:eastAsiaTheme="minorHAnsi" w:hAnsiTheme="minorHAnsi" w:cstheme="minorBidi"/>
      <w:b/>
      <w:sz w:val="22"/>
      <w:szCs w:val="22"/>
    </w:rPr>
  </w:style>
  <w:style w:type="character" w:styleId="PlaceholderText">
    <w:name w:val="Placeholder Text"/>
    <w:basedOn w:val="DefaultParagraphFont"/>
    <w:uiPriority w:val="99"/>
    <w:semiHidden/>
    <w:rsid w:val="00892A37"/>
    <w:rPr>
      <w:color w:val="808080"/>
    </w:rPr>
  </w:style>
  <w:style w:type="paragraph" w:customStyle="1" w:styleId="EndNoteBibliography">
    <w:name w:val="EndNote Bibliography"/>
    <w:basedOn w:val="Normal"/>
    <w:link w:val="EndNoteBibliographyChar"/>
    <w:rsid w:val="00C75F5C"/>
    <w:pPr>
      <w:ind w:firstLine="11.35pt"/>
      <w:jc w:val="both"/>
    </w:pPr>
    <w:rPr>
      <w:rFonts w:ascii="Times" w:eastAsia="Times New Roman" w:hAnsi="Times" w:cs="Times"/>
      <w:noProof/>
      <w:sz w:val="18"/>
      <w:lang w:val="de-DE" w:eastAsia="de-DE"/>
    </w:rPr>
  </w:style>
  <w:style w:type="character" w:customStyle="1" w:styleId="EndNoteBibliographyChar">
    <w:name w:val="EndNote Bibliography Char"/>
    <w:basedOn w:val="DefaultParagraphFont"/>
    <w:link w:val="EndNoteBibliography"/>
    <w:rsid w:val="00C75F5C"/>
    <w:rPr>
      <w:rFonts w:ascii="Times" w:eastAsia="Times New Roman" w:hAnsi="Times" w:cs="Times"/>
      <w:noProof/>
      <w:sz w:val="18"/>
      <w:lang w:val="de-DE" w:eastAsia="de-D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13" Type="http://purl.oclc.org/ooxml/officeDocument/relationships/image" Target="media/image5.png"/><Relationship Id="rId3" Type="http://purl.oclc.org/ooxml/officeDocument/relationships/styles" Target="styles.xml"/><Relationship Id="rId7" Type="http://purl.oclc.org/ooxml/officeDocument/relationships/endnotes" Target="endnotes.xml"/><Relationship Id="rId12" Type="http://purl.oclc.org/ooxml/officeDocument/relationships/image" Target="media/image4.png"/><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image" Target="media/image3.png"/><Relationship Id="rId5" Type="http://purl.oclc.org/ooxml/officeDocument/relationships/webSettings" Target="webSettings.xml"/><Relationship Id="rId15" Type="http://purl.oclc.org/ooxml/officeDocument/relationships/theme" Target="theme/theme1.xml"/><Relationship Id="rId10" Type="http://purl.oclc.org/ooxml/officeDocument/relationships/image" Target="media/image2.png"/><Relationship Id="rId4" Type="http://purl.oclc.org/ooxml/officeDocument/relationships/settings" Target="settings.xml"/><Relationship Id="rId9" Type="http://purl.oclc.org/ooxml/officeDocument/relationships/image" Target="media/image1.png"/><Relationship Id="rId14" Type="http://purl.oclc.org/ooxml/officeDocument/relationships/fontTable" Target="fontTable.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09AC2146-7702-4670-BA33-F445E7C4EB95}">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28</TotalTime>
  <Pages>7</Pages>
  <Words>2311</Words>
  <Characters>13174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Kc, Sagar (LARC-D318)</cp:lastModifiedBy>
  <cp:revision>4</cp:revision>
  <dcterms:created xsi:type="dcterms:W3CDTF">2020-07-15T15:39:00Z</dcterms:created>
  <dcterms:modified xsi:type="dcterms:W3CDTF">2020-07-15T16:15:00Z</dcterms:modified>
</cp:coreProperties>
</file>