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B8731" w14:textId="77777777" w:rsidR="00DC1082" w:rsidRDefault="00DC1082" w:rsidP="00DC1082">
      <w:pPr>
        <w:jc w:val="center"/>
        <w:rPr>
          <w:b/>
        </w:rPr>
      </w:pPr>
      <w:r>
        <w:rPr>
          <w:b/>
        </w:rPr>
        <w:t>Development of a THOR Anthropometric Test Device Lumbar Spine Injury Risk Function</w:t>
      </w:r>
    </w:p>
    <w:p w14:paraId="0E7E3FCA" w14:textId="77777777" w:rsidR="00DC1082" w:rsidRDefault="00DC1082" w:rsidP="00DC1082">
      <w:pPr>
        <w:spacing w:after="0" w:line="240" w:lineRule="auto"/>
        <w:jc w:val="center"/>
        <w:rPr>
          <w:rFonts w:ascii="Calibri" w:eastAsia="Calibri" w:hAnsi="Calibri" w:cs="Times New Roman"/>
          <w:vertAlign w:val="superscript"/>
        </w:rPr>
      </w:pPr>
      <w:r w:rsidRPr="00C4637A">
        <w:rPr>
          <w:rFonts w:ascii="Calibri" w:eastAsia="Calibri" w:hAnsi="Calibri" w:cs="Times New Roman"/>
        </w:rPr>
        <w:t>Jessica Wells</w:t>
      </w:r>
      <w:r>
        <w:rPr>
          <w:rFonts w:ascii="Calibri" w:eastAsia="Calibri" w:hAnsi="Calibri" w:cs="Times New Roman"/>
          <w:vertAlign w:val="superscript"/>
        </w:rPr>
        <w:t>1</w:t>
      </w:r>
      <w:r>
        <w:rPr>
          <w:rFonts w:ascii="Calibri" w:eastAsia="Calibri" w:hAnsi="Calibri" w:cs="Times New Roman"/>
        </w:rPr>
        <w:t>, Bry</w:t>
      </w:r>
      <w:r w:rsidRPr="00C4637A">
        <w:rPr>
          <w:rFonts w:ascii="Calibri" w:eastAsia="Calibri" w:hAnsi="Calibri" w:cs="Times New Roman"/>
        </w:rPr>
        <w:t>an Blette</w:t>
      </w:r>
      <w:r>
        <w:rPr>
          <w:rFonts w:ascii="Calibri" w:eastAsia="Calibri" w:hAnsi="Calibri" w:cs="Times New Roman"/>
          <w:vertAlign w:val="superscript"/>
        </w:rPr>
        <w:t>2</w:t>
      </w:r>
      <w:r w:rsidRPr="00C4637A">
        <w:rPr>
          <w:rFonts w:ascii="Calibri" w:eastAsia="Calibri" w:hAnsi="Calibri" w:cs="Times New Roman"/>
        </w:rPr>
        <w:t>, Nate Newby</w:t>
      </w:r>
      <w:r>
        <w:rPr>
          <w:rFonts w:ascii="Calibri" w:eastAsia="Calibri" w:hAnsi="Calibri" w:cs="Times New Roman"/>
          <w:vertAlign w:val="superscript"/>
        </w:rPr>
        <w:t>3</w:t>
      </w:r>
      <w:r w:rsidRPr="00C4637A">
        <w:rPr>
          <w:rFonts w:ascii="Calibri" w:eastAsia="Calibri" w:hAnsi="Calibri" w:cs="Times New Roman"/>
        </w:rPr>
        <w:t>, and Jeff Somers</w:t>
      </w:r>
      <w:r>
        <w:rPr>
          <w:rFonts w:ascii="Calibri" w:eastAsia="Calibri" w:hAnsi="Calibri" w:cs="Times New Roman"/>
          <w:vertAlign w:val="superscript"/>
        </w:rPr>
        <w:t>4</w:t>
      </w:r>
    </w:p>
    <w:p w14:paraId="1C61EBD2" w14:textId="77777777" w:rsidR="00DC1082" w:rsidRDefault="00DC1082" w:rsidP="00DC1082">
      <w:pPr>
        <w:spacing w:after="0" w:line="240" w:lineRule="auto"/>
        <w:jc w:val="center"/>
      </w:pPr>
      <w:r w:rsidRPr="00C4637A">
        <w:rPr>
          <w:vertAlign w:val="superscript"/>
        </w:rPr>
        <w:t xml:space="preserve">1 </w:t>
      </w:r>
      <w:r w:rsidRPr="00C4637A">
        <w:t>L</w:t>
      </w:r>
      <w:r>
        <w:t>eidos</w:t>
      </w:r>
      <w:r w:rsidRPr="00C4637A">
        <w:t>, Houston, TX 77058</w:t>
      </w:r>
    </w:p>
    <w:p w14:paraId="73A09D0B" w14:textId="77777777" w:rsidR="00DC1082" w:rsidRDefault="00DC1082" w:rsidP="00DC1082">
      <w:pPr>
        <w:spacing w:after="0" w:line="240" w:lineRule="auto"/>
        <w:jc w:val="center"/>
        <w:rPr>
          <w:rFonts w:ascii="Calibri" w:eastAsia="Calibri" w:hAnsi="Calibri" w:cs="Times New Roman"/>
          <w:vertAlign w:val="superscript"/>
        </w:rPr>
      </w:pPr>
      <w:r>
        <w:rPr>
          <w:vertAlign w:val="superscript"/>
        </w:rPr>
        <w:t xml:space="preserve">2 </w:t>
      </w:r>
      <w:r>
        <w:t>University of North Carolina at Chapel Hill, North Carolina, 27599</w:t>
      </w:r>
    </w:p>
    <w:p w14:paraId="73B5B351" w14:textId="77777777" w:rsidR="00DC1082" w:rsidRDefault="00DC1082" w:rsidP="00DC1082">
      <w:pPr>
        <w:spacing w:after="0" w:line="240" w:lineRule="auto"/>
        <w:jc w:val="center"/>
      </w:pPr>
      <w:r>
        <w:rPr>
          <w:vertAlign w:val="superscript"/>
        </w:rPr>
        <w:t xml:space="preserve">3 </w:t>
      </w:r>
      <w:r>
        <w:t>KBR</w:t>
      </w:r>
      <w:r w:rsidRPr="00693A1F">
        <w:t>, Houston, TX</w:t>
      </w:r>
      <w:r>
        <w:t xml:space="preserve"> 77058</w:t>
      </w:r>
    </w:p>
    <w:p w14:paraId="1CAD223D" w14:textId="77777777" w:rsidR="00DC1082" w:rsidRPr="00924AB5" w:rsidRDefault="00DC1082" w:rsidP="00DC1082">
      <w:pPr>
        <w:spacing w:after="0" w:line="240" w:lineRule="auto"/>
        <w:jc w:val="center"/>
      </w:pPr>
      <w:r>
        <w:rPr>
          <w:vertAlign w:val="superscript"/>
        </w:rPr>
        <w:t>4</w:t>
      </w:r>
      <w:r>
        <w:t>National Aeronautics and Space Administration, Houston, TX 77058</w:t>
      </w:r>
    </w:p>
    <w:p w14:paraId="12E9B619" w14:textId="77777777" w:rsidR="00DC1082" w:rsidRDefault="00DC1082">
      <w:pPr>
        <w:rPr>
          <w:b/>
        </w:rPr>
      </w:pPr>
    </w:p>
    <w:p w14:paraId="1D1710C4" w14:textId="5604D845" w:rsidR="00A014DB" w:rsidRPr="00051281" w:rsidRDefault="00902D26">
      <w:pPr>
        <w:rPr>
          <w:b/>
        </w:rPr>
      </w:pPr>
      <w:r w:rsidRPr="00051281">
        <w:rPr>
          <w:b/>
        </w:rPr>
        <w:t>Introduction</w:t>
      </w:r>
    </w:p>
    <w:p w14:paraId="18EAF8B6" w14:textId="07D68F48" w:rsidR="00902D26" w:rsidRDefault="002911F1">
      <w:r>
        <w:t xml:space="preserve">Currently, the Brinkley Dynamic Response Criteria (BDRC) is used to assess the risk of </w:t>
      </w:r>
      <w:proofErr w:type="spellStart"/>
      <w:r>
        <w:t>thoraco</w:t>
      </w:r>
      <w:proofErr w:type="spellEnd"/>
      <w:r>
        <w:t>-lumbar spinal injury for astronauts</w:t>
      </w:r>
      <w:r w:rsidR="00197BE2">
        <w:t xml:space="preserve">. </w:t>
      </w:r>
      <w:r>
        <w:t>The BDRC has been validated for predicting injury in military aircraft ejections (Brinkley, 1968; Brinkley and Schaffer, 1971)</w:t>
      </w:r>
      <w:r w:rsidR="00197BE2">
        <w:t xml:space="preserve">. </w:t>
      </w:r>
      <w:r w:rsidR="00902D26">
        <w:t xml:space="preserve">The objective of this study was to </w:t>
      </w:r>
      <w:r w:rsidR="00051281">
        <w:t xml:space="preserve">use the injurious data behind the BDRC and </w:t>
      </w:r>
      <w:proofErr w:type="spellStart"/>
      <w:r w:rsidR="00051281">
        <w:t>subinjurious</w:t>
      </w:r>
      <w:proofErr w:type="spellEnd"/>
      <w:r w:rsidR="00051281">
        <w:t xml:space="preserve"> human-volunteer data to </w:t>
      </w:r>
      <w:r w:rsidR="00902D26">
        <w:t xml:space="preserve">develop an injury risk function for the </w:t>
      </w:r>
      <w:r w:rsidR="00412C9B">
        <w:t>T</w:t>
      </w:r>
      <w:r w:rsidR="00F17ED1">
        <w:t xml:space="preserve">est device for </w:t>
      </w:r>
      <w:r w:rsidR="00412C9B">
        <w:t>H</w:t>
      </w:r>
      <w:r w:rsidR="00F17ED1">
        <w:t xml:space="preserve">uman </w:t>
      </w:r>
      <w:r w:rsidR="00412C9B">
        <w:t>O</w:t>
      </w:r>
      <w:r w:rsidR="00F17ED1">
        <w:t xml:space="preserve">ccupant </w:t>
      </w:r>
      <w:r w:rsidR="00412C9B">
        <w:t>R</w:t>
      </w:r>
      <w:r w:rsidR="00F17ED1">
        <w:t xml:space="preserve">estraint </w:t>
      </w:r>
      <w:r w:rsidR="00902D26">
        <w:t xml:space="preserve">(THOR) to predict probability of </w:t>
      </w:r>
      <w:proofErr w:type="spellStart"/>
      <w:r>
        <w:t>thoraco</w:t>
      </w:r>
      <w:proofErr w:type="spellEnd"/>
      <w:r>
        <w:t>-</w:t>
      </w:r>
      <w:r w:rsidR="00902D26">
        <w:t>lumbar spine injury</w:t>
      </w:r>
      <w:r w:rsidR="008A325E">
        <w:t xml:space="preserve"> during space vehicle landings</w:t>
      </w:r>
      <w:r w:rsidR="00902D26">
        <w:t>.</w:t>
      </w:r>
    </w:p>
    <w:p w14:paraId="095418DD" w14:textId="77777777" w:rsidR="00902D26" w:rsidRPr="00051281" w:rsidRDefault="00902D26">
      <w:pPr>
        <w:rPr>
          <w:b/>
        </w:rPr>
      </w:pPr>
      <w:r w:rsidRPr="00051281">
        <w:rPr>
          <w:b/>
        </w:rPr>
        <w:t>Methods</w:t>
      </w:r>
    </w:p>
    <w:p w14:paraId="7A4A9958" w14:textId="318C4E45" w:rsidR="00902D26" w:rsidRDefault="00902D26">
      <w:proofErr w:type="spellStart"/>
      <w:r>
        <w:t>Subinjurious</w:t>
      </w:r>
      <w:proofErr w:type="spellEnd"/>
      <w:r>
        <w:t xml:space="preserve"> human data included z-axis testing performed at the Wright Patterson Air Force Research Laboratory (WPAFRL) between </w:t>
      </w:r>
      <w:r w:rsidR="002911F1">
        <w:t>1981</w:t>
      </w:r>
      <w:r>
        <w:t xml:space="preserve"> and </w:t>
      </w:r>
      <w:r w:rsidR="002911F1">
        <w:t>2004</w:t>
      </w:r>
      <w:r w:rsidR="00197BE2">
        <w:t xml:space="preserve">. </w:t>
      </w:r>
      <w:r>
        <w:t xml:space="preserve">Injurious human data </w:t>
      </w:r>
      <w:r w:rsidR="003D00E8">
        <w:t>included operational aircraft ejections reported in Brinkley, 1968, and Brinkley and Schaffer, 1971</w:t>
      </w:r>
      <w:r>
        <w:t>.</w:t>
      </w:r>
    </w:p>
    <w:p w14:paraId="1AE9B49D" w14:textId="6EA38DDF" w:rsidR="00902D26" w:rsidRDefault="00902D26">
      <w:r>
        <w:t xml:space="preserve">THOR data included </w:t>
      </w:r>
      <w:r w:rsidR="003D00E8">
        <w:t xml:space="preserve">match-pair testing to a subset of the </w:t>
      </w:r>
      <w:proofErr w:type="spellStart"/>
      <w:r w:rsidR="003D00E8">
        <w:t>subinjurious</w:t>
      </w:r>
      <w:proofErr w:type="spellEnd"/>
      <w:r w:rsidR="003D00E8">
        <w:t xml:space="preserve"> WPAFRL cases </w:t>
      </w:r>
      <w:r w:rsidR="00197BE2">
        <w:t xml:space="preserve">by </w:t>
      </w:r>
      <w:r w:rsidR="003D00E8">
        <w:t xml:space="preserve">using either the THOR, the </w:t>
      </w:r>
      <w:r>
        <w:t>THOR finite element mod</w:t>
      </w:r>
      <w:bookmarkStart w:id="0" w:name="_GoBack"/>
      <w:bookmarkEnd w:id="0"/>
      <w:r>
        <w:t>el (FEM)</w:t>
      </w:r>
      <w:r w:rsidR="00197BE2">
        <w:t>,</w:t>
      </w:r>
      <w:r w:rsidR="003D00E8">
        <w:t xml:space="preserve"> or both</w:t>
      </w:r>
      <w:r>
        <w:t>.</w:t>
      </w:r>
    </w:p>
    <w:p w14:paraId="12C2B764" w14:textId="77777777" w:rsidR="00902D26" w:rsidRDefault="000C40DA">
      <w:r>
        <w:t>Linear and logistic regression models were used to convert Dynamic Response Index (DRI) to lumbar force and predict probability of injury from lumbar force.</w:t>
      </w:r>
    </w:p>
    <w:p w14:paraId="53022E53" w14:textId="77777777" w:rsidR="00902D26" w:rsidRPr="00051281" w:rsidRDefault="00902D26">
      <w:pPr>
        <w:rPr>
          <w:b/>
        </w:rPr>
      </w:pPr>
      <w:r w:rsidRPr="00051281">
        <w:rPr>
          <w:b/>
        </w:rPr>
        <w:t>Results</w:t>
      </w:r>
    </w:p>
    <w:p w14:paraId="15B80C6F" w14:textId="77777777" w:rsidR="00381655" w:rsidRDefault="00381655">
      <w:r>
        <w:t>Per the Definition of Acceptable Risk Memo (Somers et. al, 2015), at least 95% of all spacecraft dynamic events must have &lt;4% risk of an AIS1 injury; the remaining dynamic events must have &lt;23% risk of AIS1 injury.</w:t>
      </w:r>
    </w:p>
    <w:p w14:paraId="50C1AF7A" w14:textId="138697EE" w:rsidR="00902D26" w:rsidRDefault="00734375">
      <w:r>
        <w:t xml:space="preserve">The </w:t>
      </w:r>
      <w:r w:rsidR="008A325E">
        <w:t xml:space="preserve">calculated </w:t>
      </w:r>
      <w:r>
        <w:t xml:space="preserve">injury risk function for the THOR estimates a </w:t>
      </w:r>
      <w:r w:rsidR="00051281">
        <w:t>4</w:t>
      </w:r>
      <w:r>
        <w:t xml:space="preserve">% risk of injury for a lumbar spine force of </w:t>
      </w:r>
      <w:r w:rsidR="00051281">
        <w:t xml:space="preserve">1983 </w:t>
      </w:r>
      <w:proofErr w:type="spellStart"/>
      <w:r w:rsidR="00051281">
        <w:t>lbf</w:t>
      </w:r>
      <w:proofErr w:type="spellEnd"/>
      <w:r w:rsidR="00381655">
        <w:t>, with t</w:t>
      </w:r>
      <w:r w:rsidR="00051281">
        <w:t xml:space="preserve">he 95% confidence interval </w:t>
      </w:r>
      <w:r w:rsidR="00381655">
        <w:t xml:space="preserve">ranging between </w:t>
      </w:r>
      <w:r w:rsidR="00051281">
        <w:t xml:space="preserve">1886 </w:t>
      </w:r>
      <w:r w:rsidR="00197BE2">
        <w:t xml:space="preserve">and </w:t>
      </w:r>
      <w:r w:rsidR="00051281">
        <w:t xml:space="preserve">2039 </w:t>
      </w:r>
      <w:proofErr w:type="spellStart"/>
      <w:r w:rsidR="00051281">
        <w:t>lbf</w:t>
      </w:r>
      <w:proofErr w:type="spellEnd"/>
      <w:r w:rsidR="00051281">
        <w:t>.</w:t>
      </w:r>
    </w:p>
    <w:p w14:paraId="3175BB28" w14:textId="77777777" w:rsidR="00051281" w:rsidRDefault="00051281">
      <w:r>
        <w:t xml:space="preserve">The 23% risk of </w:t>
      </w:r>
      <w:r w:rsidR="008A325E">
        <w:t xml:space="preserve">lumbar </w:t>
      </w:r>
      <w:r>
        <w:t xml:space="preserve">injury </w:t>
      </w:r>
      <w:r w:rsidR="008A325E">
        <w:t xml:space="preserve">corresponds to a </w:t>
      </w:r>
      <w:r>
        <w:t xml:space="preserve">force of 2248 </w:t>
      </w:r>
      <w:proofErr w:type="spellStart"/>
      <w:r>
        <w:t>lbf</w:t>
      </w:r>
      <w:proofErr w:type="spellEnd"/>
      <w:r w:rsidR="00381655">
        <w:t>,</w:t>
      </w:r>
      <w:r>
        <w:t xml:space="preserve"> </w:t>
      </w:r>
      <w:r w:rsidR="00381655">
        <w:t>with t</w:t>
      </w:r>
      <w:r>
        <w:t xml:space="preserve">he 95% confidence interval </w:t>
      </w:r>
      <w:r w:rsidR="00381655">
        <w:t xml:space="preserve">ranging between </w:t>
      </w:r>
      <w:r>
        <w:t xml:space="preserve">2200 </w:t>
      </w:r>
      <w:r w:rsidR="00381655">
        <w:t>and</w:t>
      </w:r>
      <w:r>
        <w:t xml:space="preserve"> 2324 </w:t>
      </w:r>
      <w:proofErr w:type="spellStart"/>
      <w:r>
        <w:t>lbf</w:t>
      </w:r>
      <w:proofErr w:type="spellEnd"/>
      <w:r>
        <w:t>.</w:t>
      </w:r>
    </w:p>
    <w:p w14:paraId="0C99AD39" w14:textId="77777777" w:rsidR="00902D26" w:rsidRPr="00051281" w:rsidRDefault="00902D26">
      <w:pPr>
        <w:rPr>
          <w:b/>
        </w:rPr>
      </w:pPr>
      <w:r w:rsidRPr="00051281">
        <w:rPr>
          <w:b/>
        </w:rPr>
        <w:t>Discussion</w:t>
      </w:r>
    </w:p>
    <w:p w14:paraId="7E972651" w14:textId="77777777" w:rsidR="00902D26" w:rsidRDefault="00051281">
      <w:r>
        <w:t xml:space="preserve">Additional THOR ATD testing or FEM simulations in the range of the injurious human data set could help refine the upper spectrum of the injury risk curve for </w:t>
      </w:r>
      <w:proofErr w:type="spellStart"/>
      <w:r>
        <w:t>thoraco</w:t>
      </w:r>
      <w:proofErr w:type="spellEnd"/>
      <w:r>
        <w:t>-lumbar spine injury for the THOR.</w:t>
      </w:r>
    </w:p>
    <w:sectPr w:rsidR="00902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26"/>
    <w:rsid w:val="00051281"/>
    <w:rsid w:val="000C40DA"/>
    <w:rsid w:val="00197BE2"/>
    <w:rsid w:val="001A6731"/>
    <w:rsid w:val="001D412B"/>
    <w:rsid w:val="002911F1"/>
    <w:rsid w:val="00381655"/>
    <w:rsid w:val="003D00E8"/>
    <w:rsid w:val="00412C9B"/>
    <w:rsid w:val="004A44A7"/>
    <w:rsid w:val="006E5DAC"/>
    <w:rsid w:val="00734375"/>
    <w:rsid w:val="0077285B"/>
    <w:rsid w:val="008A325E"/>
    <w:rsid w:val="008D3EED"/>
    <w:rsid w:val="00902D26"/>
    <w:rsid w:val="00AD312B"/>
    <w:rsid w:val="00D1008E"/>
    <w:rsid w:val="00DC1082"/>
    <w:rsid w:val="00E25B55"/>
    <w:rsid w:val="00E55725"/>
    <w:rsid w:val="00EE2336"/>
    <w:rsid w:val="00F1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5101"/>
  <w15:chartTrackingRefBased/>
  <w15:docId w15:val="{BCDC7C22-F036-4C91-A342-16471CD6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3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2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Jessica (JSC-EC)[WYLE INTEG. SCI. &amp; ENG.]</dc:creator>
  <cp:keywords/>
  <dc:description/>
  <cp:lastModifiedBy>Greenhalgh, Preston C. (JSC-SK111)[WYLE LABORATORIES, INC.]</cp:lastModifiedBy>
  <cp:revision>3</cp:revision>
  <dcterms:created xsi:type="dcterms:W3CDTF">2020-07-20T19:08:00Z</dcterms:created>
  <dcterms:modified xsi:type="dcterms:W3CDTF">2020-07-20T19:56:00Z</dcterms:modified>
</cp:coreProperties>
</file>