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3BB2D2" w14:textId="77777777" w:rsidR="00F565BA" w:rsidRPr="006B42CE" w:rsidRDefault="00F565BA" w:rsidP="00143CD2">
      <w:pPr>
        <w:pStyle w:val="Title"/>
        <w:rPr>
          <w:sz w:val="48"/>
          <w:szCs w:val="48"/>
        </w:rPr>
      </w:pPr>
      <w:bookmarkStart w:id="0" w:name="_GoBack"/>
      <w:bookmarkEnd w:id="0"/>
      <w:r w:rsidRPr="006B42CE">
        <w:rPr>
          <w:sz w:val="48"/>
          <w:szCs w:val="48"/>
        </w:rPr>
        <w:t>P</w:t>
      </w:r>
      <w:r w:rsidR="00C922F9">
        <w:rPr>
          <w:sz w:val="48"/>
          <w:szCs w:val="48"/>
        </w:rPr>
        <w:t>ACE Propulsion Subsystem Surge Analysis and Testing</w:t>
      </w:r>
    </w:p>
    <w:p w14:paraId="2848136F" w14:textId="77777777" w:rsidR="00F565BA" w:rsidRPr="006B42CE" w:rsidRDefault="00C922F9" w:rsidP="00F565BA">
      <w:pPr>
        <w:jc w:val="center"/>
        <w:rPr>
          <w:sz w:val="32"/>
          <w:szCs w:val="32"/>
        </w:rPr>
      </w:pPr>
      <w:r>
        <w:rPr>
          <w:sz w:val="32"/>
          <w:szCs w:val="32"/>
        </w:rPr>
        <w:t>Christopher Y. Mikhailovsky</w:t>
      </w:r>
      <w:r w:rsidR="00F565BA" w:rsidRPr="006B42CE">
        <w:rPr>
          <w:sz w:val="32"/>
          <w:szCs w:val="32"/>
          <w:vertAlign w:val="superscript"/>
        </w:rPr>
        <w:footnoteReference w:id="1"/>
      </w:r>
    </w:p>
    <w:p w14:paraId="701E4770" w14:textId="77777777" w:rsidR="00F565BA" w:rsidRPr="006B42CE" w:rsidRDefault="00C922F9" w:rsidP="00F565BA">
      <w:pPr>
        <w:spacing w:after="240"/>
        <w:jc w:val="center"/>
        <w:rPr>
          <w:i/>
          <w:sz w:val="24"/>
          <w:szCs w:val="24"/>
        </w:rPr>
      </w:pPr>
      <w:r>
        <w:rPr>
          <w:i/>
          <w:sz w:val="24"/>
          <w:szCs w:val="24"/>
        </w:rPr>
        <w:t>Trident Vantage Systems LLC</w:t>
      </w:r>
      <w:r w:rsidR="00F565BA" w:rsidRPr="006B42CE">
        <w:rPr>
          <w:i/>
          <w:sz w:val="24"/>
          <w:szCs w:val="24"/>
        </w:rPr>
        <w:t xml:space="preserve">, </w:t>
      </w:r>
      <w:r>
        <w:rPr>
          <w:i/>
          <w:sz w:val="24"/>
          <w:szCs w:val="24"/>
        </w:rPr>
        <w:t>Greenbelt</w:t>
      </w:r>
      <w:r w:rsidR="00F565BA" w:rsidRPr="006B42CE">
        <w:rPr>
          <w:i/>
          <w:sz w:val="24"/>
          <w:szCs w:val="24"/>
        </w:rPr>
        <w:t xml:space="preserve">, </w:t>
      </w:r>
      <w:r>
        <w:rPr>
          <w:i/>
          <w:sz w:val="24"/>
          <w:szCs w:val="24"/>
        </w:rPr>
        <w:t>MD</w:t>
      </w:r>
      <w:r w:rsidR="00F565BA" w:rsidRPr="006B42CE">
        <w:rPr>
          <w:i/>
          <w:sz w:val="24"/>
          <w:szCs w:val="24"/>
        </w:rPr>
        <w:t xml:space="preserve">, </w:t>
      </w:r>
      <w:r>
        <w:rPr>
          <w:i/>
          <w:sz w:val="24"/>
          <w:szCs w:val="24"/>
        </w:rPr>
        <w:t>20771</w:t>
      </w:r>
      <w:r w:rsidR="00F565BA" w:rsidRPr="006B42CE">
        <w:rPr>
          <w:i/>
          <w:sz w:val="24"/>
          <w:szCs w:val="24"/>
        </w:rPr>
        <w:t xml:space="preserve">, </w:t>
      </w:r>
      <w:r>
        <w:rPr>
          <w:i/>
          <w:sz w:val="24"/>
          <w:szCs w:val="24"/>
        </w:rPr>
        <w:t>United States</w:t>
      </w:r>
    </w:p>
    <w:p w14:paraId="54A783C7" w14:textId="6DA8D150" w:rsidR="00F565BA" w:rsidRPr="006B42CE" w:rsidRDefault="00C922F9" w:rsidP="00E064DF">
      <w:pPr>
        <w:jc w:val="center"/>
        <w:rPr>
          <w:sz w:val="32"/>
          <w:szCs w:val="32"/>
        </w:rPr>
      </w:pPr>
      <w:r>
        <w:rPr>
          <w:sz w:val="32"/>
          <w:szCs w:val="32"/>
        </w:rPr>
        <w:t>Jacob M. Stahl</w:t>
      </w:r>
      <w:r w:rsidR="00F565BA" w:rsidRPr="006B42CE">
        <w:rPr>
          <w:sz w:val="32"/>
          <w:szCs w:val="32"/>
          <w:vertAlign w:val="superscript"/>
        </w:rPr>
        <w:footnoteReference w:id="2"/>
      </w:r>
      <w:r w:rsidR="00E064DF">
        <w:rPr>
          <w:sz w:val="32"/>
          <w:szCs w:val="32"/>
        </w:rPr>
        <w:t xml:space="preserve"> and Henry W. Mulkey</w:t>
      </w:r>
      <w:r w:rsidR="00E064DF" w:rsidRPr="006B42CE">
        <w:rPr>
          <w:sz w:val="32"/>
          <w:szCs w:val="32"/>
          <w:vertAlign w:val="superscript"/>
        </w:rPr>
        <w:footnoteReference w:id="3"/>
      </w:r>
    </w:p>
    <w:p w14:paraId="39775F4E" w14:textId="77777777" w:rsidR="00F565BA" w:rsidRPr="006B42CE" w:rsidRDefault="00C922F9" w:rsidP="00F565BA">
      <w:pPr>
        <w:spacing w:after="240"/>
        <w:jc w:val="center"/>
        <w:rPr>
          <w:i/>
          <w:sz w:val="24"/>
          <w:szCs w:val="24"/>
        </w:rPr>
      </w:pPr>
      <w:r>
        <w:rPr>
          <w:i/>
          <w:sz w:val="24"/>
          <w:szCs w:val="24"/>
        </w:rPr>
        <w:t>NASA Goddard Space Flight Center</w:t>
      </w:r>
      <w:r w:rsidR="00F565BA" w:rsidRPr="006B42CE">
        <w:rPr>
          <w:i/>
          <w:sz w:val="24"/>
          <w:szCs w:val="24"/>
        </w:rPr>
        <w:t xml:space="preserve">, </w:t>
      </w:r>
      <w:r>
        <w:rPr>
          <w:i/>
          <w:sz w:val="24"/>
          <w:szCs w:val="24"/>
        </w:rPr>
        <w:t>Greenbelt</w:t>
      </w:r>
      <w:r w:rsidR="00F565BA" w:rsidRPr="006B42CE">
        <w:rPr>
          <w:i/>
          <w:sz w:val="24"/>
          <w:szCs w:val="24"/>
        </w:rPr>
        <w:t xml:space="preserve">, </w:t>
      </w:r>
      <w:r>
        <w:rPr>
          <w:i/>
          <w:sz w:val="24"/>
          <w:szCs w:val="24"/>
        </w:rPr>
        <w:t>MD</w:t>
      </w:r>
      <w:r w:rsidR="00F565BA" w:rsidRPr="006B42CE">
        <w:rPr>
          <w:i/>
          <w:sz w:val="24"/>
          <w:szCs w:val="24"/>
        </w:rPr>
        <w:t xml:space="preserve">, </w:t>
      </w:r>
      <w:r>
        <w:rPr>
          <w:i/>
          <w:sz w:val="24"/>
          <w:szCs w:val="24"/>
        </w:rPr>
        <w:t>20771</w:t>
      </w:r>
      <w:r w:rsidR="00F565BA" w:rsidRPr="006B42CE">
        <w:rPr>
          <w:i/>
          <w:sz w:val="24"/>
          <w:szCs w:val="24"/>
        </w:rPr>
        <w:t xml:space="preserve">, </w:t>
      </w:r>
      <w:r>
        <w:rPr>
          <w:i/>
          <w:sz w:val="24"/>
          <w:szCs w:val="24"/>
        </w:rPr>
        <w:t>United States</w:t>
      </w:r>
    </w:p>
    <w:p w14:paraId="670FE781" w14:textId="1746379D" w:rsidR="00F565BA" w:rsidRPr="00F565BA" w:rsidRDefault="00C922F9" w:rsidP="00F565BA">
      <w:pPr>
        <w:spacing w:before="480" w:after="480"/>
        <w:ind w:left="720" w:right="720" w:firstLine="288"/>
        <w:rPr>
          <w:b/>
        </w:rPr>
      </w:pPr>
      <w:r w:rsidRPr="00CA73DF">
        <w:rPr>
          <w:b/>
        </w:rPr>
        <w:t xml:space="preserve">     Propulsion subsystem surge analysis and testing was performed at NASA Goddard Space Flight Center (GSFC) in order to analytically and experimentally determine the potential for damaging dynamic pressure events in the Plankton Aerosol Cloud and ocean Ecosystem (PACE) propulsion subsystem. Surge pressures occur when propellant flow is initiated following the actuation of an isolation valve separating an upstream high pressure fluid from a downstream low pressure manifold. By design, the PACE propulsion subsystem mitigates surge pressures using an orifice, or a cavitating venturi, placed upstream of each thruster bank isolation latch valve</w:t>
      </w:r>
      <w:r>
        <w:rPr>
          <w:b/>
        </w:rPr>
        <w:t>. Venturi sizing is a balancing act</w:t>
      </w:r>
      <w:r w:rsidRPr="00CA73DF">
        <w:rPr>
          <w:b/>
        </w:rPr>
        <w:t xml:space="preserve"> due to the competing performance goals of staying within the margins of an acceptable pressure loss and maintaining surge pressures below the proof pressure rating of the subsystem components. Subsystem pressure loss is dependent upon the venturi throat diameter and is higher for smaller venturi sizes. </w:t>
      </w:r>
      <w:r w:rsidR="00384A64">
        <w:rPr>
          <w:b/>
        </w:rPr>
        <w:t>A venturi with a smaller</w:t>
      </w:r>
      <w:r w:rsidRPr="00CA73DF">
        <w:rPr>
          <w:b/>
        </w:rPr>
        <w:t xml:space="preserve"> throat diameter incurs an increased pressure loss through the orifice </w:t>
      </w:r>
      <w:r>
        <w:rPr>
          <w:b/>
        </w:rPr>
        <w:t>resulting</w:t>
      </w:r>
      <w:r w:rsidRPr="00CA73DF">
        <w:rPr>
          <w:b/>
        </w:rPr>
        <w:t xml:space="preserve"> in a reduced thruster inlet pressure and diminished thruster performance. The PACE propulsion subsystem surge analysis and testing supports system optimization, i.e. pressure drop minimization, while still meeting the surge pressure requirements to maximize overall </w:t>
      </w:r>
      <w:r>
        <w:rPr>
          <w:b/>
        </w:rPr>
        <w:t xml:space="preserve">system </w:t>
      </w:r>
      <w:r w:rsidRPr="00CA73DF">
        <w:rPr>
          <w:b/>
        </w:rPr>
        <w:t>performance.</w:t>
      </w:r>
      <w:r>
        <w:rPr>
          <w:b/>
        </w:rPr>
        <w:t xml:space="preserve"> In this paper </w:t>
      </w:r>
      <w:r w:rsidRPr="00CA73DF">
        <w:rPr>
          <w:b/>
        </w:rPr>
        <w:t xml:space="preserve">a </w:t>
      </w:r>
      <w:r>
        <w:rPr>
          <w:b/>
        </w:rPr>
        <w:t>new</w:t>
      </w:r>
      <w:r w:rsidRPr="00CA73DF">
        <w:rPr>
          <w:b/>
        </w:rPr>
        <w:t xml:space="preserve"> approach to </w:t>
      </w:r>
      <w:r>
        <w:rPr>
          <w:b/>
        </w:rPr>
        <w:t>surge pressure analytical gauging is discussed</w:t>
      </w:r>
      <w:r w:rsidRPr="00CA73DF">
        <w:rPr>
          <w:b/>
        </w:rPr>
        <w:t xml:space="preserve">, as well as its accuracy when compared </w:t>
      </w:r>
      <w:r>
        <w:rPr>
          <w:b/>
        </w:rPr>
        <w:t>to</w:t>
      </w:r>
      <w:r w:rsidRPr="00CA73DF">
        <w:rPr>
          <w:b/>
        </w:rPr>
        <w:t xml:space="preserve"> traditional </w:t>
      </w:r>
      <w:r w:rsidR="00E064DF">
        <w:rPr>
          <w:b/>
        </w:rPr>
        <w:t>surge</w:t>
      </w:r>
      <w:r w:rsidRPr="00CA73DF">
        <w:rPr>
          <w:b/>
        </w:rPr>
        <w:t xml:space="preserve"> testing</w:t>
      </w:r>
      <w:r w:rsidR="00E064DF">
        <w:rPr>
          <w:b/>
        </w:rPr>
        <w:t xml:space="preserve"> campaign</w:t>
      </w:r>
      <w:r w:rsidR="000A2BBF">
        <w:rPr>
          <w:b/>
        </w:rPr>
        <w:t>.</w:t>
      </w:r>
    </w:p>
    <w:p w14:paraId="68311E32"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Nomenclature</w:t>
      </w:r>
    </w:p>
    <w:p w14:paraId="3F60584E" w14:textId="77777777" w:rsidR="00F565BA" w:rsidRPr="00F565BA" w:rsidRDefault="00C922F9" w:rsidP="00F565BA">
      <w:pPr>
        <w:widowControl w:val="0"/>
        <w:tabs>
          <w:tab w:val="left" w:pos="864"/>
          <w:tab w:val="left" w:pos="1152"/>
        </w:tabs>
      </w:pPr>
      <w:r>
        <w:rPr>
          <w:i/>
        </w:rPr>
        <w:t>GSFC</w:t>
      </w:r>
      <w:r w:rsidR="00F565BA" w:rsidRPr="00F565BA">
        <w:tab/>
        <w:t>=</w:t>
      </w:r>
      <w:r w:rsidR="00F565BA" w:rsidRPr="00F565BA">
        <w:tab/>
      </w:r>
      <w:r>
        <w:t>Goddard Space Flight Center</w:t>
      </w:r>
    </w:p>
    <w:p w14:paraId="6E2870A4" w14:textId="77777777" w:rsidR="00F565BA" w:rsidRPr="00F565BA" w:rsidRDefault="00C922F9" w:rsidP="00F565BA">
      <w:pPr>
        <w:widowControl w:val="0"/>
        <w:tabs>
          <w:tab w:val="left" w:pos="864"/>
          <w:tab w:val="left" w:pos="1152"/>
        </w:tabs>
      </w:pPr>
      <w:r>
        <w:rPr>
          <w:i/>
        </w:rPr>
        <w:t>ID</w:t>
      </w:r>
      <w:r w:rsidR="00F565BA" w:rsidRPr="00F565BA">
        <w:rPr>
          <w:i/>
        </w:rPr>
        <w:tab/>
      </w:r>
      <w:r w:rsidR="00F565BA" w:rsidRPr="00F565BA">
        <w:t>=</w:t>
      </w:r>
      <w:r w:rsidR="00F565BA" w:rsidRPr="00F565BA">
        <w:tab/>
      </w:r>
      <w:r>
        <w:t>Inside Diameter</w:t>
      </w:r>
    </w:p>
    <w:p w14:paraId="20762849" w14:textId="77777777" w:rsidR="00F565BA" w:rsidRPr="00F565BA" w:rsidRDefault="00C922F9" w:rsidP="00F565BA">
      <w:pPr>
        <w:widowControl w:val="0"/>
        <w:tabs>
          <w:tab w:val="left" w:pos="864"/>
          <w:tab w:val="left" w:pos="1152"/>
        </w:tabs>
      </w:pPr>
      <w:r>
        <w:rPr>
          <w:i/>
        </w:rPr>
        <w:t>LFD</w:t>
      </w:r>
      <w:r w:rsidR="00F565BA" w:rsidRPr="00F565BA">
        <w:rPr>
          <w:vertAlign w:val="subscript"/>
        </w:rPr>
        <w:tab/>
      </w:r>
      <w:r w:rsidR="00F565BA" w:rsidRPr="00F565BA">
        <w:t>=</w:t>
      </w:r>
      <w:r w:rsidR="00F565BA" w:rsidRPr="00F565BA">
        <w:tab/>
      </w:r>
      <w:r>
        <w:t>Liquid Fill and Drain Valve</w:t>
      </w:r>
    </w:p>
    <w:p w14:paraId="6FF430CA" w14:textId="77777777" w:rsidR="00F565BA" w:rsidRPr="00F565BA" w:rsidRDefault="00C922F9" w:rsidP="00F565BA">
      <w:pPr>
        <w:widowControl w:val="0"/>
        <w:tabs>
          <w:tab w:val="left" w:pos="864"/>
          <w:tab w:val="left" w:pos="1152"/>
        </w:tabs>
      </w:pPr>
      <w:r>
        <w:rPr>
          <w:i/>
        </w:rPr>
        <w:t>LV</w:t>
      </w:r>
      <w:r w:rsidR="00F565BA" w:rsidRPr="00F565BA">
        <w:tab/>
        <w:t>=</w:t>
      </w:r>
      <w:r w:rsidR="00F565BA" w:rsidRPr="00F565BA">
        <w:tab/>
      </w:r>
      <w:r>
        <w:t>Latch Valve</w:t>
      </w:r>
    </w:p>
    <w:p w14:paraId="06009F09" w14:textId="477717B8" w:rsidR="00F565BA" w:rsidRDefault="00C922F9" w:rsidP="00F565BA">
      <w:pPr>
        <w:widowControl w:val="0"/>
        <w:tabs>
          <w:tab w:val="left" w:pos="864"/>
          <w:tab w:val="left" w:pos="1152"/>
        </w:tabs>
      </w:pPr>
      <w:r>
        <w:rPr>
          <w:i/>
        </w:rPr>
        <w:t>MEOP</w:t>
      </w:r>
      <w:r w:rsidR="00F565BA" w:rsidRPr="00F565BA">
        <w:tab/>
        <w:t>=</w:t>
      </w:r>
      <w:r w:rsidR="00F565BA" w:rsidRPr="00F565BA">
        <w:tab/>
      </w:r>
      <w:r>
        <w:t>Maximum Expected Operating Pressure</w:t>
      </w:r>
    </w:p>
    <w:p w14:paraId="3ED5D8FE" w14:textId="3E384EE4" w:rsidR="00665605" w:rsidRPr="00F565BA" w:rsidRDefault="00665605" w:rsidP="00F565BA">
      <w:pPr>
        <w:widowControl w:val="0"/>
        <w:tabs>
          <w:tab w:val="left" w:pos="864"/>
          <w:tab w:val="left" w:pos="1152"/>
        </w:tabs>
      </w:pPr>
      <w:r>
        <w:t>MMS</w:t>
      </w:r>
      <w:r>
        <w:tab/>
        <w:t>=</w:t>
      </w:r>
      <w:r>
        <w:tab/>
      </w:r>
      <w:r w:rsidRPr="00665605">
        <w:t>Magnetospheric</w:t>
      </w:r>
      <w:r>
        <w:t xml:space="preserve"> </w:t>
      </w:r>
      <w:r w:rsidRPr="00665605">
        <w:t>MultiScale</w:t>
      </w:r>
      <w:r>
        <w:t xml:space="preserve"> </w:t>
      </w:r>
    </w:p>
    <w:p w14:paraId="60E1D43D" w14:textId="77777777" w:rsidR="00F565BA" w:rsidRPr="00F565BA" w:rsidRDefault="00C922F9" w:rsidP="00F565BA">
      <w:pPr>
        <w:widowControl w:val="0"/>
        <w:tabs>
          <w:tab w:val="left" w:pos="864"/>
          <w:tab w:val="left" w:pos="1152"/>
        </w:tabs>
      </w:pPr>
      <w:r>
        <w:t>NASA</w:t>
      </w:r>
      <w:r w:rsidR="00F565BA" w:rsidRPr="00F565BA">
        <w:tab/>
        <w:t>=</w:t>
      </w:r>
      <w:r w:rsidR="00F565BA" w:rsidRPr="00F565BA">
        <w:tab/>
      </w:r>
      <w:r>
        <w:t>National Aeronautics and Space Administration</w:t>
      </w:r>
    </w:p>
    <w:p w14:paraId="52981C4C" w14:textId="77777777" w:rsidR="00F565BA" w:rsidRPr="00F565BA" w:rsidRDefault="00C922F9" w:rsidP="00F565BA">
      <w:pPr>
        <w:widowControl w:val="0"/>
        <w:tabs>
          <w:tab w:val="left" w:pos="864"/>
          <w:tab w:val="left" w:pos="1152"/>
        </w:tabs>
      </w:pPr>
      <w:r w:rsidRPr="00C922F9">
        <w:rPr>
          <w:i/>
        </w:rPr>
        <w:t>OD</w:t>
      </w:r>
      <w:r w:rsidR="00F565BA" w:rsidRPr="00F565BA">
        <w:tab/>
        <w:t>=</w:t>
      </w:r>
      <w:r w:rsidR="00F565BA" w:rsidRPr="00F565BA">
        <w:tab/>
      </w:r>
      <w:r>
        <w:t>Outside Diameter</w:t>
      </w:r>
    </w:p>
    <w:p w14:paraId="30827E48" w14:textId="77777777" w:rsidR="00F565BA" w:rsidRPr="00FF3587" w:rsidRDefault="00C922F9" w:rsidP="00F565BA">
      <w:pPr>
        <w:widowControl w:val="0"/>
        <w:tabs>
          <w:tab w:val="left" w:pos="864"/>
          <w:tab w:val="left" w:pos="1152"/>
        </w:tabs>
      </w:pPr>
      <w:r>
        <w:rPr>
          <w:i/>
        </w:rPr>
        <w:t>PACE</w:t>
      </w:r>
      <w:r w:rsidR="00F565BA" w:rsidRPr="00F565BA">
        <w:tab/>
        <w:t>=</w:t>
      </w:r>
      <w:r w:rsidR="00F565BA" w:rsidRPr="00F565BA">
        <w:tab/>
      </w:r>
      <w:r w:rsidR="00FF3587" w:rsidRPr="00FF3587">
        <w:t>Plankton, Aerosols, Clouds and ocean Ecosystems</w:t>
      </w:r>
    </w:p>
    <w:p w14:paraId="19334E80" w14:textId="202ABE2B" w:rsidR="00F565BA" w:rsidRDefault="00C922F9" w:rsidP="00F565BA">
      <w:pPr>
        <w:widowControl w:val="0"/>
        <w:tabs>
          <w:tab w:val="left" w:pos="864"/>
          <w:tab w:val="left" w:pos="1152"/>
        </w:tabs>
      </w:pPr>
      <w:r>
        <w:rPr>
          <w:i/>
        </w:rPr>
        <w:t>TD</w:t>
      </w:r>
      <w:r w:rsidR="00F565BA" w:rsidRPr="00F565BA">
        <w:tab/>
        <w:t>=</w:t>
      </w:r>
      <w:r w:rsidR="00F565BA" w:rsidRPr="00F565BA">
        <w:tab/>
      </w:r>
      <w:r w:rsidR="00FF3587">
        <w:t>Thermal Desktop</w:t>
      </w:r>
    </w:p>
    <w:p w14:paraId="22CE3E35" w14:textId="77777777" w:rsidR="00E064DF" w:rsidRPr="00FF3587" w:rsidRDefault="00E064DF" w:rsidP="00F565BA">
      <w:pPr>
        <w:widowControl w:val="0"/>
        <w:tabs>
          <w:tab w:val="left" w:pos="864"/>
          <w:tab w:val="left" w:pos="1152"/>
        </w:tabs>
      </w:pPr>
    </w:p>
    <w:p w14:paraId="60573CC5"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lastRenderedPageBreak/>
        <w:t>Introduction</w:t>
      </w:r>
    </w:p>
    <w:p w14:paraId="286D8B08" w14:textId="5D27D906" w:rsidR="00BA31E5" w:rsidRDefault="00FF3587" w:rsidP="00BA31E5">
      <w:pPr>
        <w:autoSpaceDE w:val="0"/>
        <w:autoSpaceDN w:val="0"/>
        <w:adjustRightInd w:val="0"/>
        <w:ind w:firstLine="180"/>
      </w:pPr>
      <w:r w:rsidRPr="00CA73DF">
        <w:t xml:space="preserve">Analytically gauging surge pressure </w:t>
      </w:r>
      <w:r w:rsidR="002D3880">
        <w:t>with</w:t>
      </w:r>
      <w:r>
        <w:t xml:space="preserve"> the use of a computer </w:t>
      </w:r>
      <w:r w:rsidR="00E064DF">
        <w:t>simulation</w:t>
      </w:r>
      <w:r>
        <w:t xml:space="preserve"> </w:t>
      </w:r>
      <w:r w:rsidRPr="00CA73DF">
        <w:t>provides numerous b</w:t>
      </w:r>
      <w:r>
        <w:t xml:space="preserve">enefits to </w:t>
      </w:r>
      <w:r w:rsidR="00042EA4">
        <w:t xml:space="preserve">current and </w:t>
      </w:r>
      <w:r>
        <w:t>future NASA missions. T</w:t>
      </w:r>
      <w:r w:rsidRPr="00CA73DF">
        <w:t xml:space="preserve">hese include </w:t>
      </w:r>
      <w:r w:rsidR="00DE5F9B">
        <w:t>quantification of</w:t>
      </w:r>
      <w:r w:rsidRPr="00CA73DF">
        <w:t xml:space="preserve"> surge</w:t>
      </w:r>
      <w:r w:rsidR="009B0C49">
        <w:t xml:space="preserve"> pressure</w:t>
      </w:r>
      <w:r w:rsidRPr="00CA73DF">
        <w:t xml:space="preserve"> magnitudes</w:t>
      </w:r>
      <w:r w:rsidR="00042EA4">
        <w:t>,</w:t>
      </w:r>
      <w:r w:rsidRPr="00CA73DF">
        <w:t xml:space="preserve"> allowing for cavitating orifice</w:t>
      </w:r>
      <w:r w:rsidR="00042EA4">
        <w:t>,</w:t>
      </w:r>
      <w:r w:rsidRPr="00CA73DF">
        <w:t xml:space="preserve"> or venturi</w:t>
      </w:r>
      <w:r w:rsidR="00042EA4">
        <w:t>,</w:t>
      </w:r>
      <w:r w:rsidRPr="00CA73DF">
        <w:t xml:space="preserve"> </w:t>
      </w:r>
      <w:r>
        <w:t xml:space="preserve">sizing </w:t>
      </w:r>
      <w:r w:rsidRPr="00CA73DF">
        <w:t xml:space="preserve">to be </w:t>
      </w:r>
      <w:r>
        <w:t>accomplished</w:t>
      </w:r>
      <w:r w:rsidRPr="00CA73DF">
        <w:t xml:space="preserve"> without the need for developing and testing a</w:t>
      </w:r>
      <w:r w:rsidR="00E064DF">
        <w:t xml:space="preserve"> propulsion feed subsystem flight</w:t>
      </w:r>
      <w:r w:rsidRPr="00CA73DF">
        <w:t xml:space="preserve"> </w:t>
      </w:r>
      <w:r w:rsidR="00042EA4">
        <w:t>physical model</w:t>
      </w:r>
      <w:r w:rsidRPr="00CA73DF">
        <w:t xml:space="preserve">, </w:t>
      </w:r>
      <w:r>
        <w:t>saving</w:t>
      </w:r>
      <w:r w:rsidR="00453C32">
        <w:t xml:space="preserve"> on</w:t>
      </w:r>
      <w:r>
        <w:t xml:space="preserve"> both</w:t>
      </w:r>
      <w:r w:rsidRPr="00CA73DF">
        <w:t xml:space="preserve"> </w:t>
      </w:r>
      <w:r w:rsidR="00E064DF">
        <w:t>cost</w:t>
      </w:r>
      <w:r w:rsidRPr="00CA73DF">
        <w:t xml:space="preserve"> and </w:t>
      </w:r>
      <w:r w:rsidR="00E064DF">
        <w:t>schedule</w:t>
      </w:r>
      <w:r w:rsidRPr="00CA73DF">
        <w:t xml:space="preserve">. </w:t>
      </w:r>
      <w:r>
        <w:t xml:space="preserve">This </w:t>
      </w:r>
      <w:r w:rsidR="00042EA4">
        <w:t xml:space="preserve">analytical approach </w:t>
      </w:r>
      <w:r>
        <w:t xml:space="preserve">also proves helpful in reducing the uncertainty in a non 1:1 testing setup, where the so called </w:t>
      </w:r>
      <w:r w:rsidR="00042EA4">
        <w:t>“</w:t>
      </w:r>
      <w:r>
        <w:t>worst case</w:t>
      </w:r>
      <w:r w:rsidR="00042EA4">
        <w:t>”</w:t>
      </w:r>
      <w:r>
        <w:t xml:space="preserve"> propulsion subsystem is empirically tested. </w:t>
      </w:r>
      <w:r w:rsidRPr="00CA73DF">
        <w:t xml:space="preserve">In order to </w:t>
      </w:r>
      <w:r>
        <w:t>evaluate</w:t>
      </w:r>
      <w:r w:rsidRPr="00CA73DF">
        <w:t xml:space="preserve"> the </w:t>
      </w:r>
      <w:r>
        <w:t xml:space="preserve">analytically determined surge pressure magnitudes </w:t>
      </w:r>
      <w:r w:rsidRPr="00CA73DF">
        <w:t>accuracy</w:t>
      </w:r>
      <w:r>
        <w:t>, initial software modeling</w:t>
      </w:r>
      <w:r w:rsidRPr="00CA73DF">
        <w:t xml:space="preserve"> </w:t>
      </w:r>
      <w:r>
        <w:t>must</w:t>
      </w:r>
      <w:r w:rsidRPr="00CA73DF">
        <w:t xml:space="preserve"> be </w:t>
      </w:r>
      <w:r>
        <w:t>compared</w:t>
      </w:r>
      <w:r w:rsidRPr="00CA73DF">
        <w:t xml:space="preserve"> against experimental data</w:t>
      </w:r>
      <w:r>
        <w:t xml:space="preserve">. In order to eliminate the greatest number of </w:t>
      </w:r>
      <w:r w:rsidR="00E064DF">
        <w:t>dissimilarities</w:t>
      </w:r>
      <w:r>
        <w:t>, the empirical testing must match the model, i.e.</w:t>
      </w:r>
      <w:r w:rsidRPr="00CA73DF">
        <w:t xml:space="preserve"> mimicking the spacecraft unique propulsion feed system. The testing and analysis being described in this paper is unique to the PACE </w:t>
      </w:r>
      <w:r>
        <w:t>propulsion subsystem,</w:t>
      </w:r>
      <w:r w:rsidRPr="00CA73DF">
        <w:t xml:space="preserve"> but is representative of typical testing performed by NASA GSFC</w:t>
      </w:r>
      <w:r>
        <w:t xml:space="preserve"> Code 597 Propulsion </w:t>
      </w:r>
      <w:r w:rsidRPr="0011331B">
        <w:t>[</w:t>
      </w:r>
      <w:r w:rsidR="00FB4F77">
        <w:t>1, 2</w:t>
      </w:r>
      <w:r w:rsidRPr="0011331B">
        <w:t>].</w:t>
      </w:r>
      <w:r w:rsidR="00BA31E5">
        <w:t xml:space="preserve"> </w:t>
      </w:r>
    </w:p>
    <w:p w14:paraId="132C8E97" w14:textId="04F7A9B8" w:rsidR="00ED3A37" w:rsidRDefault="00FF3587" w:rsidP="00C32304">
      <w:pPr>
        <w:pStyle w:val="CommentText"/>
      </w:pPr>
      <w:r w:rsidRPr="00CA73DF">
        <w:t>The PACE propulsion subsystem is a monopropellant blowdown hydrazine architecture. It uses a single diaphragm propellant tank and eight (8) x 22N (4.95 lbf) thrusters separated into two banks of four (4) primary and four (4) r</w:t>
      </w:r>
      <w:r w:rsidR="000B12C2">
        <w:t>edundant, depicted in Fig.</w:t>
      </w:r>
      <w:r>
        <w:t xml:space="preserve"> 1 </w:t>
      </w:r>
      <w:r w:rsidRPr="00CA73DF">
        <w:t xml:space="preserve">below. The Maximum </w:t>
      </w:r>
      <w:r w:rsidRPr="00C32304">
        <w:t>Expected Operating Pressure (MEOP) for the system is 400 psia (27.58 bar) at 50°C. Propulsion subsystem venturi sizing</w:t>
      </w:r>
      <w:r w:rsidR="00E064DF" w:rsidRPr="00C32304">
        <w:t xml:space="preserve"> methodology</w:t>
      </w:r>
      <w:r w:rsidR="009B0C49" w:rsidRPr="00C32304">
        <w:t>, unique to spacecraft propulsion feed systems at GSFC,</w:t>
      </w:r>
      <w:r w:rsidRPr="00C32304">
        <w:t xml:space="preserve"> includes selecting a range of orifices based on past mission practices</w:t>
      </w:r>
      <w:r w:rsidR="000B12C2" w:rsidRPr="00C32304">
        <w:t xml:space="preserve"> and </w:t>
      </w:r>
      <w:r w:rsidR="00E064DF" w:rsidRPr="00C32304">
        <w:t xml:space="preserve">sizing below </w:t>
      </w:r>
      <w:r w:rsidR="004C56AA" w:rsidRPr="00C32304">
        <w:t>allowable</w:t>
      </w:r>
      <w:r w:rsidR="000B12C2" w:rsidRPr="00C32304">
        <w:t xml:space="preserve"> </w:t>
      </w:r>
      <w:r w:rsidR="004C56AA" w:rsidRPr="00C32304">
        <w:t xml:space="preserve">component </w:t>
      </w:r>
      <w:r w:rsidR="000B12C2" w:rsidRPr="00C32304">
        <w:t>peak surge pressures</w:t>
      </w:r>
      <w:r w:rsidR="00620E0B" w:rsidRPr="00C32304">
        <w:t xml:space="preserve"> [</w:t>
      </w:r>
      <w:r w:rsidR="00F975C4" w:rsidRPr="00C32304">
        <w:t>3</w:t>
      </w:r>
      <w:r w:rsidR="00620E0B" w:rsidRPr="00C32304">
        <w:t xml:space="preserve">] </w:t>
      </w:r>
      <w:r w:rsidR="00E064DF" w:rsidRPr="00C32304">
        <w:t>followed by</w:t>
      </w:r>
      <w:r w:rsidR="004C56AA" w:rsidRPr="00C32304">
        <w:t xml:space="preserve"> </w:t>
      </w:r>
      <w:r w:rsidR="00E064DF" w:rsidRPr="00C32304">
        <w:t xml:space="preserve">a testing campaign to characterize </w:t>
      </w:r>
      <w:r w:rsidR="004C56AA" w:rsidRPr="00C32304">
        <w:t>each venturi at</w:t>
      </w:r>
      <w:r w:rsidRPr="00C32304">
        <w:t xml:space="preserve"> flight like conditions in a laboratory environment. </w:t>
      </w:r>
      <w:r w:rsidR="007D7F60" w:rsidRPr="00C32304">
        <w:t>During this testing</w:t>
      </w:r>
      <w:r w:rsidR="00165BC5" w:rsidRPr="00C32304">
        <w:t>,</w:t>
      </w:r>
      <w:r w:rsidR="007D7F60" w:rsidRPr="00C32304">
        <w:t xml:space="preserve"> dynamic pressure transducers are placed at </w:t>
      </w:r>
      <w:r w:rsidR="00E064DF" w:rsidRPr="00C32304">
        <w:t xml:space="preserve">fluid </w:t>
      </w:r>
      <w:r w:rsidR="007D7F60" w:rsidRPr="00C32304">
        <w:t xml:space="preserve">component locations and surge events are </w:t>
      </w:r>
      <w:r w:rsidR="00165BC5" w:rsidRPr="00C32304">
        <w:t xml:space="preserve">induced </w:t>
      </w:r>
      <w:r w:rsidR="007D7F60" w:rsidRPr="00C32304">
        <w:t xml:space="preserve">by creating a high pressure differential across an isolation valve. </w:t>
      </w:r>
      <w:r w:rsidR="00C32304" w:rsidRPr="00C32304">
        <w:t xml:space="preserve">The location specific dynamic pressures repeatability to remain below component specific proof pressures throughout testing is weighed against peak surge pressure magnitudes allowable at component locations. </w:t>
      </w:r>
      <w:r w:rsidRPr="00C32304">
        <w:t xml:space="preserve">The </w:t>
      </w:r>
      <w:r w:rsidR="004C56AA" w:rsidRPr="00C32304">
        <w:t>s</w:t>
      </w:r>
      <w:r w:rsidR="009B0C49" w:rsidRPr="00C32304">
        <w:t>ampled s</w:t>
      </w:r>
      <w:r w:rsidR="004C56AA" w:rsidRPr="00C32304">
        <w:t xml:space="preserve">urge pressure </w:t>
      </w:r>
      <w:r w:rsidRPr="00C32304">
        <w:t>data</w:t>
      </w:r>
      <w:r w:rsidR="004C56AA" w:rsidRPr="00C32304">
        <w:t xml:space="preserve"> </w:t>
      </w:r>
      <w:r w:rsidRPr="00C32304">
        <w:t xml:space="preserve">coupled </w:t>
      </w:r>
      <w:r w:rsidR="004C56AA" w:rsidRPr="00C32304">
        <w:t>with</w:t>
      </w:r>
      <w:r w:rsidRPr="00C32304">
        <w:t xml:space="preserve"> the venturi pressure drop performance gives </w:t>
      </w:r>
      <w:r w:rsidR="004C56AA" w:rsidRPr="00C32304">
        <w:t xml:space="preserve">the </w:t>
      </w:r>
      <w:r w:rsidR="009B0C49" w:rsidRPr="00C32304">
        <w:t xml:space="preserve">criteria against which </w:t>
      </w:r>
      <w:r w:rsidRPr="00C32304">
        <w:t>venturi selection</w:t>
      </w:r>
      <w:r w:rsidR="00165BC5" w:rsidRPr="00C32304">
        <w:t xml:space="preserve"> is made</w:t>
      </w:r>
      <w:r w:rsidRPr="00C32304">
        <w:t xml:space="preserve">. </w:t>
      </w:r>
      <w:r w:rsidR="00165BC5" w:rsidRPr="00C32304">
        <w:t>V</w:t>
      </w:r>
      <w:r w:rsidRPr="00C32304">
        <w:t>enturi sizi</w:t>
      </w:r>
      <w:r w:rsidR="00620E0B" w:rsidRPr="00C32304">
        <w:t>ng and surge testing</w:t>
      </w:r>
      <w:r w:rsidR="00AF22CC" w:rsidRPr="00C32304">
        <w:t xml:space="preserve"> [</w:t>
      </w:r>
      <w:r w:rsidR="00F975C4" w:rsidRPr="00C32304">
        <w:t>1</w:t>
      </w:r>
      <w:r w:rsidR="00E064DF" w:rsidRPr="00C32304">
        <w:t xml:space="preserve">] begins </w:t>
      </w:r>
      <w:r w:rsidR="00CE7605" w:rsidRPr="00C32304">
        <w:t>with the Joukowsky equation</w:t>
      </w:r>
      <w:r w:rsidR="0033632A" w:rsidRPr="00C32304">
        <w:t xml:space="preserve"> </w:t>
      </w:r>
      <w:r w:rsidR="008C521E" w:rsidRPr="00C32304">
        <w:t>[</w:t>
      </w:r>
      <w:r w:rsidR="00F975C4" w:rsidRPr="00C32304">
        <w:t>4</w:t>
      </w:r>
      <w:r w:rsidR="008C521E" w:rsidRPr="00C32304">
        <w:t>]</w:t>
      </w:r>
      <w:r w:rsidR="00165BC5" w:rsidRPr="00C32304">
        <w:t>,</w:t>
      </w:r>
      <w:r w:rsidR="008C521E" w:rsidRPr="00C32304">
        <w:t xml:space="preserve"> </w:t>
      </w:r>
      <w:r w:rsidR="0033632A" w:rsidRPr="00C32304">
        <w:t xml:space="preserve">which can be used to calculate a </w:t>
      </w:r>
      <w:r w:rsidR="00453C32" w:rsidRPr="00C32304">
        <w:t>single value surge pressure unique</w:t>
      </w:r>
      <w:r w:rsidR="0033632A" w:rsidRPr="00C32304">
        <w:t xml:space="preserve"> for </w:t>
      </w:r>
      <w:r w:rsidR="00384A64" w:rsidRPr="00C32304">
        <w:t xml:space="preserve">the </w:t>
      </w:r>
      <w:r w:rsidR="0033632A" w:rsidRPr="00C32304">
        <w:t>venturi, knowing the cavitation flow rate unique to the throat diameter</w:t>
      </w:r>
      <w:r w:rsidR="00CE7605" w:rsidRPr="00C32304">
        <w:t xml:space="preserve">. </w:t>
      </w:r>
      <w:r w:rsidR="0033632A" w:rsidRPr="00C32304">
        <w:t>Using the</w:t>
      </w:r>
      <w:r w:rsidRPr="00C32304">
        <w:t xml:space="preserve"> Joukowsky equation</w:t>
      </w:r>
      <w:r w:rsidR="00165BC5" w:rsidRPr="00C32304">
        <w:t>,</w:t>
      </w:r>
      <w:r w:rsidR="00E064DF" w:rsidRPr="00C32304">
        <w:t xml:space="preserve"> </w:t>
      </w:r>
      <w:r w:rsidR="008F6BAA" w:rsidRPr="00C32304">
        <w:t>a</w:t>
      </w:r>
      <w:r w:rsidR="0033632A" w:rsidRPr="00C32304">
        <w:t xml:space="preserve"> preliminarily </w:t>
      </w:r>
      <w:r w:rsidR="008F6BAA" w:rsidRPr="00C32304">
        <w:t>set of</w:t>
      </w:r>
      <w:r w:rsidRPr="00C32304">
        <w:t xml:space="preserve"> three (3) different venturi throat diameters</w:t>
      </w:r>
      <w:r w:rsidR="008F6BAA" w:rsidRPr="00C32304">
        <w:t xml:space="preserve"> were selected, each having the</w:t>
      </w:r>
      <w:r w:rsidRPr="00C32304">
        <w:t xml:space="preserve"> </w:t>
      </w:r>
      <w:r w:rsidR="0033632A" w:rsidRPr="00C32304">
        <w:t xml:space="preserve">potential to be </w:t>
      </w:r>
      <w:r w:rsidR="00165BC5" w:rsidRPr="00C32304">
        <w:t xml:space="preserve">implemented </w:t>
      </w:r>
      <w:r w:rsidR="008F6BAA" w:rsidRPr="00C32304">
        <w:t>in</w:t>
      </w:r>
      <w:r w:rsidR="0033632A" w:rsidRPr="00C32304">
        <w:t xml:space="preserve"> the </w:t>
      </w:r>
      <w:r w:rsidRPr="00C32304">
        <w:t>PACE propulsion subsystem</w:t>
      </w:r>
      <w:r w:rsidR="008F6BAA" w:rsidRPr="00C32304">
        <w:t xml:space="preserve"> for surge mitigation</w:t>
      </w:r>
      <w:r w:rsidRPr="00C32304">
        <w:t>. Each</w:t>
      </w:r>
      <w:r w:rsidR="008F6BAA" w:rsidRPr="00C32304">
        <w:t xml:space="preserve"> venturi</w:t>
      </w:r>
      <w:r w:rsidRPr="00C32304">
        <w:t xml:space="preserve"> geometry was flow tested to determine their corresponding pressure drop</w:t>
      </w:r>
      <w:r w:rsidR="0033632A" w:rsidRPr="00C32304">
        <w:t xml:space="preserve"> and cavitation flow rate</w:t>
      </w:r>
      <w:r w:rsidRPr="00C32304">
        <w:t xml:space="preserve"> and additionally tested in the PACE propulsion subsystem surge campaign. This </w:t>
      </w:r>
      <w:r w:rsidR="0033632A" w:rsidRPr="00C32304">
        <w:t xml:space="preserve">approach to </w:t>
      </w:r>
      <w:r w:rsidR="00C32304" w:rsidRPr="00C32304">
        <w:t>testing each of the selected</w:t>
      </w:r>
      <w:r w:rsidR="0033632A" w:rsidRPr="00C32304">
        <w:t xml:space="preserve"> venturi </w:t>
      </w:r>
      <w:r w:rsidR="00C32304" w:rsidRPr="00C32304">
        <w:t xml:space="preserve">in an identical feed system </w:t>
      </w:r>
      <w:r w:rsidRPr="00C32304">
        <w:t xml:space="preserve">was strategic in order </w:t>
      </w:r>
      <w:r w:rsidR="00384A64" w:rsidRPr="00C32304">
        <w:t xml:space="preserve">to gather data </w:t>
      </w:r>
      <w:r w:rsidRPr="00C32304">
        <w:t>to shape a criteria to evaluate the surge</w:t>
      </w:r>
      <w:r>
        <w:t xml:space="preserve"> computational model</w:t>
      </w:r>
      <w:r w:rsidRPr="00CA73DF">
        <w:t xml:space="preserve">. </w:t>
      </w:r>
    </w:p>
    <w:p w14:paraId="09BEB077" w14:textId="5EDBD456" w:rsidR="00FF3587" w:rsidRPr="00CA73DF" w:rsidRDefault="00FF3587" w:rsidP="00BA31E5">
      <w:pPr>
        <w:autoSpaceDE w:val="0"/>
        <w:autoSpaceDN w:val="0"/>
        <w:adjustRightInd w:val="0"/>
        <w:ind w:firstLine="180"/>
      </w:pPr>
      <w:r w:rsidRPr="00CA73DF">
        <w:t>The PACE propulsion subsystem design</w:t>
      </w:r>
      <w:r w:rsidR="00165BC5">
        <w:t xml:space="preserve"> details</w:t>
      </w:r>
      <w:r w:rsidRPr="00CA73DF">
        <w:t>, component specifications</w:t>
      </w:r>
      <w:r>
        <w:t xml:space="preserve"> relevant to the surge flow model (i.e. pressure drops, valve opening times)</w:t>
      </w:r>
      <w:r w:rsidRPr="00CA73DF">
        <w:t xml:space="preserve">, and driving parameters were implemented in the </w:t>
      </w:r>
      <w:r>
        <w:t>computational</w:t>
      </w:r>
      <w:r w:rsidRPr="00CA73DF">
        <w:t xml:space="preserve"> model. </w:t>
      </w:r>
      <w:r>
        <w:t>Considerable effort</w:t>
      </w:r>
      <w:r w:rsidRPr="00CA73DF">
        <w:t xml:space="preserve"> was made to make both the </w:t>
      </w:r>
      <w:r>
        <w:t xml:space="preserve">analytical </w:t>
      </w:r>
      <w:r w:rsidRPr="00CA73DF">
        <w:t xml:space="preserve">model and </w:t>
      </w:r>
      <w:r w:rsidR="00165BC5">
        <w:t xml:space="preserve">physical </w:t>
      </w:r>
      <w:r>
        <w:t xml:space="preserve">surge </w:t>
      </w:r>
      <w:r w:rsidRPr="00CA73DF">
        <w:t>test</w:t>
      </w:r>
      <w:r w:rsidR="008F6BAA">
        <w:t>ing</w:t>
      </w:r>
      <w:r w:rsidRPr="00CA73DF">
        <w:t xml:space="preserve"> setup as analogous as possible to the flight system with the exception of the recreation of the redundant thruster bank</w:t>
      </w:r>
      <w:r>
        <w:t xml:space="preserve">, since each bank is </w:t>
      </w:r>
      <w:r w:rsidR="00165BC5">
        <w:t>identical</w:t>
      </w:r>
      <w:r w:rsidRPr="00CA73DF">
        <w:t>.</w:t>
      </w:r>
      <w:r>
        <w:t xml:space="preserve"> Recreating the flight configuration of the propulsion subsystem in the experiment</w:t>
      </w:r>
      <w:r w:rsidR="00165BC5">
        <w:t xml:space="preserve"> as closely as possible</w:t>
      </w:r>
      <w:r>
        <w:t xml:space="preserve"> provides results more analogous to those which </w:t>
      </w:r>
      <w:r w:rsidR="00165BC5">
        <w:t xml:space="preserve">will </w:t>
      </w:r>
      <w:r>
        <w:t xml:space="preserve">occur in the spacecraft operation on-orbit mission scenario. </w:t>
      </w:r>
      <w:r w:rsidRPr="00CA73DF">
        <w:t xml:space="preserve">Figure 1 shows the PACE propulsion subsystem fluid schematic with the dashed line indicating the fluid sections relevant to the surge analysis and testing. The redundant thruster bank was isolated during testing and analysis in order to </w:t>
      </w:r>
      <w:r>
        <w:t>assess</w:t>
      </w:r>
      <w:r w:rsidRPr="00CA73DF">
        <w:t xml:space="preserve"> </w:t>
      </w:r>
      <w:r>
        <w:t xml:space="preserve">the surge </w:t>
      </w:r>
      <w:r w:rsidRPr="00CA73DF">
        <w:t>pressure wave</w:t>
      </w:r>
      <w:r>
        <w:t xml:space="preserve"> </w:t>
      </w:r>
      <w:r w:rsidR="008F6BAA">
        <w:t>impacting</w:t>
      </w:r>
      <w:r>
        <w:t xml:space="preserve"> the closed latching isolation valve.</w:t>
      </w:r>
      <w:r w:rsidRPr="00CA73DF">
        <w:t xml:space="preserve"> The subsystem components of primary interest for the surge analysis and testing are sensitive </w:t>
      </w:r>
      <w:r>
        <w:t xml:space="preserve">to pressure spikes </w:t>
      </w:r>
      <w:r w:rsidRPr="00CA73DF">
        <w:t xml:space="preserve">and </w:t>
      </w:r>
      <w:r>
        <w:t xml:space="preserve">serve </w:t>
      </w:r>
      <w:r w:rsidRPr="00CA73DF">
        <w:t>mission critical</w:t>
      </w:r>
      <w:r>
        <w:t xml:space="preserve"> functions. I</w:t>
      </w:r>
      <w:r w:rsidRPr="00CA73DF">
        <w:t>f the proof pressure</w:t>
      </w:r>
      <w:r>
        <w:t xml:space="preserve"> capability</w:t>
      </w:r>
      <w:r w:rsidRPr="00CA73DF">
        <w:t xml:space="preserve"> of the components are exceeded </w:t>
      </w:r>
      <w:r>
        <w:t>in flight, damage is possible, potentially</w:t>
      </w:r>
      <w:r w:rsidRPr="00CA73DF">
        <w:t xml:space="preserve"> lead</w:t>
      </w:r>
      <w:r>
        <w:t>ing</w:t>
      </w:r>
      <w:r w:rsidRPr="00CA73DF">
        <w:t xml:space="preserve"> to mission failure. T</w:t>
      </w:r>
      <w:r>
        <w:t>he critical components in this scenario</w:t>
      </w:r>
      <w:r w:rsidRPr="00CA73DF">
        <w:t xml:space="preserve"> are: the thrusters, the closed redundant isolation latch valve, and the liquid fill and drain valve. </w:t>
      </w:r>
      <w:r>
        <w:t xml:space="preserve"> Through this effort, the PACE propulsion subsystem was designed to protect these mission critical components through the use of a </w:t>
      </w:r>
      <w:r w:rsidR="00165BC5">
        <w:t xml:space="preserve">properly sized </w:t>
      </w:r>
      <w:r>
        <w:t xml:space="preserve">surge mitigation venturi. </w:t>
      </w:r>
      <w:r w:rsidRPr="00CA73DF">
        <w:t>The</w:t>
      </w:r>
      <w:r w:rsidR="008F6BAA">
        <w:t xml:space="preserve"> upstream components, i.e. the</w:t>
      </w:r>
      <w:r w:rsidRPr="00CA73DF">
        <w:t xml:space="preserve"> gas fill and drain valve and the pressure transducers depicted in Figure 1</w:t>
      </w:r>
      <w:r w:rsidR="00165BC5">
        <w:t>,</w:t>
      </w:r>
      <w:r w:rsidRPr="00CA73DF">
        <w:t xml:space="preserve"> </w:t>
      </w:r>
      <w:r w:rsidR="00165BC5">
        <w:t>were</w:t>
      </w:r>
      <w:r w:rsidR="00165BC5" w:rsidRPr="00CA73DF">
        <w:t xml:space="preserve"> </w:t>
      </w:r>
      <w:r w:rsidRPr="00CA73DF">
        <w:t xml:space="preserve">not evaluated as </w:t>
      </w:r>
      <w:r>
        <w:t>they are</w:t>
      </w:r>
      <w:r w:rsidRPr="00CA73DF">
        <w:t xml:space="preserve"> protected from dynamic surge events by the large </w:t>
      </w:r>
      <w:r w:rsidR="008F6BAA">
        <w:t xml:space="preserve">propellant </w:t>
      </w:r>
      <w:r w:rsidRPr="00CA73DF">
        <w:t>liquid volume in the tank that acts as a dampener for reverberating pressure waves.</w:t>
      </w:r>
    </w:p>
    <w:p w14:paraId="73846F6A" w14:textId="77777777" w:rsidR="00FF3587" w:rsidRPr="00CA73DF" w:rsidRDefault="00FF3587" w:rsidP="00FF3587">
      <w:pPr>
        <w:autoSpaceDE w:val="0"/>
        <w:autoSpaceDN w:val="0"/>
        <w:adjustRightInd w:val="0"/>
      </w:pPr>
    </w:p>
    <w:p w14:paraId="3AB31976" w14:textId="77777777" w:rsidR="00FF3587" w:rsidRPr="00CA73DF" w:rsidRDefault="00FF3587" w:rsidP="00FF3587">
      <w:pPr>
        <w:keepNext/>
        <w:autoSpaceDE w:val="0"/>
        <w:autoSpaceDN w:val="0"/>
        <w:adjustRightInd w:val="0"/>
        <w:jc w:val="center"/>
      </w:pPr>
      <w:r w:rsidRPr="00CA73DF">
        <w:rPr>
          <w:noProof/>
        </w:rPr>
        <w:lastRenderedPageBreak/>
        <w:drawing>
          <wp:inline distT="0" distB="0" distL="0" distR="0" wp14:anchorId="01940C5F" wp14:editId="27AB4ACA">
            <wp:extent cx="4093535" cy="34611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0653" cy="3467214"/>
                    </a:xfrm>
                    <a:prstGeom prst="rect">
                      <a:avLst/>
                    </a:prstGeom>
                    <a:noFill/>
                    <a:ln>
                      <a:noFill/>
                    </a:ln>
                  </pic:spPr>
                </pic:pic>
              </a:graphicData>
            </a:graphic>
          </wp:inline>
        </w:drawing>
      </w:r>
    </w:p>
    <w:p w14:paraId="03E4A9B3" w14:textId="50F664F9" w:rsidR="00F565BA" w:rsidRPr="00BD4C0B" w:rsidRDefault="00FF3587" w:rsidP="00FF3587">
      <w:pPr>
        <w:pStyle w:val="Caption"/>
        <w:tabs>
          <w:tab w:val="center" w:pos="4680"/>
          <w:tab w:val="left" w:pos="7662"/>
        </w:tabs>
      </w:pPr>
      <w:r w:rsidRPr="00CA73DF">
        <w:rPr>
          <w:i/>
        </w:rPr>
        <w:tab/>
      </w:r>
      <w:r w:rsidRPr="00BD4C0B">
        <w:t>Fig</w:t>
      </w:r>
      <w:r w:rsidR="00BD4C0B" w:rsidRPr="00BD4C0B">
        <w:t xml:space="preserve">. </w:t>
      </w:r>
      <w:r w:rsidR="008C51A2">
        <w:rPr>
          <w:noProof/>
        </w:rPr>
        <w:fldChar w:fldCharType="begin"/>
      </w:r>
      <w:r w:rsidR="008C51A2">
        <w:rPr>
          <w:noProof/>
        </w:rPr>
        <w:instrText xml:space="preserve"> SEQ Figure \* ARABIC </w:instrText>
      </w:r>
      <w:r w:rsidR="008C51A2">
        <w:rPr>
          <w:noProof/>
        </w:rPr>
        <w:fldChar w:fldCharType="separate"/>
      </w:r>
      <w:r w:rsidR="00654C34">
        <w:rPr>
          <w:noProof/>
        </w:rPr>
        <w:t>1</w:t>
      </w:r>
      <w:r w:rsidR="008C51A2">
        <w:rPr>
          <w:noProof/>
        </w:rPr>
        <w:fldChar w:fldCharType="end"/>
      </w:r>
      <w:r w:rsidRPr="00BD4C0B">
        <w:t xml:space="preserve"> PACE Propulsion Subsystem Schematic</w:t>
      </w:r>
      <w:r w:rsidRPr="00BD4C0B">
        <w:tab/>
      </w:r>
    </w:p>
    <w:p w14:paraId="764EE5BB" w14:textId="77777777" w:rsidR="00FF3587" w:rsidRPr="00FF3587" w:rsidRDefault="00FF3587" w:rsidP="00FF3587">
      <w:pPr>
        <w:numPr>
          <w:ilvl w:val="0"/>
          <w:numId w:val="3"/>
        </w:numPr>
        <w:tabs>
          <w:tab w:val="left" w:pos="288"/>
        </w:tabs>
        <w:spacing w:before="240"/>
        <w:outlineLvl w:val="1"/>
        <w:rPr>
          <w:b/>
        </w:rPr>
      </w:pPr>
      <w:r>
        <w:rPr>
          <w:b/>
        </w:rPr>
        <w:t>Subsystem Manifold Tubing</w:t>
      </w:r>
    </w:p>
    <w:p w14:paraId="4BD02F7E" w14:textId="7D7EB135" w:rsidR="00FF3587" w:rsidRPr="00CA73DF" w:rsidRDefault="00FF3587" w:rsidP="00FF3587">
      <w:pPr>
        <w:autoSpaceDE w:val="0"/>
        <w:autoSpaceDN w:val="0"/>
        <w:adjustRightInd w:val="0"/>
      </w:pPr>
      <w:r w:rsidRPr="00CA73DF">
        <w:t xml:space="preserve">The PACE propulsion subsystem is composed of </w:t>
      </w:r>
      <w:r w:rsidR="00804A65" w:rsidRPr="00CA73DF">
        <w:t xml:space="preserve">304L </w:t>
      </w:r>
      <w:r w:rsidR="00453C32">
        <w:t>stainless steel</w:t>
      </w:r>
      <w:r w:rsidRPr="00CA73DF">
        <w:t xml:space="preserve"> tubing with two different outer diameters (OD) of 0.25”</w:t>
      </w:r>
      <w:r>
        <w:t xml:space="preserve"> (6.35 mm)</w:t>
      </w:r>
      <w:r w:rsidRPr="00CA73DF">
        <w:t xml:space="preserve"> and 0.375”</w:t>
      </w:r>
      <w:r>
        <w:t xml:space="preserve"> (9.53 mm)</w:t>
      </w:r>
      <w:r w:rsidR="00804A65">
        <w:t>,</w:t>
      </w:r>
      <w:r w:rsidRPr="00CA73DF">
        <w:t xml:space="preserve"> each with 0.028” </w:t>
      </w:r>
      <w:r>
        <w:t xml:space="preserve">(0.71 mm) </w:t>
      </w:r>
      <w:r w:rsidRPr="00CA73DF">
        <w:t>wall thickness. The feed lines running from the propellant tank</w:t>
      </w:r>
      <w:r>
        <w:t xml:space="preserve"> outlet</w:t>
      </w:r>
      <w:r w:rsidRPr="00CA73DF">
        <w:t xml:space="preserve"> to </w:t>
      </w:r>
      <w:r>
        <w:t xml:space="preserve">both </w:t>
      </w:r>
      <w:r w:rsidR="00B720E5">
        <w:t xml:space="preserve">of </w:t>
      </w:r>
      <w:r>
        <w:t>the latching isolation v</w:t>
      </w:r>
      <w:r w:rsidRPr="00CA73DF">
        <w:t>alves an</w:t>
      </w:r>
      <w:r>
        <w:t>d</w:t>
      </w:r>
      <w:r w:rsidRPr="00CA73DF">
        <w:t xml:space="preserve"> the liquid fill and drain valve are 0.375”</w:t>
      </w:r>
      <w:r>
        <w:t xml:space="preserve"> (9.53 mm)</w:t>
      </w:r>
      <w:r w:rsidRPr="00CA73DF">
        <w:t xml:space="preserve"> OD. Immediately downstream of the isolation valve there is a 0.375”</w:t>
      </w:r>
      <w:r w:rsidRPr="00716BEE">
        <w:t xml:space="preserve"> </w:t>
      </w:r>
      <w:r>
        <w:t>(9.53 mm)</w:t>
      </w:r>
      <w:r w:rsidRPr="00CA73DF">
        <w:t xml:space="preserve"> OD to 0.25”</w:t>
      </w:r>
      <w:r>
        <w:t xml:space="preserve"> (6.35 mm)</w:t>
      </w:r>
      <w:r w:rsidRPr="00CA73DF">
        <w:t xml:space="preserve"> OD reducer, with the 0.25”</w:t>
      </w:r>
      <w:r>
        <w:t xml:space="preserve"> (6.35 mm)</w:t>
      </w:r>
      <w:r w:rsidRPr="00CA73DF">
        <w:t xml:space="preserve"> tubing then running from the reducer to each of the thruster</w:t>
      </w:r>
      <w:r>
        <w:t xml:space="preserve"> valve</w:t>
      </w:r>
      <w:r w:rsidRPr="00CA73DF">
        <w:t xml:space="preserve"> inlets.</w:t>
      </w:r>
      <w:r>
        <w:t xml:space="preserve"> The propulsion surge testing used PACE flight</w:t>
      </w:r>
      <w:r w:rsidR="008F6BAA">
        <w:t>-like</w:t>
      </w:r>
      <w:r>
        <w:t xml:space="preserve"> tubing meeting spec AMS 5569, and corresponded almost identical</w:t>
      </w:r>
      <w:r w:rsidR="00B720E5">
        <w:t>ly</w:t>
      </w:r>
      <w:r>
        <w:t xml:space="preserve"> to the PACE propulsion subsystem </w:t>
      </w:r>
      <w:r w:rsidR="00B720E5">
        <w:t xml:space="preserve">physical layout </w:t>
      </w:r>
      <w:r>
        <w:t>geometry.</w:t>
      </w:r>
      <w:r w:rsidRPr="00CA73DF">
        <w:t xml:space="preserve"> </w:t>
      </w:r>
      <w:r>
        <w:t xml:space="preserve">For the analytical model, the </w:t>
      </w:r>
      <w:r w:rsidR="00B720E5">
        <w:t xml:space="preserve">as-designed </w:t>
      </w:r>
      <w:r>
        <w:t xml:space="preserve">CAD model was employed to match the system geometry, paying </w:t>
      </w:r>
      <w:r w:rsidR="00B720E5">
        <w:t xml:space="preserve">attention </w:t>
      </w:r>
      <w:r>
        <w:t xml:space="preserve">to </w:t>
      </w:r>
      <w:r w:rsidR="00B720E5">
        <w:t xml:space="preserve">model </w:t>
      </w:r>
      <w:r>
        <w:t xml:space="preserve">each line length and tube bend accurately. </w:t>
      </w:r>
      <w:r w:rsidR="008F6BAA">
        <w:t xml:space="preserve">The tube inner flow surface roughness </w:t>
      </w:r>
      <w:r w:rsidR="00B720E5">
        <w:t xml:space="preserve">in both the physical and analytical models </w:t>
      </w:r>
      <w:r w:rsidR="008F6BAA">
        <w:t xml:space="preserve">was also matched to the tubing at 32 RMS. </w:t>
      </w:r>
    </w:p>
    <w:p w14:paraId="0CBAD8A8" w14:textId="77777777" w:rsidR="00FF3587" w:rsidRDefault="00FF3587" w:rsidP="00FF3587"/>
    <w:p w14:paraId="77165D60" w14:textId="77777777" w:rsidR="00FF3587" w:rsidRPr="00FF3587" w:rsidRDefault="00FF3587" w:rsidP="00FF3587">
      <w:pPr>
        <w:numPr>
          <w:ilvl w:val="0"/>
          <w:numId w:val="3"/>
        </w:numPr>
        <w:tabs>
          <w:tab w:val="left" w:pos="288"/>
        </w:tabs>
        <w:spacing w:before="240"/>
        <w:outlineLvl w:val="1"/>
        <w:rPr>
          <w:b/>
        </w:rPr>
      </w:pPr>
      <w:r>
        <w:rPr>
          <w:b/>
        </w:rPr>
        <w:t>Conditions Evaluated</w:t>
      </w:r>
    </w:p>
    <w:p w14:paraId="30091C7E" w14:textId="2A2875B6" w:rsidR="00FF3587" w:rsidRPr="00CA73DF" w:rsidRDefault="00FF3587" w:rsidP="00FF3587">
      <w:pPr>
        <w:autoSpaceDE w:val="0"/>
        <w:autoSpaceDN w:val="0"/>
        <w:adjustRightInd w:val="0"/>
      </w:pPr>
      <w:r w:rsidRPr="00CA73DF">
        <w:t>Two</w:t>
      </w:r>
      <w:r>
        <w:t xml:space="preserve"> downstream </w:t>
      </w:r>
      <w:r w:rsidRPr="00CA73DF">
        <w:t>pressure conditions</w:t>
      </w:r>
      <w:r>
        <w:t xml:space="preserve"> between the thrusters and the isolation latch valves</w:t>
      </w:r>
      <w:r w:rsidRPr="00CA73DF">
        <w:t xml:space="preserve"> </w:t>
      </w:r>
      <w:r>
        <w:t>are</w:t>
      </w:r>
      <w:r w:rsidRPr="00CA73DF">
        <w:t xml:space="preserve"> germane to the </w:t>
      </w:r>
      <w:r>
        <w:t>subsystem surge mitigation</w:t>
      </w:r>
      <w:r w:rsidRPr="00CA73DF">
        <w:t>: a padded pressure scenario and a vacuum case. In the flight system</w:t>
      </w:r>
      <w:r w:rsidR="00EB6C15">
        <w:t>,</w:t>
      </w:r>
      <w:r w:rsidRPr="00CA73DF">
        <w:t xml:space="preserve"> during the final range propulsion functional test, 45 psia (3.10 bar) of gaseous helium will be left in the thruster manifold as padding to reduce the initial surge pressure event</w:t>
      </w:r>
      <w:r w:rsidR="00EB6C15">
        <w:t xml:space="preserve"> upon priming</w:t>
      </w:r>
      <w:r w:rsidRPr="00CA73DF">
        <w:t>. Directly before launch, each latch</w:t>
      </w:r>
      <w:r>
        <w:t>ing isolation</w:t>
      </w:r>
      <w:r w:rsidRPr="00CA73DF">
        <w:t xml:space="preserve"> valve will be commanded open and the pressure differential between the tank pressure at MEOP and the downstream manifold at 45 psia (3.10 bar) will drive the </w:t>
      </w:r>
      <w:r w:rsidRPr="007D7F60">
        <w:t xml:space="preserve">hydrazine propellant into the </w:t>
      </w:r>
      <w:r w:rsidR="008F6BAA">
        <w:t>downstream manifold</w:t>
      </w:r>
      <w:r w:rsidR="00EB6C15">
        <w:t>,</w:t>
      </w:r>
      <w:r w:rsidR="008F6BAA">
        <w:t xml:space="preserve"> </w:t>
      </w:r>
      <w:r w:rsidR="00EB6C15">
        <w:t xml:space="preserve">producing a pressure surge at </w:t>
      </w:r>
      <w:r w:rsidR="008F6BAA">
        <w:t xml:space="preserve">the </w:t>
      </w:r>
      <w:r w:rsidRPr="007D7F60">
        <w:t>closed engine valves. This type of operation was implemented on the GSFC MMS mission,</w:t>
      </w:r>
      <w:r>
        <w:t xml:space="preserve"> and PACE has adapted this </w:t>
      </w:r>
      <w:r w:rsidR="008C521E">
        <w:t xml:space="preserve">system level </w:t>
      </w:r>
      <w:r>
        <w:t xml:space="preserve">approach. </w:t>
      </w:r>
      <w:r w:rsidRPr="00CA73DF">
        <w:t xml:space="preserve">The helium padding significantly reduces the </w:t>
      </w:r>
      <w:r w:rsidR="00EB6C15">
        <w:t xml:space="preserve">magnitude of the </w:t>
      </w:r>
      <w:r w:rsidRPr="00CA73DF">
        <w:t>surge pressure event</w:t>
      </w:r>
      <w:r w:rsidR="00EB6C15">
        <w:t>,</w:t>
      </w:r>
      <w:r w:rsidRPr="00CA73DF">
        <w:t xml:space="preserve"> </w:t>
      </w:r>
      <w:r>
        <w:t xml:space="preserve">resulting in a minimal pressure rise realized in the </w:t>
      </w:r>
      <w:r w:rsidRPr="00CA73DF">
        <w:t xml:space="preserve">propulsion subsystem components. The </w:t>
      </w:r>
      <w:r w:rsidR="008C521E">
        <w:t>second case</w:t>
      </w:r>
      <w:r w:rsidRPr="00CA73DF">
        <w:t xml:space="preserve"> </w:t>
      </w:r>
      <w:r w:rsidR="008C521E">
        <w:t>has</w:t>
      </w:r>
      <w:r w:rsidRPr="00CA73DF">
        <w:t xml:space="preserve"> the downstream manifold at </w:t>
      </w:r>
      <w:r w:rsidR="008C521E">
        <w:t>vacuum and</w:t>
      </w:r>
      <w:r w:rsidRPr="00CA73DF">
        <w:t xml:space="preserve"> represents an off-nominal on-orbit failure of a leaky thruster valve </w:t>
      </w:r>
      <w:r w:rsidR="008C521E">
        <w:t xml:space="preserve">which causes the </w:t>
      </w:r>
      <w:r w:rsidRPr="00CA73DF">
        <w:t xml:space="preserve">downstream </w:t>
      </w:r>
      <w:r w:rsidR="008C521E">
        <w:t xml:space="preserve">pressure to fall to near </w:t>
      </w:r>
      <w:r w:rsidRPr="00CA73DF">
        <w:t>vacuum over</w:t>
      </w:r>
      <w:r>
        <w:t xml:space="preserve"> some finite</w:t>
      </w:r>
      <w:r w:rsidRPr="00CA73DF">
        <w:t xml:space="preserve"> time</w:t>
      </w:r>
      <w:r>
        <w:t>frame. In this scenario</w:t>
      </w:r>
      <w:r w:rsidR="00EB6C15">
        <w:t>,</w:t>
      </w:r>
      <w:r>
        <w:t xml:space="preserve"> the thruster anomaly would result in the latching isolation valve being closed on-orbit, and as such the re-opening (at some point in the mission</w:t>
      </w:r>
      <w:r w:rsidR="008C521E">
        <w:t xml:space="preserve"> to perform a spacecraft maneuver</w:t>
      </w:r>
      <w:r>
        <w:t xml:space="preserve">) into </w:t>
      </w:r>
      <w:r w:rsidR="00453C32">
        <w:t xml:space="preserve">the </w:t>
      </w:r>
      <w:r>
        <w:t>downstream vacuum condition causes substantially higher surge pressure peaks.</w:t>
      </w:r>
      <w:r w:rsidRPr="00CA73DF">
        <w:t xml:space="preserve"> Due to testing constraints</w:t>
      </w:r>
      <w:r w:rsidR="00EB6C15">
        <w:t>,</w:t>
      </w:r>
      <w:r w:rsidRPr="00CA73DF">
        <w:t xml:space="preserve"> the vacuum limit attainable during </w:t>
      </w:r>
      <w:r>
        <w:t>experim</w:t>
      </w:r>
      <w:r w:rsidR="008C521E">
        <w:t>ental testing was 7.2 torr (</w:t>
      </w:r>
      <w:r>
        <w:t>0.14 psia</w:t>
      </w:r>
      <w:r w:rsidR="008C521E">
        <w:t>)</w:t>
      </w:r>
      <w:r>
        <w:t>. T</w:t>
      </w:r>
      <w:r w:rsidRPr="00CA73DF">
        <w:t xml:space="preserve">his vacuum limit was incorporated in the </w:t>
      </w:r>
      <w:r>
        <w:t>computational</w:t>
      </w:r>
      <w:r w:rsidRPr="00CA73DF">
        <w:t xml:space="preserve"> model for consistency. Table 1</w:t>
      </w:r>
      <w:r>
        <w:t>,</w:t>
      </w:r>
      <w:r w:rsidRPr="00CA73DF">
        <w:t xml:space="preserve"> below</w:t>
      </w:r>
      <w:r>
        <w:t>,</w:t>
      </w:r>
      <w:r w:rsidRPr="00CA73DF">
        <w:t xml:space="preserve"> shows the different </w:t>
      </w:r>
      <w:r>
        <w:t xml:space="preserve">analytical </w:t>
      </w:r>
      <w:r w:rsidRPr="00CA73DF">
        <w:t xml:space="preserve">simulation cases </w:t>
      </w:r>
      <w:r>
        <w:t xml:space="preserve">evaluated. </w:t>
      </w:r>
    </w:p>
    <w:p w14:paraId="6896E7E9" w14:textId="77777777" w:rsidR="00FF3587" w:rsidRPr="00CA73DF" w:rsidRDefault="00FF3587" w:rsidP="00FF3587">
      <w:pPr>
        <w:autoSpaceDE w:val="0"/>
        <w:autoSpaceDN w:val="0"/>
        <w:adjustRightInd w:val="0"/>
      </w:pPr>
    </w:p>
    <w:p w14:paraId="004BC332" w14:textId="1B98A588" w:rsidR="00FF3587" w:rsidRPr="00BD4C0B" w:rsidRDefault="00FF3587" w:rsidP="00FF3587">
      <w:pPr>
        <w:pStyle w:val="Caption"/>
        <w:keepNext/>
        <w:jc w:val="center"/>
      </w:pPr>
      <w:r w:rsidRPr="00BD4C0B">
        <w:t xml:space="preserve">Table </w:t>
      </w:r>
      <w:r w:rsidR="008C51A2">
        <w:rPr>
          <w:noProof/>
        </w:rPr>
        <w:fldChar w:fldCharType="begin"/>
      </w:r>
      <w:r w:rsidR="008C51A2">
        <w:rPr>
          <w:noProof/>
        </w:rPr>
        <w:instrText xml:space="preserve"> SEQ Table \*</w:instrText>
      </w:r>
      <w:r w:rsidR="008C51A2">
        <w:rPr>
          <w:noProof/>
        </w:rPr>
        <w:instrText xml:space="preserve"> ARABIC </w:instrText>
      </w:r>
      <w:r w:rsidR="008C51A2">
        <w:rPr>
          <w:noProof/>
        </w:rPr>
        <w:fldChar w:fldCharType="separate"/>
      </w:r>
      <w:r w:rsidRPr="00BD4C0B">
        <w:rPr>
          <w:noProof/>
        </w:rPr>
        <w:t>1</w:t>
      </w:r>
      <w:r w:rsidR="008C51A2">
        <w:rPr>
          <w:noProof/>
        </w:rPr>
        <w:fldChar w:fldCharType="end"/>
      </w:r>
      <w:r w:rsidRPr="00BD4C0B">
        <w:t xml:space="preserve"> Simulation Cases</w:t>
      </w:r>
    </w:p>
    <w:tbl>
      <w:tblPr>
        <w:tblStyle w:val="TableGrid"/>
        <w:tblW w:w="0" w:type="auto"/>
        <w:jc w:val="center"/>
        <w:tblLook w:val="04A0" w:firstRow="1" w:lastRow="0" w:firstColumn="1" w:lastColumn="0" w:noHBand="0" w:noVBand="1"/>
      </w:tblPr>
      <w:tblGrid>
        <w:gridCol w:w="1799"/>
        <w:gridCol w:w="2250"/>
        <w:gridCol w:w="2015"/>
        <w:gridCol w:w="2004"/>
        <w:gridCol w:w="1282"/>
      </w:tblGrid>
      <w:tr w:rsidR="00256249" w:rsidRPr="00CA73DF" w14:paraId="18C57AFC" w14:textId="77777777" w:rsidTr="00256249">
        <w:trPr>
          <w:jc w:val="center"/>
        </w:trPr>
        <w:tc>
          <w:tcPr>
            <w:tcW w:w="0" w:type="auto"/>
            <w:shd w:val="clear" w:color="auto" w:fill="D9D9D9" w:themeFill="background1" w:themeFillShade="D9"/>
          </w:tcPr>
          <w:p w14:paraId="758BF7B4" w14:textId="2A40CB66"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Venturi</w:t>
            </w:r>
            <w:r>
              <w:rPr>
                <w:rFonts w:ascii="Times New Roman" w:hAnsi="Times New Roman" w:cs="Times New Roman"/>
                <w:sz w:val="20"/>
                <w:szCs w:val="20"/>
              </w:rPr>
              <w:t xml:space="preserve"> Throat</w:t>
            </w:r>
            <w:r w:rsidRPr="00CA73DF">
              <w:rPr>
                <w:rFonts w:ascii="Times New Roman" w:hAnsi="Times New Roman" w:cs="Times New Roman"/>
                <w:sz w:val="20"/>
                <w:szCs w:val="20"/>
              </w:rPr>
              <w:t xml:space="preserve"> ID (in)</w:t>
            </w:r>
          </w:p>
        </w:tc>
        <w:tc>
          <w:tcPr>
            <w:tcW w:w="0" w:type="auto"/>
            <w:shd w:val="clear" w:color="auto" w:fill="D9D9D9" w:themeFill="background1" w:themeFillShade="D9"/>
          </w:tcPr>
          <w:p w14:paraId="59470CF6" w14:textId="19DBDFB3" w:rsidR="00256249" w:rsidRPr="00CA73DF" w:rsidRDefault="00256249" w:rsidP="00256249">
            <w:pPr>
              <w:autoSpaceDE w:val="0"/>
              <w:autoSpaceDN w:val="0"/>
              <w:adjustRightInd w:val="0"/>
              <w:jc w:val="center"/>
            </w:pPr>
            <w:r w:rsidRPr="00CA73DF">
              <w:rPr>
                <w:rFonts w:ascii="Times New Roman" w:hAnsi="Times New Roman" w:cs="Times New Roman"/>
                <w:sz w:val="20"/>
                <w:szCs w:val="20"/>
              </w:rPr>
              <w:t>Downstream Pressure (psia)</w:t>
            </w:r>
          </w:p>
        </w:tc>
        <w:tc>
          <w:tcPr>
            <w:tcW w:w="0" w:type="auto"/>
            <w:shd w:val="clear" w:color="auto" w:fill="D9D9D9" w:themeFill="background1" w:themeFillShade="D9"/>
          </w:tcPr>
          <w:p w14:paraId="15AAAA7B" w14:textId="09D55939"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Upstream Pressure (psig)</w:t>
            </w:r>
          </w:p>
        </w:tc>
        <w:tc>
          <w:tcPr>
            <w:tcW w:w="0" w:type="auto"/>
            <w:shd w:val="clear" w:color="auto" w:fill="D9D9D9" w:themeFill="background1" w:themeFillShade="D9"/>
          </w:tcPr>
          <w:p w14:paraId="4F5AFCBC" w14:textId="3A22C16D"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System Temperature (F)</w:t>
            </w:r>
          </w:p>
        </w:tc>
        <w:tc>
          <w:tcPr>
            <w:tcW w:w="0" w:type="auto"/>
            <w:shd w:val="clear" w:color="auto" w:fill="D9D9D9" w:themeFill="background1" w:themeFillShade="D9"/>
          </w:tcPr>
          <w:p w14:paraId="1072A235" w14:textId="77777777"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Fluid Medium</w:t>
            </w:r>
          </w:p>
        </w:tc>
      </w:tr>
      <w:tr w:rsidR="00256249" w:rsidRPr="00CA73DF" w14:paraId="627A20FC" w14:textId="77777777" w:rsidTr="00A23BD5">
        <w:trPr>
          <w:jc w:val="center"/>
        </w:trPr>
        <w:tc>
          <w:tcPr>
            <w:tcW w:w="0" w:type="auto"/>
            <w:vAlign w:val="center"/>
          </w:tcPr>
          <w:p w14:paraId="6B0BE412" w14:textId="77777777"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0.048</w:t>
            </w:r>
          </w:p>
        </w:tc>
        <w:tc>
          <w:tcPr>
            <w:tcW w:w="0" w:type="auto"/>
            <w:vMerge w:val="restart"/>
            <w:vAlign w:val="center"/>
          </w:tcPr>
          <w:p w14:paraId="5D51B12B" w14:textId="232192CC" w:rsidR="00256249" w:rsidRPr="00CA73DF" w:rsidRDefault="00256249" w:rsidP="00256249">
            <w:pPr>
              <w:autoSpaceDE w:val="0"/>
              <w:autoSpaceDN w:val="0"/>
              <w:adjustRightInd w:val="0"/>
              <w:jc w:val="center"/>
            </w:pPr>
            <w:r w:rsidRPr="00CA73DF">
              <w:rPr>
                <w:rFonts w:ascii="Times New Roman" w:hAnsi="Times New Roman" w:cs="Times New Roman"/>
                <w:sz w:val="20"/>
                <w:szCs w:val="20"/>
              </w:rPr>
              <w:t>0.1</w:t>
            </w:r>
            <w:r>
              <w:rPr>
                <w:rFonts w:ascii="Times New Roman" w:hAnsi="Times New Roman" w:cs="Times New Roman"/>
                <w:sz w:val="20"/>
                <w:szCs w:val="20"/>
              </w:rPr>
              <w:t>4</w:t>
            </w:r>
          </w:p>
        </w:tc>
        <w:tc>
          <w:tcPr>
            <w:tcW w:w="0" w:type="auto"/>
            <w:vMerge w:val="restart"/>
            <w:vAlign w:val="center"/>
          </w:tcPr>
          <w:p w14:paraId="42396E2A" w14:textId="3E86A0C3"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385 (400 psia)</w:t>
            </w:r>
          </w:p>
        </w:tc>
        <w:tc>
          <w:tcPr>
            <w:tcW w:w="0" w:type="auto"/>
            <w:vMerge w:val="restart"/>
            <w:vAlign w:val="center"/>
          </w:tcPr>
          <w:p w14:paraId="30442331" w14:textId="167B9B00" w:rsidR="00256249" w:rsidRPr="00CA73DF" w:rsidRDefault="00256249" w:rsidP="00256249">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68</w:t>
            </w:r>
          </w:p>
        </w:tc>
        <w:tc>
          <w:tcPr>
            <w:tcW w:w="0" w:type="auto"/>
            <w:vMerge w:val="restart"/>
            <w:vAlign w:val="center"/>
          </w:tcPr>
          <w:p w14:paraId="3DAAF4B2" w14:textId="77777777"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Water</w:t>
            </w:r>
          </w:p>
        </w:tc>
      </w:tr>
      <w:tr w:rsidR="00256249" w:rsidRPr="00CA73DF" w14:paraId="1C74A7AA" w14:textId="77777777" w:rsidTr="00A23BD5">
        <w:trPr>
          <w:jc w:val="center"/>
        </w:trPr>
        <w:tc>
          <w:tcPr>
            <w:tcW w:w="0" w:type="auto"/>
            <w:vAlign w:val="center"/>
          </w:tcPr>
          <w:p w14:paraId="025058F7" w14:textId="77777777"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0.052</w:t>
            </w:r>
          </w:p>
        </w:tc>
        <w:tc>
          <w:tcPr>
            <w:tcW w:w="0" w:type="auto"/>
            <w:vMerge/>
            <w:vAlign w:val="center"/>
          </w:tcPr>
          <w:p w14:paraId="72197847" w14:textId="77777777" w:rsidR="00256249" w:rsidRPr="00CA73DF" w:rsidRDefault="00256249" w:rsidP="00256249">
            <w:pPr>
              <w:autoSpaceDE w:val="0"/>
              <w:autoSpaceDN w:val="0"/>
              <w:adjustRightInd w:val="0"/>
              <w:jc w:val="center"/>
            </w:pPr>
          </w:p>
        </w:tc>
        <w:tc>
          <w:tcPr>
            <w:tcW w:w="0" w:type="auto"/>
            <w:vMerge/>
            <w:vAlign w:val="center"/>
          </w:tcPr>
          <w:p w14:paraId="5F71A10B" w14:textId="2206989D" w:rsidR="00256249" w:rsidRPr="00CA73DF" w:rsidRDefault="00256249" w:rsidP="00256249">
            <w:pPr>
              <w:autoSpaceDE w:val="0"/>
              <w:autoSpaceDN w:val="0"/>
              <w:adjustRightInd w:val="0"/>
              <w:jc w:val="center"/>
              <w:rPr>
                <w:rFonts w:ascii="Times New Roman" w:hAnsi="Times New Roman" w:cs="Times New Roman"/>
                <w:sz w:val="20"/>
                <w:szCs w:val="20"/>
              </w:rPr>
            </w:pPr>
          </w:p>
        </w:tc>
        <w:tc>
          <w:tcPr>
            <w:tcW w:w="0" w:type="auto"/>
            <w:vMerge/>
            <w:vAlign w:val="center"/>
          </w:tcPr>
          <w:p w14:paraId="253C0E5F" w14:textId="77777777" w:rsidR="00256249" w:rsidRPr="00CA73DF" w:rsidRDefault="00256249" w:rsidP="00256249">
            <w:pPr>
              <w:autoSpaceDE w:val="0"/>
              <w:autoSpaceDN w:val="0"/>
              <w:adjustRightInd w:val="0"/>
              <w:jc w:val="center"/>
              <w:rPr>
                <w:rFonts w:ascii="Times New Roman" w:hAnsi="Times New Roman" w:cs="Times New Roman"/>
                <w:sz w:val="20"/>
                <w:szCs w:val="20"/>
              </w:rPr>
            </w:pPr>
          </w:p>
        </w:tc>
        <w:tc>
          <w:tcPr>
            <w:tcW w:w="0" w:type="auto"/>
            <w:vMerge/>
            <w:vAlign w:val="center"/>
          </w:tcPr>
          <w:p w14:paraId="7D11519B" w14:textId="77777777" w:rsidR="00256249" w:rsidRPr="00CA73DF" w:rsidRDefault="00256249" w:rsidP="00256249">
            <w:pPr>
              <w:autoSpaceDE w:val="0"/>
              <w:autoSpaceDN w:val="0"/>
              <w:adjustRightInd w:val="0"/>
              <w:jc w:val="center"/>
              <w:rPr>
                <w:rFonts w:ascii="Times New Roman" w:hAnsi="Times New Roman" w:cs="Times New Roman"/>
                <w:sz w:val="20"/>
                <w:szCs w:val="20"/>
              </w:rPr>
            </w:pPr>
          </w:p>
        </w:tc>
      </w:tr>
      <w:tr w:rsidR="00256249" w:rsidRPr="00CA73DF" w14:paraId="64F09741" w14:textId="77777777" w:rsidTr="00A23BD5">
        <w:trPr>
          <w:jc w:val="center"/>
        </w:trPr>
        <w:tc>
          <w:tcPr>
            <w:tcW w:w="0" w:type="auto"/>
            <w:vAlign w:val="center"/>
          </w:tcPr>
          <w:p w14:paraId="4250DE14" w14:textId="77777777"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0.055</w:t>
            </w:r>
          </w:p>
        </w:tc>
        <w:tc>
          <w:tcPr>
            <w:tcW w:w="0" w:type="auto"/>
            <w:vMerge/>
            <w:vAlign w:val="center"/>
          </w:tcPr>
          <w:p w14:paraId="5F450662" w14:textId="77777777" w:rsidR="00256249" w:rsidRPr="00CA73DF" w:rsidRDefault="00256249" w:rsidP="00256249">
            <w:pPr>
              <w:autoSpaceDE w:val="0"/>
              <w:autoSpaceDN w:val="0"/>
              <w:adjustRightInd w:val="0"/>
              <w:jc w:val="center"/>
            </w:pPr>
          </w:p>
        </w:tc>
        <w:tc>
          <w:tcPr>
            <w:tcW w:w="0" w:type="auto"/>
            <w:vMerge/>
            <w:vAlign w:val="center"/>
          </w:tcPr>
          <w:p w14:paraId="33647D62" w14:textId="5628334D" w:rsidR="00256249" w:rsidRPr="00CA73DF" w:rsidRDefault="00256249" w:rsidP="00256249">
            <w:pPr>
              <w:autoSpaceDE w:val="0"/>
              <w:autoSpaceDN w:val="0"/>
              <w:adjustRightInd w:val="0"/>
              <w:jc w:val="center"/>
              <w:rPr>
                <w:rFonts w:ascii="Times New Roman" w:hAnsi="Times New Roman" w:cs="Times New Roman"/>
                <w:sz w:val="20"/>
                <w:szCs w:val="20"/>
              </w:rPr>
            </w:pPr>
          </w:p>
        </w:tc>
        <w:tc>
          <w:tcPr>
            <w:tcW w:w="0" w:type="auto"/>
            <w:vMerge/>
            <w:vAlign w:val="center"/>
          </w:tcPr>
          <w:p w14:paraId="312AE375" w14:textId="77777777" w:rsidR="00256249" w:rsidRPr="00CA73DF" w:rsidRDefault="00256249" w:rsidP="00256249">
            <w:pPr>
              <w:autoSpaceDE w:val="0"/>
              <w:autoSpaceDN w:val="0"/>
              <w:adjustRightInd w:val="0"/>
              <w:jc w:val="center"/>
              <w:rPr>
                <w:rFonts w:ascii="Times New Roman" w:hAnsi="Times New Roman" w:cs="Times New Roman"/>
                <w:sz w:val="20"/>
                <w:szCs w:val="20"/>
              </w:rPr>
            </w:pPr>
          </w:p>
        </w:tc>
        <w:tc>
          <w:tcPr>
            <w:tcW w:w="0" w:type="auto"/>
            <w:vMerge/>
            <w:vAlign w:val="center"/>
          </w:tcPr>
          <w:p w14:paraId="15D69A77" w14:textId="77777777" w:rsidR="00256249" w:rsidRPr="00CA73DF" w:rsidRDefault="00256249" w:rsidP="00256249">
            <w:pPr>
              <w:autoSpaceDE w:val="0"/>
              <w:autoSpaceDN w:val="0"/>
              <w:adjustRightInd w:val="0"/>
              <w:jc w:val="center"/>
              <w:rPr>
                <w:rFonts w:ascii="Times New Roman" w:hAnsi="Times New Roman" w:cs="Times New Roman"/>
                <w:sz w:val="20"/>
                <w:szCs w:val="20"/>
              </w:rPr>
            </w:pPr>
          </w:p>
        </w:tc>
      </w:tr>
      <w:tr w:rsidR="00256249" w:rsidRPr="00CA73DF" w14:paraId="1B85AF2D" w14:textId="77777777" w:rsidTr="00A23BD5">
        <w:trPr>
          <w:jc w:val="center"/>
        </w:trPr>
        <w:tc>
          <w:tcPr>
            <w:tcW w:w="0" w:type="auto"/>
            <w:vAlign w:val="center"/>
          </w:tcPr>
          <w:p w14:paraId="7CE77226" w14:textId="77777777" w:rsidR="00256249" w:rsidRPr="00CA73DF" w:rsidRDefault="00256249" w:rsidP="00256249">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0.048</w:t>
            </w:r>
          </w:p>
        </w:tc>
        <w:tc>
          <w:tcPr>
            <w:tcW w:w="0" w:type="auto"/>
            <w:vMerge w:val="restart"/>
            <w:vAlign w:val="center"/>
          </w:tcPr>
          <w:p w14:paraId="4AB4B1F3" w14:textId="5A095B7F" w:rsidR="00256249" w:rsidRPr="00CA73DF" w:rsidRDefault="00256249" w:rsidP="00256249">
            <w:pPr>
              <w:autoSpaceDE w:val="0"/>
              <w:autoSpaceDN w:val="0"/>
              <w:adjustRightInd w:val="0"/>
              <w:jc w:val="center"/>
            </w:pPr>
            <w:r w:rsidRPr="00CA73DF">
              <w:rPr>
                <w:rFonts w:ascii="Times New Roman" w:hAnsi="Times New Roman" w:cs="Times New Roman"/>
                <w:sz w:val="20"/>
                <w:szCs w:val="20"/>
              </w:rPr>
              <w:t>45</w:t>
            </w:r>
          </w:p>
        </w:tc>
        <w:tc>
          <w:tcPr>
            <w:tcW w:w="0" w:type="auto"/>
            <w:vMerge/>
            <w:vAlign w:val="center"/>
          </w:tcPr>
          <w:p w14:paraId="56131E54" w14:textId="7612CFA4" w:rsidR="00256249" w:rsidRPr="00CA73DF" w:rsidRDefault="00256249" w:rsidP="00256249">
            <w:pPr>
              <w:autoSpaceDE w:val="0"/>
              <w:autoSpaceDN w:val="0"/>
              <w:adjustRightInd w:val="0"/>
              <w:jc w:val="center"/>
              <w:rPr>
                <w:rFonts w:ascii="Times New Roman" w:hAnsi="Times New Roman" w:cs="Times New Roman"/>
                <w:sz w:val="20"/>
                <w:szCs w:val="20"/>
              </w:rPr>
            </w:pPr>
          </w:p>
        </w:tc>
        <w:tc>
          <w:tcPr>
            <w:tcW w:w="0" w:type="auto"/>
            <w:vMerge/>
            <w:vAlign w:val="center"/>
          </w:tcPr>
          <w:p w14:paraId="367F668A" w14:textId="77777777" w:rsidR="00256249" w:rsidRPr="00CA73DF" w:rsidRDefault="00256249" w:rsidP="00256249">
            <w:pPr>
              <w:autoSpaceDE w:val="0"/>
              <w:autoSpaceDN w:val="0"/>
              <w:adjustRightInd w:val="0"/>
              <w:jc w:val="center"/>
              <w:rPr>
                <w:rFonts w:ascii="Times New Roman" w:hAnsi="Times New Roman" w:cs="Times New Roman"/>
                <w:sz w:val="20"/>
                <w:szCs w:val="20"/>
              </w:rPr>
            </w:pPr>
          </w:p>
        </w:tc>
        <w:tc>
          <w:tcPr>
            <w:tcW w:w="0" w:type="auto"/>
            <w:vMerge/>
            <w:vAlign w:val="center"/>
          </w:tcPr>
          <w:p w14:paraId="62DEE1B4" w14:textId="77777777" w:rsidR="00256249" w:rsidRPr="00CA73DF" w:rsidRDefault="00256249" w:rsidP="00256249">
            <w:pPr>
              <w:autoSpaceDE w:val="0"/>
              <w:autoSpaceDN w:val="0"/>
              <w:adjustRightInd w:val="0"/>
              <w:jc w:val="center"/>
              <w:rPr>
                <w:rFonts w:ascii="Times New Roman" w:hAnsi="Times New Roman" w:cs="Times New Roman"/>
                <w:sz w:val="20"/>
                <w:szCs w:val="20"/>
              </w:rPr>
            </w:pPr>
          </w:p>
        </w:tc>
      </w:tr>
      <w:tr w:rsidR="00256249" w:rsidRPr="00CA73DF" w14:paraId="6AC7AE34" w14:textId="77777777" w:rsidTr="00256249">
        <w:trPr>
          <w:jc w:val="center"/>
        </w:trPr>
        <w:tc>
          <w:tcPr>
            <w:tcW w:w="0" w:type="auto"/>
            <w:vAlign w:val="center"/>
          </w:tcPr>
          <w:p w14:paraId="729E23B1" w14:textId="77777777" w:rsidR="00256249" w:rsidRPr="00CA73DF" w:rsidRDefault="00256249"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0.052</w:t>
            </w:r>
          </w:p>
        </w:tc>
        <w:tc>
          <w:tcPr>
            <w:tcW w:w="0" w:type="auto"/>
            <w:vMerge/>
          </w:tcPr>
          <w:p w14:paraId="6B4A2A2B" w14:textId="77777777" w:rsidR="00256249" w:rsidRPr="00CA73DF" w:rsidRDefault="00256249" w:rsidP="00F02C3A">
            <w:pPr>
              <w:autoSpaceDE w:val="0"/>
              <w:autoSpaceDN w:val="0"/>
              <w:adjustRightInd w:val="0"/>
              <w:jc w:val="center"/>
            </w:pPr>
          </w:p>
        </w:tc>
        <w:tc>
          <w:tcPr>
            <w:tcW w:w="0" w:type="auto"/>
            <w:vMerge/>
            <w:vAlign w:val="center"/>
          </w:tcPr>
          <w:p w14:paraId="37CC2F0B" w14:textId="111B9C5C" w:rsidR="00256249" w:rsidRPr="00CA73DF" w:rsidRDefault="00256249" w:rsidP="00F02C3A">
            <w:pPr>
              <w:autoSpaceDE w:val="0"/>
              <w:autoSpaceDN w:val="0"/>
              <w:adjustRightInd w:val="0"/>
              <w:jc w:val="center"/>
              <w:rPr>
                <w:rFonts w:ascii="Times New Roman" w:hAnsi="Times New Roman" w:cs="Times New Roman"/>
                <w:sz w:val="20"/>
                <w:szCs w:val="20"/>
              </w:rPr>
            </w:pPr>
          </w:p>
        </w:tc>
        <w:tc>
          <w:tcPr>
            <w:tcW w:w="0" w:type="auto"/>
            <w:vMerge/>
            <w:vAlign w:val="center"/>
          </w:tcPr>
          <w:p w14:paraId="2F3588A5" w14:textId="77777777" w:rsidR="00256249" w:rsidRPr="00CA73DF" w:rsidRDefault="00256249" w:rsidP="00F02C3A">
            <w:pPr>
              <w:autoSpaceDE w:val="0"/>
              <w:autoSpaceDN w:val="0"/>
              <w:adjustRightInd w:val="0"/>
              <w:jc w:val="center"/>
              <w:rPr>
                <w:rFonts w:ascii="Times New Roman" w:hAnsi="Times New Roman" w:cs="Times New Roman"/>
                <w:sz w:val="20"/>
                <w:szCs w:val="20"/>
              </w:rPr>
            </w:pPr>
          </w:p>
        </w:tc>
        <w:tc>
          <w:tcPr>
            <w:tcW w:w="0" w:type="auto"/>
            <w:vMerge/>
            <w:vAlign w:val="center"/>
          </w:tcPr>
          <w:p w14:paraId="1A8E93C5" w14:textId="77777777" w:rsidR="00256249" w:rsidRPr="00CA73DF" w:rsidRDefault="00256249" w:rsidP="00F02C3A">
            <w:pPr>
              <w:autoSpaceDE w:val="0"/>
              <w:autoSpaceDN w:val="0"/>
              <w:adjustRightInd w:val="0"/>
              <w:jc w:val="center"/>
              <w:rPr>
                <w:rFonts w:ascii="Times New Roman" w:hAnsi="Times New Roman" w:cs="Times New Roman"/>
                <w:sz w:val="20"/>
                <w:szCs w:val="20"/>
              </w:rPr>
            </w:pPr>
          </w:p>
        </w:tc>
      </w:tr>
      <w:tr w:rsidR="00256249" w:rsidRPr="00CA73DF" w14:paraId="1A044DE3" w14:textId="77777777" w:rsidTr="00256249">
        <w:trPr>
          <w:jc w:val="center"/>
        </w:trPr>
        <w:tc>
          <w:tcPr>
            <w:tcW w:w="0" w:type="auto"/>
            <w:vAlign w:val="center"/>
          </w:tcPr>
          <w:p w14:paraId="0972DF3B" w14:textId="77777777" w:rsidR="00256249" w:rsidRPr="00CA73DF" w:rsidRDefault="00256249"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0.055</w:t>
            </w:r>
          </w:p>
        </w:tc>
        <w:tc>
          <w:tcPr>
            <w:tcW w:w="0" w:type="auto"/>
            <w:vMerge/>
          </w:tcPr>
          <w:p w14:paraId="27877FAE" w14:textId="77777777" w:rsidR="00256249" w:rsidRPr="00CA73DF" w:rsidRDefault="00256249" w:rsidP="00F02C3A">
            <w:pPr>
              <w:autoSpaceDE w:val="0"/>
              <w:autoSpaceDN w:val="0"/>
              <w:adjustRightInd w:val="0"/>
              <w:jc w:val="center"/>
            </w:pPr>
          </w:p>
        </w:tc>
        <w:tc>
          <w:tcPr>
            <w:tcW w:w="0" w:type="auto"/>
            <w:vMerge/>
            <w:vAlign w:val="center"/>
          </w:tcPr>
          <w:p w14:paraId="16EA81EC" w14:textId="1740AF08" w:rsidR="00256249" w:rsidRPr="00CA73DF" w:rsidRDefault="00256249" w:rsidP="00F02C3A">
            <w:pPr>
              <w:autoSpaceDE w:val="0"/>
              <w:autoSpaceDN w:val="0"/>
              <w:adjustRightInd w:val="0"/>
              <w:jc w:val="center"/>
              <w:rPr>
                <w:rFonts w:ascii="Times New Roman" w:hAnsi="Times New Roman" w:cs="Times New Roman"/>
                <w:sz w:val="20"/>
                <w:szCs w:val="20"/>
              </w:rPr>
            </w:pPr>
          </w:p>
        </w:tc>
        <w:tc>
          <w:tcPr>
            <w:tcW w:w="0" w:type="auto"/>
            <w:vMerge/>
            <w:vAlign w:val="center"/>
          </w:tcPr>
          <w:p w14:paraId="3D870A02" w14:textId="77777777" w:rsidR="00256249" w:rsidRPr="00CA73DF" w:rsidRDefault="00256249" w:rsidP="00F02C3A">
            <w:pPr>
              <w:autoSpaceDE w:val="0"/>
              <w:autoSpaceDN w:val="0"/>
              <w:adjustRightInd w:val="0"/>
              <w:jc w:val="center"/>
              <w:rPr>
                <w:rFonts w:ascii="Times New Roman" w:hAnsi="Times New Roman" w:cs="Times New Roman"/>
                <w:sz w:val="20"/>
                <w:szCs w:val="20"/>
              </w:rPr>
            </w:pPr>
          </w:p>
        </w:tc>
        <w:tc>
          <w:tcPr>
            <w:tcW w:w="0" w:type="auto"/>
            <w:vMerge/>
            <w:vAlign w:val="center"/>
          </w:tcPr>
          <w:p w14:paraId="5AF8E8B5" w14:textId="77777777" w:rsidR="00256249" w:rsidRPr="00CA73DF" w:rsidRDefault="00256249" w:rsidP="00F02C3A">
            <w:pPr>
              <w:autoSpaceDE w:val="0"/>
              <w:autoSpaceDN w:val="0"/>
              <w:adjustRightInd w:val="0"/>
              <w:jc w:val="center"/>
              <w:rPr>
                <w:rFonts w:ascii="Times New Roman" w:hAnsi="Times New Roman" w:cs="Times New Roman"/>
                <w:sz w:val="20"/>
                <w:szCs w:val="20"/>
              </w:rPr>
            </w:pPr>
          </w:p>
        </w:tc>
      </w:tr>
    </w:tbl>
    <w:p w14:paraId="322CAC25" w14:textId="77777777" w:rsidR="00FF3587" w:rsidRDefault="00FF3587" w:rsidP="00FF3587"/>
    <w:p w14:paraId="09649B85" w14:textId="77777777" w:rsidR="00665605" w:rsidRDefault="00665605" w:rsidP="00FF3587">
      <w:pPr>
        <w:autoSpaceDE w:val="0"/>
        <w:autoSpaceDN w:val="0"/>
        <w:adjustRightInd w:val="0"/>
        <w:rPr>
          <w:b/>
        </w:rPr>
      </w:pPr>
    </w:p>
    <w:p w14:paraId="60C1EE18" w14:textId="26252F60" w:rsidR="00FF3587" w:rsidRPr="00CA73DF" w:rsidRDefault="00FF3587" w:rsidP="00FF3587">
      <w:pPr>
        <w:autoSpaceDE w:val="0"/>
        <w:autoSpaceDN w:val="0"/>
        <w:adjustRightInd w:val="0"/>
      </w:pPr>
      <w:r>
        <w:t>E</w:t>
      </w:r>
      <w:r w:rsidRPr="00CA73DF">
        <w:t xml:space="preserve">ach of the two </w:t>
      </w:r>
      <w:r>
        <w:t>scenarios</w:t>
      </w:r>
      <w:r w:rsidRPr="00CA73DF">
        <w:t xml:space="preserve"> being evaluated were applied to three</w:t>
      </w:r>
      <w:r>
        <w:t xml:space="preserve"> (3)</w:t>
      </w:r>
      <w:r w:rsidRPr="00CA73DF">
        <w:t xml:space="preserve"> </w:t>
      </w:r>
      <w:r w:rsidR="00E80E08">
        <w:t xml:space="preserve">candidate </w:t>
      </w:r>
      <w:r w:rsidRPr="00CA73DF">
        <w:t xml:space="preserve">cavitating </w:t>
      </w:r>
      <w:r>
        <w:t>venturis, each with unique throat diameters of</w:t>
      </w:r>
      <w:r w:rsidR="008524C7">
        <w:t>: 0.048” (1.22</w:t>
      </w:r>
      <w:r w:rsidRPr="00CA73DF">
        <w:t xml:space="preserve"> mm), 0.052” (1.32 mm), and 0.055” (1.</w:t>
      </w:r>
      <w:r w:rsidR="008524C7">
        <w:t>40</w:t>
      </w:r>
      <w:r w:rsidRPr="00CA73DF">
        <w:t xml:space="preserve"> mm). The tank pressure and upstream manifold were modeled </w:t>
      </w:r>
      <w:r>
        <w:t>at</w:t>
      </w:r>
      <w:r w:rsidRPr="00CA73DF">
        <w:t xml:space="preserve"> a MEOP pressure of 400 psia (27. 58 bar) for </w:t>
      </w:r>
      <w:r>
        <w:t xml:space="preserve">a </w:t>
      </w:r>
      <w:r w:rsidRPr="00CA73DF">
        <w:t>conservative worst-case con</w:t>
      </w:r>
      <w:r>
        <w:t>dition</w:t>
      </w:r>
      <w:r w:rsidRPr="00CA73DF">
        <w:t xml:space="preserve">. For each of the </w:t>
      </w:r>
      <w:r>
        <w:t>simulation cases listed in Table 1, above,</w:t>
      </w:r>
      <w:r w:rsidRPr="00CA73DF">
        <w:t xml:space="preserve"> deionized water was used as the fluid</w:t>
      </w:r>
      <w:r>
        <w:t xml:space="preserve"> medium</w:t>
      </w:r>
      <w:r w:rsidRPr="00CA73DF">
        <w:t xml:space="preserve"> in both lab tests and the </w:t>
      </w:r>
      <w:r>
        <w:t>computational</w:t>
      </w:r>
      <w:r w:rsidRPr="00CA73DF">
        <w:t xml:space="preserve"> model</w:t>
      </w:r>
      <w:r>
        <w:t>. A</w:t>
      </w:r>
      <w:r w:rsidRPr="00CA73DF">
        <w:t xml:space="preserve"> scaling factor</w:t>
      </w:r>
      <w:r>
        <w:t xml:space="preserve"> </w:t>
      </w:r>
      <w:r w:rsidR="00AF22CC">
        <w:t>[</w:t>
      </w:r>
      <w:r w:rsidR="00F975C4">
        <w:t>5</w:t>
      </w:r>
      <w:r w:rsidR="00AF22CC">
        <w:t xml:space="preserve">] </w:t>
      </w:r>
      <w:r>
        <w:t xml:space="preserve">was then </w:t>
      </w:r>
      <w:r w:rsidRPr="00CA73DF">
        <w:t xml:space="preserve">applied to the </w:t>
      </w:r>
      <w:r w:rsidR="00E80E08">
        <w:t xml:space="preserve">resulting </w:t>
      </w:r>
      <w:r w:rsidR="00D4511A">
        <w:t>water pressure surges</w:t>
      </w:r>
      <w:r w:rsidRPr="00CA73DF">
        <w:t xml:space="preserve"> to determine </w:t>
      </w:r>
      <w:r>
        <w:t>the</w:t>
      </w:r>
      <w:r w:rsidRPr="00CA73DF">
        <w:t xml:space="preserve"> corresponding hydrazine propellant surge pressure magnitude</w:t>
      </w:r>
      <w:r w:rsidR="00E80E08">
        <w:t>s</w:t>
      </w:r>
      <w:r w:rsidRPr="00CA73DF">
        <w:t xml:space="preserve">. </w:t>
      </w:r>
      <w:r>
        <w:t xml:space="preserve">The padded pressure case was also simulated for completeness, although it showed minimal pressure rise. </w:t>
      </w:r>
    </w:p>
    <w:p w14:paraId="0AD7EB69" w14:textId="77777777" w:rsidR="00FF3587" w:rsidRPr="00FF3587" w:rsidRDefault="00FF3587" w:rsidP="00FF3587"/>
    <w:p w14:paraId="186EC2B6" w14:textId="77777777" w:rsidR="00FF3587" w:rsidRPr="00FF3587" w:rsidRDefault="00FF3587" w:rsidP="00FF3587">
      <w:pPr>
        <w:numPr>
          <w:ilvl w:val="0"/>
          <w:numId w:val="3"/>
        </w:numPr>
        <w:tabs>
          <w:tab w:val="left" w:pos="288"/>
        </w:tabs>
        <w:spacing w:before="240"/>
        <w:outlineLvl w:val="1"/>
        <w:rPr>
          <w:b/>
        </w:rPr>
      </w:pPr>
      <w:r>
        <w:rPr>
          <w:b/>
        </w:rPr>
        <w:t>Propulsion Subsystem Proof Pressure Limitations</w:t>
      </w:r>
    </w:p>
    <w:p w14:paraId="6C306FFE" w14:textId="69DA69D5" w:rsidR="00FF3587" w:rsidRPr="00CA73DF" w:rsidRDefault="008C521E" w:rsidP="00FF3587">
      <w:pPr>
        <w:autoSpaceDE w:val="0"/>
        <w:autoSpaceDN w:val="0"/>
        <w:adjustRightInd w:val="0"/>
      </w:pPr>
      <w:r>
        <w:t>In the subsystem</w:t>
      </w:r>
      <w:r w:rsidR="00FF3587">
        <w:t>,</w:t>
      </w:r>
      <w:r w:rsidR="00FF3587" w:rsidRPr="00CA73DF">
        <w:t xml:space="preserve"> the thrusters see the highest magnitude surge pressures as they are in the </w:t>
      </w:r>
      <w:r w:rsidR="00FF3587">
        <w:t xml:space="preserve">low blanket pressure or </w:t>
      </w:r>
      <w:r w:rsidR="00FF3587" w:rsidRPr="00CA73DF">
        <w:t>evacuated portion of the tubing</w:t>
      </w:r>
      <w:r w:rsidR="00FF3587">
        <w:t xml:space="preserve"> (depending on the scenario)</w:t>
      </w:r>
      <w:r w:rsidR="00FF3587" w:rsidRPr="00CA73DF">
        <w:t xml:space="preserve">. However, it is important to note that the initial induced pressure wave, resulting from the pressure differential across the </w:t>
      </w:r>
      <w:r w:rsidR="00FF3587">
        <w:t xml:space="preserve">primary latch </w:t>
      </w:r>
      <w:r w:rsidR="00FF3587" w:rsidRPr="00CA73DF">
        <w:t xml:space="preserve">valve seat, </w:t>
      </w:r>
      <w:r w:rsidR="00FF3587">
        <w:t xml:space="preserve">will </w:t>
      </w:r>
      <w:r w:rsidR="0067219F">
        <w:t xml:space="preserve">reflect </w:t>
      </w:r>
      <w:r w:rsidR="00FF3587">
        <w:t xml:space="preserve">back upstream </w:t>
      </w:r>
      <w:r w:rsidR="00FF3587" w:rsidRPr="00CA73DF">
        <w:t>f</w:t>
      </w:r>
      <w:r w:rsidR="00FF3587">
        <w:t>rom</w:t>
      </w:r>
      <w:r w:rsidR="00FF3587" w:rsidRPr="00CA73DF">
        <w:t xml:space="preserve"> the thrusters and </w:t>
      </w:r>
      <w:r w:rsidR="00FF3587">
        <w:t>impact the liquid fill and drain and redundant closed latching isolation</w:t>
      </w:r>
      <w:r w:rsidR="00384A64">
        <w:t xml:space="preserve"> valve</w:t>
      </w:r>
      <w:r w:rsidR="00FF3587">
        <w:t>. As mentioned previously</w:t>
      </w:r>
      <w:r w:rsidR="0067219F">
        <w:t>,</w:t>
      </w:r>
      <w:r w:rsidR="00FF3587">
        <w:t xml:space="preserve"> </w:t>
      </w:r>
      <w:r w:rsidR="00FF3587" w:rsidRPr="00CA73DF">
        <w:t xml:space="preserve">the components of concern </w:t>
      </w:r>
      <w:r w:rsidR="00FF3587">
        <w:t xml:space="preserve">for </w:t>
      </w:r>
      <w:r w:rsidR="0067219F">
        <w:t xml:space="preserve">the </w:t>
      </w:r>
      <w:r w:rsidR="00FF3587">
        <w:t xml:space="preserve">PACE propulsion subsystem </w:t>
      </w:r>
      <w:r w:rsidR="00FF3587" w:rsidRPr="00CA73DF">
        <w:t>are the thrusters, the liquid fill and drain valve, and the</w:t>
      </w:r>
      <w:r w:rsidR="00FF3587">
        <w:t xml:space="preserve"> redundant bank isolation valve. The specific proof pressure capabilities</w:t>
      </w:r>
      <w:r w:rsidR="00FF3587" w:rsidRPr="00CA73DF">
        <w:t xml:space="preserve"> for each component are shown in Table 2, below. </w:t>
      </w:r>
    </w:p>
    <w:p w14:paraId="1945661A" w14:textId="77777777" w:rsidR="00FF3587" w:rsidRPr="00CA73DF" w:rsidRDefault="00FF3587" w:rsidP="00FF3587">
      <w:pPr>
        <w:autoSpaceDE w:val="0"/>
        <w:autoSpaceDN w:val="0"/>
        <w:adjustRightInd w:val="0"/>
      </w:pPr>
    </w:p>
    <w:p w14:paraId="166AAC9E" w14:textId="38C6CDC6" w:rsidR="00FF3587" w:rsidRPr="00BD4C0B" w:rsidRDefault="00FF3587" w:rsidP="00FF3587">
      <w:pPr>
        <w:pStyle w:val="Caption"/>
        <w:keepNext/>
        <w:jc w:val="center"/>
      </w:pPr>
      <w:r w:rsidRPr="00BD4C0B">
        <w:t xml:space="preserve">Table </w:t>
      </w:r>
      <w:r w:rsidR="008C51A2">
        <w:rPr>
          <w:noProof/>
        </w:rPr>
        <w:fldChar w:fldCharType="begin"/>
      </w:r>
      <w:r w:rsidR="008C51A2">
        <w:rPr>
          <w:noProof/>
        </w:rPr>
        <w:instrText xml:space="preserve"> SEQ Table \* ARABIC </w:instrText>
      </w:r>
      <w:r w:rsidR="008C51A2">
        <w:rPr>
          <w:noProof/>
        </w:rPr>
        <w:fldChar w:fldCharType="separate"/>
      </w:r>
      <w:r w:rsidRPr="00BD4C0B">
        <w:rPr>
          <w:noProof/>
        </w:rPr>
        <w:t>2</w:t>
      </w:r>
      <w:r w:rsidR="008C51A2">
        <w:rPr>
          <w:noProof/>
        </w:rPr>
        <w:fldChar w:fldCharType="end"/>
      </w:r>
      <w:r w:rsidRPr="00BD4C0B">
        <w:t xml:space="preserve"> Component Specific Proof </w:t>
      </w:r>
      <w:r w:rsidRPr="00AF22CC">
        <w:t>Pressures</w:t>
      </w:r>
    </w:p>
    <w:tbl>
      <w:tblPr>
        <w:tblStyle w:val="TableGrid"/>
        <w:tblW w:w="0" w:type="auto"/>
        <w:jc w:val="center"/>
        <w:tblLook w:val="04A0" w:firstRow="1" w:lastRow="0" w:firstColumn="1" w:lastColumn="0" w:noHBand="0" w:noVBand="1"/>
      </w:tblPr>
      <w:tblGrid>
        <w:gridCol w:w="1389"/>
        <w:gridCol w:w="900"/>
        <w:gridCol w:w="2449"/>
        <w:gridCol w:w="1949"/>
      </w:tblGrid>
      <w:tr w:rsidR="00FF3587" w:rsidRPr="00CA73DF" w14:paraId="4F71AA61" w14:textId="77777777" w:rsidTr="00F02C3A">
        <w:trPr>
          <w:jc w:val="center"/>
        </w:trPr>
        <w:tc>
          <w:tcPr>
            <w:tcW w:w="0" w:type="auto"/>
            <w:shd w:val="clear" w:color="auto" w:fill="D9D9D9" w:themeFill="background1" w:themeFillShade="D9"/>
          </w:tcPr>
          <w:p w14:paraId="156CF395" w14:textId="77777777" w:rsidR="00FF3587" w:rsidRPr="00CA73DF" w:rsidRDefault="00FF3587"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Component</w:t>
            </w:r>
          </w:p>
        </w:tc>
        <w:tc>
          <w:tcPr>
            <w:tcW w:w="0" w:type="auto"/>
            <w:shd w:val="clear" w:color="auto" w:fill="D9D9D9" w:themeFill="background1" w:themeFillShade="D9"/>
          </w:tcPr>
          <w:p w14:paraId="0FC947DD" w14:textId="77777777" w:rsidR="00FF3587" w:rsidRPr="00CA73DF" w:rsidRDefault="00FF3587"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Thruster</w:t>
            </w:r>
          </w:p>
        </w:tc>
        <w:tc>
          <w:tcPr>
            <w:tcW w:w="0" w:type="auto"/>
            <w:shd w:val="clear" w:color="auto" w:fill="D9D9D9" w:themeFill="background1" w:themeFillShade="D9"/>
          </w:tcPr>
          <w:p w14:paraId="37D6AD9F" w14:textId="77777777" w:rsidR="00FF3587" w:rsidRPr="00CA73DF" w:rsidRDefault="00FF3587"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Liquid Fill and Drain Valve</w:t>
            </w:r>
          </w:p>
        </w:tc>
        <w:tc>
          <w:tcPr>
            <w:tcW w:w="0" w:type="auto"/>
            <w:shd w:val="clear" w:color="auto" w:fill="D9D9D9" w:themeFill="background1" w:themeFillShade="D9"/>
          </w:tcPr>
          <w:p w14:paraId="41CF796A" w14:textId="77777777" w:rsidR="00FF3587" w:rsidRPr="00CA73DF" w:rsidRDefault="00FF3587"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Isolation Latch Valve</w:t>
            </w:r>
          </w:p>
        </w:tc>
      </w:tr>
      <w:tr w:rsidR="00FF3587" w:rsidRPr="00CA73DF" w14:paraId="3E32321A" w14:textId="77777777" w:rsidTr="00F02C3A">
        <w:trPr>
          <w:jc w:val="center"/>
        </w:trPr>
        <w:tc>
          <w:tcPr>
            <w:tcW w:w="0" w:type="auto"/>
          </w:tcPr>
          <w:p w14:paraId="56A22108" w14:textId="77777777" w:rsidR="00FF3587" w:rsidRPr="00CA73DF" w:rsidRDefault="00FF3587"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Proof Pressure</w:t>
            </w:r>
          </w:p>
        </w:tc>
        <w:tc>
          <w:tcPr>
            <w:tcW w:w="0" w:type="auto"/>
          </w:tcPr>
          <w:p w14:paraId="24DA08EC" w14:textId="77777777" w:rsidR="00FF3587" w:rsidRPr="00CA73DF" w:rsidRDefault="00FF3587"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1650 psi</w:t>
            </w:r>
          </w:p>
        </w:tc>
        <w:tc>
          <w:tcPr>
            <w:tcW w:w="0" w:type="auto"/>
          </w:tcPr>
          <w:p w14:paraId="5B95177B" w14:textId="77777777" w:rsidR="00FF3587" w:rsidRPr="00CA73DF" w:rsidRDefault="00FF3587"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975 psi</w:t>
            </w:r>
          </w:p>
        </w:tc>
        <w:tc>
          <w:tcPr>
            <w:tcW w:w="0" w:type="auto"/>
          </w:tcPr>
          <w:p w14:paraId="01B2AA0C" w14:textId="77777777" w:rsidR="00FF3587" w:rsidRPr="00CA73DF" w:rsidRDefault="00FF3587" w:rsidP="00F02C3A">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825 psi</w:t>
            </w:r>
          </w:p>
        </w:tc>
      </w:tr>
    </w:tbl>
    <w:p w14:paraId="26B8DB94" w14:textId="77777777" w:rsidR="00FF3587" w:rsidRDefault="00FF3587" w:rsidP="00FF3587">
      <w:pPr>
        <w:autoSpaceDE w:val="0"/>
        <w:autoSpaceDN w:val="0"/>
        <w:adjustRightInd w:val="0"/>
      </w:pPr>
    </w:p>
    <w:p w14:paraId="1CCC75DD" w14:textId="68DA4952" w:rsidR="00F565BA" w:rsidRPr="00F565BA" w:rsidRDefault="008C521E"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Surge </w:t>
      </w:r>
      <w:r w:rsidR="00FF3587">
        <w:rPr>
          <w:b/>
          <w:kern w:val="32"/>
          <w:sz w:val="22"/>
        </w:rPr>
        <w:t>Analytical Modeling</w:t>
      </w:r>
    </w:p>
    <w:p w14:paraId="6AD2627E" w14:textId="412DAC6D" w:rsidR="00FF3587" w:rsidRDefault="00FF3587" w:rsidP="00665605">
      <w:pPr>
        <w:autoSpaceDE w:val="0"/>
        <w:autoSpaceDN w:val="0"/>
        <w:adjustRightInd w:val="0"/>
        <w:ind w:firstLine="180"/>
      </w:pPr>
      <w:r>
        <w:t>A computational transient surge</w:t>
      </w:r>
      <w:r w:rsidRPr="00CA73DF">
        <w:t xml:space="preserve"> model was developed </w:t>
      </w:r>
      <w:r>
        <w:t>using</w:t>
      </w:r>
      <w:r w:rsidRPr="00CA73DF">
        <w:t xml:space="preserve"> C&amp;R Technologies’ Thermal Desktop (TD)</w:t>
      </w:r>
      <w:r>
        <w:t xml:space="preserve"> </w:t>
      </w:r>
      <w:r w:rsidR="00AF22CC">
        <w:t>[</w:t>
      </w:r>
      <w:r w:rsidR="00F975C4">
        <w:t>6</w:t>
      </w:r>
      <w:r w:rsidR="00AF22CC">
        <w:t>]</w:t>
      </w:r>
      <w:r w:rsidRPr="00CA73DF">
        <w:t xml:space="preserve"> program using the internal FloCAD</w:t>
      </w:r>
      <w:r w:rsidR="00AF22CC">
        <w:rPr>
          <w:vertAlign w:val="superscript"/>
        </w:rPr>
        <w:t xml:space="preserve"> </w:t>
      </w:r>
      <w:r w:rsidR="00AF22CC">
        <w:t>[</w:t>
      </w:r>
      <w:r w:rsidR="00F975C4">
        <w:t>7</w:t>
      </w:r>
      <w:r w:rsidR="00AF22CC">
        <w:t xml:space="preserve">] </w:t>
      </w:r>
      <w:r w:rsidRPr="00CA73DF">
        <w:t>module to build, analyze, and evaluate resulting surge pressure magnitudes at the thrusters (1A-4A), the closed redundant</w:t>
      </w:r>
      <w:r>
        <w:t xml:space="preserve"> latching</w:t>
      </w:r>
      <w:r w:rsidRPr="00CA73DF">
        <w:t xml:space="preserve"> isolation valve </w:t>
      </w:r>
      <w:r w:rsidR="00CA1AA6">
        <w:t>(</w:t>
      </w:r>
      <w:r w:rsidRPr="00CA73DF">
        <w:t>LV2</w:t>
      </w:r>
      <w:r w:rsidR="00CA1AA6">
        <w:t>)</w:t>
      </w:r>
      <w:r w:rsidRPr="00CA73DF">
        <w:t xml:space="preserve">, and the liquid fill and drain valve (LFD). </w:t>
      </w:r>
      <w:r>
        <w:t xml:space="preserve">A </w:t>
      </w:r>
      <w:r w:rsidRPr="00CA73DF">
        <w:t xml:space="preserve">Thermal Desktop </w:t>
      </w:r>
      <w:r>
        <w:t>visualization model</w:t>
      </w:r>
      <w:r w:rsidRPr="00CA73DF">
        <w:t xml:space="preserve"> </w:t>
      </w:r>
      <w:r>
        <w:t>was</w:t>
      </w:r>
      <w:r w:rsidRPr="00CA73DF">
        <w:t xml:space="preserve"> built in an AutoCAD environment</w:t>
      </w:r>
      <w:r>
        <w:t xml:space="preserve"> us</w:t>
      </w:r>
      <w:r w:rsidRPr="00CA73DF">
        <w:t>ing su</w:t>
      </w:r>
      <w:r>
        <w:t xml:space="preserve">bsystem CAD geometry tubing centerline run dimensions to create a </w:t>
      </w:r>
      <w:r w:rsidRPr="00CA73DF">
        <w:t>1:1 representation of the</w:t>
      </w:r>
      <w:r>
        <w:t xml:space="preserve"> PACE</w:t>
      </w:r>
      <w:r w:rsidRPr="00CA73DF">
        <w:t xml:space="preserve"> propulsion feed system. </w:t>
      </w:r>
      <w:r>
        <w:t>Each tube bend, elbow fitting</w:t>
      </w:r>
      <w:r w:rsidR="00CA1AA6">
        <w:t>,</w:t>
      </w:r>
      <w:r>
        <w:t xml:space="preserve"> and tee fitting contained in the system was carefully </w:t>
      </w:r>
      <w:r w:rsidR="008C521E">
        <w:t>constructed</w:t>
      </w:r>
      <w:r w:rsidR="00CA1AA6">
        <w:t>,</w:t>
      </w:r>
      <w:r>
        <w:t xml:space="preserve"> to scale</w:t>
      </w:r>
      <w:r w:rsidR="00CA1AA6">
        <w:t>,</w:t>
      </w:r>
      <w:r>
        <w:t xml:space="preserve"> to include the flow passages realized in the </w:t>
      </w:r>
      <w:r w:rsidR="008C521E">
        <w:t xml:space="preserve">flight and test </w:t>
      </w:r>
      <w:r>
        <w:t>manifold</w:t>
      </w:r>
      <w:r w:rsidR="00CA1AA6">
        <w:t>s</w:t>
      </w:r>
      <w:r w:rsidRPr="00CA73DF">
        <w:t xml:space="preserve">. The simulation cases defined </w:t>
      </w:r>
      <w:r>
        <w:t xml:space="preserve">above </w:t>
      </w:r>
      <w:r w:rsidRPr="00CA73DF">
        <w:t xml:space="preserve">were driven by the propulsion subsystem </w:t>
      </w:r>
      <w:r>
        <w:t>flight</w:t>
      </w:r>
      <w:r w:rsidRPr="00CA73DF">
        <w:t xml:space="preserve"> </w:t>
      </w:r>
      <w:r w:rsidR="008C521E">
        <w:t xml:space="preserve">operating </w:t>
      </w:r>
      <w:r w:rsidRPr="00CA73DF">
        <w:t>conditions</w:t>
      </w:r>
      <w:r>
        <w:t xml:space="preserve">. </w:t>
      </w:r>
    </w:p>
    <w:p w14:paraId="00515C06" w14:textId="0E5CC9F4" w:rsidR="00FF3587" w:rsidRPr="00CA73DF" w:rsidRDefault="00FF3587" w:rsidP="00665605">
      <w:pPr>
        <w:autoSpaceDE w:val="0"/>
        <w:autoSpaceDN w:val="0"/>
        <w:adjustRightInd w:val="0"/>
        <w:ind w:firstLine="180"/>
      </w:pPr>
      <w:r>
        <w:t xml:space="preserve">There </w:t>
      </w:r>
      <w:r w:rsidR="00B81CEE">
        <w:t xml:space="preserve">were </w:t>
      </w:r>
      <w:r>
        <w:t xml:space="preserve">two </w:t>
      </w:r>
      <w:r w:rsidR="00B81CEE">
        <w:t xml:space="preserve">discrete </w:t>
      </w:r>
      <w:r>
        <w:t>manifold sections in the feed system that need</w:t>
      </w:r>
      <w:r w:rsidR="00B81CEE">
        <w:t>ed</w:t>
      </w:r>
      <w:r>
        <w:t xml:space="preserve"> to be defined</w:t>
      </w:r>
      <w:r w:rsidR="00B81CEE">
        <w:t>;</w:t>
      </w:r>
      <w:r>
        <w:t xml:space="preserve"> the first being the lower manifold</w:t>
      </w:r>
      <w:r w:rsidR="00B81CEE">
        <w:t>,</w:t>
      </w:r>
      <w:r>
        <w:t xml:space="preserve"> or </w:t>
      </w:r>
      <w:r w:rsidR="00B81CEE">
        <w:t xml:space="preserve">the volume </w:t>
      </w:r>
      <w:r>
        <w:t>downstream of the latching isolation valve, and the second being the upper manifold</w:t>
      </w:r>
      <w:r w:rsidR="00B81CEE">
        <w:t>,</w:t>
      </w:r>
      <w:r>
        <w:t xml:space="preserve"> or </w:t>
      </w:r>
      <w:r w:rsidR="00B81CEE">
        <w:t xml:space="preserve">volume </w:t>
      </w:r>
      <w:r>
        <w:t>upstream of the isolation latch valve. For all six simulation cases</w:t>
      </w:r>
      <w:r w:rsidR="00B81CEE">
        <w:t>,</w:t>
      </w:r>
      <w:r>
        <w:t xml:space="preserve"> the upper manifold </w:t>
      </w:r>
      <w:r w:rsidR="00B81CEE">
        <w:t>was</w:t>
      </w:r>
      <w:r>
        <w:t xml:space="preserve"> pressurized to MEOP, the lines </w:t>
      </w:r>
      <w:r w:rsidR="00B81CEE">
        <w:t xml:space="preserve">were </w:t>
      </w:r>
      <w:r>
        <w:t>wetted</w:t>
      </w:r>
      <w:r w:rsidR="00B81CEE">
        <w:t>,</w:t>
      </w:r>
      <w:r>
        <w:t xml:space="preserve"> and </w:t>
      </w:r>
      <w:r w:rsidR="00B81CEE">
        <w:t>were set to</w:t>
      </w:r>
      <w:r w:rsidR="00C32304">
        <w:t xml:space="preserve"> have</w:t>
      </w:r>
      <w:r w:rsidR="00B81CEE">
        <w:t xml:space="preserve"> </w:t>
      </w:r>
      <w:r>
        <w:t>a 0.0 void fraction</w:t>
      </w:r>
      <w:r w:rsidR="00C32304">
        <w:t>, defining the manifold as being occupied by only liquid</w:t>
      </w:r>
      <w:r>
        <w:t>.</w:t>
      </w:r>
      <w:r w:rsidR="00C32304">
        <w:t xml:space="preserve"> </w:t>
      </w:r>
      <w:r>
        <w:t>The lower manifold has two sets of three cases (dependi</w:t>
      </w:r>
      <w:r w:rsidR="00384A64">
        <w:t xml:space="preserve">ng on which venturi is inline). One set </w:t>
      </w:r>
      <w:r>
        <w:t>has gaseous helium (GHe) with a 1.0 void fraction at a pressure of 45 psia</w:t>
      </w:r>
      <w:r w:rsidR="002B2CC7">
        <w:t>, representing the padded case,</w:t>
      </w:r>
      <w:r>
        <w:t xml:space="preserve"> and the other has the manifold at a pressure of 0.1</w:t>
      </w:r>
      <w:r w:rsidR="00453C32">
        <w:t>4</w:t>
      </w:r>
      <w:r>
        <w:t xml:space="preserve"> psia, or vacuum. The upper manifold includes the propellant tank, which is the fluid source in the subsystem,</w:t>
      </w:r>
      <w:r w:rsidR="008C521E">
        <w:t xml:space="preserve"> which was </w:t>
      </w:r>
      <w:r>
        <w:t xml:space="preserve">modeled as a supply in the analytical model. A transient solution is needed in order to capture the surge event, which is on the order of milliseconds, and the driving factor behind the surge is the </w:t>
      </w:r>
      <w:r>
        <w:lastRenderedPageBreak/>
        <w:t xml:space="preserve">actuation of the latching isolation valve, through which the lower manifold gets pressurized. In the </w:t>
      </w:r>
      <w:r w:rsidR="008C521E">
        <w:t>analyses</w:t>
      </w:r>
      <w:r w:rsidR="007E3B78">
        <w:t>,</w:t>
      </w:r>
      <w:r>
        <w:t xml:space="preserve"> the latch valve was </w:t>
      </w:r>
      <w:r w:rsidR="007E3B78">
        <w:t xml:space="preserve">discretely </w:t>
      </w:r>
      <w:r>
        <w:t>modeled</w:t>
      </w:r>
      <w:r w:rsidR="007E3B78">
        <w:t>,</w:t>
      </w:r>
      <w:r>
        <w:t xml:space="preserve"> taking into account its convergent portion of tubing prior to the valve seat and its diverging portion of tubing following the valve seat. </w:t>
      </w:r>
    </w:p>
    <w:p w14:paraId="67270063" w14:textId="0514382E" w:rsidR="00FF3587" w:rsidRPr="00CA73DF" w:rsidRDefault="00FF3587" w:rsidP="00BA31E5">
      <w:pPr>
        <w:autoSpaceDE w:val="0"/>
        <w:autoSpaceDN w:val="0"/>
        <w:adjustRightInd w:val="0"/>
        <w:ind w:firstLine="288"/>
      </w:pPr>
      <w:r>
        <w:t xml:space="preserve">After an outline of the subsystem fluid network </w:t>
      </w:r>
      <w:r w:rsidRPr="00CA73DF">
        <w:t>was created</w:t>
      </w:r>
      <w:r>
        <w:t xml:space="preserve"> in an AutoCAD environment, t</w:t>
      </w:r>
      <w:r w:rsidRPr="00CA73DF">
        <w:t>he</w:t>
      </w:r>
      <w:r>
        <w:t xml:space="preserve"> initial components </w:t>
      </w:r>
      <w:r w:rsidR="00C210B9">
        <w:t xml:space="preserve">were </w:t>
      </w:r>
      <w:r>
        <w:t>modeled</w:t>
      </w:r>
      <w:r w:rsidRPr="00CA73DF">
        <w:t xml:space="preserve"> </w:t>
      </w:r>
      <w:r w:rsidR="00C210B9">
        <w:t xml:space="preserve">to </w:t>
      </w:r>
      <w:r w:rsidRPr="00CA73DF">
        <w:t xml:space="preserve">include the location of the propellant tank, the location of the four </w:t>
      </w:r>
      <w:r>
        <w:t xml:space="preserve">primary </w:t>
      </w:r>
      <w:r w:rsidR="008C521E">
        <w:t>thrusters, the six tee/elbow fittings</w:t>
      </w:r>
      <w:r w:rsidRPr="00CA73DF">
        <w:t xml:space="preserve">, and the liquid fill and drain valve. Each of these </w:t>
      </w:r>
      <w:r w:rsidR="004E485C">
        <w:t xml:space="preserve">components </w:t>
      </w:r>
      <w:r w:rsidRPr="00CA73DF">
        <w:t xml:space="preserve">was given a nodal definition </w:t>
      </w:r>
      <w:r w:rsidR="004E485C">
        <w:t>based on</w:t>
      </w:r>
      <w:r w:rsidRPr="00CA73DF">
        <w:t xml:space="preserve"> the component being either a source, divergence</w:t>
      </w:r>
      <w:r w:rsidR="004E485C">
        <w:t>,</w:t>
      </w:r>
      <w:r w:rsidRPr="00CA73DF">
        <w:t xml:space="preserve"> or a sink relative to the rest of the</w:t>
      </w:r>
      <w:r>
        <w:t xml:space="preserve"> flow</w:t>
      </w:r>
      <w:r w:rsidRPr="00CA73DF">
        <w:t xml:space="preserve"> network. The pressure and temperature conditions we</w:t>
      </w:r>
      <w:r>
        <w:t xml:space="preserve">re driven by conservative worst-case conditions </w:t>
      </w:r>
      <w:r w:rsidRPr="00CA73DF">
        <w:t xml:space="preserve">and defined at the tank boundary node with the use of a Thermal Desktop “lump”. A “lump” is a static point that </w:t>
      </w:r>
      <w:r>
        <w:t>can</w:t>
      </w:r>
      <w:r w:rsidRPr="00CA73DF">
        <w:t xml:space="preserve"> be assigned initial conditions such as void fraction, quality, pressure, and temperature. With a transient </w:t>
      </w:r>
      <w:r>
        <w:t>analysis,</w:t>
      </w:r>
      <w:r w:rsidRPr="00CA73DF">
        <w:t xml:space="preserve"> the unique lump location allows for an evaluation of the system at the nod</w:t>
      </w:r>
      <w:r>
        <w:t>al definition, making the lump</w:t>
      </w:r>
      <w:r w:rsidRPr="00CA73DF">
        <w:t xml:space="preserve"> the basic building block for any fluid subsystem</w:t>
      </w:r>
      <w:r>
        <w:t xml:space="preserve"> in FloCAD</w:t>
      </w:r>
      <w:r w:rsidR="00F975C4">
        <w:t xml:space="preserve"> [8, 9</w:t>
      </w:r>
      <w:r w:rsidR="00AF22CC">
        <w:t>]</w:t>
      </w:r>
      <w:r>
        <w:t>. Additionally</w:t>
      </w:r>
      <w:r w:rsidR="00E5215A">
        <w:t>,</w:t>
      </w:r>
      <w:r>
        <w:t xml:space="preserve"> a lump </w:t>
      </w:r>
      <w:r w:rsidRPr="00CA73DF">
        <w:t xml:space="preserve">can be used to define the distinct characteristics of each of the evaluation points mentioned. For </w:t>
      </w:r>
      <w:r>
        <w:t>the tank, the lump</w:t>
      </w:r>
      <w:r w:rsidRPr="00CA73DF">
        <w:t xml:space="preserve"> was used to define a plenum boundary with an infinite volume</w:t>
      </w:r>
      <w:r>
        <w:t xml:space="preserve">, since the </w:t>
      </w:r>
      <w:r w:rsidRPr="00CA73DF">
        <w:t xml:space="preserve">surge event is instantaneous, and the lower manifold which it affects has a small relative volume to that of the tank. </w:t>
      </w:r>
      <w:r>
        <w:t>The computational analysis modeled the thrusters via a</w:t>
      </w:r>
      <w:r w:rsidRPr="00CA73DF">
        <w:t xml:space="preserve"> </w:t>
      </w:r>
      <w:r>
        <w:t xml:space="preserve">lump </w:t>
      </w:r>
      <w:r w:rsidRPr="00CA73DF">
        <w:t xml:space="preserve">nodal definition </w:t>
      </w:r>
      <w:r>
        <w:t xml:space="preserve">to </w:t>
      </w:r>
      <w:r w:rsidR="00722018">
        <w:t>set their location within the system</w:t>
      </w:r>
      <w:r>
        <w:t>.</w:t>
      </w:r>
      <w:r w:rsidRPr="00CA73DF">
        <w:t xml:space="preserve"> After the definition of the supply, the tubing was defined with the use of the software’s “pipe” feature. The “pipe” allows for the definition of a flow path with the selection of a tube’s centerline. The</w:t>
      </w:r>
      <w:r>
        <w:t xml:space="preserve"> PACE propulsion subsystem</w:t>
      </w:r>
      <w:r w:rsidRPr="00CA73DF">
        <w:t xml:space="preserve"> geometry that was generated in the AutoCAD environment provided the centerline for each tube section of interest in the analysis and “pipes” were generated along each path. Each “pipe” was subdivided into a finite amount of “flow lumps” and “flow paths”</w:t>
      </w:r>
      <w:r>
        <w:t xml:space="preserve">, with the subdivisions being </w:t>
      </w:r>
      <w:r w:rsidR="0073163D">
        <w:t xml:space="preserve">tuned </w:t>
      </w:r>
      <w:r>
        <w:t>as required to model the complexity of the tubing sectional bends</w:t>
      </w:r>
      <w:r w:rsidRPr="00CA73DF">
        <w:t>. Pipes allow fo</w:t>
      </w:r>
      <w:r>
        <w:t>r a quick way to define sectional temperature and void fraction conditions, specifically allowing for the distinction between the lower and upper manifolds</w:t>
      </w:r>
      <w:r w:rsidRPr="00CA73DF">
        <w:t xml:space="preserve">. </w:t>
      </w:r>
      <w:r>
        <w:t>Additional</w:t>
      </w:r>
      <w:r w:rsidRPr="00CA73DF">
        <w:t xml:space="preserve"> parameters that </w:t>
      </w:r>
      <w:r>
        <w:t>were</w:t>
      </w:r>
      <w:r w:rsidRPr="00CA73DF">
        <w:t xml:space="preserve"> defined in each pipe include geometry pertaining to the tube, i.e. wall thickness, outside diameter, and wall roughness</w:t>
      </w:r>
      <w:r>
        <w:t xml:space="preserve"> which</w:t>
      </w:r>
      <w:r w:rsidR="0073163D">
        <w:t xml:space="preserve"> was set to</w:t>
      </w:r>
      <w:r>
        <w:t xml:space="preserve"> match</w:t>
      </w:r>
      <w:r w:rsidR="005443B5">
        <w:t xml:space="preserve"> </w:t>
      </w:r>
      <w:r>
        <w:t>the flight tubing</w:t>
      </w:r>
      <w:r w:rsidRPr="00CA73DF">
        <w:t xml:space="preserve">. The “flow lumps” generated </w:t>
      </w:r>
      <w:r w:rsidR="005723D7">
        <w:t>provide</w:t>
      </w:r>
      <w:r w:rsidR="005723D7" w:rsidRPr="00CA73DF">
        <w:t xml:space="preserve"> </w:t>
      </w:r>
      <w:r w:rsidRPr="00CA73DF">
        <w:t>location specific pressure, volume</w:t>
      </w:r>
      <w:r>
        <w:t>,</w:t>
      </w:r>
      <w:r w:rsidRPr="00CA73DF">
        <w:t xml:space="preserve"> and temperature</w:t>
      </w:r>
      <w:r>
        <w:t xml:space="preserve"> information</w:t>
      </w:r>
      <w:r w:rsidRPr="00CA73DF">
        <w:t>. Two “flow lumps” are connected using a “flow path”</w:t>
      </w:r>
      <w:r w:rsidR="005723D7">
        <w:t>,</w:t>
      </w:r>
      <w:r w:rsidRPr="00CA73DF">
        <w:t xml:space="preserve"> which inherits the tube specific geometry from the “pipe” parameters and are assigned an initial flow rate. </w:t>
      </w:r>
      <w:r>
        <w:t>In order to highlight the dynamic event, stagnant conditions were defined at the start of the transient solution</w:t>
      </w:r>
      <w:r w:rsidR="009E2513">
        <w:t xml:space="preserve"> and</w:t>
      </w:r>
      <w:r>
        <w:t xml:space="preserve"> each </w:t>
      </w:r>
      <w:r w:rsidRPr="00CA73DF">
        <w:t xml:space="preserve">tube run flow rate </w:t>
      </w:r>
      <w:r>
        <w:t>was default set to zero.</w:t>
      </w:r>
      <w:r w:rsidRPr="00CA73DF">
        <w:t xml:space="preserve"> </w:t>
      </w:r>
    </w:p>
    <w:p w14:paraId="5E46B845" w14:textId="5470C7D8" w:rsidR="00FF3587" w:rsidRPr="00CA73DF" w:rsidRDefault="00FF3587" w:rsidP="00BA31E5">
      <w:pPr>
        <w:autoSpaceDE w:val="0"/>
        <w:autoSpaceDN w:val="0"/>
        <w:adjustRightInd w:val="0"/>
        <w:ind w:firstLine="288"/>
      </w:pPr>
      <w:r w:rsidRPr="00CA73DF">
        <w:t>The two inline venturi</w:t>
      </w:r>
      <w:r>
        <w:t xml:space="preserve"> </w:t>
      </w:r>
      <w:r w:rsidR="00B75960">
        <w:t xml:space="preserve">flow orifices </w:t>
      </w:r>
      <w:r>
        <w:t>(positioned just upstream of LV1 and LV2</w:t>
      </w:r>
      <w:r w:rsidR="00B75960">
        <w:t>, see Figure 1</w:t>
      </w:r>
      <w:r>
        <w:t>) each</w:t>
      </w:r>
      <w:r w:rsidRPr="00CA73DF">
        <w:t xml:space="preserve"> feature a converging inlet and diverging outlet, which were modeled using a “reducer” and “expander” in series. </w:t>
      </w:r>
      <w:r>
        <w:t>T</w:t>
      </w:r>
      <w:r w:rsidRPr="00CA73DF">
        <w:t>h</w:t>
      </w:r>
      <w:r>
        <w:t>e converging length was an input</w:t>
      </w:r>
      <w:r w:rsidRPr="00CA73DF">
        <w:t xml:space="preserve"> along with the upstream and downstream flow area. The upstream “reducer” area and the downstream “expander” area </w:t>
      </w:r>
      <w:r>
        <w:t>were inherited from</w:t>
      </w:r>
      <w:r w:rsidRPr="00CA73DF">
        <w:t xml:space="preserve"> the tubing geometry, and the “reducer” downstream area and “expander” upstream area were</w:t>
      </w:r>
      <w:r>
        <w:t xml:space="preserve"> equal to</w:t>
      </w:r>
      <w:r w:rsidRPr="00CA73DF">
        <w:t xml:space="preserve"> the venturi throat area.</w:t>
      </w:r>
    </w:p>
    <w:p w14:paraId="68E66942" w14:textId="33A759A5" w:rsidR="00FF3587" w:rsidRPr="00CA73DF" w:rsidRDefault="00FF3587" w:rsidP="00BA31E5">
      <w:pPr>
        <w:autoSpaceDE w:val="0"/>
        <w:autoSpaceDN w:val="0"/>
        <w:adjustRightInd w:val="0"/>
        <w:ind w:firstLine="288"/>
      </w:pPr>
      <w:r w:rsidRPr="00CA73DF">
        <w:t>The latch valves were modeled using an “orifice” and were given parameters such as the maximum orifice area</w:t>
      </w:r>
      <w:r>
        <w:t xml:space="preserve"> of the latch valve</w:t>
      </w:r>
      <w:r w:rsidRPr="00CA73DF">
        <w:t>, the upstream and downstream tubing lengths</w:t>
      </w:r>
      <w:r w:rsidR="00EB2B25">
        <w:t>,</w:t>
      </w:r>
      <w:r w:rsidRPr="00CA73DF">
        <w:t xml:space="preserve"> and the pressure lost </w:t>
      </w:r>
      <w:r>
        <w:t xml:space="preserve">across the </w:t>
      </w:r>
      <w:r w:rsidRPr="00CA73DF">
        <w:t xml:space="preserve">seat, which </w:t>
      </w:r>
      <w:r>
        <w:t>was</w:t>
      </w:r>
      <w:r w:rsidRPr="00CA73DF">
        <w:t xml:space="preserve"> determined from </w:t>
      </w:r>
      <w:r>
        <w:t>vendor</w:t>
      </w:r>
      <w:r w:rsidRPr="00CA73DF">
        <w:t xml:space="preserve"> </w:t>
      </w:r>
      <w:r>
        <w:t xml:space="preserve">acceptance test </w:t>
      </w:r>
      <w:r w:rsidRPr="00CA73DF">
        <w:t xml:space="preserve">data. A custom code was written to model the actuation, changing </w:t>
      </w:r>
      <w:r>
        <w:t xml:space="preserve">from a fully closed position </w:t>
      </w:r>
      <w:r w:rsidR="00EB2B25" w:rsidRPr="00CA73DF">
        <w:t xml:space="preserve">to the maximum </w:t>
      </w:r>
      <w:r w:rsidR="00EB2B25">
        <w:t xml:space="preserve">flow </w:t>
      </w:r>
      <w:r w:rsidR="00EB2B25" w:rsidRPr="00CA73DF">
        <w:t xml:space="preserve">orifice area </w:t>
      </w:r>
      <w:r w:rsidRPr="00CA73DF">
        <w:t xml:space="preserve">over the </w:t>
      </w:r>
      <w:r w:rsidR="00EB2B25">
        <w:t xml:space="preserve">actuation </w:t>
      </w:r>
      <w:r w:rsidRPr="00CA73DF">
        <w:t xml:space="preserve">response time of the latch valve. </w:t>
      </w:r>
      <w:r>
        <w:t>At the latch valve inlet portion, two converging sections were modeled to account for the reduced area at the valve seat and two diverging portions were similarly modeled at the outlet of the valve</w:t>
      </w:r>
      <w:r w:rsidR="00EB2B25">
        <w:t>.</w:t>
      </w:r>
      <w:r>
        <w:t xml:space="preserve"> </w:t>
      </w:r>
      <w:r w:rsidR="00EB2B25">
        <w:t>T</w:t>
      </w:r>
      <w:r>
        <w:t xml:space="preserve">he geometry for the divergence was taken from the component interface control document. </w:t>
      </w:r>
    </w:p>
    <w:p w14:paraId="2684C893" w14:textId="3909C5BB" w:rsidR="00FF3587" w:rsidRPr="00CA73DF" w:rsidRDefault="00FF3587" w:rsidP="00BA31E5">
      <w:pPr>
        <w:autoSpaceDE w:val="0"/>
        <w:autoSpaceDN w:val="0"/>
        <w:adjustRightInd w:val="0"/>
        <w:ind w:firstLine="288"/>
      </w:pPr>
      <w:r w:rsidRPr="00CA73DF">
        <w:t xml:space="preserve">A total of six </w:t>
      </w:r>
      <w:r>
        <w:t xml:space="preserve">simulation </w:t>
      </w:r>
      <w:r w:rsidRPr="00CA73DF">
        <w:t>models were generated to account for the six cases defined above in Table 1</w:t>
      </w:r>
      <w:r>
        <w:t xml:space="preserve"> (three venturis with two pressure scenarios, each)</w:t>
      </w:r>
      <w:r w:rsidRPr="00CA73DF">
        <w:t xml:space="preserve">. </w:t>
      </w:r>
      <w:r w:rsidR="00D94679">
        <w:t>Two</w:t>
      </w:r>
      <w:r w:rsidR="00D94679" w:rsidRPr="00CA73DF">
        <w:t xml:space="preserve"> </w:t>
      </w:r>
      <w:r w:rsidRPr="00CA73DF">
        <w:t>important assumption</w:t>
      </w:r>
      <w:r w:rsidR="00D94679">
        <w:t>s</w:t>
      </w:r>
      <w:r w:rsidRPr="00CA73DF">
        <w:t xml:space="preserve"> that </w:t>
      </w:r>
      <w:r w:rsidR="00D94679">
        <w:t>were</w:t>
      </w:r>
      <w:r w:rsidR="00D94679" w:rsidRPr="00CA73DF">
        <w:t xml:space="preserve"> </w:t>
      </w:r>
      <w:r w:rsidRPr="00CA73DF">
        <w:t xml:space="preserve">made to the analytical model was that the working fluid is incompressible and that gravitational forces do not affect the </w:t>
      </w:r>
      <w:r w:rsidR="00B75960">
        <w:t xml:space="preserve">transient solution. A </w:t>
      </w:r>
      <w:r w:rsidRPr="00CA73DF">
        <w:t>view of the analytical model is shown below in Figure 2. In</w:t>
      </w:r>
      <w:r w:rsidR="00B75960">
        <w:t xml:space="preserve"> this illustration, </w:t>
      </w:r>
      <w:r w:rsidRPr="00CA73DF">
        <w:t>both banks of thrusters are depicted</w:t>
      </w:r>
      <w:r w:rsidR="00D94679">
        <w:t>,</w:t>
      </w:r>
      <w:r w:rsidRPr="00CA73DF">
        <w:t xml:space="preserve"> however only one is being analyzed</w:t>
      </w:r>
      <w:r w:rsidR="00D94679">
        <w:t>.</w:t>
      </w:r>
      <w:r w:rsidRPr="00CA73DF">
        <w:t xml:space="preserve"> </w:t>
      </w:r>
      <w:r w:rsidR="00D94679">
        <w:t>T</w:t>
      </w:r>
      <w:r w:rsidRPr="00CA73DF">
        <w:t xml:space="preserve">he isolation latch valve for the </w:t>
      </w:r>
      <w:r>
        <w:t>redundant</w:t>
      </w:r>
      <w:r w:rsidRPr="00CA73DF">
        <w:t xml:space="preserve"> bank of thrusters remains closed throughout the </w:t>
      </w:r>
      <w:r w:rsidR="00B75960">
        <w:t>analysis run</w:t>
      </w:r>
      <w:r w:rsidRPr="00CA73DF">
        <w:t xml:space="preserve">. </w:t>
      </w:r>
    </w:p>
    <w:p w14:paraId="4F0F8725" w14:textId="77777777" w:rsidR="00FF3587" w:rsidRPr="00CA73DF" w:rsidRDefault="00FF3587" w:rsidP="00FF3587">
      <w:pPr>
        <w:autoSpaceDE w:val="0"/>
        <w:autoSpaceDN w:val="0"/>
        <w:adjustRightInd w:val="0"/>
      </w:pPr>
    </w:p>
    <w:p w14:paraId="21C064D2" w14:textId="494B85DA" w:rsidR="00FF3587" w:rsidRPr="00CA73DF" w:rsidRDefault="0023747F" w:rsidP="00FF3587">
      <w:pPr>
        <w:keepNext/>
        <w:autoSpaceDE w:val="0"/>
        <w:autoSpaceDN w:val="0"/>
        <w:adjustRightInd w:val="0"/>
        <w:jc w:val="center"/>
      </w:pPr>
      <w:r>
        <w:rPr>
          <w:noProof/>
        </w:rPr>
        <w:lastRenderedPageBreak/>
        <w:drawing>
          <wp:inline distT="0" distB="0" distL="0" distR="0" wp14:anchorId="715AD2F6" wp14:editId="33BE96CF">
            <wp:extent cx="5943600" cy="38093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809365"/>
                    </a:xfrm>
                    <a:prstGeom prst="rect">
                      <a:avLst/>
                    </a:prstGeom>
                  </pic:spPr>
                </pic:pic>
              </a:graphicData>
            </a:graphic>
          </wp:inline>
        </w:drawing>
      </w:r>
    </w:p>
    <w:p w14:paraId="2E749423" w14:textId="05222824" w:rsidR="00FF3587" w:rsidRPr="00BD4C0B" w:rsidRDefault="00BD4C0B" w:rsidP="00FF3587">
      <w:pPr>
        <w:pStyle w:val="Caption"/>
        <w:jc w:val="center"/>
      </w:pPr>
      <w:r>
        <w:t>Fig.</w:t>
      </w:r>
      <w:r w:rsidR="00FF3587" w:rsidRPr="00BD4C0B">
        <w:t xml:space="preserve"> </w:t>
      </w:r>
      <w:r w:rsidR="008C51A2">
        <w:rPr>
          <w:noProof/>
        </w:rPr>
        <w:fldChar w:fldCharType="begin"/>
      </w:r>
      <w:r w:rsidR="008C51A2">
        <w:rPr>
          <w:noProof/>
        </w:rPr>
        <w:instrText xml:space="preserve"> SEQ Figure \* ARABIC </w:instrText>
      </w:r>
      <w:r w:rsidR="008C51A2">
        <w:rPr>
          <w:noProof/>
        </w:rPr>
        <w:fldChar w:fldCharType="separate"/>
      </w:r>
      <w:r w:rsidR="00654C34">
        <w:rPr>
          <w:noProof/>
        </w:rPr>
        <w:t>2</w:t>
      </w:r>
      <w:r w:rsidR="008C51A2">
        <w:rPr>
          <w:noProof/>
        </w:rPr>
        <w:fldChar w:fldCharType="end"/>
      </w:r>
      <w:r w:rsidR="00FF3587" w:rsidRPr="00BD4C0B">
        <w:t xml:space="preserve"> Thermal Desktop Propulsion Model</w:t>
      </w:r>
    </w:p>
    <w:p w14:paraId="4963BDFC" w14:textId="030A8359" w:rsidR="00FF3587" w:rsidRPr="00CA73DF" w:rsidRDefault="00B75960" w:rsidP="00BA31E5">
      <w:pPr>
        <w:autoSpaceDE w:val="0"/>
        <w:autoSpaceDN w:val="0"/>
        <w:adjustRightInd w:val="0"/>
        <w:ind w:firstLine="288"/>
      </w:pPr>
      <w:r>
        <w:t xml:space="preserve">A typical </w:t>
      </w:r>
      <w:r w:rsidR="00FF3587" w:rsidRPr="00CA73DF">
        <w:t xml:space="preserve">solution of the </w:t>
      </w:r>
      <w:r w:rsidR="00FF3587">
        <w:t>computational</w:t>
      </w:r>
      <w:r w:rsidR="00FF3587" w:rsidRPr="00CA73DF">
        <w:t xml:space="preserve"> model for the vacuum downstream condition is provided below in Figure 3 and Figure 4 for the 0.048”</w:t>
      </w:r>
      <w:r w:rsidR="00FF3587">
        <w:t xml:space="preserve"> (1.22 mm)</w:t>
      </w:r>
      <w:r w:rsidR="00FF3587" w:rsidRPr="00CA73DF">
        <w:t xml:space="preserve"> venturi to illustrate the</w:t>
      </w:r>
      <w:r>
        <w:t xml:space="preserve"> analytically determined</w:t>
      </w:r>
      <w:r w:rsidR="00FF3587" w:rsidRPr="00CA73DF">
        <w:t xml:space="preserve"> dynamic event </w:t>
      </w:r>
      <w:r>
        <w:t>occurring</w:t>
      </w:r>
      <w:r w:rsidR="00FF3587" w:rsidRPr="00CA73DF">
        <w:t xml:space="preserve">. The dynamic pressure at thruster locations is shown in Figure 3, </w:t>
      </w:r>
      <w:r w:rsidR="00AB16B7">
        <w:t>which demonstrates</w:t>
      </w:r>
      <w:r w:rsidR="00FF3587" w:rsidRPr="00CA73DF">
        <w:t xml:space="preserve"> the peak </w:t>
      </w:r>
      <w:r w:rsidR="00AB16B7">
        <w:t xml:space="preserve">surge </w:t>
      </w:r>
      <w:r w:rsidR="00FF3587" w:rsidRPr="00CA73DF">
        <w:t>pressure seen l</w:t>
      </w:r>
      <w:r w:rsidR="00FF3587">
        <w:t>ocally by each thruster which proceeds to dampen</w:t>
      </w:r>
      <w:r w:rsidR="00FF3587" w:rsidRPr="00CA73DF">
        <w:t xml:space="preserve"> quickly. Figure 4 shows the dynamic pressures as caused by </w:t>
      </w:r>
      <w:r w:rsidR="00AB16B7">
        <w:t>reflected</w:t>
      </w:r>
      <w:r w:rsidR="00AB16B7" w:rsidRPr="00CA73DF">
        <w:t xml:space="preserve"> </w:t>
      </w:r>
      <w:r w:rsidR="00FF3587" w:rsidRPr="00CA73DF">
        <w:t xml:space="preserve">waves at the fill and drain valve and the isolation valve for the </w:t>
      </w:r>
      <w:r w:rsidR="00FF3587">
        <w:t>redundant</w:t>
      </w:r>
      <w:r w:rsidR="00FF3587" w:rsidRPr="00CA73DF">
        <w:t xml:space="preserve"> bank of thrusters. </w:t>
      </w:r>
    </w:p>
    <w:p w14:paraId="127C3A07" w14:textId="77777777" w:rsidR="00FF3587" w:rsidRPr="00CA73DF" w:rsidRDefault="00FF3587" w:rsidP="00FF3587">
      <w:pPr>
        <w:autoSpaceDE w:val="0"/>
        <w:autoSpaceDN w:val="0"/>
        <w:adjustRightInd w:val="0"/>
      </w:pPr>
    </w:p>
    <w:p w14:paraId="6C142DCB" w14:textId="77777777" w:rsidR="00BD4C0B" w:rsidRDefault="00FF3587" w:rsidP="00BD4C0B">
      <w:pPr>
        <w:keepNext/>
        <w:autoSpaceDE w:val="0"/>
        <w:autoSpaceDN w:val="0"/>
        <w:adjustRightInd w:val="0"/>
        <w:jc w:val="center"/>
      </w:pPr>
      <w:r w:rsidRPr="00CA73DF">
        <w:rPr>
          <w:noProof/>
        </w:rPr>
        <w:drawing>
          <wp:inline distT="0" distB="0" distL="0" distR="0" wp14:anchorId="3A5E988F" wp14:editId="792E643A">
            <wp:extent cx="4774018" cy="2896738"/>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5030" t="3077" r="7955"/>
                    <a:stretch/>
                  </pic:blipFill>
                  <pic:spPr bwMode="auto">
                    <a:xfrm>
                      <a:off x="0" y="0"/>
                      <a:ext cx="4840305" cy="2936959"/>
                    </a:xfrm>
                    <a:prstGeom prst="rect">
                      <a:avLst/>
                    </a:prstGeom>
                    <a:noFill/>
                    <a:ln>
                      <a:noFill/>
                    </a:ln>
                    <a:extLst>
                      <a:ext uri="{53640926-AAD7-44D8-BBD7-CCE9431645EC}">
                        <a14:shadowObscured xmlns:a14="http://schemas.microsoft.com/office/drawing/2010/main"/>
                      </a:ext>
                    </a:extLst>
                  </pic:spPr>
                </pic:pic>
              </a:graphicData>
            </a:graphic>
          </wp:inline>
        </w:drawing>
      </w:r>
    </w:p>
    <w:p w14:paraId="42CACAFA" w14:textId="0EECE8F4" w:rsidR="00FF3587" w:rsidRDefault="00BD4C0B" w:rsidP="00BD4C0B">
      <w:pPr>
        <w:pStyle w:val="Caption"/>
        <w:jc w:val="center"/>
      </w:pPr>
      <w:r>
        <w:t xml:space="preserve">Fig. </w:t>
      </w:r>
      <w:r w:rsidR="008C51A2">
        <w:rPr>
          <w:noProof/>
        </w:rPr>
        <w:fldChar w:fldCharType="begin"/>
      </w:r>
      <w:r w:rsidR="008C51A2">
        <w:rPr>
          <w:noProof/>
        </w:rPr>
        <w:instrText xml:space="preserve"> SEQ Figure \* ARABIC </w:instrText>
      </w:r>
      <w:r w:rsidR="008C51A2">
        <w:rPr>
          <w:noProof/>
        </w:rPr>
        <w:fldChar w:fldCharType="separate"/>
      </w:r>
      <w:r w:rsidR="00654C34">
        <w:rPr>
          <w:noProof/>
        </w:rPr>
        <w:t>3</w:t>
      </w:r>
      <w:r w:rsidR="008C51A2">
        <w:rPr>
          <w:noProof/>
        </w:rPr>
        <w:fldChar w:fldCharType="end"/>
      </w:r>
      <w:r>
        <w:t xml:space="preserve"> </w:t>
      </w:r>
      <w:r w:rsidR="008524C7">
        <w:t>Venturi</w:t>
      </w:r>
      <w:r>
        <w:t xml:space="preserve"> Thruster Specific Surge Curve</w:t>
      </w:r>
      <w:r w:rsidR="008524C7">
        <w:t>s for Vacuum Condition</w:t>
      </w:r>
      <w:r w:rsidR="00B75960">
        <w:t xml:space="preserve"> 0.048” (1.22 mm)</w:t>
      </w:r>
    </w:p>
    <w:p w14:paraId="3B2151EF" w14:textId="77777777" w:rsidR="00BD4C0B" w:rsidRDefault="00FF3587" w:rsidP="00BD4C0B">
      <w:pPr>
        <w:keepNext/>
        <w:autoSpaceDE w:val="0"/>
        <w:autoSpaceDN w:val="0"/>
        <w:adjustRightInd w:val="0"/>
        <w:jc w:val="center"/>
      </w:pPr>
      <w:r w:rsidRPr="00CA73DF">
        <w:rPr>
          <w:noProof/>
        </w:rPr>
        <w:lastRenderedPageBreak/>
        <w:drawing>
          <wp:inline distT="0" distB="0" distL="0" distR="0" wp14:anchorId="1EFCA1B0" wp14:editId="21E0497E">
            <wp:extent cx="5127499" cy="2905494"/>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5363" r="7434"/>
                    <a:stretch/>
                  </pic:blipFill>
                  <pic:spPr bwMode="auto">
                    <a:xfrm>
                      <a:off x="0" y="0"/>
                      <a:ext cx="5161521" cy="2924772"/>
                    </a:xfrm>
                    <a:prstGeom prst="rect">
                      <a:avLst/>
                    </a:prstGeom>
                    <a:noFill/>
                    <a:ln>
                      <a:noFill/>
                    </a:ln>
                    <a:extLst>
                      <a:ext uri="{53640926-AAD7-44D8-BBD7-CCE9431645EC}">
                        <a14:shadowObscured xmlns:a14="http://schemas.microsoft.com/office/drawing/2010/main"/>
                      </a:ext>
                    </a:extLst>
                  </pic:spPr>
                </pic:pic>
              </a:graphicData>
            </a:graphic>
          </wp:inline>
        </w:drawing>
      </w:r>
    </w:p>
    <w:p w14:paraId="08511D10" w14:textId="1B535E2C" w:rsidR="00BD4C0B" w:rsidRDefault="008524C7" w:rsidP="00BD4C0B">
      <w:pPr>
        <w:pStyle w:val="Caption"/>
        <w:jc w:val="center"/>
      </w:pPr>
      <w:r>
        <w:t>Fig.</w:t>
      </w:r>
      <w:r w:rsidR="00BD4C0B">
        <w:t xml:space="preserve"> </w:t>
      </w:r>
      <w:r w:rsidR="008C51A2">
        <w:rPr>
          <w:noProof/>
        </w:rPr>
        <w:fldChar w:fldCharType="begin"/>
      </w:r>
      <w:r w:rsidR="008C51A2">
        <w:rPr>
          <w:noProof/>
        </w:rPr>
        <w:instrText xml:space="preserve"> SEQ Figure \* ARABIC </w:instrText>
      </w:r>
      <w:r w:rsidR="008C51A2">
        <w:rPr>
          <w:noProof/>
        </w:rPr>
        <w:fldChar w:fldCharType="separate"/>
      </w:r>
      <w:r w:rsidR="00654C34">
        <w:rPr>
          <w:noProof/>
        </w:rPr>
        <w:t>4</w:t>
      </w:r>
      <w:r w:rsidR="008C51A2">
        <w:rPr>
          <w:noProof/>
        </w:rPr>
        <w:fldChar w:fldCharType="end"/>
      </w:r>
      <w:r>
        <w:t xml:space="preserve"> Venturi Latching Isolation Valve and FDV Surge Curves for Vacuum Condition</w:t>
      </w:r>
      <w:r w:rsidR="00B75960">
        <w:t xml:space="preserve"> 0.048” (1.22 mm)</w:t>
      </w:r>
    </w:p>
    <w:p w14:paraId="0E7D92F8" w14:textId="7E15FA7B" w:rsidR="00FF3587" w:rsidRPr="00CA73DF" w:rsidRDefault="00FF3587" w:rsidP="00FF3587">
      <w:pPr>
        <w:autoSpaceDE w:val="0"/>
        <w:autoSpaceDN w:val="0"/>
        <w:adjustRightInd w:val="0"/>
      </w:pPr>
    </w:p>
    <w:p w14:paraId="027BE853" w14:textId="181526A6" w:rsidR="00FF3587" w:rsidRPr="00CA73DF" w:rsidRDefault="00FF3587" w:rsidP="00BA31E5">
      <w:pPr>
        <w:autoSpaceDE w:val="0"/>
        <w:autoSpaceDN w:val="0"/>
        <w:adjustRightInd w:val="0"/>
        <w:ind w:firstLine="288"/>
      </w:pPr>
      <w:r w:rsidRPr="00CA73DF">
        <w:t>Figure 5, shown below</w:t>
      </w:r>
      <w:r w:rsidR="00844789">
        <w:t>,</w:t>
      </w:r>
      <w:r w:rsidRPr="00CA73DF">
        <w:t xml:space="preserve"> </w:t>
      </w:r>
      <w:r>
        <w:t>presents</w:t>
      </w:r>
      <w:r w:rsidRPr="00CA73DF">
        <w:t xml:space="preserve"> an ideal scenario of a </w:t>
      </w:r>
      <w:r w:rsidR="00384A64">
        <w:t xml:space="preserve">45 psi gHe padded downstream condition, unique to the 0.052” (1.32 mm) venturi, </w:t>
      </w:r>
      <w:r w:rsidRPr="00CA73DF">
        <w:t xml:space="preserve">which incurs a smaller expected surge magnitude. As can be seen </w:t>
      </w:r>
      <w:r>
        <w:t>in the figure</w:t>
      </w:r>
      <w:r w:rsidR="00844789">
        <w:t>,</w:t>
      </w:r>
      <w:r>
        <w:t xml:space="preserve"> </w:t>
      </w:r>
      <w:r w:rsidRPr="00CA73DF">
        <w:t xml:space="preserve">the dampening effect of the gas </w:t>
      </w:r>
      <w:r w:rsidR="00844789">
        <w:t xml:space="preserve">pad </w:t>
      </w:r>
      <w:r w:rsidRPr="00CA73DF">
        <w:t xml:space="preserve">prevents the surge pressures from rising to levels </w:t>
      </w:r>
      <w:r w:rsidR="00844789">
        <w:t>compared to</w:t>
      </w:r>
      <w:r w:rsidRPr="00CA73DF">
        <w:t xml:space="preserve"> the </w:t>
      </w:r>
      <w:r>
        <w:t>vacuum</w:t>
      </w:r>
      <w:r w:rsidRPr="00CA73DF">
        <w:t xml:space="preserve"> manifold condition. The padded condition will </w:t>
      </w:r>
      <w:r w:rsidR="00844789">
        <w:t>occur</w:t>
      </w:r>
      <w:r w:rsidRPr="00CA73DF">
        <w:t xml:space="preserve"> on the launch pad once the isolation latch valves are actuated</w:t>
      </w:r>
      <w:r w:rsidR="00B75960">
        <w:t xml:space="preserve"> open</w:t>
      </w:r>
      <w:r w:rsidRPr="00CA73DF">
        <w:t xml:space="preserve"> following </w:t>
      </w:r>
      <w:r w:rsidR="00B75960">
        <w:t>final spacecraft testing just prior to launch</w:t>
      </w:r>
      <w:r w:rsidRPr="00CA73DF">
        <w:t xml:space="preserve">. </w:t>
      </w:r>
    </w:p>
    <w:p w14:paraId="668C5C6A" w14:textId="77777777" w:rsidR="00FF3587" w:rsidRPr="00CA73DF" w:rsidRDefault="00FF3587" w:rsidP="00FF3587">
      <w:pPr>
        <w:autoSpaceDE w:val="0"/>
        <w:autoSpaceDN w:val="0"/>
        <w:adjustRightInd w:val="0"/>
      </w:pPr>
    </w:p>
    <w:p w14:paraId="60EB75ED" w14:textId="77777777" w:rsidR="00BD4C0B" w:rsidRDefault="00FF3587" w:rsidP="00BD4C0B">
      <w:pPr>
        <w:keepNext/>
        <w:autoSpaceDE w:val="0"/>
        <w:autoSpaceDN w:val="0"/>
        <w:adjustRightInd w:val="0"/>
        <w:jc w:val="center"/>
      </w:pPr>
      <w:r w:rsidRPr="00CA73DF">
        <w:rPr>
          <w:noProof/>
        </w:rPr>
        <w:drawing>
          <wp:inline distT="0" distB="0" distL="0" distR="0" wp14:anchorId="3D380E95" wp14:editId="002EFFB8">
            <wp:extent cx="3448050" cy="2886391"/>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l="3138" r="7268"/>
                    <a:stretch/>
                  </pic:blipFill>
                  <pic:spPr bwMode="auto">
                    <a:xfrm>
                      <a:off x="0" y="0"/>
                      <a:ext cx="3480706" cy="2913728"/>
                    </a:xfrm>
                    <a:prstGeom prst="rect">
                      <a:avLst/>
                    </a:prstGeom>
                    <a:noFill/>
                    <a:ln>
                      <a:noFill/>
                    </a:ln>
                    <a:extLst>
                      <a:ext uri="{53640926-AAD7-44D8-BBD7-CCE9431645EC}">
                        <a14:shadowObscured xmlns:a14="http://schemas.microsoft.com/office/drawing/2010/main"/>
                      </a:ext>
                    </a:extLst>
                  </pic:spPr>
                </pic:pic>
              </a:graphicData>
            </a:graphic>
          </wp:inline>
        </w:drawing>
      </w:r>
    </w:p>
    <w:p w14:paraId="31C24B6B" w14:textId="29E54240" w:rsidR="00FF3587" w:rsidRPr="00CA73DF" w:rsidRDefault="008524C7" w:rsidP="00BD4C0B">
      <w:pPr>
        <w:pStyle w:val="Caption"/>
        <w:jc w:val="center"/>
      </w:pPr>
      <w:r>
        <w:t>Fig.</w:t>
      </w:r>
      <w:r w:rsidR="00BD4C0B">
        <w:t xml:space="preserve"> </w:t>
      </w:r>
      <w:r w:rsidR="008C51A2">
        <w:rPr>
          <w:noProof/>
        </w:rPr>
        <w:fldChar w:fldCharType="begin"/>
      </w:r>
      <w:r w:rsidR="008C51A2">
        <w:rPr>
          <w:noProof/>
        </w:rPr>
        <w:instrText xml:space="preserve"> SEQ Figure \* ARABIC </w:instrText>
      </w:r>
      <w:r w:rsidR="008C51A2">
        <w:rPr>
          <w:noProof/>
        </w:rPr>
        <w:fldChar w:fldCharType="separate"/>
      </w:r>
      <w:r w:rsidR="00654C34">
        <w:rPr>
          <w:noProof/>
        </w:rPr>
        <w:t>5</w:t>
      </w:r>
      <w:r w:rsidR="008C51A2">
        <w:rPr>
          <w:noProof/>
        </w:rPr>
        <w:fldChar w:fldCharType="end"/>
      </w:r>
      <w:r>
        <w:t xml:space="preserve"> Venturi Thruster Specific Surge Curves for 45 psi gHe Padded Condition</w:t>
      </w:r>
      <w:r w:rsidR="00B75960">
        <w:t xml:space="preserve"> 0.052” (1.32 mm)</w:t>
      </w:r>
    </w:p>
    <w:p w14:paraId="32A2FCE2" w14:textId="77777777" w:rsidR="00FF3587" w:rsidRPr="00CA73DF" w:rsidRDefault="00FF3587" w:rsidP="00FF3587">
      <w:pPr>
        <w:autoSpaceDE w:val="0"/>
        <w:autoSpaceDN w:val="0"/>
        <w:adjustRightInd w:val="0"/>
      </w:pPr>
    </w:p>
    <w:p w14:paraId="31CC28AB" w14:textId="5A24B7B4" w:rsidR="00FF3587" w:rsidRPr="00CA73DF" w:rsidRDefault="00FF3587" w:rsidP="00BA31E5">
      <w:pPr>
        <w:autoSpaceDE w:val="0"/>
        <w:autoSpaceDN w:val="0"/>
        <w:adjustRightInd w:val="0"/>
        <w:ind w:firstLine="288"/>
      </w:pPr>
      <w:r w:rsidRPr="00CA73DF">
        <w:t>Figure 6</w:t>
      </w:r>
      <w:r w:rsidR="00FD5F00">
        <w:t>,</w:t>
      </w:r>
      <w:r w:rsidRPr="00CA73DF">
        <w:t xml:space="preserve"> shown below</w:t>
      </w:r>
      <w:r w:rsidR="00FD5F00">
        <w:t>,</w:t>
      </w:r>
      <w:r w:rsidRPr="00CA73DF">
        <w:t xml:space="preserve"> displays the data for the vacuum downstream condition as evaluated by the </w:t>
      </w:r>
      <w:r>
        <w:t>computational</w:t>
      </w:r>
      <w:r w:rsidRPr="00CA73DF">
        <w:t xml:space="preserve"> model for the 0.052”</w:t>
      </w:r>
      <w:r w:rsidR="008524C7">
        <w:t xml:space="preserve"> (1.32 mm)</w:t>
      </w:r>
      <w:r w:rsidRPr="00CA73DF">
        <w:t xml:space="preserve"> venturi. Figure 6</w:t>
      </w:r>
      <w:r w:rsidR="00FD5F00">
        <w:t>,</w:t>
      </w:r>
      <w:r w:rsidRPr="00CA73DF">
        <w:t xml:space="preserve"> when compared </w:t>
      </w:r>
      <w:r w:rsidR="00FD5F00">
        <w:t>to</w:t>
      </w:r>
      <w:r w:rsidR="00FD5F00" w:rsidRPr="00CA73DF">
        <w:t xml:space="preserve"> </w:t>
      </w:r>
      <w:r w:rsidRPr="00CA73DF">
        <w:t>Figure 5</w:t>
      </w:r>
      <w:r w:rsidR="00FD5F00">
        <w:t>,</w:t>
      </w:r>
      <w:r w:rsidRPr="00CA73DF">
        <w:t xml:space="preserve"> provides a c</w:t>
      </w:r>
      <w:r>
        <w:t>lear distinction between an evac</w:t>
      </w:r>
      <w:r w:rsidRPr="00CA73DF">
        <w:t>uated (at vacuum)</w:t>
      </w:r>
      <w:r w:rsidR="009B36E1">
        <w:t xml:space="preserve"> manifold and a padded manifold. </w:t>
      </w:r>
    </w:p>
    <w:p w14:paraId="0040F54D" w14:textId="77777777" w:rsidR="00FF3587" w:rsidRPr="00CA73DF" w:rsidRDefault="00FF3587" w:rsidP="00FF3587">
      <w:pPr>
        <w:autoSpaceDE w:val="0"/>
        <w:autoSpaceDN w:val="0"/>
        <w:adjustRightInd w:val="0"/>
      </w:pPr>
    </w:p>
    <w:p w14:paraId="7E75B57C" w14:textId="77777777" w:rsidR="00BD4C0B" w:rsidRDefault="00FF3587" w:rsidP="00BD4C0B">
      <w:pPr>
        <w:keepNext/>
        <w:autoSpaceDE w:val="0"/>
        <w:autoSpaceDN w:val="0"/>
        <w:adjustRightInd w:val="0"/>
        <w:jc w:val="center"/>
      </w:pPr>
      <w:r>
        <w:rPr>
          <w:noProof/>
        </w:rPr>
        <w:lastRenderedPageBreak/>
        <w:drawing>
          <wp:inline distT="0" distB="0" distL="0" distR="0" wp14:anchorId="15482F89" wp14:editId="0D5459DD">
            <wp:extent cx="5657850" cy="278286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7103" t="1780" r="8094"/>
                    <a:stretch/>
                  </pic:blipFill>
                  <pic:spPr bwMode="auto">
                    <a:xfrm>
                      <a:off x="0" y="0"/>
                      <a:ext cx="5681703" cy="2794601"/>
                    </a:xfrm>
                    <a:prstGeom prst="rect">
                      <a:avLst/>
                    </a:prstGeom>
                    <a:noFill/>
                    <a:ln>
                      <a:noFill/>
                    </a:ln>
                    <a:extLst>
                      <a:ext uri="{53640926-AAD7-44D8-BBD7-CCE9431645EC}">
                        <a14:shadowObscured xmlns:a14="http://schemas.microsoft.com/office/drawing/2010/main"/>
                      </a:ext>
                    </a:extLst>
                  </pic:spPr>
                </pic:pic>
              </a:graphicData>
            </a:graphic>
          </wp:inline>
        </w:drawing>
      </w:r>
    </w:p>
    <w:p w14:paraId="68EA9C6A" w14:textId="09F1B421" w:rsidR="00FF3587" w:rsidRDefault="008524C7" w:rsidP="008524C7">
      <w:pPr>
        <w:pStyle w:val="Caption"/>
        <w:jc w:val="center"/>
      </w:pPr>
      <w:r>
        <w:t>Fig.</w:t>
      </w:r>
      <w:r w:rsidR="00BD4C0B">
        <w:t xml:space="preserve"> </w:t>
      </w:r>
      <w:r w:rsidR="008C51A2">
        <w:rPr>
          <w:noProof/>
        </w:rPr>
        <w:fldChar w:fldCharType="begin"/>
      </w:r>
      <w:r w:rsidR="008C51A2">
        <w:rPr>
          <w:noProof/>
        </w:rPr>
        <w:instrText xml:space="preserve"> SEQ Figure \* ARABIC </w:instrText>
      </w:r>
      <w:r w:rsidR="008C51A2">
        <w:rPr>
          <w:noProof/>
        </w:rPr>
        <w:fldChar w:fldCharType="separate"/>
      </w:r>
      <w:r w:rsidR="00654C34">
        <w:rPr>
          <w:noProof/>
        </w:rPr>
        <w:t>6</w:t>
      </w:r>
      <w:r w:rsidR="008C51A2">
        <w:rPr>
          <w:noProof/>
        </w:rPr>
        <w:fldChar w:fldCharType="end"/>
      </w:r>
      <w:r>
        <w:t xml:space="preserve"> Venturi Thruster Specific Surge Curves for Vacuum Condition</w:t>
      </w:r>
      <w:r w:rsidR="00B75960">
        <w:t xml:space="preserve"> 0.052” (1.32 mm)</w:t>
      </w:r>
    </w:p>
    <w:p w14:paraId="2A4BE7BA" w14:textId="77777777" w:rsidR="008524C7" w:rsidRPr="008524C7" w:rsidRDefault="008524C7" w:rsidP="008524C7"/>
    <w:p w14:paraId="0B7F8D71" w14:textId="77777777" w:rsidR="00F565BA" w:rsidRPr="00F565BA" w:rsidRDefault="00FF3587"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Surge Testing</w:t>
      </w:r>
    </w:p>
    <w:p w14:paraId="3761CFFD" w14:textId="77777777" w:rsidR="00FF3587" w:rsidRPr="00CA73DF" w:rsidRDefault="00FF3587" w:rsidP="00BA31E5">
      <w:pPr>
        <w:pStyle w:val="BodyText"/>
        <w:spacing w:after="0" w:line="240" w:lineRule="auto"/>
        <w:ind w:left="288"/>
        <w:rPr>
          <w:rFonts w:ascii="Times New Roman" w:hAnsi="Times New Roman" w:cs="Times New Roman"/>
          <w:b/>
          <w:sz w:val="20"/>
          <w:szCs w:val="20"/>
        </w:rPr>
      </w:pPr>
    </w:p>
    <w:p w14:paraId="3E74EFA2" w14:textId="486839A9" w:rsidR="00FF3587" w:rsidRDefault="00FF3587" w:rsidP="00BA31E5">
      <w:pPr>
        <w:pStyle w:val="BodyText"/>
        <w:spacing w:after="0" w:line="240" w:lineRule="auto"/>
        <w:ind w:firstLine="180"/>
        <w:jc w:val="both"/>
        <w:rPr>
          <w:rFonts w:ascii="Times New Roman" w:hAnsi="Times New Roman" w:cs="Times New Roman"/>
          <w:sz w:val="20"/>
          <w:szCs w:val="20"/>
        </w:rPr>
      </w:pPr>
      <w:r w:rsidRPr="00CA73DF">
        <w:rPr>
          <w:rFonts w:ascii="Times New Roman" w:hAnsi="Times New Roman" w:cs="Times New Roman"/>
          <w:sz w:val="20"/>
          <w:szCs w:val="20"/>
        </w:rPr>
        <w:t>The</w:t>
      </w:r>
      <w:r w:rsidR="003B5571">
        <w:rPr>
          <w:rFonts w:ascii="Times New Roman" w:hAnsi="Times New Roman" w:cs="Times New Roman"/>
          <w:sz w:val="20"/>
          <w:szCs w:val="20"/>
        </w:rPr>
        <w:t xml:space="preserve"> physical</w:t>
      </w:r>
      <w:r w:rsidRPr="00CA73DF">
        <w:rPr>
          <w:rFonts w:ascii="Times New Roman" w:hAnsi="Times New Roman" w:cs="Times New Roman"/>
          <w:sz w:val="20"/>
          <w:szCs w:val="20"/>
        </w:rPr>
        <w:t xml:space="preserve"> surge testing manifold was created to replicate the PACE flight configuration in order to ensure the results were as accurate as possible and </w:t>
      </w:r>
      <w:r>
        <w:rPr>
          <w:rFonts w:ascii="Times New Roman" w:hAnsi="Times New Roman" w:cs="Times New Roman"/>
          <w:sz w:val="20"/>
          <w:szCs w:val="20"/>
        </w:rPr>
        <w:t xml:space="preserve">to </w:t>
      </w:r>
      <w:r w:rsidRPr="00CA73DF">
        <w:rPr>
          <w:rFonts w:ascii="Times New Roman" w:hAnsi="Times New Roman" w:cs="Times New Roman"/>
          <w:sz w:val="20"/>
          <w:szCs w:val="20"/>
        </w:rPr>
        <w:t xml:space="preserve">remove </w:t>
      </w:r>
      <w:r w:rsidR="00B75960">
        <w:rPr>
          <w:rFonts w:ascii="Times New Roman" w:hAnsi="Times New Roman" w:cs="Times New Roman"/>
          <w:sz w:val="20"/>
          <w:szCs w:val="20"/>
        </w:rPr>
        <w:t>dissimilarities</w:t>
      </w:r>
      <w:r w:rsidRPr="00CA73DF">
        <w:rPr>
          <w:rFonts w:ascii="Times New Roman" w:hAnsi="Times New Roman" w:cs="Times New Roman"/>
          <w:sz w:val="20"/>
          <w:szCs w:val="20"/>
        </w:rPr>
        <w:t xml:space="preserve"> </w:t>
      </w:r>
      <w:r>
        <w:rPr>
          <w:rFonts w:ascii="Times New Roman" w:hAnsi="Times New Roman" w:cs="Times New Roman"/>
          <w:sz w:val="20"/>
          <w:szCs w:val="20"/>
        </w:rPr>
        <w:t xml:space="preserve">when </w:t>
      </w:r>
      <w:r w:rsidR="003B5571">
        <w:rPr>
          <w:rFonts w:ascii="Times New Roman" w:hAnsi="Times New Roman" w:cs="Times New Roman"/>
          <w:sz w:val="20"/>
          <w:szCs w:val="20"/>
        </w:rPr>
        <w:t xml:space="preserve">compared </w:t>
      </w:r>
      <w:r>
        <w:rPr>
          <w:rFonts w:ascii="Times New Roman" w:hAnsi="Times New Roman" w:cs="Times New Roman"/>
          <w:sz w:val="20"/>
          <w:szCs w:val="20"/>
        </w:rPr>
        <w:t xml:space="preserve">to </w:t>
      </w:r>
      <w:r w:rsidRPr="00CA73DF">
        <w:rPr>
          <w:rFonts w:ascii="Times New Roman" w:hAnsi="Times New Roman" w:cs="Times New Roman"/>
          <w:sz w:val="20"/>
          <w:szCs w:val="20"/>
        </w:rPr>
        <w:t xml:space="preserve">the </w:t>
      </w:r>
      <w:r>
        <w:rPr>
          <w:rFonts w:ascii="Times New Roman" w:hAnsi="Times New Roman" w:cs="Times New Roman"/>
          <w:sz w:val="20"/>
          <w:szCs w:val="20"/>
        </w:rPr>
        <w:t>surge computational</w:t>
      </w:r>
      <w:r w:rsidRPr="00CA73DF">
        <w:rPr>
          <w:rFonts w:ascii="Times New Roman" w:hAnsi="Times New Roman" w:cs="Times New Roman"/>
          <w:sz w:val="20"/>
          <w:szCs w:val="20"/>
        </w:rPr>
        <w:t xml:space="preserve"> model. This was accomplished by making the tube lengths and bends</w:t>
      </w:r>
      <w:r>
        <w:rPr>
          <w:rFonts w:ascii="Times New Roman" w:hAnsi="Times New Roman" w:cs="Times New Roman"/>
          <w:sz w:val="20"/>
          <w:szCs w:val="20"/>
        </w:rPr>
        <w:t xml:space="preserve"> as close to</w:t>
      </w:r>
      <w:r w:rsidRPr="00CA73DF">
        <w:rPr>
          <w:rFonts w:ascii="Times New Roman" w:hAnsi="Times New Roman" w:cs="Times New Roman"/>
          <w:sz w:val="20"/>
          <w:szCs w:val="20"/>
        </w:rPr>
        <w:t xml:space="preserve"> identical</w:t>
      </w:r>
      <w:r>
        <w:rPr>
          <w:rFonts w:ascii="Times New Roman" w:hAnsi="Times New Roman" w:cs="Times New Roman"/>
          <w:sz w:val="20"/>
          <w:szCs w:val="20"/>
        </w:rPr>
        <w:t xml:space="preserve"> as possible</w:t>
      </w:r>
      <w:r w:rsidRPr="00CA73DF">
        <w:rPr>
          <w:rFonts w:ascii="Times New Roman" w:hAnsi="Times New Roman" w:cs="Times New Roman"/>
          <w:sz w:val="20"/>
          <w:szCs w:val="20"/>
        </w:rPr>
        <w:t xml:space="preserve"> to the PACE primary propulsion manifold and minimizing the number of </w:t>
      </w:r>
      <w:r>
        <w:rPr>
          <w:rFonts w:ascii="Times New Roman" w:hAnsi="Times New Roman" w:cs="Times New Roman"/>
          <w:sz w:val="20"/>
          <w:szCs w:val="20"/>
        </w:rPr>
        <w:t xml:space="preserve">instrumentation </w:t>
      </w:r>
      <w:r w:rsidRPr="00CA73DF">
        <w:rPr>
          <w:rFonts w:ascii="Times New Roman" w:hAnsi="Times New Roman" w:cs="Times New Roman"/>
          <w:sz w:val="20"/>
          <w:szCs w:val="20"/>
        </w:rPr>
        <w:t>test fittings in the design by welding the tubing sections together</w:t>
      </w:r>
      <w:r w:rsidR="003B5571">
        <w:rPr>
          <w:rFonts w:ascii="Times New Roman" w:hAnsi="Times New Roman" w:cs="Times New Roman"/>
          <w:sz w:val="20"/>
          <w:szCs w:val="20"/>
        </w:rPr>
        <w:t xml:space="preserve">, </w:t>
      </w:r>
      <w:r w:rsidRPr="00CA73DF">
        <w:rPr>
          <w:rFonts w:ascii="Times New Roman" w:hAnsi="Times New Roman" w:cs="Times New Roman"/>
          <w:sz w:val="20"/>
          <w:szCs w:val="20"/>
        </w:rPr>
        <w:t xml:space="preserve">as they would be in the flight system. With the primary and </w:t>
      </w:r>
      <w:r>
        <w:rPr>
          <w:rFonts w:ascii="Times New Roman" w:hAnsi="Times New Roman" w:cs="Times New Roman"/>
          <w:sz w:val="20"/>
          <w:szCs w:val="20"/>
        </w:rPr>
        <w:t>redundant</w:t>
      </w:r>
      <w:r w:rsidRPr="00CA73DF">
        <w:rPr>
          <w:rFonts w:ascii="Times New Roman" w:hAnsi="Times New Roman" w:cs="Times New Roman"/>
          <w:sz w:val="20"/>
          <w:szCs w:val="20"/>
        </w:rPr>
        <w:t xml:space="preserve"> manifolds being similar in their line lengths and bends, it was assumed that the results for the tested manifold will match closely with the untested </w:t>
      </w:r>
      <w:r>
        <w:rPr>
          <w:rFonts w:ascii="Times New Roman" w:hAnsi="Times New Roman" w:cs="Times New Roman"/>
          <w:sz w:val="20"/>
          <w:szCs w:val="20"/>
        </w:rPr>
        <w:t>redundant</w:t>
      </w:r>
      <w:r w:rsidRPr="00CA73DF">
        <w:rPr>
          <w:rFonts w:ascii="Times New Roman" w:hAnsi="Times New Roman" w:cs="Times New Roman"/>
          <w:sz w:val="20"/>
          <w:szCs w:val="20"/>
        </w:rPr>
        <w:t xml:space="preserve"> manifold. </w:t>
      </w:r>
    </w:p>
    <w:p w14:paraId="059FBF1B" w14:textId="77777777" w:rsidR="00B75960" w:rsidRDefault="00B75960" w:rsidP="00BA31E5">
      <w:pPr>
        <w:pStyle w:val="BodyText"/>
        <w:spacing w:after="0" w:line="240" w:lineRule="auto"/>
        <w:ind w:firstLine="180"/>
        <w:jc w:val="both"/>
        <w:rPr>
          <w:rFonts w:ascii="Times New Roman" w:hAnsi="Times New Roman" w:cs="Times New Roman"/>
          <w:sz w:val="20"/>
          <w:szCs w:val="20"/>
        </w:rPr>
      </w:pPr>
    </w:p>
    <w:p w14:paraId="1B99E805" w14:textId="77777777" w:rsidR="00B75960" w:rsidRDefault="00B75960" w:rsidP="00B75960">
      <w:pPr>
        <w:keepNext/>
        <w:autoSpaceDE w:val="0"/>
        <w:autoSpaceDN w:val="0"/>
        <w:adjustRightInd w:val="0"/>
        <w:jc w:val="center"/>
      </w:pPr>
      <w:r>
        <w:rPr>
          <w:noProof/>
        </w:rPr>
        <w:drawing>
          <wp:inline distT="0" distB="0" distL="0" distR="0" wp14:anchorId="56FD2670" wp14:editId="48B86CEE">
            <wp:extent cx="5067300" cy="297703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75762" cy="2982009"/>
                    </a:xfrm>
                    <a:prstGeom prst="rect">
                      <a:avLst/>
                    </a:prstGeom>
                  </pic:spPr>
                </pic:pic>
              </a:graphicData>
            </a:graphic>
          </wp:inline>
        </w:drawing>
      </w:r>
    </w:p>
    <w:p w14:paraId="7A66DB6F" w14:textId="0A65DDBA" w:rsidR="00B75960" w:rsidRPr="00AF24AB" w:rsidRDefault="00B75960" w:rsidP="00B75960">
      <w:pPr>
        <w:pStyle w:val="Caption"/>
        <w:jc w:val="center"/>
      </w:pPr>
      <w:r>
        <w:t xml:space="preserve">Fig. </w:t>
      </w:r>
      <w:r w:rsidR="008C51A2">
        <w:rPr>
          <w:noProof/>
        </w:rPr>
        <w:fldChar w:fldCharType="begin"/>
      </w:r>
      <w:r w:rsidR="008C51A2">
        <w:rPr>
          <w:noProof/>
        </w:rPr>
        <w:instrText xml:space="preserve"> SEQ Figure \* ARABIC </w:instrText>
      </w:r>
      <w:r w:rsidR="008C51A2">
        <w:rPr>
          <w:noProof/>
        </w:rPr>
        <w:fldChar w:fldCharType="separate"/>
      </w:r>
      <w:r>
        <w:rPr>
          <w:noProof/>
        </w:rPr>
        <w:t>7</w:t>
      </w:r>
      <w:r w:rsidR="008C51A2">
        <w:rPr>
          <w:noProof/>
        </w:rPr>
        <w:fldChar w:fldCharType="end"/>
      </w:r>
      <w:r>
        <w:t xml:space="preserve"> Surge Testing Designations against Propulsion Subsystem Components</w:t>
      </w:r>
    </w:p>
    <w:p w14:paraId="0CE70478" w14:textId="77777777" w:rsidR="00B75960" w:rsidRPr="00CA73DF" w:rsidRDefault="00B75960" w:rsidP="00BA31E5">
      <w:pPr>
        <w:pStyle w:val="BodyText"/>
        <w:spacing w:after="0" w:line="240" w:lineRule="auto"/>
        <w:ind w:firstLine="180"/>
        <w:jc w:val="both"/>
        <w:rPr>
          <w:rFonts w:ascii="Times New Roman" w:hAnsi="Times New Roman" w:cs="Times New Roman"/>
          <w:sz w:val="20"/>
          <w:szCs w:val="20"/>
        </w:rPr>
      </w:pPr>
    </w:p>
    <w:p w14:paraId="26F4BE03" w14:textId="4FDB7A0E" w:rsidR="00FF3587" w:rsidRDefault="00D14CA4" w:rsidP="00BA31E5">
      <w:pPr>
        <w:pStyle w:val="BodyText"/>
        <w:spacing w:after="0" w:line="240" w:lineRule="auto"/>
        <w:ind w:firstLine="180"/>
        <w:jc w:val="both"/>
        <w:rPr>
          <w:rFonts w:ascii="Times New Roman" w:hAnsi="Times New Roman" w:cs="Times New Roman"/>
          <w:sz w:val="20"/>
          <w:szCs w:val="20"/>
        </w:rPr>
      </w:pPr>
      <w:r>
        <w:rPr>
          <w:rFonts w:ascii="Times New Roman" w:hAnsi="Times New Roman" w:cs="Times New Roman"/>
          <w:sz w:val="20"/>
          <w:szCs w:val="20"/>
        </w:rPr>
        <w:t>As discussed previously, t</w:t>
      </w:r>
      <w:r w:rsidR="00FF3587">
        <w:rPr>
          <w:rFonts w:ascii="Times New Roman" w:hAnsi="Times New Roman" w:cs="Times New Roman"/>
          <w:sz w:val="20"/>
          <w:szCs w:val="20"/>
        </w:rPr>
        <w:t>he</w:t>
      </w:r>
      <w:r w:rsidR="00FF3587" w:rsidRPr="00CA73DF">
        <w:rPr>
          <w:rFonts w:ascii="Times New Roman" w:hAnsi="Times New Roman" w:cs="Times New Roman"/>
          <w:sz w:val="20"/>
          <w:szCs w:val="20"/>
        </w:rPr>
        <w:t xml:space="preserve"> propulsion subsystem components subjected to propellant priming surge pressures are the thrusters in the manifold downstream of the </w:t>
      </w:r>
      <w:r w:rsidR="000B0A1F">
        <w:rPr>
          <w:rFonts w:ascii="Times New Roman" w:hAnsi="Times New Roman" w:cs="Times New Roman"/>
          <w:sz w:val="20"/>
          <w:szCs w:val="20"/>
        </w:rPr>
        <w:t xml:space="preserve">latch valve (K1 - K4 in Figure </w:t>
      </w:r>
      <w:r w:rsidR="00B75960">
        <w:rPr>
          <w:rFonts w:ascii="Times New Roman" w:hAnsi="Times New Roman" w:cs="Times New Roman"/>
          <w:sz w:val="20"/>
          <w:szCs w:val="20"/>
        </w:rPr>
        <w:t>7</w:t>
      </w:r>
      <w:r w:rsidR="00FF3587" w:rsidRPr="00CA73DF">
        <w:rPr>
          <w:rFonts w:ascii="Times New Roman" w:hAnsi="Times New Roman" w:cs="Times New Roman"/>
          <w:sz w:val="20"/>
          <w:szCs w:val="20"/>
        </w:rPr>
        <w:t xml:space="preserve">), the liquid fill and drain valve (K5), and the inlet of the </w:t>
      </w:r>
      <w:r w:rsidR="00FF3587">
        <w:rPr>
          <w:rFonts w:ascii="Times New Roman" w:hAnsi="Times New Roman" w:cs="Times New Roman"/>
          <w:sz w:val="20"/>
          <w:szCs w:val="20"/>
        </w:rPr>
        <w:t>redundant</w:t>
      </w:r>
      <w:r w:rsidR="00FF3587" w:rsidRPr="00CA73DF">
        <w:rPr>
          <w:rFonts w:ascii="Times New Roman" w:hAnsi="Times New Roman" w:cs="Times New Roman"/>
          <w:sz w:val="20"/>
          <w:szCs w:val="20"/>
        </w:rPr>
        <w:t xml:space="preserve"> latch valve (K6). The reference </w:t>
      </w:r>
      <w:r>
        <w:rPr>
          <w:rFonts w:ascii="Times New Roman" w:hAnsi="Times New Roman" w:cs="Times New Roman"/>
          <w:sz w:val="20"/>
          <w:szCs w:val="20"/>
        </w:rPr>
        <w:t xml:space="preserve">physical </w:t>
      </w:r>
      <w:r w:rsidR="00FF3587" w:rsidRPr="00CA73DF">
        <w:rPr>
          <w:rFonts w:ascii="Times New Roman" w:hAnsi="Times New Roman" w:cs="Times New Roman"/>
          <w:sz w:val="20"/>
          <w:szCs w:val="20"/>
        </w:rPr>
        <w:t xml:space="preserve">location of these components compared to the PACE propulsion system </w:t>
      </w:r>
      <w:r>
        <w:rPr>
          <w:rFonts w:ascii="Times New Roman" w:hAnsi="Times New Roman" w:cs="Times New Roman"/>
          <w:sz w:val="20"/>
          <w:szCs w:val="20"/>
        </w:rPr>
        <w:t xml:space="preserve">schematic </w:t>
      </w:r>
      <w:r w:rsidR="00FF3587" w:rsidRPr="00CA73DF">
        <w:rPr>
          <w:rFonts w:ascii="Times New Roman" w:hAnsi="Times New Roman" w:cs="Times New Roman"/>
          <w:sz w:val="20"/>
          <w:szCs w:val="20"/>
        </w:rPr>
        <w:t xml:space="preserve">can be seen in Figure </w:t>
      </w:r>
      <w:r w:rsidR="00B75960">
        <w:rPr>
          <w:rFonts w:ascii="Times New Roman" w:hAnsi="Times New Roman" w:cs="Times New Roman"/>
          <w:sz w:val="20"/>
          <w:szCs w:val="20"/>
        </w:rPr>
        <w:t>7</w:t>
      </w:r>
      <w:r w:rsidR="00FF3587" w:rsidRPr="00CA73DF">
        <w:rPr>
          <w:rFonts w:ascii="Times New Roman" w:hAnsi="Times New Roman" w:cs="Times New Roman"/>
          <w:sz w:val="20"/>
          <w:szCs w:val="20"/>
        </w:rPr>
        <w:t>, where K1 represents thruster 1A, K2 represents 2A, etc. To measure surge pressures, dynamic piezoelectric pressure sensors (manufactured by</w:t>
      </w:r>
      <w:r>
        <w:rPr>
          <w:rFonts w:ascii="Times New Roman" w:hAnsi="Times New Roman" w:cs="Times New Roman"/>
          <w:sz w:val="20"/>
          <w:szCs w:val="20"/>
        </w:rPr>
        <w:t>,</w:t>
      </w:r>
      <w:r w:rsidR="00FF3587" w:rsidRPr="00CA73DF">
        <w:rPr>
          <w:rFonts w:ascii="Times New Roman" w:hAnsi="Times New Roman" w:cs="Times New Roman"/>
          <w:sz w:val="20"/>
          <w:szCs w:val="20"/>
        </w:rPr>
        <w:t xml:space="preserve"> and referred to as</w:t>
      </w:r>
      <w:r>
        <w:rPr>
          <w:rFonts w:ascii="Times New Roman" w:hAnsi="Times New Roman" w:cs="Times New Roman"/>
          <w:sz w:val="20"/>
          <w:szCs w:val="20"/>
        </w:rPr>
        <w:t>,</w:t>
      </w:r>
      <w:r w:rsidR="00FF3587" w:rsidRPr="00CA73DF">
        <w:rPr>
          <w:rFonts w:ascii="Times New Roman" w:hAnsi="Times New Roman" w:cs="Times New Roman"/>
          <w:sz w:val="20"/>
          <w:szCs w:val="20"/>
        </w:rPr>
        <w:t xml:space="preserve"> Kistlers) are installed at the end of the respective tubing section where each component would be in the flight system. To represent worst-case conditions, tests were conducted at the propulsion subsystem Maximum Expected Operating Pressure (MEOP) of 400 psia (27.58 bar). </w:t>
      </w:r>
      <w:r w:rsidR="000B0A1F">
        <w:rPr>
          <w:rFonts w:ascii="Times New Roman" w:hAnsi="Times New Roman" w:cs="Times New Roman"/>
          <w:sz w:val="20"/>
          <w:szCs w:val="20"/>
        </w:rPr>
        <w:t>An overview</w:t>
      </w:r>
      <w:r w:rsidR="00B75960">
        <w:rPr>
          <w:rFonts w:ascii="Times New Roman" w:hAnsi="Times New Roman" w:cs="Times New Roman"/>
          <w:sz w:val="20"/>
          <w:szCs w:val="20"/>
        </w:rPr>
        <w:t xml:space="preserve"> photograph</w:t>
      </w:r>
      <w:r w:rsidR="000B0A1F">
        <w:rPr>
          <w:rFonts w:ascii="Times New Roman" w:hAnsi="Times New Roman" w:cs="Times New Roman"/>
          <w:sz w:val="20"/>
          <w:szCs w:val="20"/>
        </w:rPr>
        <w:t xml:space="preserve"> of the experimental</w:t>
      </w:r>
      <w:r w:rsidR="00B75960">
        <w:rPr>
          <w:rFonts w:ascii="Times New Roman" w:hAnsi="Times New Roman" w:cs="Times New Roman"/>
          <w:sz w:val="20"/>
          <w:szCs w:val="20"/>
        </w:rPr>
        <w:t xml:space="preserve"> test</w:t>
      </w:r>
      <w:r w:rsidR="000B0A1F">
        <w:rPr>
          <w:rFonts w:ascii="Times New Roman" w:hAnsi="Times New Roman" w:cs="Times New Roman"/>
          <w:sz w:val="20"/>
          <w:szCs w:val="20"/>
        </w:rPr>
        <w:t xml:space="preserve"> setup is shown in </w:t>
      </w:r>
      <w:r w:rsidR="009B36E1">
        <w:rPr>
          <w:rFonts w:ascii="Times New Roman" w:hAnsi="Times New Roman" w:cs="Times New Roman"/>
          <w:sz w:val="20"/>
          <w:szCs w:val="20"/>
        </w:rPr>
        <w:t xml:space="preserve">Figure </w:t>
      </w:r>
      <w:r w:rsidR="00B75960">
        <w:rPr>
          <w:rFonts w:ascii="Times New Roman" w:hAnsi="Times New Roman" w:cs="Times New Roman"/>
          <w:sz w:val="20"/>
          <w:szCs w:val="20"/>
        </w:rPr>
        <w:t>8</w:t>
      </w:r>
      <w:r w:rsidR="000B0A1F">
        <w:rPr>
          <w:rFonts w:ascii="Times New Roman" w:hAnsi="Times New Roman" w:cs="Times New Roman"/>
          <w:sz w:val="20"/>
          <w:szCs w:val="20"/>
        </w:rPr>
        <w:t xml:space="preserve">, highlighting the latching isolation valve, and three of the six Kistler locations. </w:t>
      </w:r>
    </w:p>
    <w:p w14:paraId="169FF082" w14:textId="77777777" w:rsidR="00B75960" w:rsidRDefault="00B75960" w:rsidP="00BA31E5">
      <w:pPr>
        <w:pStyle w:val="BodyText"/>
        <w:spacing w:after="0" w:line="240" w:lineRule="auto"/>
        <w:ind w:firstLine="180"/>
        <w:jc w:val="both"/>
        <w:rPr>
          <w:rFonts w:ascii="Times New Roman" w:hAnsi="Times New Roman" w:cs="Times New Roman"/>
          <w:sz w:val="20"/>
          <w:szCs w:val="20"/>
        </w:rPr>
      </w:pPr>
    </w:p>
    <w:p w14:paraId="321AE628" w14:textId="4153F167" w:rsidR="008524C7" w:rsidRDefault="00674B12" w:rsidP="008524C7">
      <w:pPr>
        <w:pStyle w:val="BodyText"/>
        <w:keepNext/>
        <w:spacing w:after="0" w:line="240" w:lineRule="auto"/>
        <w:jc w:val="center"/>
      </w:pPr>
      <w:r>
        <w:rPr>
          <w:noProof/>
        </w:rPr>
        <w:drawing>
          <wp:inline distT="0" distB="0" distL="0" distR="0" wp14:anchorId="4C60CDCA" wp14:editId="5D065D2E">
            <wp:extent cx="5550010" cy="337625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53522" cy="3378392"/>
                    </a:xfrm>
                    <a:prstGeom prst="rect">
                      <a:avLst/>
                    </a:prstGeom>
                  </pic:spPr>
                </pic:pic>
              </a:graphicData>
            </a:graphic>
          </wp:inline>
        </w:drawing>
      </w:r>
    </w:p>
    <w:p w14:paraId="7A0EC59F" w14:textId="2E796F63" w:rsidR="008524C7" w:rsidRPr="00CA73DF" w:rsidRDefault="008524C7" w:rsidP="008524C7">
      <w:pPr>
        <w:pStyle w:val="Caption"/>
        <w:jc w:val="center"/>
      </w:pPr>
      <w:r>
        <w:t xml:space="preserve">Fig. </w:t>
      </w:r>
      <w:r w:rsidR="008C51A2">
        <w:rPr>
          <w:noProof/>
        </w:rPr>
        <w:fldChar w:fldCharType="begin"/>
      </w:r>
      <w:r w:rsidR="008C51A2">
        <w:rPr>
          <w:noProof/>
        </w:rPr>
        <w:instrText xml:space="preserve"> SEQ Figure \* ARABIC </w:instrText>
      </w:r>
      <w:r w:rsidR="008C51A2">
        <w:rPr>
          <w:noProof/>
        </w:rPr>
        <w:fldChar w:fldCharType="separate"/>
      </w:r>
      <w:r w:rsidR="00B75960">
        <w:rPr>
          <w:noProof/>
        </w:rPr>
        <w:t>8</w:t>
      </w:r>
      <w:r w:rsidR="008C51A2">
        <w:rPr>
          <w:noProof/>
        </w:rPr>
        <w:fldChar w:fldCharType="end"/>
      </w:r>
      <w:r>
        <w:t xml:space="preserve"> Overview of Surge Testing at NASA GSFC Waterhammer Laboratory</w:t>
      </w:r>
    </w:p>
    <w:p w14:paraId="162A4A17" w14:textId="77777777" w:rsidR="00FF3587" w:rsidRPr="00CA73DF" w:rsidRDefault="00FF3587" w:rsidP="00FF3587">
      <w:pPr>
        <w:pStyle w:val="BodyText"/>
        <w:spacing w:after="0" w:line="240" w:lineRule="auto"/>
        <w:jc w:val="both"/>
        <w:rPr>
          <w:rFonts w:ascii="Times New Roman" w:hAnsi="Times New Roman" w:cs="Times New Roman"/>
          <w:sz w:val="20"/>
          <w:szCs w:val="20"/>
        </w:rPr>
      </w:pPr>
    </w:p>
    <w:p w14:paraId="08A91C66" w14:textId="47343DDB" w:rsidR="00AF24AB" w:rsidRPr="00B75960" w:rsidRDefault="00FF3587" w:rsidP="00B75960">
      <w:pPr>
        <w:pStyle w:val="BodyText"/>
        <w:spacing w:after="0" w:line="240" w:lineRule="auto"/>
        <w:ind w:firstLine="288"/>
        <w:jc w:val="both"/>
        <w:rPr>
          <w:rFonts w:ascii="Times New Roman" w:hAnsi="Times New Roman" w:cs="Times New Roman"/>
          <w:sz w:val="20"/>
          <w:szCs w:val="20"/>
        </w:rPr>
      </w:pPr>
      <w:r w:rsidRPr="00CA73DF">
        <w:rPr>
          <w:rFonts w:ascii="Times New Roman" w:hAnsi="Times New Roman" w:cs="Times New Roman"/>
          <w:sz w:val="20"/>
          <w:szCs w:val="20"/>
        </w:rPr>
        <w:t>The most critical system variable is the pressure</w:t>
      </w:r>
      <w:r>
        <w:rPr>
          <w:rFonts w:ascii="Times New Roman" w:hAnsi="Times New Roman" w:cs="Times New Roman"/>
          <w:sz w:val="20"/>
          <w:szCs w:val="20"/>
        </w:rPr>
        <w:t xml:space="preserve"> downstream of the primary latching isolation</w:t>
      </w:r>
      <w:r w:rsidRPr="00CA73DF">
        <w:rPr>
          <w:rFonts w:ascii="Times New Roman" w:hAnsi="Times New Roman" w:cs="Times New Roman"/>
          <w:sz w:val="20"/>
          <w:szCs w:val="20"/>
        </w:rPr>
        <w:t xml:space="preserve"> valve. The worst-case pressure downstream of the latch</w:t>
      </w:r>
      <w:r>
        <w:rPr>
          <w:rFonts w:ascii="Times New Roman" w:hAnsi="Times New Roman" w:cs="Times New Roman"/>
          <w:sz w:val="20"/>
          <w:szCs w:val="20"/>
        </w:rPr>
        <w:t>ing isolation</w:t>
      </w:r>
      <w:r w:rsidRPr="00CA73DF">
        <w:rPr>
          <w:rFonts w:ascii="Times New Roman" w:hAnsi="Times New Roman" w:cs="Times New Roman"/>
          <w:sz w:val="20"/>
          <w:szCs w:val="20"/>
        </w:rPr>
        <w:t xml:space="preserve"> valve is when there is complete evacuation, i.e. vacuum. To replicate this potential</w:t>
      </w:r>
      <w:r>
        <w:rPr>
          <w:rFonts w:ascii="Times New Roman" w:hAnsi="Times New Roman" w:cs="Times New Roman"/>
          <w:sz w:val="20"/>
          <w:szCs w:val="20"/>
        </w:rPr>
        <w:t xml:space="preserve"> on-orbit</w:t>
      </w:r>
      <w:r w:rsidRPr="00CA73DF">
        <w:rPr>
          <w:rFonts w:ascii="Times New Roman" w:hAnsi="Times New Roman" w:cs="Times New Roman"/>
          <w:sz w:val="20"/>
          <w:szCs w:val="20"/>
        </w:rPr>
        <w:t xml:space="preserve"> vacuum condition downstream of the latch valve, a vacuum pump was used to evacuate the downstream manifold to a test pressure of approximately 0.14 psia (</w:t>
      </w:r>
      <w:r>
        <w:rPr>
          <w:rFonts w:ascii="Times New Roman" w:hAnsi="Times New Roman" w:cs="Times New Roman"/>
          <w:sz w:val="20"/>
          <w:szCs w:val="20"/>
        </w:rPr>
        <w:t>7.24 torr</w:t>
      </w:r>
      <w:r w:rsidRPr="00CA73DF">
        <w:rPr>
          <w:rFonts w:ascii="Times New Roman" w:hAnsi="Times New Roman" w:cs="Times New Roman"/>
          <w:sz w:val="20"/>
          <w:szCs w:val="20"/>
        </w:rPr>
        <w:t xml:space="preserve">). This vacuum </w:t>
      </w:r>
      <w:r>
        <w:rPr>
          <w:rFonts w:ascii="Times New Roman" w:hAnsi="Times New Roman" w:cs="Times New Roman"/>
          <w:sz w:val="20"/>
          <w:szCs w:val="20"/>
        </w:rPr>
        <w:t xml:space="preserve">test </w:t>
      </w:r>
      <w:r w:rsidRPr="00CA73DF">
        <w:rPr>
          <w:rFonts w:ascii="Times New Roman" w:hAnsi="Times New Roman" w:cs="Times New Roman"/>
          <w:sz w:val="20"/>
          <w:szCs w:val="20"/>
        </w:rPr>
        <w:t>condition results in the worst-case surge pressures as there is no liquid or gas to resist the incoming</w:t>
      </w:r>
      <w:r>
        <w:rPr>
          <w:rFonts w:ascii="Times New Roman" w:hAnsi="Times New Roman" w:cs="Times New Roman"/>
          <w:sz w:val="20"/>
          <w:szCs w:val="20"/>
        </w:rPr>
        <w:t xml:space="preserve"> liquid</w:t>
      </w:r>
      <w:r w:rsidRPr="00CA73DF">
        <w:rPr>
          <w:rFonts w:ascii="Times New Roman" w:hAnsi="Times New Roman" w:cs="Times New Roman"/>
          <w:sz w:val="20"/>
          <w:szCs w:val="20"/>
        </w:rPr>
        <w:t xml:space="preserve"> flow from the </w:t>
      </w:r>
      <w:r>
        <w:rPr>
          <w:rFonts w:ascii="Times New Roman" w:hAnsi="Times New Roman" w:cs="Times New Roman"/>
          <w:sz w:val="20"/>
          <w:szCs w:val="20"/>
        </w:rPr>
        <w:t>latching isolation valve opening</w:t>
      </w:r>
      <w:r w:rsidRPr="00CA73DF">
        <w:rPr>
          <w:rFonts w:ascii="Times New Roman" w:hAnsi="Times New Roman" w:cs="Times New Roman"/>
          <w:sz w:val="20"/>
          <w:szCs w:val="20"/>
        </w:rPr>
        <w:t>. Numerous surge tests were conducted using 0.048” (1.2</w:t>
      </w:r>
      <w:r w:rsidR="00B75960">
        <w:rPr>
          <w:rFonts w:ascii="Times New Roman" w:hAnsi="Times New Roman" w:cs="Times New Roman"/>
          <w:sz w:val="20"/>
          <w:szCs w:val="20"/>
        </w:rPr>
        <w:t>2 mm), 0.052” (1.32</w:t>
      </w:r>
      <w:r>
        <w:rPr>
          <w:rFonts w:ascii="Times New Roman" w:hAnsi="Times New Roman" w:cs="Times New Roman"/>
          <w:sz w:val="20"/>
          <w:szCs w:val="20"/>
        </w:rPr>
        <w:t xml:space="preserve"> mm</w:t>
      </w:r>
      <w:r w:rsidR="00B75960">
        <w:rPr>
          <w:rFonts w:ascii="Times New Roman" w:hAnsi="Times New Roman" w:cs="Times New Roman"/>
          <w:sz w:val="20"/>
          <w:szCs w:val="20"/>
        </w:rPr>
        <w:t>), and 0.055” (1.40</w:t>
      </w:r>
      <w:r>
        <w:rPr>
          <w:rFonts w:ascii="Times New Roman" w:hAnsi="Times New Roman" w:cs="Times New Roman"/>
          <w:sz w:val="20"/>
          <w:szCs w:val="20"/>
        </w:rPr>
        <w:t xml:space="preserve"> mm</w:t>
      </w:r>
      <w:r w:rsidRPr="00CA73DF">
        <w:rPr>
          <w:rFonts w:ascii="Times New Roman" w:hAnsi="Times New Roman" w:cs="Times New Roman"/>
          <w:sz w:val="20"/>
          <w:szCs w:val="20"/>
        </w:rPr>
        <w:t xml:space="preserve">) cavitating venturis to gather a data set to determine a viable venturi size for the </w:t>
      </w:r>
      <w:r w:rsidR="00B75960">
        <w:rPr>
          <w:rFonts w:ascii="Times New Roman" w:hAnsi="Times New Roman" w:cs="Times New Roman"/>
          <w:sz w:val="20"/>
          <w:szCs w:val="20"/>
        </w:rPr>
        <w:t>surge mitigation</w:t>
      </w:r>
      <w:r w:rsidRPr="00CA73DF">
        <w:rPr>
          <w:rFonts w:ascii="Times New Roman" w:hAnsi="Times New Roman" w:cs="Times New Roman"/>
          <w:sz w:val="20"/>
          <w:szCs w:val="20"/>
        </w:rPr>
        <w:t>.</w:t>
      </w:r>
    </w:p>
    <w:p w14:paraId="3EB83F77" w14:textId="77777777" w:rsidR="00F565BA" w:rsidRPr="00F565BA" w:rsidRDefault="00FF3587"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Flow Testing</w:t>
      </w:r>
    </w:p>
    <w:p w14:paraId="3D678F5F" w14:textId="254DA34D" w:rsidR="00FF3587" w:rsidRDefault="00FF3587" w:rsidP="00BA31E5">
      <w:pPr>
        <w:autoSpaceDE w:val="0"/>
        <w:autoSpaceDN w:val="0"/>
        <w:adjustRightInd w:val="0"/>
        <w:ind w:firstLine="180"/>
      </w:pPr>
      <w:r>
        <w:t xml:space="preserve">The </w:t>
      </w:r>
      <w:r w:rsidR="00B75960">
        <w:t>propulsion subsystem surge mitigation</w:t>
      </w:r>
      <w:r w:rsidRPr="00CA73DF">
        <w:t xml:space="preserve"> flight venturi </w:t>
      </w:r>
      <w:r>
        <w:t xml:space="preserve">candidates </w:t>
      </w:r>
      <w:r w:rsidRPr="00CA73DF">
        <w:t>underwent flow testing upon arriving at GSFC. The flow testing was performed in order to characterize the flow performance for each of the three di</w:t>
      </w:r>
      <w:r w:rsidR="0098329E">
        <w:t>fferent throat diameter orifice geometries</w:t>
      </w:r>
      <w:r w:rsidRPr="00CA73DF">
        <w:t xml:space="preserve">. Of primary concern </w:t>
      </w:r>
      <w:r w:rsidR="0098329E">
        <w:t>was</w:t>
      </w:r>
      <w:r w:rsidRPr="00CA73DF">
        <w:t xml:space="preserve"> the cavitation mass flow rate unique to ea</w:t>
      </w:r>
      <w:r>
        <w:t xml:space="preserve">ch </w:t>
      </w:r>
      <w:r w:rsidRPr="00CA73DF">
        <w:t xml:space="preserve">venturi, which can be used both as an upper limit on the flow rate in the </w:t>
      </w:r>
      <w:r>
        <w:t>surge computational</w:t>
      </w:r>
      <w:r w:rsidRPr="00CA73DF">
        <w:t xml:space="preserve"> model and as a verification value against the flow rates calculated intern</w:t>
      </w:r>
      <w:r w:rsidR="00952518">
        <w:t xml:space="preserve">ally by the </w:t>
      </w:r>
      <w:r w:rsidR="00256249">
        <w:t>Thermal Desktop computational model</w:t>
      </w:r>
      <w:r w:rsidR="00952518">
        <w:t>. In Figure 9</w:t>
      </w:r>
      <w:r w:rsidR="00116405">
        <w:t>,</w:t>
      </w:r>
      <w:r w:rsidRPr="00CA73DF">
        <w:t xml:space="preserve"> shown below</w:t>
      </w:r>
      <w:r w:rsidR="0098329E">
        <w:t>,</w:t>
      </w:r>
      <w:r w:rsidRPr="00CA73DF">
        <w:t xml:space="preserve"> the mass flow rate for each of the three venturi</w:t>
      </w:r>
      <w:r w:rsidR="0098329E">
        <w:t xml:space="preserve"> sizes</w:t>
      </w:r>
      <w:r w:rsidRPr="00CA73DF">
        <w:t xml:space="preserve"> is shown p</w:t>
      </w:r>
      <w:r>
        <w:t>lotted against the pressure loss</w:t>
      </w:r>
      <w:r w:rsidRPr="00CA73DF">
        <w:t xml:space="preserve"> across the orifice. The values shown in the figure were att</w:t>
      </w:r>
      <w:r>
        <w:t xml:space="preserve">ained empirically, where with the use of a metering valve </w:t>
      </w:r>
      <w:r w:rsidR="00116405">
        <w:t xml:space="preserve">allowed </w:t>
      </w:r>
      <w:r>
        <w:t xml:space="preserve">the flow rate </w:t>
      </w:r>
      <w:r w:rsidR="00116405">
        <w:t>to be</w:t>
      </w:r>
      <w:r w:rsidR="00116405" w:rsidRPr="00CA73DF">
        <w:t xml:space="preserve"> </w:t>
      </w:r>
      <w:r w:rsidRPr="00CA73DF">
        <w:t>incre</w:t>
      </w:r>
      <w:r>
        <w:t xml:space="preserve">ased incrementally to sample instantaneous mass flow rates as well as the pressure upstream and downstream of </w:t>
      </w:r>
      <w:r>
        <w:lastRenderedPageBreak/>
        <w:t>the venturi</w:t>
      </w:r>
      <w:r w:rsidR="0098329E">
        <w:t xml:space="preserve"> device</w:t>
      </w:r>
      <w:r>
        <w:t xml:space="preserve">. </w:t>
      </w:r>
      <w:r w:rsidRPr="00CA73DF">
        <w:t>The cavitating flow rates for each of the vent</w:t>
      </w:r>
      <w:r>
        <w:t>uri</w:t>
      </w:r>
      <w:r w:rsidR="00116405">
        <w:t>s</w:t>
      </w:r>
      <w:r>
        <w:t xml:space="preserve"> are shown in Table 3</w:t>
      </w:r>
      <w:r w:rsidR="00116405">
        <w:t>,</w:t>
      </w:r>
      <w:r>
        <w:t xml:space="preserve"> below</w:t>
      </w:r>
      <w:r w:rsidR="00116405">
        <w:t>.</w:t>
      </w:r>
      <w:r>
        <w:t xml:space="preserve"> </w:t>
      </w:r>
      <w:r w:rsidR="00116405">
        <w:t>T</w:t>
      </w:r>
      <w:r>
        <w:t xml:space="preserve">he results are unique to a feed pressure of </w:t>
      </w:r>
      <w:r w:rsidR="00116405">
        <w:t xml:space="preserve">the as-tested </w:t>
      </w:r>
      <w:r>
        <w:t>400 psia</w:t>
      </w:r>
      <w:r w:rsidR="00116405">
        <w:t xml:space="preserve"> upstream pressure condition</w:t>
      </w:r>
      <w:r>
        <w:t xml:space="preserve">. </w:t>
      </w:r>
    </w:p>
    <w:p w14:paraId="03F852B4" w14:textId="77777777" w:rsidR="00952518" w:rsidRDefault="00952518" w:rsidP="00BA31E5">
      <w:pPr>
        <w:autoSpaceDE w:val="0"/>
        <w:autoSpaceDN w:val="0"/>
        <w:adjustRightInd w:val="0"/>
        <w:ind w:firstLine="180"/>
      </w:pPr>
    </w:p>
    <w:p w14:paraId="72228B6F" w14:textId="234AFF27" w:rsidR="00AF24AB" w:rsidRPr="00CA73DF" w:rsidRDefault="00952518" w:rsidP="00952518">
      <w:pPr>
        <w:autoSpaceDE w:val="0"/>
        <w:autoSpaceDN w:val="0"/>
        <w:adjustRightInd w:val="0"/>
        <w:jc w:val="center"/>
      </w:pPr>
      <w:r w:rsidRPr="00CA73DF">
        <w:rPr>
          <w:noProof/>
        </w:rPr>
        <w:drawing>
          <wp:inline distT="0" distB="0" distL="0" distR="0" wp14:anchorId="0F2B504A" wp14:editId="48D18AC9">
            <wp:extent cx="5462546" cy="2705010"/>
            <wp:effectExtent l="0" t="0" r="508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75574" cy="2711461"/>
                    </a:xfrm>
                    <a:prstGeom prst="rect">
                      <a:avLst/>
                    </a:prstGeom>
                  </pic:spPr>
                </pic:pic>
              </a:graphicData>
            </a:graphic>
          </wp:inline>
        </w:drawing>
      </w:r>
    </w:p>
    <w:p w14:paraId="00D704D3" w14:textId="547EBE02" w:rsidR="00952518" w:rsidRDefault="00952518" w:rsidP="00952518">
      <w:pPr>
        <w:pStyle w:val="Caption"/>
        <w:jc w:val="center"/>
      </w:pPr>
      <w:r>
        <w:t xml:space="preserve">Fig. </w:t>
      </w:r>
      <w:r w:rsidR="008C51A2">
        <w:rPr>
          <w:noProof/>
        </w:rPr>
        <w:fldChar w:fldCharType="begin"/>
      </w:r>
      <w:r w:rsidR="008C51A2">
        <w:rPr>
          <w:noProof/>
        </w:rPr>
        <w:instrText xml:space="preserve"> SEQ Figure \* ARABIC </w:instrText>
      </w:r>
      <w:r w:rsidR="008C51A2">
        <w:rPr>
          <w:noProof/>
        </w:rPr>
        <w:fldChar w:fldCharType="separate"/>
      </w:r>
      <w:r>
        <w:rPr>
          <w:noProof/>
        </w:rPr>
        <w:t>9</w:t>
      </w:r>
      <w:r w:rsidR="008C51A2">
        <w:rPr>
          <w:noProof/>
        </w:rPr>
        <w:fldChar w:fldCharType="end"/>
      </w:r>
      <w:r>
        <w:t xml:space="preserve"> Mass Flow Rates as a function of Pressure Loss for each Venturi Case</w:t>
      </w:r>
    </w:p>
    <w:p w14:paraId="1D4C2FA4" w14:textId="77777777" w:rsidR="0098329E" w:rsidRPr="0098329E" w:rsidRDefault="0098329E" w:rsidP="0098329E"/>
    <w:p w14:paraId="5D521C10" w14:textId="5F0BE7E4" w:rsidR="00B75960" w:rsidRDefault="0098329E" w:rsidP="00B75960">
      <w:r w:rsidRPr="00CA73DF">
        <w:t>As a verification method</w:t>
      </w:r>
      <w:r w:rsidR="00193D2B">
        <w:t>,</w:t>
      </w:r>
      <w:r w:rsidRPr="00CA73DF">
        <w:t xml:space="preserve"> the </w:t>
      </w:r>
      <w:r w:rsidR="00C32304">
        <w:t xml:space="preserve">Thermal Desktop computational model </w:t>
      </w:r>
      <w:r w:rsidRPr="00CA73DF">
        <w:t xml:space="preserve">calculated </w:t>
      </w:r>
      <w:r w:rsidR="00C32304">
        <w:t xml:space="preserve">the </w:t>
      </w:r>
      <w:r w:rsidRPr="00CA73DF">
        <w:t>mass f</w:t>
      </w:r>
      <w:r>
        <w:t xml:space="preserve">low rate consistently within 5% of the empirical results, as shown in Table 3 below. The 5% divergence in the results could be caused by the expanding portion of the venturi not reaching the full ID of the tube and having a quick transition </w:t>
      </w:r>
      <w:r w:rsidR="00842684">
        <w:t xml:space="preserve">at the location shown in Figure </w:t>
      </w:r>
      <w:r>
        <w:t>10 below. This is brought about by having a converging/diverging portion of a finite length venturi which meet</w:t>
      </w:r>
      <w:r w:rsidR="00193D2B">
        <w:t>s</w:t>
      </w:r>
      <w:r>
        <w:t xml:space="preserve"> a minimum inlet/outlet length criteria </w:t>
      </w:r>
      <w:r w:rsidR="007D588D">
        <w:t xml:space="preserve">in order for </w:t>
      </w:r>
      <w:r>
        <w:t xml:space="preserve">ease of welding to adjacent tubing.  It can be seen that the converging portion goes from the upstream tubing ID to the venturi specific throat area and the diverging portion goes </w:t>
      </w:r>
      <w:r w:rsidR="002219A5">
        <w:t xml:space="preserve">from the throat </w:t>
      </w:r>
      <w:r w:rsidR="00842684">
        <w:t xml:space="preserve">diameter to the </w:t>
      </w:r>
      <w:r>
        <w:t xml:space="preserve">downstream </w:t>
      </w:r>
      <w:r w:rsidR="00842684">
        <w:t xml:space="preserve">tubing </w:t>
      </w:r>
      <w:r>
        <w:t>ID</w:t>
      </w:r>
      <w:r w:rsidR="00842684">
        <w:t>, as shown in Fig. 10</w:t>
      </w:r>
      <w:r w:rsidR="002219A5">
        <w:t>. In reality</w:t>
      </w:r>
      <w:r w:rsidR="00193D2B">
        <w:t>,</w:t>
      </w:r>
      <w:r w:rsidR="002219A5">
        <w:t xml:space="preserve"> the diverging portion of the venturi does not fully reach the ID due to a constraint on the length of the venturi </w:t>
      </w:r>
      <w:r w:rsidR="00193D2B">
        <w:t>so there is</w:t>
      </w:r>
      <w:r w:rsidR="002219A5">
        <w:t xml:space="preserve"> a step that transitions to the ID of the downstream tube</w:t>
      </w:r>
      <w:r>
        <w:t>. In the data, it is seen that as the venturi throat diameter sizing is increased, the tested and analytically determined mass flow rate converge to within 1 gram/sec of each other.</w:t>
      </w:r>
    </w:p>
    <w:p w14:paraId="31A3DAE3" w14:textId="77777777" w:rsidR="0098329E" w:rsidRPr="00B75960" w:rsidRDefault="0098329E" w:rsidP="00B75960"/>
    <w:p w14:paraId="48F412DE" w14:textId="311369E4" w:rsidR="00FF3587" w:rsidRPr="008524C7" w:rsidRDefault="00FF3587" w:rsidP="00FF3587">
      <w:pPr>
        <w:pStyle w:val="Caption"/>
        <w:keepNext/>
        <w:jc w:val="center"/>
      </w:pPr>
      <w:r w:rsidRPr="008524C7">
        <w:t xml:space="preserve">Table </w:t>
      </w:r>
      <w:r w:rsidR="008C51A2">
        <w:rPr>
          <w:noProof/>
        </w:rPr>
        <w:fldChar w:fldCharType="begin"/>
      </w:r>
      <w:r w:rsidR="008C51A2">
        <w:rPr>
          <w:noProof/>
        </w:rPr>
        <w:instrText xml:space="preserve"> SEQ Table \* ARABIC </w:instrText>
      </w:r>
      <w:r w:rsidR="008C51A2">
        <w:rPr>
          <w:noProof/>
        </w:rPr>
        <w:fldChar w:fldCharType="separate"/>
      </w:r>
      <w:r w:rsidRPr="008524C7">
        <w:rPr>
          <w:noProof/>
        </w:rPr>
        <w:t>3</w:t>
      </w:r>
      <w:r w:rsidR="008C51A2">
        <w:rPr>
          <w:noProof/>
        </w:rPr>
        <w:fldChar w:fldCharType="end"/>
      </w:r>
      <w:r w:rsidRPr="008524C7">
        <w:t xml:space="preserve"> Cavitation Mass Flow Rates for Venturi</w:t>
      </w:r>
    </w:p>
    <w:tbl>
      <w:tblPr>
        <w:tblStyle w:val="TableGrid"/>
        <w:tblW w:w="0" w:type="auto"/>
        <w:tblLook w:val="04A0" w:firstRow="1" w:lastRow="0" w:firstColumn="1" w:lastColumn="0" w:noHBand="0" w:noVBand="1"/>
      </w:tblPr>
      <w:tblGrid>
        <w:gridCol w:w="3775"/>
        <w:gridCol w:w="1980"/>
        <w:gridCol w:w="1710"/>
        <w:gridCol w:w="1885"/>
      </w:tblGrid>
      <w:tr w:rsidR="00FF3587" w:rsidRPr="00CA73DF" w14:paraId="3E0DE698" w14:textId="77777777" w:rsidTr="00734CEB">
        <w:tc>
          <w:tcPr>
            <w:tcW w:w="3775" w:type="dxa"/>
            <w:shd w:val="clear" w:color="auto" w:fill="D9D9D9" w:themeFill="background1" w:themeFillShade="D9"/>
            <w:vAlign w:val="center"/>
          </w:tcPr>
          <w:p w14:paraId="5684A2F1" w14:textId="77777777" w:rsidR="00FF3587" w:rsidRPr="00F72080" w:rsidRDefault="00FF3587" w:rsidP="00734CEB">
            <w:pPr>
              <w:autoSpaceDE w:val="0"/>
              <w:autoSpaceDN w:val="0"/>
              <w:adjustRightInd w:val="0"/>
              <w:jc w:val="center"/>
              <w:rPr>
                <w:rFonts w:ascii="Times New Roman" w:hAnsi="Times New Roman" w:cs="Times New Roman"/>
                <w:sz w:val="20"/>
                <w:szCs w:val="20"/>
              </w:rPr>
            </w:pPr>
            <w:r w:rsidRPr="00F72080">
              <w:rPr>
                <w:rFonts w:ascii="Times New Roman" w:hAnsi="Times New Roman" w:cs="Times New Roman"/>
                <w:sz w:val="20"/>
                <w:szCs w:val="20"/>
              </w:rPr>
              <w:t>Venturi ID</w:t>
            </w:r>
          </w:p>
        </w:tc>
        <w:tc>
          <w:tcPr>
            <w:tcW w:w="1980" w:type="dxa"/>
            <w:vAlign w:val="center"/>
          </w:tcPr>
          <w:p w14:paraId="396BDEA7" w14:textId="77777777" w:rsidR="00FF3587" w:rsidRPr="00CA73DF" w:rsidRDefault="00FF3587" w:rsidP="00734CEB">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0.048” (1.22 mm)</w:t>
            </w:r>
          </w:p>
        </w:tc>
        <w:tc>
          <w:tcPr>
            <w:tcW w:w="1710" w:type="dxa"/>
            <w:vAlign w:val="center"/>
          </w:tcPr>
          <w:p w14:paraId="7A49841B" w14:textId="77777777" w:rsidR="00FF3587" w:rsidRPr="00CA73DF" w:rsidRDefault="00FF3587" w:rsidP="00734CEB">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0.052” (1.32 mm)</w:t>
            </w:r>
          </w:p>
        </w:tc>
        <w:tc>
          <w:tcPr>
            <w:tcW w:w="1885" w:type="dxa"/>
            <w:vAlign w:val="center"/>
          </w:tcPr>
          <w:p w14:paraId="715DFF09" w14:textId="77777777" w:rsidR="00FF3587" w:rsidRPr="00CA73DF" w:rsidRDefault="00FF3587" w:rsidP="00734CEB">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0.055” (1.40 mm)</w:t>
            </w:r>
          </w:p>
        </w:tc>
      </w:tr>
      <w:tr w:rsidR="00FF3587" w:rsidRPr="00CA73DF" w14:paraId="13EB15DF" w14:textId="77777777" w:rsidTr="00734CEB">
        <w:tc>
          <w:tcPr>
            <w:tcW w:w="3775" w:type="dxa"/>
            <w:shd w:val="clear" w:color="auto" w:fill="D9D9D9" w:themeFill="background1" w:themeFillShade="D9"/>
            <w:vAlign w:val="center"/>
          </w:tcPr>
          <w:p w14:paraId="36542578" w14:textId="5B7DE1F8" w:rsidR="00FF3587" w:rsidRDefault="00FF3587" w:rsidP="00734CEB">
            <w:pPr>
              <w:autoSpaceDE w:val="0"/>
              <w:autoSpaceDN w:val="0"/>
              <w:adjustRightInd w:val="0"/>
              <w:jc w:val="center"/>
              <w:rPr>
                <w:rFonts w:ascii="Times New Roman" w:hAnsi="Times New Roman" w:cs="Times New Roman"/>
                <w:sz w:val="20"/>
                <w:szCs w:val="20"/>
              </w:rPr>
            </w:pPr>
            <w:r w:rsidRPr="00F72080">
              <w:rPr>
                <w:rFonts w:ascii="Times New Roman" w:hAnsi="Times New Roman" w:cs="Times New Roman"/>
                <w:sz w:val="20"/>
                <w:szCs w:val="20"/>
              </w:rPr>
              <w:t>Empirical Cavitation Flow Rate</w:t>
            </w:r>
          </w:p>
          <w:p w14:paraId="552E34AC" w14:textId="77777777" w:rsidR="00FF3587" w:rsidRPr="00F72080" w:rsidRDefault="00FF3587" w:rsidP="00734CEB">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lbm/hr</w:t>
            </w:r>
          </w:p>
        </w:tc>
        <w:tc>
          <w:tcPr>
            <w:tcW w:w="1980" w:type="dxa"/>
            <w:vAlign w:val="center"/>
          </w:tcPr>
          <w:p w14:paraId="68A7A0A5" w14:textId="77777777" w:rsidR="00FF3587" w:rsidRPr="00CA73DF" w:rsidRDefault="00FF3587" w:rsidP="00734CEB">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560.3 (70.6 g/s)</w:t>
            </w:r>
          </w:p>
        </w:tc>
        <w:tc>
          <w:tcPr>
            <w:tcW w:w="1710" w:type="dxa"/>
            <w:vAlign w:val="center"/>
          </w:tcPr>
          <w:p w14:paraId="01CAC4F1" w14:textId="77777777" w:rsidR="00FF3587" w:rsidRPr="00CA73DF" w:rsidRDefault="00FF3587" w:rsidP="00734CEB">
            <w:pPr>
              <w:autoSpaceDE w:val="0"/>
              <w:autoSpaceDN w:val="0"/>
              <w:adjustRightInd w:val="0"/>
              <w:jc w:val="center"/>
              <w:rPr>
                <w:rFonts w:ascii="Times New Roman" w:hAnsi="Times New Roman" w:cs="Times New Roman"/>
                <w:sz w:val="20"/>
                <w:szCs w:val="20"/>
              </w:rPr>
            </w:pPr>
            <w:r w:rsidRPr="00CA73DF">
              <w:rPr>
                <w:rFonts w:ascii="Times New Roman" w:hAnsi="Times New Roman" w:cs="Times New Roman"/>
                <w:sz w:val="20"/>
                <w:szCs w:val="20"/>
              </w:rPr>
              <w:t>6</w:t>
            </w:r>
            <w:r w:rsidR="003C1A55">
              <w:rPr>
                <w:rFonts w:ascii="Times New Roman" w:hAnsi="Times New Roman" w:cs="Times New Roman"/>
                <w:sz w:val="20"/>
                <w:szCs w:val="20"/>
              </w:rPr>
              <w:t>40.5</w:t>
            </w:r>
            <w:r w:rsidRPr="00CA73DF">
              <w:rPr>
                <w:rFonts w:ascii="Times New Roman" w:hAnsi="Times New Roman" w:cs="Times New Roman"/>
                <w:sz w:val="20"/>
                <w:szCs w:val="20"/>
              </w:rPr>
              <w:t xml:space="preserve"> (80.7 g/s)</w:t>
            </w:r>
          </w:p>
        </w:tc>
        <w:tc>
          <w:tcPr>
            <w:tcW w:w="1885" w:type="dxa"/>
            <w:vAlign w:val="center"/>
          </w:tcPr>
          <w:p w14:paraId="5AF213B6" w14:textId="77777777" w:rsidR="00FF3587" w:rsidRPr="00CA73DF" w:rsidRDefault="003C1A55" w:rsidP="00734CEB">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 xml:space="preserve">709.5 </w:t>
            </w:r>
            <w:r w:rsidR="00FF3587" w:rsidRPr="00CA73DF">
              <w:rPr>
                <w:rFonts w:ascii="Times New Roman" w:hAnsi="Times New Roman" w:cs="Times New Roman"/>
                <w:sz w:val="20"/>
                <w:szCs w:val="20"/>
              </w:rPr>
              <w:t>(89.4 g/s)</w:t>
            </w:r>
          </w:p>
        </w:tc>
      </w:tr>
      <w:tr w:rsidR="00FF3587" w:rsidRPr="00CA73DF" w14:paraId="6C7A612F" w14:textId="77777777" w:rsidTr="00734CEB">
        <w:tc>
          <w:tcPr>
            <w:tcW w:w="3775" w:type="dxa"/>
            <w:shd w:val="clear" w:color="auto" w:fill="D9D9D9" w:themeFill="background1" w:themeFillShade="D9"/>
            <w:vAlign w:val="center"/>
          </w:tcPr>
          <w:p w14:paraId="3CB2D3F2" w14:textId="77777777" w:rsidR="00FF3587" w:rsidRDefault="00FF3587" w:rsidP="00734CEB">
            <w:pPr>
              <w:autoSpaceDE w:val="0"/>
              <w:autoSpaceDN w:val="0"/>
              <w:adjustRightInd w:val="0"/>
              <w:jc w:val="center"/>
              <w:rPr>
                <w:rFonts w:ascii="Times New Roman" w:hAnsi="Times New Roman" w:cs="Times New Roman"/>
                <w:sz w:val="20"/>
                <w:szCs w:val="20"/>
              </w:rPr>
            </w:pPr>
            <w:r w:rsidRPr="00F72080">
              <w:rPr>
                <w:rFonts w:ascii="Times New Roman" w:hAnsi="Times New Roman" w:cs="Times New Roman"/>
                <w:sz w:val="20"/>
                <w:szCs w:val="20"/>
              </w:rPr>
              <w:t>Analytical Cavitation Flow Rate</w:t>
            </w:r>
          </w:p>
          <w:p w14:paraId="3379ACC7" w14:textId="0752DC36" w:rsidR="00FF3587" w:rsidRPr="00F72080" w:rsidRDefault="00FF3587" w:rsidP="00734CEB">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lbm/hr</w:t>
            </w:r>
          </w:p>
        </w:tc>
        <w:tc>
          <w:tcPr>
            <w:tcW w:w="1980" w:type="dxa"/>
            <w:vAlign w:val="center"/>
          </w:tcPr>
          <w:p w14:paraId="5DE61B2B" w14:textId="77777777" w:rsidR="00FF3587" w:rsidRPr="00CA73DF" w:rsidRDefault="003C1A55" w:rsidP="00734CEB">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580.2 (73.1 g/s)</w:t>
            </w:r>
          </w:p>
        </w:tc>
        <w:tc>
          <w:tcPr>
            <w:tcW w:w="1710" w:type="dxa"/>
            <w:vAlign w:val="center"/>
          </w:tcPr>
          <w:p w14:paraId="5FAD2865" w14:textId="77777777" w:rsidR="00FF3587" w:rsidRPr="00CA73DF" w:rsidRDefault="003C1A55" w:rsidP="00734CEB">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667.6</w:t>
            </w:r>
            <w:r w:rsidR="00FF3587">
              <w:rPr>
                <w:rFonts w:ascii="Times New Roman" w:hAnsi="Times New Roman" w:cs="Times New Roman"/>
                <w:sz w:val="20"/>
                <w:szCs w:val="20"/>
              </w:rPr>
              <w:t xml:space="preserve"> (84.1 g/s)</w:t>
            </w:r>
          </w:p>
        </w:tc>
        <w:tc>
          <w:tcPr>
            <w:tcW w:w="1885" w:type="dxa"/>
            <w:vAlign w:val="center"/>
          </w:tcPr>
          <w:p w14:paraId="10F39A7D" w14:textId="77777777" w:rsidR="00FF3587" w:rsidRPr="00CA73DF" w:rsidRDefault="00FF3587" w:rsidP="00734CEB">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706.2 (88.9 g/s)</w:t>
            </w:r>
          </w:p>
        </w:tc>
      </w:tr>
    </w:tbl>
    <w:p w14:paraId="78A25AE3" w14:textId="37D414ED" w:rsidR="0033632A" w:rsidRDefault="0033632A" w:rsidP="0033632A"/>
    <w:p w14:paraId="768376AD" w14:textId="5F028032" w:rsidR="0033632A" w:rsidRDefault="007D588D" w:rsidP="0033632A">
      <w:pPr>
        <w:keepNext/>
      </w:pPr>
      <w:r>
        <w:rPr>
          <w:noProof/>
        </w:rPr>
        <w:drawing>
          <wp:inline distT="0" distB="0" distL="0" distR="0" wp14:anchorId="7DFCF66C" wp14:editId="3C77386A">
            <wp:extent cx="5943600" cy="159017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6103"/>
                    <a:stretch/>
                  </pic:blipFill>
                  <pic:spPr bwMode="auto">
                    <a:xfrm>
                      <a:off x="0" y="0"/>
                      <a:ext cx="5943600" cy="1590178"/>
                    </a:xfrm>
                    <a:prstGeom prst="rect">
                      <a:avLst/>
                    </a:prstGeom>
                    <a:ln>
                      <a:noFill/>
                    </a:ln>
                    <a:extLst>
                      <a:ext uri="{53640926-AAD7-44D8-BBD7-CCE9431645EC}">
                        <a14:shadowObscured xmlns:a14="http://schemas.microsoft.com/office/drawing/2010/main"/>
                      </a:ext>
                    </a:extLst>
                  </pic:spPr>
                </pic:pic>
              </a:graphicData>
            </a:graphic>
          </wp:inline>
        </w:drawing>
      </w:r>
    </w:p>
    <w:p w14:paraId="5C961AC7" w14:textId="774FC6A2" w:rsidR="0033632A" w:rsidRDefault="0033632A" w:rsidP="0033632A">
      <w:pPr>
        <w:pStyle w:val="Caption"/>
        <w:jc w:val="center"/>
      </w:pPr>
      <w:r>
        <w:t xml:space="preserve">Figure </w:t>
      </w:r>
      <w:r w:rsidR="008C51A2">
        <w:rPr>
          <w:noProof/>
        </w:rPr>
        <w:fldChar w:fldCharType="begin"/>
      </w:r>
      <w:r w:rsidR="008C51A2">
        <w:rPr>
          <w:noProof/>
        </w:rPr>
        <w:instrText xml:space="preserve"> SEQ Figure \* ARABIC </w:instrText>
      </w:r>
      <w:r w:rsidR="008C51A2">
        <w:rPr>
          <w:noProof/>
        </w:rPr>
        <w:fldChar w:fldCharType="separate"/>
      </w:r>
      <w:r>
        <w:rPr>
          <w:noProof/>
        </w:rPr>
        <w:t>10</w:t>
      </w:r>
      <w:r w:rsidR="008C51A2">
        <w:rPr>
          <w:noProof/>
        </w:rPr>
        <w:fldChar w:fldCharType="end"/>
      </w:r>
      <w:r>
        <w:t>: Transition in ID for Venturi</w:t>
      </w:r>
    </w:p>
    <w:p w14:paraId="4A8426E4" w14:textId="25DD915C" w:rsidR="0098329E" w:rsidRDefault="0098329E" w:rsidP="0098329E"/>
    <w:p w14:paraId="401E2D6B" w14:textId="77777777" w:rsidR="0098329E" w:rsidRPr="0098329E" w:rsidRDefault="0098329E" w:rsidP="0098329E"/>
    <w:p w14:paraId="74EDA288" w14:textId="393C8225" w:rsidR="0011331B" w:rsidRPr="0011331B" w:rsidRDefault="0011331B" w:rsidP="0011331B">
      <w:pPr>
        <w:pStyle w:val="Heading2"/>
        <w:numPr>
          <w:ilvl w:val="0"/>
          <w:numId w:val="28"/>
        </w:numPr>
      </w:pPr>
      <w:r>
        <w:t>Joukowsky Equation</w:t>
      </w:r>
    </w:p>
    <w:p w14:paraId="10019E89" w14:textId="00EBC1C5" w:rsidR="0098329E" w:rsidRDefault="0011331B" w:rsidP="0033632A">
      <w:pPr>
        <w:keepNext/>
        <w:autoSpaceDE w:val="0"/>
        <w:autoSpaceDN w:val="0"/>
        <w:adjustRightInd w:val="0"/>
      </w:pPr>
      <w:r>
        <w:t>The cavitation mass flow rates determined by empirical testing can be used in the Joukowsky equation in order to find a single magnitude surge pressure based on fluid velocity, fluid density, and wave propagation velocity</w:t>
      </w:r>
      <w:r w:rsidR="0033632A">
        <w:t xml:space="preserve"> [</w:t>
      </w:r>
      <w:r w:rsidR="00F975C4">
        <w:t>4, 5</w:t>
      </w:r>
      <w:r w:rsidR="0033632A">
        <w:t>]</w:t>
      </w:r>
      <w:r>
        <w:t xml:space="preserve">. The fluid velocity in the equation is </w:t>
      </w:r>
      <w:r w:rsidR="00E72D29">
        <w:t>computed</w:t>
      </w:r>
      <w:r>
        <w:t xml:space="preserve"> from the cavitation mass flow rates and is unique to a given venturi</w:t>
      </w:r>
      <w:r w:rsidR="00570BF5">
        <w:t xml:space="preserve"> size</w:t>
      </w:r>
      <w:r w:rsidR="000B0A1F">
        <w:t xml:space="preserve">. </w:t>
      </w:r>
      <w:r w:rsidR="009B36E1">
        <w:t xml:space="preserve">A total of three values were obtained, and are discussed later in this paper. </w:t>
      </w:r>
    </w:p>
    <w:p w14:paraId="66029DC4" w14:textId="77777777" w:rsidR="00FF3587" w:rsidRPr="00F565BA" w:rsidRDefault="00FF3587" w:rsidP="00FF3587">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Co</w:t>
      </w:r>
      <w:r>
        <w:rPr>
          <w:b/>
          <w:kern w:val="32"/>
          <w:sz w:val="22"/>
        </w:rPr>
        <w:t>mparison of Computational Model against Testing</w:t>
      </w:r>
    </w:p>
    <w:p w14:paraId="0D6B6689" w14:textId="0275A567" w:rsidR="00FF3587" w:rsidRDefault="00FF3587" w:rsidP="00BA31E5">
      <w:pPr>
        <w:autoSpaceDE w:val="0"/>
        <w:autoSpaceDN w:val="0"/>
        <w:adjustRightInd w:val="0"/>
        <w:ind w:firstLine="180"/>
      </w:pPr>
      <w:r w:rsidRPr="00CA73DF">
        <w:t>Based on the surge analysis and follow-on testing, the 0.052” (1.321mm) venturi was baselined</w:t>
      </w:r>
      <w:r>
        <w:t xml:space="preserve"> for the PACE propulsion subsystem</w:t>
      </w:r>
      <w:r w:rsidRPr="00CA73DF">
        <w:t xml:space="preserve">. Figure </w:t>
      </w:r>
      <w:r w:rsidR="00AF24AB">
        <w:t>1</w:t>
      </w:r>
      <w:r w:rsidR="00182D5E">
        <w:t xml:space="preserve">1, </w:t>
      </w:r>
      <w:r w:rsidRPr="00CA73DF">
        <w:t>below</w:t>
      </w:r>
      <w:r w:rsidR="00182D5E">
        <w:t>,</w:t>
      </w:r>
      <w:r w:rsidRPr="00CA73DF">
        <w:t xml:space="preserve"> shows </w:t>
      </w:r>
      <w:r w:rsidR="00182D5E">
        <w:t>the 0.052”</w:t>
      </w:r>
      <w:r>
        <w:t xml:space="preserve"> </w:t>
      </w:r>
      <w:r w:rsidRPr="00CA73DF">
        <w:t xml:space="preserve">venturi sizing analytical versus empirical results. The Kistler # corresponds to the location of components throughout the system, as </w:t>
      </w:r>
      <w:r w:rsidR="00182D5E">
        <w:t>was depicted above in Figure 8</w:t>
      </w:r>
      <w:r w:rsidRPr="00CA73DF">
        <w:t>. The data displayed show</w:t>
      </w:r>
      <w:r w:rsidR="00FA78EE">
        <w:t>s</w:t>
      </w:r>
      <w:r w:rsidRPr="00CA73DF">
        <w:t xml:space="preserve"> the peak pressure during a surge </w:t>
      </w:r>
      <w:r w:rsidR="00182D5E">
        <w:t>event and include</w:t>
      </w:r>
      <w:r w:rsidR="00FA78EE">
        <w:t>s</w:t>
      </w:r>
      <w:r w:rsidRPr="00CA73DF">
        <w:t xml:space="preserve"> the analysis results, the surge testing results, and the mean </w:t>
      </w:r>
      <w:r w:rsidR="00FA78EE">
        <w:t xml:space="preserve">value from </w:t>
      </w:r>
      <w:r w:rsidRPr="00CA73DF">
        <w:t xml:space="preserve">the surge testing. The </w:t>
      </w:r>
      <w:r>
        <w:t>analytical and test results</w:t>
      </w:r>
      <w:r w:rsidRPr="00CA73DF">
        <w:t xml:space="preserve"> match with a ~10.5% </w:t>
      </w:r>
      <w:r w:rsidR="00182D5E">
        <w:t xml:space="preserve">average </w:t>
      </w:r>
      <w:r w:rsidRPr="00CA73DF">
        <w:t>var</w:t>
      </w:r>
      <w:r w:rsidR="00182D5E">
        <w:t xml:space="preserve">iance between the mean testing surge </w:t>
      </w:r>
      <w:r w:rsidRPr="00CA73DF">
        <w:t xml:space="preserve">pressure and the </w:t>
      </w:r>
      <w:r w:rsidR="00182D5E">
        <w:t>computational model calculated peak pressure</w:t>
      </w:r>
      <w:r w:rsidRPr="00CA73DF">
        <w:t xml:space="preserve">. </w:t>
      </w:r>
    </w:p>
    <w:p w14:paraId="229C9712" w14:textId="77777777" w:rsidR="000B0A1F" w:rsidRDefault="000B0A1F" w:rsidP="00BA31E5">
      <w:pPr>
        <w:autoSpaceDE w:val="0"/>
        <w:autoSpaceDN w:val="0"/>
        <w:adjustRightInd w:val="0"/>
        <w:ind w:firstLine="180"/>
      </w:pPr>
    </w:p>
    <w:p w14:paraId="4FE76421" w14:textId="77777777" w:rsidR="00182D5E" w:rsidRDefault="00182D5E" w:rsidP="00182D5E">
      <w:pPr>
        <w:keepNext/>
        <w:jc w:val="center"/>
      </w:pPr>
      <w:r w:rsidRPr="00CA73DF">
        <w:rPr>
          <w:noProof/>
        </w:rPr>
        <w:drawing>
          <wp:inline distT="0" distB="0" distL="0" distR="0" wp14:anchorId="45D050F3" wp14:editId="63BE59F5">
            <wp:extent cx="3710940" cy="2946359"/>
            <wp:effectExtent l="0" t="0" r="381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l="2923" t="6051" r="8336" b="-5"/>
                    <a:stretch/>
                  </pic:blipFill>
                  <pic:spPr bwMode="auto">
                    <a:xfrm>
                      <a:off x="0" y="0"/>
                      <a:ext cx="3817246" cy="3030762"/>
                    </a:xfrm>
                    <a:prstGeom prst="rect">
                      <a:avLst/>
                    </a:prstGeom>
                    <a:noFill/>
                    <a:ln>
                      <a:noFill/>
                    </a:ln>
                    <a:extLst>
                      <a:ext uri="{53640926-AAD7-44D8-BBD7-CCE9431645EC}">
                        <a14:shadowObscured xmlns:a14="http://schemas.microsoft.com/office/drawing/2010/main"/>
                      </a:ext>
                    </a:extLst>
                  </pic:spPr>
                </pic:pic>
              </a:graphicData>
            </a:graphic>
          </wp:inline>
        </w:drawing>
      </w:r>
    </w:p>
    <w:p w14:paraId="7AF9376D" w14:textId="48BE8985" w:rsidR="00182D5E" w:rsidRDefault="00182D5E" w:rsidP="00182D5E">
      <w:pPr>
        <w:pStyle w:val="Caption"/>
        <w:jc w:val="center"/>
      </w:pPr>
      <w:r>
        <w:t xml:space="preserve">Fig. </w:t>
      </w:r>
      <w:r w:rsidR="008C51A2">
        <w:rPr>
          <w:noProof/>
        </w:rPr>
        <w:fldChar w:fldCharType="begin"/>
      </w:r>
      <w:r w:rsidR="008C51A2">
        <w:rPr>
          <w:noProof/>
        </w:rPr>
        <w:instrText xml:space="preserve"> SEQ Figure \* ARABIC </w:instrText>
      </w:r>
      <w:r w:rsidR="008C51A2">
        <w:rPr>
          <w:noProof/>
        </w:rPr>
        <w:fldChar w:fldCharType="separate"/>
      </w:r>
      <w:r>
        <w:rPr>
          <w:noProof/>
        </w:rPr>
        <w:t>11</w:t>
      </w:r>
      <w:r w:rsidR="008C51A2">
        <w:rPr>
          <w:noProof/>
        </w:rPr>
        <w:fldChar w:fldCharType="end"/>
      </w:r>
      <w:r>
        <w:t xml:space="preserve"> 0.052” (1.32 mm) Venturi Vacuum Condition Comparison – Analytical versus Empirical</w:t>
      </w:r>
    </w:p>
    <w:p w14:paraId="1BFDAE56" w14:textId="1C153F1C" w:rsidR="00AF24AB" w:rsidRDefault="00AF24AB" w:rsidP="00FF3587">
      <w:pPr>
        <w:autoSpaceDE w:val="0"/>
        <w:autoSpaceDN w:val="0"/>
        <w:adjustRightInd w:val="0"/>
      </w:pPr>
    </w:p>
    <w:p w14:paraId="4B922E5D" w14:textId="3AAC54E6" w:rsidR="00F02C3A" w:rsidRDefault="009B36E1" w:rsidP="00BA31E5">
      <w:pPr>
        <w:autoSpaceDE w:val="0"/>
        <w:autoSpaceDN w:val="0"/>
        <w:adjustRightInd w:val="0"/>
        <w:ind w:firstLine="288"/>
      </w:pPr>
      <w:r>
        <w:t>As can be seen in Figure</w:t>
      </w:r>
      <w:r w:rsidR="006C6CA5">
        <w:t xml:space="preserve"> 1</w:t>
      </w:r>
      <w:r w:rsidR="00182D5E">
        <w:t>2</w:t>
      </w:r>
      <w:r w:rsidR="00256249">
        <w:t xml:space="preserve"> </w:t>
      </w:r>
      <w:r w:rsidR="00734CEB">
        <w:t xml:space="preserve">in the empirical testing </w:t>
      </w:r>
      <w:r w:rsidR="0098329E">
        <w:t>data summary,</w:t>
      </w:r>
      <w:r w:rsidR="006C6CA5">
        <w:t xml:space="preserve"> the </w:t>
      </w:r>
      <w:r w:rsidR="0098329E">
        <w:t>redundant closed latchin</w:t>
      </w:r>
      <w:r w:rsidR="00256249">
        <w:t>g isolation</w:t>
      </w:r>
      <w:r w:rsidR="0098329E">
        <w:t xml:space="preserve"> valve</w:t>
      </w:r>
      <w:r w:rsidR="006C6CA5">
        <w:t xml:space="preserve"> peak pressures </w:t>
      </w:r>
      <w:r w:rsidR="00C324CD">
        <w:t xml:space="preserve">were </w:t>
      </w:r>
      <w:r w:rsidR="006C6CA5">
        <w:t>higher than the latch valve proof pressure</w:t>
      </w:r>
      <w:r w:rsidR="00674B12">
        <w:t xml:space="preserve"> once a hydrazine scaling factor was applied</w:t>
      </w:r>
      <w:r w:rsidR="006C6CA5">
        <w:t>, this phenomenon was seen by each of the three different venturi</w:t>
      </w:r>
      <w:r w:rsidR="00C324CD">
        <w:t>s</w:t>
      </w:r>
      <w:r w:rsidR="006C6CA5">
        <w:t xml:space="preserve"> </w:t>
      </w:r>
      <w:r w:rsidR="00734CEB">
        <w:t>tested</w:t>
      </w:r>
      <w:r w:rsidR="006C6CA5">
        <w:t xml:space="preserve">. The computational model </w:t>
      </w:r>
      <w:r w:rsidR="00734CEB">
        <w:t xml:space="preserve">also captured the </w:t>
      </w:r>
      <w:r w:rsidR="00C324CD">
        <w:t xml:space="preserve">same </w:t>
      </w:r>
      <w:r w:rsidR="00734CEB">
        <w:t>result, as can be seen in the computational vs. empirical comparison in Table 4 below. The propulsion subsystem has two fully redundant thruster banks in order to meet the</w:t>
      </w:r>
      <w:r w:rsidR="0098329E">
        <w:t xml:space="preserve"> safe system</w:t>
      </w:r>
      <w:r w:rsidR="00734CEB">
        <w:t xml:space="preserve"> de-orbit reliability requirements and is single fault tolerant, meaning that all propulsion requirements can be accomplished using a single thruster bank (either the primary or secondary). </w:t>
      </w:r>
      <w:r w:rsidR="00674B12">
        <w:t>The</w:t>
      </w:r>
      <w:r w:rsidR="00734CEB">
        <w:t xml:space="preserve"> scenario</w:t>
      </w:r>
      <w:r w:rsidR="00674B12">
        <w:t xml:space="preserve"> for propulsion subsystem</w:t>
      </w:r>
      <w:r w:rsidR="00734CEB">
        <w:t xml:space="preserve"> components to experience a peak surge pressure (worst case as tested in this campaign: MEOP driving pressure, vacuum downstream) requires a leak through a sing</w:t>
      </w:r>
      <w:r w:rsidR="007D3DB5">
        <w:t xml:space="preserve">le (or multiple) </w:t>
      </w:r>
      <w:r w:rsidR="00C324CD">
        <w:t>redundant</w:t>
      </w:r>
      <w:r w:rsidR="007D3DB5">
        <w:t xml:space="preserve"> thruster valve</w:t>
      </w:r>
      <w:r w:rsidR="00734CEB">
        <w:t xml:space="preserve"> </w:t>
      </w:r>
      <w:r w:rsidR="007D3DB5">
        <w:t xml:space="preserve">seat </w:t>
      </w:r>
      <w:r w:rsidR="00734CEB">
        <w:t xml:space="preserve">in </w:t>
      </w:r>
      <w:r w:rsidR="00C324CD">
        <w:t xml:space="preserve">any </w:t>
      </w:r>
      <w:r w:rsidR="00734CEB">
        <w:t>thruster, i.e. two failures. This also requires both failures to occur early in mission life, when the propellant tank is at a higher propellant fill fraction</w:t>
      </w:r>
      <w:r w:rsidR="007D3DB5">
        <w:t>, and</w:t>
      </w:r>
      <w:r w:rsidR="00256249">
        <w:t xml:space="preserve"> </w:t>
      </w:r>
      <w:r w:rsidR="007D3DB5">
        <w:t>closer to MEOP</w:t>
      </w:r>
      <w:r w:rsidR="00734CEB">
        <w:t xml:space="preserve">. Since the propulsion subsystem is a blowdown system, </w:t>
      </w:r>
      <w:r w:rsidR="00C324CD">
        <w:t xml:space="preserve">tank pressure decreases </w:t>
      </w:r>
      <w:r w:rsidR="00734CEB">
        <w:t xml:space="preserve">as propellant is </w:t>
      </w:r>
      <w:r w:rsidR="00C324CD">
        <w:t xml:space="preserve">consumed </w:t>
      </w:r>
      <w:r w:rsidR="00734CEB">
        <w:t>for maneuvers. The primary thruster bank will be used for all mission maneuvers, and the secondary thruster bank is a fully redundant backup.</w:t>
      </w:r>
      <w:r w:rsidR="00F02C3A">
        <w:t xml:space="preserve"> If</w:t>
      </w:r>
      <w:r w:rsidR="00C324CD">
        <w:t>,</w:t>
      </w:r>
      <w:r w:rsidR="00F02C3A">
        <w:t xml:space="preserve"> during the PACE mission</w:t>
      </w:r>
      <w:r w:rsidR="00C324CD">
        <w:t>,</w:t>
      </w:r>
      <w:r w:rsidR="00F02C3A">
        <w:t xml:space="preserve"> th</w:t>
      </w:r>
      <w:r w:rsidR="00C324CD">
        <w:t>e</w:t>
      </w:r>
      <w:r w:rsidR="00F02C3A">
        <w:t xml:space="preserve"> situation presents where a thruster valve is leaking in the primary bank, the latching isolation valve </w:t>
      </w:r>
      <w:r w:rsidR="00C324CD">
        <w:t xml:space="preserve">associated with that bank </w:t>
      </w:r>
      <w:r w:rsidR="00F02C3A">
        <w:t xml:space="preserve">will be closed to block off the propellant tank from the leaky thruster or thrusters in the primary bank. From this point forward, the secondary thruster bank will be utilized. If </w:t>
      </w:r>
      <w:r w:rsidR="00C324CD">
        <w:t xml:space="preserve">after </w:t>
      </w:r>
      <w:r w:rsidR="00F02C3A">
        <w:t xml:space="preserve">this step, </w:t>
      </w:r>
      <w:r w:rsidR="00F02C3A">
        <w:lastRenderedPageBreak/>
        <w:t>a leaky thruster valve presents in the secondary bank, the same procedure would be followed to isolate the secondary thruster bank latch valve from the propellant tank. At this point, both latching isolation valves are closed and the primary and secondary banks have leaky thruster valves. Going forward</w:t>
      </w:r>
      <w:r w:rsidR="00C324CD">
        <w:t>,</w:t>
      </w:r>
      <w:r w:rsidR="00F02C3A">
        <w:t xml:space="preserve"> when a thruster maneuver is required, one of the latch valves will be opened (either for the primary or secondary bank), and the hydrazine flow priming the manifold will surge </w:t>
      </w:r>
      <w:r w:rsidR="00C324CD">
        <w:t xml:space="preserve">to </w:t>
      </w:r>
      <w:r w:rsidR="00F02C3A">
        <w:t>the thruster valves</w:t>
      </w:r>
      <w:r w:rsidR="00C324CD">
        <w:t>,</w:t>
      </w:r>
      <w:r w:rsidR="00F02C3A">
        <w:t xml:space="preserve"> producing </w:t>
      </w:r>
      <w:r w:rsidR="00C324CD">
        <w:t>another surge event</w:t>
      </w:r>
      <w:r w:rsidR="00F02C3A">
        <w:t xml:space="preserve">. The reflecting pressure wave will impact the propellant fill and drain valve and the secondary (or primary depending) latching isolation valve. In this situation, it is possible that the latch valve could experience a higher surge pressure than the proof pressure. All this noted, the risk of damage occurring to the latch valve as a result of a surge pressure event </w:t>
      </w:r>
      <w:r w:rsidR="00C324CD">
        <w:t xml:space="preserve">in this scenario </w:t>
      </w:r>
      <w:r w:rsidR="00F02C3A">
        <w:t>is low,</w:t>
      </w:r>
      <w:r w:rsidR="007D3DB5">
        <w:t xml:space="preserve"> acceptable,</w:t>
      </w:r>
      <w:r w:rsidR="00F02C3A">
        <w:t xml:space="preserve"> and beyond the requirement scope. For the PACE mission, the propulsion subsystem is</w:t>
      </w:r>
      <w:r w:rsidR="004A3227">
        <w:t xml:space="preserve"> required to be</w:t>
      </w:r>
      <w:r w:rsidR="00F02C3A">
        <w:t xml:space="preserve"> single fault tolerant, and for th</w:t>
      </w:r>
      <w:r w:rsidR="004A3227">
        <w:t>is</w:t>
      </w:r>
      <w:r w:rsidR="00F02C3A">
        <w:t xml:space="preserve"> worst case condition</w:t>
      </w:r>
      <w:r w:rsidR="004A3227">
        <w:t xml:space="preserve"> </w:t>
      </w:r>
      <w:r w:rsidR="00F02C3A">
        <w:t xml:space="preserve">to </w:t>
      </w:r>
      <w:r w:rsidR="004A3227">
        <w:t xml:space="preserve">be realized </w:t>
      </w:r>
      <w:r w:rsidR="00F02C3A">
        <w:t>in flight requires two or more failures.</w:t>
      </w:r>
    </w:p>
    <w:p w14:paraId="3E2F585C" w14:textId="77777777" w:rsidR="00AF24AB" w:rsidRDefault="00AF24AB" w:rsidP="00AF24AB">
      <w:pPr>
        <w:keepNext/>
        <w:autoSpaceDE w:val="0"/>
        <w:autoSpaceDN w:val="0"/>
        <w:adjustRightInd w:val="0"/>
        <w:jc w:val="center"/>
        <w:rPr>
          <w:noProof/>
        </w:rPr>
      </w:pPr>
    </w:p>
    <w:p w14:paraId="4FA83389" w14:textId="2AEF6CD8" w:rsidR="00AF24AB" w:rsidRDefault="00AF24AB" w:rsidP="00AF24AB">
      <w:pPr>
        <w:keepNext/>
        <w:autoSpaceDE w:val="0"/>
        <w:autoSpaceDN w:val="0"/>
        <w:adjustRightInd w:val="0"/>
        <w:jc w:val="center"/>
      </w:pPr>
      <w:r>
        <w:rPr>
          <w:noProof/>
        </w:rPr>
        <w:drawing>
          <wp:inline distT="0" distB="0" distL="0" distR="0" wp14:anchorId="75CEE1A7" wp14:editId="5522FC92">
            <wp:extent cx="3333750" cy="25970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52 Plot.jpg"/>
                    <pic:cNvPicPr/>
                  </pic:nvPicPr>
                  <pic:blipFill rotWithShape="1">
                    <a:blip r:embed="rId19">
                      <a:extLst>
                        <a:ext uri="{28A0092B-C50C-407E-A947-70E740481C1C}">
                          <a14:useLocalDpi xmlns:a14="http://schemas.microsoft.com/office/drawing/2010/main" val="0"/>
                        </a:ext>
                      </a:extLst>
                    </a:blip>
                    <a:srcRect l="1759" t="5568" r="7326"/>
                    <a:stretch/>
                  </pic:blipFill>
                  <pic:spPr bwMode="auto">
                    <a:xfrm>
                      <a:off x="0" y="0"/>
                      <a:ext cx="3347461" cy="2607717"/>
                    </a:xfrm>
                    <a:prstGeom prst="rect">
                      <a:avLst/>
                    </a:prstGeom>
                    <a:ln>
                      <a:noFill/>
                    </a:ln>
                    <a:extLst>
                      <a:ext uri="{53640926-AAD7-44D8-BBD7-CCE9431645EC}">
                        <a14:shadowObscured xmlns:a14="http://schemas.microsoft.com/office/drawing/2010/main"/>
                      </a:ext>
                    </a:extLst>
                  </pic:spPr>
                </pic:pic>
              </a:graphicData>
            </a:graphic>
          </wp:inline>
        </w:drawing>
      </w:r>
    </w:p>
    <w:p w14:paraId="2DF8CDBC" w14:textId="3E577323" w:rsidR="00AF24AB" w:rsidRDefault="00AF24AB" w:rsidP="00AF24AB">
      <w:pPr>
        <w:pStyle w:val="Caption"/>
        <w:jc w:val="center"/>
      </w:pPr>
      <w:r>
        <w:t xml:space="preserve">Fig. </w:t>
      </w:r>
      <w:r w:rsidR="008C51A2">
        <w:rPr>
          <w:noProof/>
        </w:rPr>
        <w:fldChar w:fldCharType="begin"/>
      </w:r>
      <w:r w:rsidR="008C51A2">
        <w:rPr>
          <w:noProof/>
        </w:rPr>
        <w:instrText xml:space="preserve"> SEQ Figure \* ARABIC </w:instrText>
      </w:r>
      <w:r w:rsidR="008C51A2">
        <w:rPr>
          <w:noProof/>
        </w:rPr>
        <w:fldChar w:fldCharType="separate"/>
      </w:r>
      <w:r w:rsidR="00182D5E">
        <w:rPr>
          <w:noProof/>
        </w:rPr>
        <w:t>12</w:t>
      </w:r>
      <w:r w:rsidR="008C51A2">
        <w:rPr>
          <w:noProof/>
        </w:rPr>
        <w:fldChar w:fldCharType="end"/>
      </w:r>
      <w:r>
        <w:t xml:space="preserve"> 0.052” (1.32 mm) Venturi Scaled Surge Pressures</w:t>
      </w:r>
    </w:p>
    <w:p w14:paraId="337146AA" w14:textId="4B7626CD" w:rsidR="00182D5E" w:rsidRPr="00CA73DF" w:rsidRDefault="00F02C3A" w:rsidP="003F6D48">
      <w:pPr>
        <w:autoSpaceDE w:val="0"/>
        <w:autoSpaceDN w:val="0"/>
        <w:adjustRightInd w:val="0"/>
        <w:ind w:firstLine="288"/>
      </w:pPr>
      <w:r>
        <w:t xml:space="preserve">There also exist two operational solutions which can minimize the risk of damaging the second latch valve if the worst case scenario were to occur. The first solution is to allow the tank temperature to drop prior to the opening of either latching isolation valve in order to </w:t>
      </w:r>
      <w:r w:rsidR="00182D5E">
        <w:t xml:space="preserve">minimize the surge pressure by lowering the tank pressure. The second operational solution is to open both latch valves before the manifold is allowed to prime. There is a 1.4 second period of time between the latch valve actuating and the surge event occurring. This is the time it takes for the downstream manifold to prime </w:t>
      </w:r>
      <w:r w:rsidR="00DD308C">
        <w:t>and</w:t>
      </w:r>
      <w:r w:rsidR="00182D5E">
        <w:t xml:space="preserve"> for the pressure wave to travel </w:t>
      </w:r>
      <w:r w:rsidR="00DD308C">
        <w:t xml:space="preserve">back </w:t>
      </w:r>
      <w:r w:rsidR="00182D5E">
        <w:t xml:space="preserve">through the liquid and impact the propulsion subsystem component surfaces. If the second manifold is opened within this 1.4 second window of time, the reflecting pressure wave would pass through the open latch valve rather than impacting the closed valve seat. </w:t>
      </w:r>
      <w:r w:rsidR="007D3DB5">
        <w:t xml:space="preserve">The PACE valve driver electronics have this capability </w:t>
      </w:r>
      <w:r w:rsidR="00DD308C">
        <w:t>should it be required</w:t>
      </w:r>
      <w:r w:rsidR="007D3DB5">
        <w:t xml:space="preserve">. </w:t>
      </w:r>
    </w:p>
    <w:p w14:paraId="49ECF551" w14:textId="5618DD39" w:rsidR="00AF24AB" w:rsidRDefault="006C6CA5" w:rsidP="00BA31E5">
      <w:pPr>
        <w:ind w:firstLine="288"/>
      </w:pPr>
      <w:r>
        <w:t>The results outlined in Table 4</w:t>
      </w:r>
      <w:r w:rsidR="004240BB">
        <w:t>,</w:t>
      </w:r>
      <w:r>
        <w:t xml:space="preserve"> below</w:t>
      </w:r>
      <w:r w:rsidR="004240BB">
        <w:t>,</w:t>
      </w:r>
      <w:r>
        <w:t xml:space="preserve"> show that the computational model developed in TD predicts component specific surge pressure magnitudes within 4σ</w:t>
      </w:r>
      <w:r w:rsidR="00732BC3">
        <w:t xml:space="preserve"> when compared against results attained during testing</w:t>
      </w:r>
      <w:r>
        <w:t>.</w:t>
      </w:r>
      <w:r w:rsidR="007D3DB5">
        <w:t xml:space="preserve"> The majority of the results are within 3σ, with the exception of two outliers for the 0.048” (1.22 mm) venturi at Thruster 3A and the F/D valve.</w:t>
      </w:r>
      <w:r>
        <w:t xml:space="preserve"> </w:t>
      </w:r>
      <w:r w:rsidR="007D3DB5" w:rsidRPr="00B11558">
        <w:t>Both outliers can be</w:t>
      </w:r>
      <w:r w:rsidR="007D3DB5">
        <w:t xml:space="preserve"> </w:t>
      </w:r>
      <w:r w:rsidR="00B11558">
        <w:t xml:space="preserve">associated with an increased testing </w:t>
      </w:r>
      <w:r w:rsidR="004546A1">
        <w:t xml:space="preserve">result </w:t>
      </w:r>
      <w:r w:rsidR="00B11558">
        <w:t>spread at the testing condition.</w:t>
      </w:r>
      <w:r w:rsidR="007D3DB5">
        <w:t xml:space="preserve"> </w:t>
      </w:r>
      <w:r w:rsidR="000B0A1F">
        <w:t>Dynamic peaks unique to a component</w:t>
      </w:r>
      <w:r>
        <w:t xml:space="preserve"> are modeled accurately by the computational model</w:t>
      </w:r>
      <w:r w:rsidR="000B0A1F">
        <w:t>,</w:t>
      </w:r>
      <w:r>
        <w:t xml:space="preserve"> allowing for attention to be paid to </w:t>
      </w:r>
      <w:r w:rsidR="006F25E0">
        <w:t xml:space="preserve">vulnerable </w:t>
      </w:r>
      <w:r>
        <w:t xml:space="preserve">components when </w:t>
      </w:r>
      <w:r w:rsidR="00732BC3">
        <w:t>sizing</w:t>
      </w:r>
      <w:r>
        <w:t xml:space="preserve"> a </w:t>
      </w:r>
      <w:r w:rsidR="00732BC3">
        <w:t xml:space="preserve">propulsion subsystem. This </w:t>
      </w:r>
      <w:r w:rsidR="007D3DB5">
        <w:t>higher</w:t>
      </w:r>
      <w:r w:rsidR="00732BC3">
        <w:t xml:space="preserve"> fidelity model</w:t>
      </w:r>
      <w:r w:rsidR="006F25E0">
        <w:t>,</w:t>
      </w:r>
      <w:r w:rsidR="00732BC3">
        <w:t xml:space="preserve"> when compared </w:t>
      </w:r>
      <w:r w:rsidR="006F25E0">
        <w:t xml:space="preserve">to </w:t>
      </w:r>
      <w:r w:rsidR="00732BC3">
        <w:t>the single</w:t>
      </w:r>
      <w:r w:rsidR="007D3DB5">
        <w:t xml:space="preserve"> surge pressure</w:t>
      </w:r>
      <w:r w:rsidR="00732BC3">
        <w:t xml:space="preserve"> value attained with the use of the Joukowsky </w:t>
      </w:r>
      <w:r w:rsidR="000B0A1F">
        <w:t>Equation</w:t>
      </w:r>
      <w:r w:rsidR="006F25E0">
        <w:t>,</w:t>
      </w:r>
      <w:r w:rsidR="00732BC3">
        <w:t xml:space="preserve"> </w:t>
      </w:r>
      <w:r w:rsidR="006F25E0">
        <w:t xml:space="preserve">provides </w:t>
      </w:r>
      <w:r w:rsidR="00732BC3">
        <w:t xml:space="preserve">more flexibility for early </w:t>
      </w:r>
      <w:r w:rsidR="006F25E0">
        <w:t xml:space="preserve">identification </w:t>
      </w:r>
      <w:r w:rsidR="000B0A1F">
        <w:t xml:space="preserve">of </w:t>
      </w:r>
      <w:r w:rsidR="007D3DB5">
        <w:t>more sensitive components</w:t>
      </w:r>
      <w:r w:rsidR="006F25E0">
        <w:t xml:space="preserve"> and </w:t>
      </w:r>
      <w:r w:rsidR="000B0A1F">
        <w:t>potential failures and provides</w:t>
      </w:r>
      <w:r w:rsidR="007D3DB5">
        <w:t xml:space="preserve"> increased</w:t>
      </w:r>
      <w:r w:rsidR="00732BC3">
        <w:t xml:space="preserve"> tim</w:t>
      </w:r>
      <w:r w:rsidR="009B36E1">
        <w:t>e to look for viable solutions</w:t>
      </w:r>
      <w:r w:rsidR="007D3DB5">
        <w:t>, rather than in the middle of a test campaign</w:t>
      </w:r>
      <w:r w:rsidR="009B36E1">
        <w:t xml:space="preserve">. </w:t>
      </w:r>
    </w:p>
    <w:p w14:paraId="6E842AA3" w14:textId="40EB8EF3" w:rsidR="00B11558" w:rsidRDefault="00B11558" w:rsidP="00BA31E5">
      <w:pPr>
        <w:ind w:firstLine="288"/>
      </w:pPr>
    </w:p>
    <w:p w14:paraId="27D7D792" w14:textId="69D5CBC5" w:rsidR="00B11558" w:rsidRDefault="00B11558" w:rsidP="00BA31E5">
      <w:pPr>
        <w:ind w:firstLine="288"/>
      </w:pPr>
    </w:p>
    <w:p w14:paraId="49F7217A" w14:textId="169B6521" w:rsidR="00B11558" w:rsidRDefault="00B11558" w:rsidP="00BA31E5">
      <w:pPr>
        <w:ind w:firstLine="288"/>
      </w:pPr>
    </w:p>
    <w:p w14:paraId="6283733C" w14:textId="2623D271" w:rsidR="00B11558" w:rsidRDefault="00B11558" w:rsidP="00BA31E5">
      <w:pPr>
        <w:ind w:firstLine="288"/>
      </w:pPr>
    </w:p>
    <w:p w14:paraId="474CF2D2" w14:textId="6AEF2426" w:rsidR="00B11558" w:rsidRDefault="00B11558" w:rsidP="00BA31E5">
      <w:pPr>
        <w:ind w:firstLine="288"/>
      </w:pPr>
    </w:p>
    <w:p w14:paraId="734AB0B9" w14:textId="5E557425" w:rsidR="00B11558" w:rsidRDefault="00B11558" w:rsidP="00BA31E5">
      <w:pPr>
        <w:ind w:firstLine="288"/>
      </w:pPr>
    </w:p>
    <w:p w14:paraId="0F558DDB" w14:textId="77777777" w:rsidR="00B11558" w:rsidRDefault="00B11558" w:rsidP="00BA31E5">
      <w:pPr>
        <w:ind w:firstLine="288"/>
      </w:pPr>
    </w:p>
    <w:p w14:paraId="6B7254D8" w14:textId="21C0E1AF" w:rsidR="000B0A1F" w:rsidRDefault="000B0A1F" w:rsidP="00674B12"/>
    <w:p w14:paraId="772B749F" w14:textId="6CD79FD3" w:rsidR="00FF3587" w:rsidRPr="008524C7" w:rsidRDefault="00FF3587" w:rsidP="00FF3587">
      <w:pPr>
        <w:pStyle w:val="Caption"/>
        <w:keepNext/>
        <w:jc w:val="center"/>
      </w:pPr>
      <w:r w:rsidRPr="008524C7">
        <w:t xml:space="preserve">Table </w:t>
      </w:r>
      <w:r w:rsidR="008C51A2">
        <w:rPr>
          <w:noProof/>
        </w:rPr>
        <w:fldChar w:fldCharType="begin"/>
      </w:r>
      <w:r w:rsidR="008C51A2">
        <w:rPr>
          <w:noProof/>
        </w:rPr>
        <w:instrText xml:space="preserve"> SEQ Table \* ARABIC </w:instrText>
      </w:r>
      <w:r w:rsidR="008C51A2">
        <w:rPr>
          <w:noProof/>
        </w:rPr>
        <w:fldChar w:fldCharType="separate"/>
      </w:r>
      <w:r w:rsidRPr="008524C7">
        <w:rPr>
          <w:noProof/>
        </w:rPr>
        <w:t>4</w:t>
      </w:r>
      <w:r w:rsidR="008C51A2">
        <w:rPr>
          <w:noProof/>
        </w:rPr>
        <w:fldChar w:fldCharType="end"/>
      </w:r>
      <w:r w:rsidRPr="008524C7">
        <w:t xml:space="preserve">: Comparison Data </w:t>
      </w:r>
      <w:r w:rsidR="008524C7">
        <w:t>between Computational model and Empirical Test Data</w:t>
      </w:r>
    </w:p>
    <w:tbl>
      <w:tblPr>
        <w:tblStyle w:val="TableGrid"/>
        <w:tblW w:w="0" w:type="auto"/>
        <w:jc w:val="center"/>
        <w:tblLook w:val="04A0" w:firstRow="1" w:lastRow="0" w:firstColumn="1" w:lastColumn="0" w:noHBand="0" w:noVBand="1"/>
      </w:tblPr>
      <w:tblGrid>
        <w:gridCol w:w="756"/>
        <w:gridCol w:w="1204"/>
        <w:gridCol w:w="1365"/>
        <w:gridCol w:w="894"/>
        <w:gridCol w:w="766"/>
        <w:gridCol w:w="728"/>
        <w:gridCol w:w="1243"/>
        <w:gridCol w:w="1243"/>
      </w:tblGrid>
      <w:tr w:rsidR="00515993" w:rsidRPr="00CA73DF" w14:paraId="738F1792" w14:textId="0C7EF2D8" w:rsidTr="00515993">
        <w:trPr>
          <w:trHeight w:val="102"/>
          <w:jc w:val="center"/>
        </w:trPr>
        <w:tc>
          <w:tcPr>
            <w:tcW w:w="1960" w:type="dxa"/>
            <w:gridSpan w:val="2"/>
            <w:shd w:val="clear" w:color="auto" w:fill="D9D9D9" w:themeFill="background1" w:themeFillShade="D9"/>
            <w:vAlign w:val="center"/>
          </w:tcPr>
          <w:p w14:paraId="5925F68A" w14:textId="77777777" w:rsidR="00515993" w:rsidRPr="000B0A1F" w:rsidRDefault="00515993" w:rsidP="00F02C3A">
            <w:pPr>
              <w:jc w:val="center"/>
              <w:rPr>
                <w:rFonts w:ascii="Times New Roman" w:hAnsi="Times New Roman" w:cs="Times New Roman"/>
                <w:b/>
                <w:sz w:val="20"/>
                <w:szCs w:val="20"/>
              </w:rPr>
            </w:pPr>
            <w:r w:rsidRPr="000B0A1F">
              <w:rPr>
                <w:rFonts w:ascii="Times New Roman" w:hAnsi="Times New Roman" w:cs="Times New Roman"/>
                <w:b/>
                <w:sz w:val="20"/>
                <w:szCs w:val="20"/>
              </w:rPr>
              <w:t>Boundary Condition</w:t>
            </w:r>
          </w:p>
        </w:tc>
        <w:tc>
          <w:tcPr>
            <w:tcW w:w="3632" w:type="dxa"/>
            <w:gridSpan w:val="4"/>
            <w:shd w:val="clear" w:color="auto" w:fill="D9D9D9" w:themeFill="background1" w:themeFillShade="D9"/>
            <w:vAlign w:val="center"/>
          </w:tcPr>
          <w:p w14:paraId="206FF2DD" w14:textId="77777777" w:rsidR="00515993" w:rsidRPr="000B0A1F" w:rsidRDefault="00515993" w:rsidP="00F02C3A">
            <w:pPr>
              <w:jc w:val="center"/>
              <w:rPr>
                <w:rFonts w:ascii="Times New Roman" w:hAnsi="Times New Roman" w:cs="Times New Roman"/>
                <w:b/>
                <w:sz w:val="20"/>
                <w:szCs w:val="20"/>
              </w:rPr>
            </w:pPr>
            <w:r w:rsidRPr="000B0A1F">
              <w:rPr>
                <w:rFonts w:ascii="Times New Roman" w:hAnsi="Times New Roman" w:cs="Times New Roman"/>
                <w:b/>
                <w:sz w:val="20"/>
                <w:szCs w:val="20"/>
              </w:rPr>
              <w:t>MEOP, Vacuum Downstream</w:t>
            </w:r>
          </w:p>
        </w:tc>
        <w:tc>
          <w:tcPr>
            <w:tcW w:w="1243" w:type="dxa"/>
            <w:vMerge w:val="restart"/>
            <w:shd w:val="clear" w:color="auto" w:fill="D9D9D9" w:themeFill="background1" w:themeFillShade="D9"/>
            <w:vAlign w:val="center"/>
          </w:tcPr>
          <w:p w14:paraId="01C4BCE4" w14:textId="77777777" w:rsidR="00515993" w:rsidRPr="000B0A1F" w:rsidRDefault="00515993" w:rsidP="00F02C3A">
            <w:pPr>
              <w:jc w:val="center"/>
              <w:rPr>
                <w:rFonts w:ascii="Times New Roman" w:hAnsi="Times New Roman" w:cs="Times New Roman"/>
                <w:b/>
                <w:sz w:val="20"/>
                <w:szCs w:val="20"/>
              </w:rPr>
            </w:pPr>
            <w:r w:rsidRPr="000B0A1F">
              <w:rPr>
                <w:rFonts w:ascii="Times New Roman" w:hAnsi="Times New Roman" w:cs="Times New Roman"/>
                <w:b/>
                <w:sz w:val="20"/>
                <w:szCs w:val="20"/>
              </w:rPr>
              <w:t>Analysis Result Sigma</w:t>
            </w:r>
          </w:p>
        </w:tc>
        <w:tc>
          <w:tcPr>
            <w:tcW w:w="1243" w:type="dxa"/>
            <w:vMerge w:val="restart"/>
            <w:shd w:val="clear" w:color="auto" w:fill="D9D9D9" w:themeFill="background1" w:themeFillShade="D9"/>
            <w:vAlign w:val="center"/>
          </w:tcPr>
          <w:p w14:paraId="7D36F952" w14:textId="54A09DA4" w:rsidR="00515993" w:rsidRPr="000B0A1F" w:rsidRDefault="00515993" w:rsidP="00515993">
            <w:pPr>
              <w:jc w:val="center"/>
              <w:rPr>
                <w:rFonts w:ascii="Times New Roman" w:hAnsi="Times New Roman" w:cs="Times New Roman"/>
                <w:b/>
                <w:sz w:val="20"/>
              </w:rPr>
            </w:pPr>
            <w:r w:rsidRPr="000B0A1F">
              <w:rPr>
                <w:rFonts w:ascii="Times New Roman" w:hAnsi="Times New Roman" w:cs="Times New Roman"/>
                <w:b/>
                <w:sz w:val="20"/>
              </w:rPr>
              <w:t>Joukowsky Solutions</w:t>
            </w:r>
          </w:p>
        </w:tc>
      </w:tr>
      <w:tr w:rsidR="00515993" w:rsidRPr="00CA73DF" w14:paraId="4EEE8F0F" w14:textId="4107A91D" w:rsidTr="000B0A1F">
        <w:trPr>
          <w:trHeight w:val="102"/>
          <w:jc w:val="center"/>
        </w:trPr>
        <w:tc>
          <w:tcPr>
            <w:tcW w:w="1960" w:type="dxa"/>
            <w:gridSpan w:val="2"/>
            <w:vMerge w:val="restart"/>
            <w:shd w:val="clear" w:color="auto" w:fill="D9D9D9" w:themeFill="background1" w:themeFillShade="D9"/>
            <w:vAlign w:val="center"/>
          </w:tcPr>
          <w:p w14:paraId="53882457" w14:textId="77777777" w:rsidR="00515993" w:rsidRPr="000B0A1F" w:rsidRDefault="00515993" w:rsidP="00F02C3A">
            <w:pPr>
              <w:jc w:val="center"/>
              <w:rPr>
                <w:rFonts w:ascii="Times New Roman" w:hAnsi="Times New Roman" w:cs="Times New Roman"/>
                <w:b/>
                <w:sz w:val="20"/>
                <w:szCs w:val="20"/>
              </w:rPr>
            </w:pPr>
            <w:r w:rsidRPr="000B0A1F">
              <w:rPr>
                <w:rFonts w:ascii="Times New Roman" w:hAnsi="Times New Roman" w:cs="Times New Roman"/>
                <w:b/>
                <w:sz w:val="20"/>
                <w:szCs w:val="20"/>
              </w:rPr>
              <w:t>Venturi Size and Evaluation Point</w:t>
            </w:r>
          </w:p>
        </w:tc>
        <w:tc>
          <w:tcPr>
            <w:tcW w:w="1365" w:type="dxa"/>
            <w:vMerge w:val="restart"/>
            <w:shd w:val="clear" w:color="auto" w:fill="D9D9D9" w:themeFill="background1" w:themeFillShade="D9"/>
            <w:vAlign w:val="center"/>
          </w:tcPr>
          <w:p w14:paraId="28E70888" w14:textId="77777777" w:rsidR="00515993" w:rsidRPr="000B0A1F" w:rsidRDefault="00515993" w:rsidP="00F02C3A">
            <w:pPr>
              <w:jc w:val="center"/>
              <w:rPr>
                <w:rFonts w:ascii="Times New Roman" w:hAnsi="Times New Roman" w:cs="Times New Roman"/>
                <w:b/>
                <w:sz w:val="20"/>
                <w:szCs w:val="20"/>
              </w:rPr>
            </w:pPr>
            <w:r w:rsidRPr="000B0A1F">
              <w:rPr>
                <w:rFonts w:ascii="Times New Roman" w:hAnsi="Times New Roman" w:cs="Times New Roman"/>
                <w:b/>
                <w:sz w:val="20"/>
                <w:szCs w:val="20"/>
              </w:rPr>
              <w:t>Analysis Results (psi)</w:t>
            </w:r>
          </w:p>
        </w:tc>
        <w:tc>
          <w:tcPr>
            <w:tcW w:w="2267" w:type="dxa"/>
            <w:gridSpan w:val="3"/>
            <w:shd w:val="clear" w:color="auto" w:fill="D9D9D9" w:themeFill="background1" w:themeFillShade="D9"/>
            <w:vAlign w:val="center"/>
          </w:tcPr>
          <w:p w14:paraId="423F049A" w14:textId="77777777" w:rsidR="00515993" w:rsidRPr="000B0A1F" w:rsidRDefault="00515993" w:rsidP="00F02C3A">
            <w:pPr>
              <w:jc w:val="center"/>
              <w:rPr>
                <w:rFonts w:ascii="Times New Roman" w:hAnsi="Times New Roman" w:cs="Times New Roman"/>
                <w:b/>
                <w:sz w:val="20"/>
                <w:szCs w:val="20"/>
              </w:rPr>
            </w:pPr>
            <w:r w:rsidRPr="000B0A1F">
              <w:rPr>
                <w:rFonts w:ascii="Times New Roman" w:hAnsi="Times New Roman" w:cs="Times New Roman"/>
                <w:b/>
                <w:sz w:val="20"/>
                <w:szCs w:val="20"/>
              </w:rPr>
              <w:t>Testing Results (psi)</w:t>
            </w:r>
          </w:p>
        </w:tc>
        <w:tc>
          <w:tcPr>
            <w:tcW w:w="1243" w:type="dxa"/>
            <w:vMerge/>
            <w:shd w:val="clear" w:color="auto" w:fill="D9D9D9" w:themeFill="background1" w:themeFillShade="D9"/>
            <w:vAlign w:val="center"/>
          </w:tcPr>
          <w:p w14:paraId="06A04E75" w14:textId="77777777" w:rsidR="00515993" w:rsidRPr="00CA73DF" w:rsidRDefault="00515993" w:rsidP="00F02C3A">
            <w:pPr>
              <w:jc w:val="center"/>
              <w:rPr>
                <w:rFonts w:ascii="Times New Roman" w:hAnsi="Times New Roman" w:cs="Times New Roman"/>
                <w:sz w:val="20"/>
                <w:szCs w:val="20"/>
              </w:rPr>
            </w:pPr>
          </w:p>
        </w:tc>
        <w:tc>
          <w:tcPr>
            <w:tcW w:w="1243" w:type="dxa"/>
            <w:vMerge/>
            <w:shd w:val="clear" w:color="auto" w:fill="D9D9D9" w:themeFill="background1" w:themeFillShade="D9"/>
          </w:tcPr>
          <w:p w14:paraId="5DEF8DC8" w14:textId="77777777" w:rsidR="00515993" w:rsidRPr="00CA73DF" w:rsidRDefault="00515993" w:rsidP="00F02C3A">
            <w:pPr>
              <w:jc w:val="center"/>
            </w:pPr>
          </w:p>
        </w:tc>
      </w:tr>
      <w:tr w:rsidR="00515993" w:rsidRPr="00CA73DF" w14:paraId="36F79433" w14:textId="4A1F201A" w:rsidTr="000B0A1F">
        <w:trPr>
          <w:trHeight w:val="102"/>
          <w:jc w:val="center"/>
        </w:trPr>
        <w:tc>
          <w:tcPr>
            <w:tcW w:w="1960" w:type="dxa"/>
            <w:gridSpan w:val="2"/>
            <w:vMerge/>
            <w:shd w:val="clear" w:color="auto" w:fill="D9D9D9" w:themeFill="background1" w:themeFillShade="D9"/>
            <w:vAlign w:val="center"/>
          </w:tcPr>
          <w:p w14:paraId="30F300E6" w14:textId="77777777" w:rsidR="00515993" w:rsidRPr="00CA73DF" w:rsidRDefault="00515993" w:rsidP="00F02C3A">
            <w:pPr>
              <w:jc w:val="center"/>
              <w:rPr>
                <w:rFonts w:ascii="Times New Roman" w:hAnsi="Times New Roman" w:cs="Times New Roman"/>
                <w:sz w:val="20"/>
                <w:szCs w:val="20"/>
              </w:rPr>
            </w:pPr>
          </w:p>
        </w:tc>
        <w:tc>
          <w:tcPr>
            <w:tcW w:w="1365" w:type="dxa"/>
            <w:vMerge/>
            <w:shd w:val="clear" w:color="auto" w:fill="D9D9D9" w:themeFill="background1" w:themeFillShade="D9"/>
            <w:vAlign w:val="center"/>
          </w:tcPr>
          <w:p w14:paraId="75765836" w14:textId="77777777" w:rsidR="00515993" w:rsidRPr="00CA73DF" w:rsidRDefault="00515993" w:rsidP="00F02C3A">
            <w:pPr>
              <w:jc w:val="center"/>
              <w:rPr>
                <w:rFonts w:ascii="Times New Roman" w:hAnsi="Times New Roman" w:cs="Times New Roman"/>
                <w:sz w:val="20"/>
                <w:szCs w:val="20"/>
              </w:rPr>
            </w:pPr>
          </w:p>
        </w:tc>
        <w:tc>
          <w:tcPr>
            <w:tcW w:w="773" w:type="dxa"/>
            <w:shd w:val="clear" w:color="auto" w:fill="D9D9D9" w:themeFill="background1" w:themeFillShade="D9"/>
            <w:vAlign w:val="center"/>
          </w:tcPr>
          <w:p w14:paraId="5822F598"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Average</w:t>
            </w:r>
          </w:p>
        </w:tc>
        <w:tc>
          <w:tcPr>
            <w:tcW w:w="766" w:type="dxa"/>
            <w:shd w:val="clear" w:color="auto" w:fill="D9D9D9" w:themeFill="background1" w:themeFillShade="D9"/>
            <w:vAlign w:val="center"/>
          </w:tcPr>
          <w:p w14:paraId="5034AA4D"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Peak</w:t>
            </w:r>
          </w:p>
        </w:tc>
        <w:tc>
          <w:tcPr>
            <w:tcW w:w="728" w:type="dxa"/>
            <w:shd w:val="clear" w:color="auto" w:fill="D9D9D9" w:themeFill="background1" w:themeFillShade="D9"/>
            <w:vAlign w:val="center"/>
          </w:tcPr>
          <w:p w14:paraId="0F761CE6"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Sigma</w:t>
            </w:r>
          </w:p>
        </w:tc>
        <w:tc>
          <w:tcPr>
            <w:tcW w:w="1243" w:type="dxa"/>
            <w:vMerge/>
            <w:shd w:val="clear" w:color="auto" w:fill="D9D9D9" w:themeFill="background1" w:themeFillShade="D9"/>
            <w:vAlign w:val="center"/>
          </w:tcPr>
          <w:p w14:paraId="413F5DA0" w14:textId="77777777" w:rsidR="00515993" w:rsidRPr="00CA73DF" w:rsidRDefault="00515993" w:rsidP="00F02C3A">
            <w:pPr>
              <w:jc w:val="center"/>
              <w:rPr>
                <w:rFonts w:ascii="Times New Roman" w:hAnsi="Times New Roman" w:cs="Times New Roman"/>
                <w:sz w:val="20"/>
                <w:szCs w:val="20"/>
              </w:rPr>
            </w:pPr>
          </w:p>
        </w:tc>
        <w:tc>
          <w:tcPr>
            <w:tcW w:w="1243" w:type="dxa"/>
            <w:vMerge/>
            <w:shd w:val="clear" w:color="auto" w:fill="D9D9D9" w:themeFill="background1" w:themeFillShade="D9"/>
          </w:tcPr>
          <w:p w14:paraId="271F553F" w14:textId="77777777" w:rsidR="00515993" w:rsidRPr="00CA73DF" w:rsidRDefault="00515993" w:rsidP="00F02C3A">
            <w:pPr>
              <w:jc w:val="center"/>
            </w:pPr>
          </w:p>
        </w:tc>
      </w:tr>
      <w:tr w:rsidR="00515993" w:rsidRPr="00CA73DF" w14:paraId="449EDD6B" w14:textId="78161685" w:rsidTr="000B0A1F">
        <w:trPr>
          <w:trHeight w:val="51"/>
          <w:jc w:val="center"/>
        </w:trPr>
        <w:tc>
          <w:tcPr>
            <w:tcW w:w="756" w:type="dxa"/>
            <w:vMerge w:val="restart"/>
            <w:vAlign w:val="center"/>
          </w:tcPr>
          <w:p w14:paraId="52FD3088"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0.048”</w:t>
            </w:r>
          </w:p>
        </w:tc>
        <w:tc>
          <w:tcPr>
            <w:tcW w:w="1204" w:type="dxa"/>
            <w:vAlign w:val="center"/>
          </w:tcPr>
          <w:p w14:paraId="563BC099"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1A</w:t>
            </w:r>
          </w:p>
        </w:tc>
        <w:tc>
          <w:tcPr>
            <w:tcW w:w="1365" w:type="dxa"/>
            <w:vAlign w:val="center"/>
          </w:tcPr>
          <w:p w14:paraId="4D589CB3"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911</w:t>
            </w:r>
          </w:p>
        </w:tc>
        <w:tc>
          <w:tcPr>
            <w:tcW w:w="773" w:type="dxa"/>
            <w:vAlign w:val="center"/>
          </w:tcPr>
          <w:p w14:paraId="5B80672D"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950.4</w:t>
            </w:r>
          </w:p>
        </w:tc>
        <w:tc>
          <w:tcPr>
            <w:tcW w:w="766" w:type="dxa"/>
            <w:vAlign w:val="center"/>
          </w:tcPr>
          <w:p w14:paraId="6803159E"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1055.0</w:t>
            </w:r>
          </w:p>
        </w:tc>
        <w:tc>
          <w:tcPr>
            <w:tcW w:w="728" w:type="dxa"/>
            <w:vAlign w:val="center"/>
          </w:tcPr>
          <w:p w14:paraId="59613A4B"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67.4</w:t>
            </w:r>
          </w:p>
        </w:tc>
        <w:tc>
          <w:tcPr>
            <w:tcW w:w="1243" w:type="dxa"/>
            <w:vAlign w:val="center"/>
          </w:tcPr>
          <w:p w14:paraId="02063EAB"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0.58 σ</w:t>
            </w:r>
          </w:p>
        </w:tc>
        <w:tc>
          <w:tcPr>
            <w:tcW w:w="1243" w:type="dxa"/>
            <w:vMerge w:val="restart"/>
            <w:vAlign w:val="center"/>
          </w:tcPr>
          <w:p w14:paraId="026AD4D8" w14:textId="632CDDEC" w:rsidR="00515993" w:rsidRPr="00515993" w:rsidRDefault="00515993" w:rsidP="00515993">
            <w:pPr>
              <w:jc w:val="center"/>
              <w:rPr>
                <w:rFonts w:ascii="Times New Roman" w:hAnsi="Times New Roman" w:cs="Times New Roman"/>
                <w:sz w:val="20"/>
                <w:szCs w:val="20"/>
              </w:rPr>
            </w:pPr>
            <w:r w:rsidRPr="00515993">
              <w:rPr>
                <w:rFonts w:ascii="Times New Roman" w:hAnsi="Times New Roman" w:cs="Times New Roman"/>
                <w:sz w:val="20"/>
                <w:szCs w:val="20"/>
              </w:rPr>
              <w:t>758.2</w:t>
            </w:r>
          </w:p>
        </w:tc>
      </w:tr>
      <w:tr w:rsidR="00515993" w:rsidRPr="00CA73DF" w14:paraId="30B2A6D9" w14:textId="577424EE" w:rsidTr="000B0A1F">
        <w:trPr>
          <w:trHeight w:val="46"/>
          <w:jc w:val="center"/>
        </w:trPr>
        <w:tc>
          <w:tcPr>
            <w:tcW w:w="756" w:type="dxa"/>
            <w:vMerge/>
            <w:vAlign w:val="center"/>
          </w:tcPr>
          <w:p w14:paraId="1DA12DAA"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4B618A6E"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2A</w:t>
            </w:r>
          </w:p>
        </w:tc>
        <w:tc>
          <w:tcPr>
            <w:tcW w:w="1365" w:type="dxa"/>
            <w:vAlign w:val="center"/>
          </w:tcPr>
          <w:p w14:paraId="78087639"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845</w:t>
            </w:r>
          </w:p>
        </w:tc>
        <w:tc>
          <w:tcPr>
            <w:tcW w:w="773" w:type="dxa"/>
            <w:vAlign w:val="center"/>
          </w:tcPr>
          <w:p w14:paraId="77AC67DB"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1059.7</w:t>
            </w:r>
          </w:p>
        </w:tc>
        <w:tc>
          <w:tcPr>
            <w:tcW w:w="766" w:type="dxa"/>
            <w:vAlign w:val="center"/>
          </w:tcPr>
          <w:p w14:paraId="2C194634"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1155.1</w:t>
            </w:r>
          </w:p>
        </w:tc>
        <w:tc>
          <w:tcPr>
            <w:tcW w:w="728" w:type="dxa"/>
            <w:vAlign w:val="center"/>
          </w:tcPr>
          <w:p w14:paraId="60A7064A"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84.5</w:t>
            </w:r>
          </w:p>
        </w:tc>
        <w:tc>
          <w:tcPr>
            <w:tcW w:w="1243" w:type="dxa"/>
            <w:vAlign w:val="center"/>
          </w:tcPr>
          <w:p w14:paraId="02A93714"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2.54 σ</w:t>
            </w:r>
          </w:p>
        </w:tc>
        <w:tc>
          <w:tcPr>
            <w:tcW w:w="1243" w:type="dxa"/>
            <w:vMerge/>
            <w:vAlign w:val="center"/>
          </w:tcPr>
          <w:p w14:paraId="1DB99CBA" w14:textId="77777777" w:rsidR="00515993" w:rsidRPr="00515993" w:rsidRDefault="00515993" w:rsidP="00515993">
            <w:pPr>
              <w:jc w:val="center"/>
              <w:rPr>
                <w:rFonts w:ascii="Times New Roman" w:hAnsi="Times New Roman" w:cs="Times New Roman"/>
                <w:sz w:val="20"/>
                <w:szCs w:val="20"/>
              </w:rPr>
            </w:pPr>
          </w:p>
        </w:tc>
      </w:tr>
      <w:tr w:rsidR="00515993" w:rsidRPr="00CA73DF" w14:paraId="12903303" w14:textId="74BE4304" w:rsidTr="000B0A1F">
        <w:trPr>
          <w:trHeight w:val="46"/>
          <w:jc w:val="center"/>
        </w:trPr>
        <w:tc>
          <w:tcPr>
            <w:tcW w:w="756" w:type="dxa"/>
            <w:vMerge/>
            <w:vAlign w:val="center"/>
          </w:tcPr>
          <w:p w14:paraId="50B7AF98"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31D8461E"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3A</w:t>
            </w:r>
          </w:p>
        </w:tc>
        <w:tc>
          <w:tcPr>
            <w:tcW w:w="1365" w:type="dxa"/>
            <w:vAlign w:val="center"/>
          </w:tcPr>
          <w:p w14:paraId="5106B5F4"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985</w:t>
            </w:r>
          </w:p>
        </w:tc>
        <w:tc>
          <w:tcPr>
            <w:tcW w:w="773" w:type="dxa"/>
            <w:vAlign w:val="center"/>
          </w:tcPr>
          <w:p w14:paraId="097F2F4E"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810.4</w:t>
            </w:r>
          </w:p>
        </w:tc>
        <w:tc>
          <w:tcPr>
            <w:tcW w:w="766" w:type="dxa"/>
            <w:vAlign w:val="center"/>
          </w:tcPr>
          <w:p w14:paraId="6F4678C2"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926.3</w:t>
            </w:r>
          </w:p>
        </w:tc>
        <w:tc>
          <w:tcPr>
            <w:tcW w:w="728" w:type="dxa"/>
            <w:vAlign w:val="center"/>
          </w:tcPr>
          <w:p w14:paraId="7D9397DE"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45.7</w:t>
            </w:r>
          </w:p>
        </w:tc>
        <w:tc>
          <w:tcPr>
            <w:tcW w:w="1243" w:type="dxa"/>
            <w:vAlign w:val="center"/>
          </w:tcPr>
          <w:p w14:paraId="22362759"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-3.82 σ</w:t>
            </w:r>
          </w:p>
        </w:tc>
        <w:tc>
          <w:tcPr>
            <w:tcW w:w="1243" w:type="dxa"/>
            <w:vMerge/>
            <w:vAlign w:val="center"/>
          </w:tcPr>
          <w:p w14:paraId="421DDA2D" w14:textId="77777777" w:rsidR="00515993" w:rsidRPr="00515993" w:rsidRDefault="00515993" w:rsidP="00515993">
            <w:pPr>
              <w:jc w:val="center"/>
              <w:rPr>
                <w:rFonts w:ascii="Times New Roman" w:hAnsi="Times New Roman" w:cs="Times New Roman"/>
                <w:sz w:val="20"/>
                <w:szCs w:val="20"/>
              </w:rPr>
            </w:pPr>
          </w:p>
        </w:tc>
      </w:tr>
      <w:tr w:rsidR="00515993" w:rsidRPr="00CA73DF" w14:paraId="6B8C1776" w14:textId="0E47D594" w:rsidTr="000B0A1F">
        <w:trPr>
          <w:trHeight w:val="46"/>
          <w:jc w:val="center"/>
        </w:trPr>
        <w:tc>
          <w:tcPr>
            <w:tcW w:w="756" w:type="dxa"/>
            <w:vMerge/>
            <w:vAlign w:val="center"/>
          </w:tcPr>
          <w:p w14:paraId="4101BDFA"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7AE1E906"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4A</w:t>
            </w:r>
          </w:p>
        </w:tc>
        <w:tc>
          <w:tcPr>
            <w:tcW w:w="1365" w:type="dxa"/>
            <w:vAlign w:val="center"/>
          </w:tcPr>
          <w:p w14:paraId="47B576C7"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1120</w:t>
            </w:r>
          </w:p>
        </w:tc>
        <w:tc>
          <w:tcPr>
            <w:tcW w:w="773" w:type="dxa"/>
            <w:vAlign w:val="center"/>
          </w:tcPr>
          <w:p w14:paraId="179A83D7"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998.4</w:t>
            </w:r>
          </w:p>
        </w:tc>
        <w:tc>
          <w:tcPr>
            <w:tcW w:w="766" w:type="dxa"/>
            <w:vAlign w:val="center"/>
          </w:tcPr>
          <w:p w14:paraId="1DC096E4"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1100.8</w:t>
            </w:r>
          </w:p>
        </w:tc>
        <w:tc>
          <w:tcPr>
            <w:tcW w:w="728" w:type="dxa"/>
            <w:vAlign w:val="center"/>
          </w:tcPr>
          <w:p w14:paraId="00695CC2"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70.5</w:t>
            </w:r>
          </w:p>
        </w:tc>
        <w:tc>
          <w:tcPr>
            <w:tcW w:w="1243" w:type="dxa"/>
            <w:vAlign w:val="center"/>
          </w:tcPr>
          <w:p w14:paraId="65182D3B"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-1.72 σ</w:t>
            </w:r>
          </w:p>
        </w:tc>
        <w:tc>
          <w:tcPr>
            <w:tcW w:w="1243" w:type="dxa"/>
            <w:vMerge/>
            <w:vAlign w:val="center"/>
          </w:tcPr>
          <w:p w14:paraId="74D95173" w14:textId="77777777" w:rsidR="00515993" w:rsidRPr="00515993" w:rsidRDefault="00515993" w:rsidP="00515993">
            <w:pPr>
              <w:jc w:val="center"/>
              <w:rPr>
                <w:rFonts w:ascii="Times New Roman" w:hAnsi="Times New Roman" w:cs="Times New Roman"/>
                <w:sz w:val="20"/>
                <w:szCs w:val="20"/>
              </w:rPr>
            </w:pPr>
          </w:p>
        </w:tc>
      </w:tr>
      <w:tr w:rsidR="00515993" w:rsidRPr="00CA73DF" w14:paraId="104DBB52" w14:textId="50169BF1" w:rsidTr="000B0A1F">
        <w:trPr>
          <w:trHeight w:val="46"/>
          <w:jc w:val="center"/>
        </w:trPr>
        <w:tc>
          <w:tcPr>
            <w:tcW w:w="756" w:type="dxa"/>
            <w:vMerge/>
            <w:vAlign w:val="center"/>
          </w:tcPr>
          <w:p w14:paraId="786CE8B9"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0528FFEA"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F/D Valve</w:t>
            </w:r>
          </w:p>
        </w:tc>
        <w:tc>
          <w:tcPr>
            <w:tcW w:w="1365" w:type="dxa"/>
            <w:vAlign w:val="center"/>
          </w:tcPr>
          <w:p w14:paraId="10EE6D7B"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536</w:t>
            </w:r>
          </w:p>
        </w:tc>
        <w:tc>
          <w:tcPr>
            <w:tcW w:w="773" w:type="dxa"/>
            <w:vAlign w:val="center"/>
          </w:tcPr>
          <w:p w14:paraId="25EAC760"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744.0</w:t>
            </w:r>
          </w:p>
        </w:tc>
        <w:tc>
          <w:tcPr>
            <w:tcW w:w="766" w:type="dxa"/>
            <w:vAlign w:val="center"/>
          </w:tcPr>
          <w:p w14:paraId="3AEF707D"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792.8</w:t>
            </w:r>
          </w:p>
        </w:tc>
        <w:tc>
          <w:tcPr>
            <w:tcW w:w="728" w:type="dxa"/>
            <w:vAlign w:val="center"/>
          </w:tcPr>
          <w:p w14:paraId="0EBB313F"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54.7</w:t>
            </w:r>
          </w:p>
        </w:tc>
        <w:tc>
          <w:tcPr>
            <w:tcW w:w="1243" w:type="dxa"/>
            <w:vAlign w:val="center"/>
          </w:tcPr>
          <w:p w14:paraId="3E5CFC74"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3.8 σ</w:t>
            </w:r>
          </w:p>
        </w:tc>
        <w:tc>
          <w:tcPr>
            <w:tcW w:w="1243" w:type="dxa"/>
            <w:vMerge/>
            <w:vAlign w:val="center"/>
          </w:tcPr>
          <w:p w14:paraId="0E694D70" w14:textId="77777777" w:rsidR="00515993" w:rsidRPr="00515993" w:rsidRDefault="00515993" w:rsidP="00515993">
            <w:pPr>
              <w:jc w:val="center"/>
              <w:rPr>
                <w:rFonts w:ascii="Times New Roman" w:hAnsi="Times New Roman" w:cs="Times New Roman"/>
                <w:sz w:val="20"/>
                <w:szCs w:val="20"/>
              </w:rPr>
            </w:pPr>
          </w:p>
        </w:tc>
      </w:tr>
      <w:tr w:rsidR="00515993" w:rsidRPr="00CA73DF" w14:paraId="25A09D73" w14:textId="78CC6FD7" w:rsidTr="000B0A1F">
        <w:trPr>
          <w:trHeight w:val="46"/>
          <w:jc w:val="center"/>
        </w:trPr>
        <w:tc>
          <w:tcPr>
            <w:tcW w:w="756" w:type="dxa"/>
            <w:vMerge/>
            <w:vAlign w:val="center"/>
          </w:tcPr>
          <w:p w14:paraId="1117EFB7"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5E53F86D"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Latch Valve</w:t>
            </w:r>
          </w:p>
        </w:tc>
        <w:tc>
          <w:tcPr>
            <w:tcW w:w="1365" w:type="dxa"/>
            <w:vAlign w:val="center"/>
          </w:tcPr>
          <w:p w14:paraId="566E493C"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709</w:t>
            </w:r>
          </w:p>
        </w:tc>
        <w:tc>
          <w:tcPr>
            <w:tcW w:w="773" w:type="dxa"/>
            <w:vAlign w:val="center"/>
          </w:tcPr>
          <w:p w14:paraId="5FFC6241"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664.7</w:t>
            </w:r>
          </w:p>
        </w:tc>
        <w:tc>
          <w:tcPr>
            <w:tcW w:w="766" w:type="dxa"/>
            <w:vAlign w:val="center"/>
          </w:tcPr>
          <w:p w14:paraId="7052412F"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699.4</w:t>
            </w:r>
          </w:p>
        </w:tc>
        <w:tc>
          <w:tcPr>
            <w:tcW w:w="728" w:type="dxa"/>
            <w:vAlign w:val="center"/>
          </w:tcPr>
          <w:p w14:paraId="1E9BA5A8"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34.3</w:t>
            </w:r>
          </w:p>
        </w:tc>
        <w:tc>
          <w:tcPr>
            <w:tcW w:w="1243" w:type="dxa"/>
            <w:vAlign w:val="center"/>
          </w:tcPr>
          <w:p w14:paraId="542EE1FE"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-1.29 σ</w:t>
            </w:r>
          </w:p>
        </w:tc>
        <w:tc>
          <w:tcPr>
            <w:tcW w:w="1243" w:type="dxa"/>
            <w:vMerge/>
            <w:vAlign w:val="center"/>
          </w:tcPr>
          <w:p w14:paraId="55EB871C" w14:textId="77777777" w:rsidR="00515993" w:rsidRPr="00515993" w:rsidRDefault="00515993" w:rsidP="00515993">
            <w:pPr>
              <w:jc w:val="center"/>
              <w:rPr>
                <w:rFonts w:ascii="Times New Roman" w:hAnsi="Times New Roman" w:cs="Times New Roman"/>
                <w:sz w:val="20"/>
                <w:szCs w:val="20"/>
              </w:rPr>
            </w:pPr>
          </w:p>
        </w:tc>
      </w:tr>
      <w:tr w:rsidR="00515993" w:rsidRPr="00CA73DF" w14:paraId="7A5989BD" w14:textId="47AB2EB0" w:rsidTr="000B0A1F">
        <w:trPr>
          <w:trHeight w:val="51"/>
          <w:jc w:val="center"/>
        </w:trPr>
        <w:tc>
          <w:tcPr>
            <w:tcW w:w="756" w:type="dxa"/>
            <w:vMerge w:val="restart"/>
            <w:vAlign w:val="center"/>
          </w:tcPr>
          <w:p w14:paraId="1DC505E4"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0.052”</w:t>
            </w:r>
          </w:p>
        </w:tc>
        <w:tc>
          <w:tcPr>
            <w:tcW w:w="1204" w:type="dxa"/>
            <w:vAlign w:val="center"/>
          </w:tcPr>
          <w:p w14:paraId="2A7FCFC0"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1A</w:t>
            </w:r>
          </w:p>
        </w:tc>
        <w:tc>
          <w:tcPr>
            <w:tcW w:w="1365" w:type="dxa"/>
            <w:vAlign w:val="center"/>
          </w:tcPr>
          <w:p w14:paraId="0451BD03"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1001</w:t>
            </w:r>
          </w:p>
        </w:tc>
        <w:tc>
          <w:tcPr>
            <w:tcW w:w="773" w:type="dxa"/>
            <w:vAlign w:val="center"/>
          </w:tcPr>
          <w:p w14:paraId="4ECCE1C6"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986.4</w:t>
            </w:r>
          </w:p>
        </w:tc>
        <w:tc>
          <w:tcPr>
            <w:tcW w:w="766" w:type="dxa"/>
            <w:vAlign w:val="center"/>
          </w:tcPr>
          <w:p w14:paraId="24FE3FEC"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1120.5</w:t>
            </w:r>
          </w:p>
        </w:tc>
        <w:tc>
          <w:tcPr>
            <w:tcW w:w="728" w:type="dxa"/>
            <w:vAlign w:val="center"/>
          </w:tcPr>
          <w:p w14:paraId="48E71627"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113.3</w:t>
            </w:r>
          </w:p>
        </w:tc>
        <w:tc>
          <w:tcPr>
            <w:tcW w:w="1243" w:type="dxa"/>
            <w:vAlign w:val="center"/>
          </w:tcPr>
          <w:p w14:paraId="6449B2B4"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-0.13 σ</w:t>
            </w:r>
          </w:p>
        </w:tc>
        <w:tc>
          <w:tcPr>
            <w:tcW w:w="1243" w:type="dxa"/>
            <w:vMerge w:val="restart"/>
            <w:vAlign w:val="center"/>
          </w:tcPr>
          <w:p w14:paraId="0D2AF6E6" w14:textId="48164AA2" w:rsidR="00515993" w:rsidRPr="00515993" w:rsidRDefault="00515993" w:rsidP="00515993">
            <w:pPr>
              <w:jc w:val="center"/>
              <w:rPr>
                <w:rFonts w:ascii="Times New Roman" w:hAnsi="Times New Roman" w:cs="Times New Roman"/>
                <w:sz w:val="20"/>
                <w:szCs w:val="20"/>
              </w:rPr>
            </w:pPr>
            <w:r w:rsidRPr="00515993">
              <w:rPr>
                <w:rFonts w:ascii="Times New Roman" w:hAnsi="Times New Roman" w:cs="Times New Roman"/>
                <w:sz w:val="20"/>
                <w:szCs w:val="20"/>
              </w:rPr>
              <w:t>867.8</w:t>
            </w:r>
          </w:p>
        </w:tc>
      </w:tr>
      <w:tr w:rsidR="00515993" w:rsidRPr="00CA73DF" w14:paraId="702DF6EB" w14:textId="444E8AAE" w:rsidTr="000B0A1F">
        <w:trPr>
          <w:trHeight w:val="46"/>
          <w:jc w:val="center"/>
        </w:trPr>
        <w:tc>
          <w:tcPr>
            <w:tcW w:w="756" w:type="dxa"/>
            <w:vMerge/>
            <w:vAlign w:val="center"/>
          </w:tcPr>
          <w:p w14:paraId="58061C82"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7D808303"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2A</w:t>
            </w:r>
          </w:p>
        </w:tc>
        <w:tc>
          <w:tcPr>
            <w:tcW w:w="1365" w:type="dxa"/>
            <w:vAlign w:val="center"/>
          </w:tcPr>
          <w:p w14:paraId="462EF77C"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872</w:t>
            </w:r>
          </w:p>
        </w:tc>
        <w:tc>
          <w:tcPr>
            <w:tcW w:w="773" w:type="dxa"/>
            <w:vAlign w:val="center"/>
          </w:tcPr>
          <w:p w14:paraId="12D93162"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857.2</w:t>
            </w:r>
          </w:p>
        </w:tc>
        <w:tc>
          <w:tcPr>
            <w:tcW w:w="766" w:type="dxa"/>
            <w:vAlign w:val="center"/>
          </w:tcPr>
          <w:p w14:paraId="31482E35"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934.3</w:t>
            </w:r>
          </w:p>
        </w:tc>
        <w:tc>
          <w:tcPr>
            <w:tcW w:w="728" w:type="dxa"/>
            <w:vAlign w:val="center"/>
          </w:tcPr>
          <w:p w14:paraId="3921642C"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55.8</w:t>
            </w:r>
          </w:p>
        </w:tc>
        <w:tc>
          <w:tcPr>
            <w:tcW w:w="1243" w:type="dxa"/>
            <w:vAlign w:val="center"/>
          </w:tcPr>
          <w:p w14:paraId="510CB94F"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-0.26 σ</w:t>
            </w:r>
          </w:p>
        </w:tc>
        <w:tc>
          <w:tcPr>
            <w:tcW w:w="1243" w:type="dxa"/>
            <w:vMerge/>
            <w:vAlign w:val="center"/>
          </w:tcPr>
          <w:p w14:paraId="142B06BC" w14:textId="77777777" w:rsidR="00515993" w:rsidRPr="00515993" w:rsidRDefault="00515993" w:rsidP="00515993">
            <w:pPr>
              <w:jc w:val="center"/>
              <w:rPr>
                <w:rFonts w:ascii="Times New Roman" w:hAnsi="Times New Roman" w:cs="Times New Roman"/>
                <w:sz w:val="20"/>
                <w:szCs w:val="20"/>
              </w:rPr>
            </w:pPr>
          </w:p>
        </w:tc>
      </w:tr>
      <w:tr w:rsidR="00515993" w:rsidRPr="00CA73DF" w14:paraId="41E8519E" w14:textId="51AE25C0" w:rsidTr="000B0A1F">
        <w:trPr>
          <w:trHeight w:val="46"/>
          <w:jc w:val="center"/>
        </w:trPr>
        <w:tc>
          <w:tcPr>
            <w:tcW w:w="756" w:type="dxa"/>
            <w:vMerge/>
            <w:vAlign w:val="center"/>
          </w:tcPr>
          <w:p w14:paraId="2E6692CD"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301A9F03"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3A</w:t>
            </w:r>
          </w:p>
        </w:tc>
        <w:tc>
          <w:tcPr>
            <w:tcW w:w="1365" w:type="dxa"/>
            <w:vAlign w:val="center"/>
          </w:tcPr>
          <w:p w14:paraId="0852F615"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1078</w:t>
            </w:r>
          </w:p>
        </w:tc>
        <w:tc>
          <w:tcPr>
            <w:tcW w:w="773" w:type="dxa"/>
            <w:vAlign w:val="center"/>
          </w:tcPr>
          <w:p w14:paraId="71B73BBF"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976.9</w:t>
            </w:r>
          </w:p>
        </w:tc>
        <w:tc>
          <w:tcPr>
            <w:tcW w:w="766" w:type="dxa"/>
            <w:vAlign w:val="center"/>
          </w:tcPr>
          <w:p w14:paraId="1D7C1077"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1095.1</w:t>
            </w:r>
          </w:p>
        </w:tc>
        <w:tc>
          <w:tcPr>
            <w:tcW w:w="728" w:type="dxa"/>
            <w:vAlign w:val="center"/>
          </w:tcPr>
          <w:p w14:paraId="3B90654B"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73.0</w:t>
            </w:r>
          </w:p>
        </w:tc>
        <w:tc>
          <w:tcPr>
            <w:tcW w:w="1243" w:type="dxa"/>
            <w:vAlign w:val="center"/>
          </w:tcPr>
          <w:p w14:paraId="2D8AD3B3"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-1.38 σ</w:t>
            </w:r>
          </w:p>
        </w:tc>
        <w:tc>
          <w:tcPr>
            <w:tcW w:w="1243" w:type="dxa"/>
            <w:vMerge/>
            <w:vAlign w:val="center"/>
          </w:tcPr>
          <w:p w14:paraId="20EB0D38" w14:textId="77777777" w:rsidR="00515993" w:rsidRPr="00515993" w:rsidRDefault="00515993" w:rsidP="00515993">
            <w:pPr>
              <w:jc w:val="center"/>
              <w:rPr>
                <w:rFonts w:ascii="Times New Roman" w:hAnsi="Times New Roman" w:cs="Times New Roman"/>
                <w:sz w:val="20"/>
                <w:szCs w:val="20"/>
              </w:rPr>
            </w:pPr>
          </w:p>
        </w:tc>
      </w:tr>
      <w:tr w:rsidR="00515993" w:rsidRPr="00CA73DF" w14:paraId="1735E542" w14:textId="7466E858" w:rsidTr="000B0A1F">
        <w:trPr>
          <w:trHeight w:val="46"/>
          <w:jc w:val="center"/>
        </w:trPr>
        <w:tc>
          <w:tcPr>
            <w:tcW w:w="756" w:type="dxa"/>
            <w:vMerge/>
            <w:vAlign w:val="center"/>
          </w:tcPr>
          <w:p w14:paraId="08900134"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178AE376"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4A</w:t>
            </w:r>
          </w:p>
        </w:tc>
        <w:tc>
          <w:tcPr>
            <w:tcW w:w="1365" w:type="dxa"/>
            <w:vAlign w:val="center"/>
          </w:tcPr>
          <w:p w14:paraId="4644E8DA"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1167</w:t>
            </w:r>
          </w:p>
        </w:tc>
        <w:tc>
          <w:tcPr>
            <w:tcW w:w="773" w:type="dxa"/>
            <w:vAlign w:val="center"/>
          </w:tcPr>
          <w:p w14:paraId="5CA5DBDE"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1031.7</w:t>
            </w:r>
          </w:p>
        </w:tc>
        <w:tc>
          <w:tcPr>
            <w:tcW w:w="766" w:type="dxa"/>
            <w:vAlign w:val="center"/>
          </w:tcPr>
          <w:p w14:paraId="61F0CA55"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1181.2</w:t>
            </w:r>
          </w:p>
        </w:tc>
        <w:tc>
          <w:tcPr>
            <w:tcW w:w="728" w:type="dxa"/>
            <w:vAlign w:val="center"/>
          </w:tcPr>
          <w:p w14:paraId="6D8F144A"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112.5</w:t>
            </w:r>
          </w:p>
        </w:tc>
        <w:tc>
          <w:tcPr>
            <w:tcW w:w="1243" w:type="dxa"/>
            <w:vAlign w:val="center"/>
          </w:tcPr>
          <w:p w14:paraId="250A4CED"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-1.2 σ</w:t>
            </w:r>
          </w:p>
        </w:tc>
        <w:tc>
          <w:tcPr>
            <w:tcW w:w="1243" w:type="dxa"/>
            <w:vMerge/>
            <w:vAlign w:val="center"/>
          </w:tcPr>
          <w:p w14:paraId="2AEC715B" w14:textId="77777777" w:rsidR="00515993" w:rsidRPr="00515993" w:rsidRDefault="00515993" w:rsidP="00515993">
            <w:pPr>
              <w:jc w:val="center"/>
              <w:rPr>
                <w:rFonts w:ascii="Times New Roman" w:hAnsi="Times New Roman" w:cs="Times New Roman"/>
                <w:sz w:val="20"/>
                <w:szCs w:val="20"/>
              </w:rPr>
            </w:pPr>
          </w:p>
        </w:tc>
      </w:tr>
      <w:tr w:rsidR="00515993" w:rsidRPr="00CA73DF" w14:paraId="4227B429" w14:textId="4BC56D6D" w:rsidTr="000B0A1F">
        <w:trPr>
          <w:trHeight w:val="46"/>
          <w:jc w:val="center"/>
        </w:trPr>
        <w:tc>
          <w:tcPr>
            <w:tcW w:w="756" w:type="dxa"/>
            <w:vMerge/>
            <w:vAlign w:val="center"/>
          </w:tcPr>
          <w:p w14:paraId="09A8E18F"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2EE1D07D"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F/D Valve</w:t>
            </w:r>
          </w:p>
        </w:tc>
        <w:tc>
          <w:tcPr>
            <w:tcW w:w="1365" w:type="dxa"/>
            <w:vAlign w:val="center"/>
          </w:tcPr>
          <w:p w14:paraId="28082553"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554</w:t>
            </w:r>
          </w:p>
        </w:tc>
        <w:tc>
          <w:tcPr>
            <w:tcW w:w="773" w:type="dxa"/>
            <w:vAlign w:val="center"/>
          </w:tcPr>
          <w:p w14:paraId="5B8CB9CB"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623.4</w:t>
            </w:r>
          </w:p>
        </w:tc>
        <w:tc>
          <w:tcPr>
            <w:tcW w:w="766" w:type="dxa"/>
            <w:vAlign w:val="center"/>
          </w:tcPr>
          <w:p w14:paraId="40C07604"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652.1</w:t>
            </w:r>
          </w:p>
        </w:tc>
        <w:tc>
          <w:tcPr>
            <w:tcW w:w="728" w:type="dxa"/>
            <w:vAlign w:val="center"/>
          </w:tcPr>
          <w:p w14:paraId="327C460E"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23.6</w:t>
            </w:r>
          </w:p>
        </w:tc>
        <w:tc>
          <w:tcPr>
            <w:tcW w:w="1243" w:type="dxa"/>
            <w:vAlign w:val="center"/>
          </w:tcPr>
          <w:p w14:paraId="64984F51"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2.94 σ</w:t>
            </w:r>
          </w:p>
        </w:tc>
        <w:tc>
          <w:tcPr>
            <w:tcW w:w="1243" w:type="dxa"/>
            <w:vMerge/>
            <w:vAlign w:val="center"/>
          </w:tcPr>
          <w:p w14:paraId="7003BF5E" w14:textId="77777777" w:rsidR="00515993" w:rsidRPr="00515993" w:rsidRDefault="00515993" w:rsidP="00515993">
            <w:pPr>
              <w:jc w:val="center"/>
              <w:rPr>
                <w:rFonts w:ascii="Times New Roman" w:hAnsi="Times New Roman" w:cs="Times New Roman"/>
                <w:sz w:val="20"/>
                <w:szCs w:val="20"/>
              </w:rPr>
            </w:pPr>
          </w:p>
        </w:tc>
      </w:tr>
      <w:tr w:rsidR="00515993" w:rsidRPr="00CA73DF" w14:paraId="58C98075" w14:textId="5AD17202" w:rsidTr="000B0A1F">
        <w:trPr>
          <w:trHeight w:val="46"/>
          <w:jc w:val="center"/>
        </w:trPr>
        <w:tc>
          <w:tcPr>
            <w:tcW w:w="756" w:type="dxa"/>
            <w:vMerge/>
            <w:vAlign w:val="center"/>
          </w:tcPr>
          <w:p w14:paraId="08376BA7"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5129A894"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Latch Valve</w:t>
            </w:r>
          </w:p>
        </w:tc>
        <w:tc>
          <w:tcPr>
            <w:tcW w:w="1365" w:type="dxa"/>
            <w:vAlign w:val="center"/>
          </w:tcPr>
          <w:p w14:paraId="46351779"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727</w:t>
            </w:r>
          </w:p>
        </w:tc>
        <w:tc>
          <w:tcPr>
            <w:tcW w:w="773" w:type="dxa"/>
            <w:vAlign w:val="center"/>
          </w:tcPr>
          <w:p w14:paraId="7DD25166"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663.4</w:t>
            </w:r>
          </w:p>
        </w:tc>
        <w:tc>
          <w:tcPr>
            <w:tcW w:w="766" w:type="dxa"/>
            <w:vAlign w:val="center"/>
          </w:tcPr>
          <w:p w14:paraId="0889AB19"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703.2</w:t>
            </w:r>
          </w:p>
        </w:tc>
        <w:tc>
          <w:tcPr>
            <w:tcW w:w="728" w:type="dxa"/>
            <w:vAlign w:val="center"/>
          </w:tcPr>
          <w:p w14:paraId="24758712"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22.5</w:t>
            </w:r>
          </w:p>
        </w:tc>
        <w:tc>
          <w:tcPr>
            <w:tcW w:w="1243" w:type="dxa"/>
            <w:vAlign w:val="center"/>
          </w:tcPr>
          <w:p w14:paraId="4BCB7EBA" w14:textId="77777777" w:rsidR="00515993" w:rsidRPr="00CA73DF" w:rsidRDefault="00515993" w:rsidP="00F02C3A">
            <w:pPr>
              <w:jc w:val="center"/>
              <w:rPr>
                <w:rFonts w:ascii="Times New Roman" w:hAnsi="Times New Roman" w:cs="Times New Roman"/>
                <w:sz w:val="20"/>
                <w:szCs w:val="20"/>
              </w:rPr>
            </w:pPr>
            <w:r>
              <w:rPr>
                <w:rFonts w:ascii="Times New Roman" w:hAnsi="Times New Roman" w:cs="Times New Roman"/>
                <w:sz w:val="20"/>
                <w:szCs w:val="20"/>
              </w:rPr>
              <w:t>-2.83 σ</w:t>
            </w:r>
          </w:p>
        </w:tc>
        <w:tc>
          <w:tcPr>
            <w:tcW w:w="1243" w:type="dxa"/>
            <w:vMerge/>
            <w:vAlign w:val="center"/>
          </w:tcPr>
          <w:p w14:paraId="300F901E" w14:textId="77777777" w:rsidR="00515993" w:rsidRPr="00515993" w:rsidRDefault="00515993" w:rsidP="00515993">
            <w:pPr>
              <w:jc w:val="center"/>
              <w:rPr>
                <w:rFonts w:ascii="Times New Roman" w:hAnsi="Times New Roman" w:cs="Times New Roman"/>
                <w:sz w:val="20"/>
                <w:szCs w:val="20"/>
              </w:rPr>
            </w:pPr>
          </w:p>
        </w:tc>
      </w:tr>
      <w:tr w:rsidR="00515993" w:rsidRPr="00CA73DF" w14:paraId="2D1BBD5E" w14:textId="60189D1F" w:rsidTr="000B0A1F">
        <w:trPr>
          <w:trHeight w:val="51"/>
          <w:jc w:val="center"/>
        </w:trPr>
        <w:tc>
          <w:tcPr>
            <w:tcW w:w="756" w:type="dxa"/>
            <w:vMerge w:val="restart"/>
            <w:vAlign w:val="center"/>
          </w:tcPr>
          <w:p w14:paraId="4551EF01"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0.055”</w:t>
            </w:r>
          </w:p>
        </w:tc>
        <w:tc>
          <w:tcPr>
            <w:tcW w:w="1204" w:type="dxa"/>
            <w:vAlign w:val="center"/>
          </w:tcPr>
          <w:p w14:paraId="734AE5C8"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1A</w:t>
            </w:r>
          </w:p>
        </w:tc>
        <w:tc>
          <w:tcPr>
            <w:tcW w:w="1365" w:type="dxa"/>
            <w:vAlign w:val="center"/>
          </w:tcPr>
          <w:p w14:paraId="1B5E237E"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1062</w:t>
            </w:r>
          </w:p>
        </w:tc>
        <w:tc>
          <w:tcPr>
            <w:tcW w:w="773" w:type="dxa"/>
            <w:vAlign w:val="center"/>
          </w:tcPr>
          <w:p w14:paraId="058459BD"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1213.2</w:t>
            </w:r>
          </w:p>
        </w:tc>
        <w:tc>
          <w:tcPr>
            <w:tcW w:w="766" w:type="dxa"/>
            <w:vAlign w:val="center"/>
          </w:tcPr>
          <w:p w14:paraId="41736DA5"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1744.5</w:t>
            </w:r>
          </w:p>
        </w:tc>
        <w:tc>
          <w:tcPr>
            <w:tcW w:w="728" w:type="dxa"/>
            <w:vAlign w:val="center"/>
          </w:tcPr>
          <w:p w14:paraId="04421F72"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54.8</w:t>
            </w:r>
          </w:p>
        </w:tc>
        <w:tc>
          <w:tcPr>
            <w:tcW w:w="1243" w:type="dxa"/>
            <w:shd w:val="clear" w:color="auto" w:fill="auto"/>
            <w:vAlign w:val="center"/>
          </w:tcPr>
          <w:p w14:paraId="77BD1D58"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sz w:val="20"/>
                <w:szCs w:val="20"/>
              </w:rPr>
              <w:t>2.76 σ</w:t>
            </w:r>
          </w:p>
        </w:tc>
        <w:tc>
          <w:tcPr>
            <w:tcW w:w="1243" w:type="dxa"/>
            <w:vMerge w:val="restart"/>
            <w:vAlign w:val="center"/>
          </w:tcPr>
          <w:p w14:paraId="2B50A061" w14:textId="075EAD5B" w:rsidR="00515993" w:rsidRPr="00515993" w:rsidRDefault="00515993" w:rsidP="00515993">
            <w:pPr>
              <w:jc w:val="center"/>
              <w:rPr>
                <w:rFonts w:ascii="Times New Roman" w:hAnsi="Times New Roman" w:cs="Times New Roman"/>
                <w:sz w:val="20"/>
                <w:szCs w:val="20"/>
              </w:rPr>
            </w:pPr>
            <w:r w:rsidRPr="00515993">
              <w:rPr>
                <w:rFonts w:ascii="Times New Roman" w:hAnsi="Times New Roman" w:cs="Times New Roman"/>
                <w:sz w:val="20"/>
                <w:szCs w:val="20"/>
              </w:rPr>
              <w:t>968</w:t>
            </w:r>
          </w:p>
        </w:tc>
      </w:tr>
      <w:tr w:rsidR="00515993" w:rsidRPr="00CA73DF" w14:paraId="72ABB496" w14:textId="4F257537" w:rsidTr="000B0A1F">
        <w:trPr>
          <w:trHeight w:val="46"/>
          <w:jc w:val="center"/>
        </w:trPr>
        <w:tc>
          <w:tcPr>
            <w:tcW w:w="756" w:type="dxa"/>
            <w:vMerge/>
            <w:vAlign w:val="center"/>
          </w:tcPr>
          <w:p w14:paraId="1C3C977E"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5B8C762B"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2A</w:t>
            </w:r>
          </w:p>
        </w:tc>
        <w:tc>
          <w:tcPr>
            <w:tcW w:w="1365" w:type="dxa"/>
            <w:vAlign w:val="center"/>
          </w:tcPr>
          <w:p w14:paraId="369E2EB5"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928</w:t>
            </w:r>
          </w:p>
        </w:tc>
        <w:tc>
          <w:tcPr>
            <w:tcW w:w="773" w:type="dxa"/>
            <w:vAlign w:val="center"/>
          </w:tcPr>
          <w:p w14:paraId="6D729C7C"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959.5</w:t>
            </w:r>
          </w:p>
        </w:tc>
        <w:tc>
          <w:tcPr>
            <w:tcW w:w="766" w:type="dxa"/>
            <w:vAlign w:val="center"/>
          </w:tcPr>
          <w:p w14:paraId="60EA2CDE"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1388.8</w:t>
            </w:r>
          </w:p>
        </w:tc>
        <w:tc>
          <w:tcPr>
            <w:tcW w:w="728" w:type="dxa"/>
            <w:vAlign w:val="center"/>
          </w:tcPr>
          <w:p w14:paraId="12C8292D"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28.7</w:t>
            </w:r>
          </w:p>
        </w:tc>
        <w:tc>
          <w:tcPr>
            <w:tcW w:w="1243" w:type="dxa"/>
            <w:shd w:val="clear" w:color="auto" w:fill="auto"/>
            <w:vAlign w:val="center"/>
          </w:tcPr>
          <w:p w14:paraId="23E065BC"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sz w:val="20"/>
                <w:szCs w:val="20"/>
              </w:rPr>
              <w:t>1.1 σ</w:t>
            </w:r>
          </w:p>
        </w:tc>
        <w:tc>
          <w:tcPr>
            <w:tcW w:w="1243" w:type="dxa"/>
            <w:vMerge/>
          </w:tcPr>
          <w:p w14:paraId="6B0E9FDC" w14:textId="77777777" w:rsidR="00515993" w:rsidRPr="00AF19C1" w:rsidRDefault="00515993" w:rsidP="00F02C3A">
            <w:pPr>
              <w:jc w:val="center"/>
            </w:pPr>
          </w:p>
        </w:tc>
      </w:tr>
      <w:tr w:rsidR="00515993" w:rsidRPr="00CA73DF" w14:paraId="1A62F450" w14:textId="2B17B5CE" w:rsidTr="000B0A1F">
        <w:trPr>
          <w:trHeight w:val="46"/>
          <w:jc w:val="center"/>
        </w:trPr>
        <w:tc>
          <w:tcPr>
            <w:tcW w:w="756" w:type="dxa"/>
            <w:vMerge/>
            <w:vAlign w:val="center"/>
          </w:tcPr>
          <w:p w14:paraId="403BCFC9"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519F1E12"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3A</w:t>
            </w:r>
          </w:p>
        </w:tc>
        <w:tc>
          <w:tcPr>
            <w:tcW w:w="1365" w:type="dxa"/>
            <w:vAlign w:val="center"/>
          </w:tcPr>
          <w:p w14:paraId="60518063"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1134</w:t>
            </w:r>
          </w:p>
        </w:tc>
        <w:tc>
          <w:tcPr>
            <w:tcW w:w="773" w:type="dxa"/>
            <w:vAlign w:val="center"/>
          </w:tcPr>
          <w:p w14:paraId="31B74CBA"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1090</w:t>
            </w:r>
          </w:p>
        </w:tc>
        <w:tc>
          <w:tcPr>
            <w:tcW w:w="766" w:type="dxa"/>
            <w:vAlign w:val="center"/>
          </w:tcPr>
          <w:p w14:paraId="60075196"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1573.2</w:t>
            </w:r>
          </w:p>
        </w:tc>
        <w:tc>
          <w:tcPr>
            <w:tcW w:w="728" w:type="dxa"/>
            <w:vAlign w:val="center"/>
          </w:tcPr>
          <w:p w14:paraId="13D1D56A"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61.8</w:t>
            </w:r>
          </w:p>
        </w:tc>
        <w:tc>
          <w:tcPr>
            <w:tcW w:w="1243" w:type="dxa"/>
            <w:shd w:val="clear" w:color="auto" w:fill="auto"/>
            <w:vAlign w:val="center"/>
          </w:tcPr>
          <w:p w14:paraId="73F508E3"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sz w:val="20"/>
                <w:szCs w:val="20"/>
              </w:rPr>
              <w:t>-0.71 σ</w:t>
            </w:r>
          </w:p>
        </w:tc>
        <w:tc>
          <w:tcPr>
            <w:tcW w:w="1243" w:type="dxa"/>
            <w:vMerge/>
          </w:tcPr>
          <w:p w14:paraId="47A6757B" w14:textId="77777777" w:rsidR="00515993" w:rsidRPr="00AF19C1" w:rsidRDefault="00515993" w:rsidP="00F02C3A">
            <w:pPr>
              <w:jc w:val="center"/>
            </w:pPr>
          </w:p>
        </w:tc>
      </w:tr>
      <w:tr w:rsidR="00515993" w:rsidRPr="00CA73DF" w14:paraId="046547D8" w14:textId="57F5BAC3" w:rsidTr="000B0A1F">
        <w:trPr>
          <w:trHeight w:val="46"/>
          <w:jc w:val="center"/>
        </w:trPr>
        <w:tc>
          <w:tcPr>
            <w:tcW w:w="756" w:type="dxa"/>
            <w:vMerge/>
            <w:vAlign w:val="center"/>
          </w:tcPr>
          <w:p w14:paraId="614360AD"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70E0AEDA"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Thruster 4A</w:t>
            </w:r>
          </w:p>
        </w:tc>
        <w:tc>
          <w:tcPr>
            <w:tcW w:w="1365" w:type="dxa"/>
            <w:vAlign w:val="center"/>
          </w:tcPr>
          <w:p w14:paraId="76A0D183"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1300</w:t>
            </w:r>
          </w:p>
        </w:tc>
        <w:tc>
          <w:tcPr>
            <w:tcW w:w="773" w:type="dxa"/>
            <w:vAlign w:val="center"/>
          </w:tcPr>
          <w:p w14:paraId="12927339" w14:textId="77777777" w:rsidR="00515993" w:rsidRPr="00AF19C1" w:rsidRDefault="00515993" w:rsidP="00F02C3A">
            <w:pPr>
              <w:jc w:val="center"/>
              <w:rPr>
                <w:rFonts w:ascii="Times New Roman" w:hAnsi="Times New Roman" w:cs="Times New Roman"/>
                <w:sz w:val="20"/>
                <w:szCs w:val="20"/>
              </w:rPr>
            </w:pPr>
            <w:r>
              <w:rPr>
                <w:rFonts w:ascii="Times New Roman" w:hAnsi="Times New Roman" w:cs="Times New Roman"/>
                <w:color w:val="000000"/>
                <w:sz w:val="20"/>
                <w:szCs w:val="20"/>
              </w:rPr>
              <w:t>1113.2</w:t>
            </w:r>
          </w:p>
        </w:tc>
        <w:tc>
          <w:tcPr>
            <w:tcW w:w="766" w:type="dxa"/>
            <w:vAlign w:val="center"/>
          </w:tcPr>
          <w:p w14:paraId="175B0316"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1732.9</w:t>
            </w:r>
          </w:p>
        </w:tc>
        <w:tc>
          <w:tcPr>
            <w:tcW w:w="728" w:type="dxa"/>
            <w:vAlign w:val="center"/>
          </w:tcPr>
          <w:p w14:paraId="1992315F"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102.5</w:t>
            </w:r>
          </w:p>
        </w:tc>
        <w:tc>
          <w:tcPr>
            <w:tcW w:w="1243" w:type="dxa"/>
            <w:shd w:val="clear" w:color="auto" w:fill="auto"/>
            <w:vAlign w:val="center"/>
          </w:tcPr>
          <w:p w14:paraId="187CBCD7"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sz w:val="20"/>
                <w:szCs w:val="20"/>
              </w:rPr>
              <w:t>-1.82 σ</w:t>
            </w:r>
          </w:p>
        </w:tc>
        <w:tc>
          <w:tcPr>
            <w:tcW w:w="1243" w:type="dxa"/>
            <w:vMerge/>
          </w:tcPr>
          <w:p w14:paraId="090AA4D5" w14:textId="77777777" w:rsidR="00515993" w:rsidRPr="00AF19C1" w:rsidRDefault="00515993" w:rsidP="00F02C3A">
            <w:pPr>
              <w:jc w:val="center"/>
            </w:pPr>
          </w:p>
        </w:tc>
      </w:tr>
      <w:tr w:rsidR="00515993" w:rsidRPr="00CA73DF" w14:paraId="1D243B43" w14:textId="7862389F" w:rsidTr="000B0A1F">
        <w:trPr>
          <w:trHeight w:val="46"/>
          <w:jc w:val="center"/>
        </w:trPr>
        <w:tc>
          <w:tcPr>
            <w:tcW w:w="756" w:type="dxa"/>
            <w:vMerge/>
            <w:vAlign w:val="center"/>
          </w:tcPr>
          <w:p w14:paraId="3C81E4BD"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5E30F422"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F/D Valve</w:t>
            </w:r>
          </w:p>
        </w:tc>
        <w:tc>
          <w:tcPr>
            <w:tcW w:w="1365" w:type="dxa"/>
            <w:vAlign w:val="center"/>
          </w:tcPr>
          <w:p w14:paraId="1712B583"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586</w:t>
            </w:r>
          </w:p>
        </w:tc>
        <w:tc>
          <w:tcPr>
            <w:tcW w:w="773" w:type="dxa"/>
            <w:vAlign w:val="center"/>
          </w:tcPr>
          <w:p w14:paraId="43CA316A" w14:textId="77777777" w:rsidR="00515993" w:rsidRPr="00AF19C1" w:rsidRDefault="00515993" w:rsidP="00F02C3A">
            <w:pPr>
              <w:jc w:val="center"/>
              <w:rPr>
                <w:rFonts w:ascii="Times New Roman" w:hAnsi="Times New Roman" w:cs="Times New Roman"/>
                <w:sz w:val="20"/>
                <w:szCs w:val="20"/>
              </w:rPr>
            </w:pPr>
            <w:r>
              <w:rPr>
                <w:rFonts w:ascii="Times New Roman" w:hAnsi="Times New Roman" w:cs="Times New Roman"/>
                <w:color w:val="000000"/>
                <w:sz w:val="20"/>
                <w:szCs w:val="20"/>
              </w:rPr>
              <w:t>589.5</w:t>
            </w:r>
          </w:p>
        </w:tc>
        <w:tc>
          <w:tcPr>
            <w:tcW w:w="766" w:type="dxa"/>
            <w:vAlign w:val="center"/>
          </w:tcPr>
          <w:p w14:paraId="3ED68CA5"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946.9</w:t>
            </w:r>
          </w:p>
        </w:tc>
        <w:tc>
          <w:tcPr>
            <w:tcW w:w="728" w:type="dxa"/>
            <w:vAlign w:val="center"/>
          </w:tcPr>
          <w:p w14:paraId="47DE6750"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56.9</w:t>
            </w:r>
          </w:p>
        </w:tc>
        <w:tc>
          <w:tcPr>
            <w:tcW w:w="1243" w:type="dxa"/>
            <w:shd w:val="clear" w:color="auto" w:fill="auto"/>
            <w:vAlign w:val="center"/>
          </w:tcPr>
          <w:p w14:paraId="3A2E4BF1"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sz w:val="20"/>
                <w:szCs w:val="20"/>
              </w:rPr>
              <w:t>0.06 σ</w:t>
            </w:r>
          </w:p>
        </w:tc>
        <w:tc>
          <w:tcPr>
            <w:tcW w:w="1243" w:type="dxa"/>
            <w:vMerge/>
          </w:tcPr>
          <w:p w14:paraId="6B232345" w14:textId="77777777" w:rsidR="00515993" w:rsidRPr="00AF19C1" w:rsidRDefault="00515993" w:rsidP="00F02C3A">
            <w:pPr>
              <w:jc w:val="center"/>
            </w:pPr>
          </w:p>
        </w:tc>
      </w:tr>
      <w:tr w:rsidR="00515993" w:rsidRPr="00CA73DF" w14:paraId="0AB0898C" w14:textId="3E0D037B" w:rsidTr="000B0A1F">
        <w:trPr>
          <w:trHeight w:val="46"/>
          <w:jc w:val="center"/>
        </w:trPr>
        <w:tc>
          <w:tcPr>
            <w:tcW w:w="756" w:type="dxa"/>
            <w:vMerge/>
            <w:vAlign w:val="center"/>
          </w:tcPr>
          <w:p w14:paraId="12024399" w14:textId="77777777" w:rsidR="00515993" w:rsidRPr="00CA73DF" w:rsidRDefault="00515993" w:rsidP="00F02C3A">
            <w:pPr>
              <w:jc w:val="center"/>
              <w:rPr>
                <w:rFonts w:ascii="Times New Roman" w:hAnsi="Times New Roman" w:cs="Times New Roman"/>
                <w:sz w:val="20"/>
                <w:szCs w:val="20"/>
              </w:rPr>
            </w:pPr>
          </w:p>
        </w:tc>
        <w:tc>
          <w:tcPr>
            <w:tcW w:w="1204" w:type="dxa"/>
            <w:vAlign w:val="center"/>
          </w:tcPr>
          <w:p w14:paraId="7BE7F847"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Latch Valve</w:t>
            </w:r>
          </w:p>
        </w:tc>
        <w:tc>
          <w:tcPr>
            <w:tcW w:w="1365" w:type="dxa"/>
            <w:vAlign w:val="center"/>
          </w:tcPr>
          <w:p w14:paraId="0D2CC8BD" w14:textId="77777777" w:rsidR="00515993" w:rsidRPr="00CA73DF" w:rsidRDefault="00515993" w:rsidP="00F02C3A">
            <w:pPr>
              <w:jc w:val="center"/>
              <w:rPr>
                <w:rFonts w:ascii="Times New Roman" w:hAnsi="Times New Roman" w:cs="Times New Roman"/>
                <w:sz w:val="20"/>
                <w:szCs w:val="20"/>
              </w:rPr>
            </w:pPr>
            <w:r w:rsidRPr="00CA73DF">
              <w:rPr>
                <w:rFonts w:ascii="Times New Roman" w:hAnsi="Times New Roman" w:cs="Times New Roman"/>
                <w:sz w:val="20"/>
                <w:szCs w:val="20"/>
              </w:rPr>
              <w:t>625</w:t>
            </w:r>
          </w:p>
        </w:tc>
        <w:tc>
          <w:tcPr>
            <w:tcW w:w="773" w:type="dxa"/>
            <w:vAlign w:val="center"/>
          </w:tcPr>
          <w:p w14:paraId="0A1DA167"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652.7</w:t>
            </w:r>
          </w:p>
        </w:tc>
        <w:tc>
          <w:tcPr>
            <w:tcW w:w="766" w:type="dxa"/>
            <w:vAlign w:val="center"/>
          </w:tcPr>
          <w:p w14:paraId="2DC59C60"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969.9</w:t>
            </w:r>
          </w:p>
        </w:tc>
        <w:tc>
          <w:tcPr>
            <w:tcW w:w="728" w:type="dxa"/>
            <w:vAlign w:val="center"/>
          </w:tcPr>
          <w:p w14:paraId="110CCBF2"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color w:val="000000"/>
                <w:sz w:val="20"/>
                <w:szCs w:val="20"/>
              </w:rPr>
              <w:t>30.1</w:t>
            </w:r>
          </w:p>
        </w:tc>
        <w:tc>
          <w:tcPr>
            <w:tcW w:w="1243" w:type="dxa"/>
            <w:shd w:val="clear" w:color="auto" w:fill="auto"/>
            <w:vAlign w:val="center"/>
          </w:tcPr>
          <w:p w14:paraId="32F8B7D1" w14:textId="77777777" w:rsidR="00515993" w:rsidRPr="00AF19C1" w:rsidRDefault="00515993" w:rsidP="00F02C3A">
            <w:pPr>
              <w:jc w:val="center"/>
              <w:rPr>
                <w:rFonts w:ascii="Times New Roman" w:hAnsi="Times New Roman" w:cs="Times New Roman"/>
                <w:sz w:val="20"/>
                <w:szCs w:val="20"/>
              </w:rPr>
            </w:pPr>
            <w:r w:rsidRPr="00AF19C1">
              <w:rPr>
                <w:rFonts w:ascii="Times New Roman" w:hAnsi="Times New Roman" w:cs="Times New Roman"/>
                <w:sz w:val="20"/>
                <w:szCs w:val="20"/>
              </w:rPr>
              <w:t>0.92 σ</w:t>
            </w:r>
          </w:p>
        </w:tc>
        <w:tc>
          <w:tcPr>
            <w:tcW w:w="1243" w:type="dxa"/>
            <w:vMerge/>
          </w:tcPr>
          <w:p w14:paraId="144B5170" w14:textId="77777777" w:rsidR="00515993" w:rsidRPr="00AF19C1" w:rsidRDefault="00515993" w:rsidP="00F02C3A">
            <w:pPr>
              <w:jc w:val="center"/>
            </w:pPr>
          </w:p>
        </w:tc>
      </w:tr>
    </w:tbl>
    <w:p w14:paraId="31997150" w14:textId="77777777" w:rsidR="00FF3587" w:rsidRDefault="00FF3587" w:rsidP="00FF3587">
      <w:pPr>
        <w:rPr>
          <w:b/>
        </w:rPr>
      </w:pPr>
    </w:p>
    <w:p w14:paraId="669CDF67" w14:textId="0382697B"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Conclusion</w:t>
      </w:r>
      <w:r w:rsidR="007D3DB5">
        <w:rPr>
          <w:b/>
          <w:kern w:val="32"/>
          <w:sz w:val="22"/>
        </w:rPr>
        <w:t xml:space="preserve"> and Future Work</w:t>
      </w:r>
    </w:p>
    <w:p w14:paraId="32A90F8E" w14:textId="3FBA0325" w:rsidR="007D3DB5" w:rsidRPr="00F565BA" w:rsidRDefault="007D3DB5" w:rsidP="007D3DB5">
      <w:pPr>
        <w:ind w:firstLine="180"/>
        <w:rPr>
          <w:b/>
          <w:kern w:val="32"/>
          <w:sz w:val="22"/>
        </w:rPr>
      </w:pPr>
      <w:r>
        <w:t>Surge</w:t>
      </w:r>
      <w:r w:rsidR="00FF3587" w:rsidRPr="00CA73DF">
        <w:t xml:space="preserve"> analysis and testing was conducted for the PACE propulsion subsystem design to determine a venturi throat diameter to preclude </w:t>
      </w:r>
      <w:r w:rsidR="00334B53">
        <w:t xml:space="preserve">surge </w:t>
      </w:r>
      <w:r w:rsidR="00FF3587" w:rsidRPr="00CA73DF">
        <w:t xml:space="preserve">damage to the components while minimizing </w:t>
      </w:r>
      <w:r w:rsidR="00334B53">
        <w:t xml:space="preserve">operational </w:t>
      </w:r>
      <w:r w:rsidR="00FF3587" w:rsidRPr="00CA73DF">
        <w:t xml:space="preserve">pressure losses. The analytical model </w:t>
      </w:r>
      <w:r w:rsidR="00FF3587">
        <w:t>created using Thermal Desktop</w:t>
      </w:r>
      <w:r w:rsidR="00334B53">
        <w:t>’</w:t>
      </w:r>
      <w:r w:rsidR="00FF3587">
        <w:t xml:space="preserve">s FloCAD module </w:t>
      </w:r>
      <w:r w:rsidR="00FF3587" w:rsidRPr="00CA73DF">
        <w:t>proved to be a useful tool i</w:t>
      </w:r>
      <w:r w:rsidR="00FF3587">
        <w:t>n generating preliminary</w:t>
      </w:r>
      <w:r w:rsidR="00FF3587" w:rsidRPr="00CA73DF">
        <w:t xml:space="preserve"> expected surge pressure magnitudes for a given feed system</w:t>
      </w:r>
      <w:r w:rsidR="00334B53">
        <w:t>,</w:t>
      </w:r>
      <w:r>
        <w:t xml:space="preserve"> allowing for candidate </w:t>
      </w:r>
      <w:r w:rsidR="00B11558">
        <w:t>venturi sizing</w:t>
      </w:r>
      <w:r w:rsidR="00FF3587" w:rsidRPr="00CA73DF">
        <w:t xml:space="preserve">. The analytical surge modeling represents an enhanced capability for the NASA GSFC Propulsion Branch, and </w:t>
      </w:r>
      <w:r w:rsidR="00FF3587">
        <w:t>produced</w:t>
      </w:r>
      <w:r w:rsidR="00FF3587" w:rsidRPr="00CA73DF">
        <w:t xml:space="preserve"> surge pressure magnitudes matching closely to experimentally obtained values. Going forward, this analytical modeling method can be anchored to historical surge testing and </w:t>
      </w:r>
      <w:r w:rsidR="00334B53">
        <w:t xml:space="preserve">implemented for </w:t>
      </w:r>
      <w:r w:rsidR="00FF3587" w:rsidRPr="00CA73DF">
        <w:t xml:space="preserve">new propulsion feed systems, increasing the capability and fidelity of GSFC propulsion subsystem modeling, as well as </w:t>
      </w:r>
      <w:r w:rsidR="00334B53">
        <w:t xml:space="preserve">providing </w:t>
      </w:r>
      <w:r w:rsidR="00FF3587" w:rsidRPr="00CA73DF">
        <w:t xml:space="preserve">flexibility </w:t>
      </w:r>
      <w:r w:rsidR="00FF3587">
        <w:t>of</w:t>
      </w:r>
      <w:r w:rsidR="00FF3587" w:rsidRPr="00CA73DF">
        <w:t xml:space="preserve"> surge mitigation sizing.</w:t>
      </w:r>
      <w:r w:rsidR="00BA31E5">
        <w:t xml:space="preserve"> </w:t>
      </w:r>
    </w:p>
    <w:p w14:paraId="29A032B9" w14:textId="30818A84" w:rsidR="00B11558" w:rsidRDefault="00BA31E5" w:rsidP="00ED3A37">
      <w:pPr>
        <w:ind w:firstLine="180"/>
      </w:pPr>
      <w:r w:rsidRPr="00ED3A37">
        <w:t xml:space="preserve">The PACE Propulsion subsystem is </w:t>
      </w:r>
      <w:r w:rsidR="00B11558">
        <w:t>straight forward</w:t>
      </w:r>
      <w:r w:rsidRPr="00ED3A37">
        <w:t xml:space="preserve"> in </w:t>
      </w:r>
      <w:r w:rsidR="00B11558">
        <w:t>regards to</w:t>
      </w:r>
      <w:r w:rsidRPr="00ED3A37">
        <w:t xml:space="preserve"> the</w:t>
      </w:r>
      <w:r w:rsidR="00B11558">
        <w:t xml:space="preserve"> propellant</w:t>
      </w:r>
      <w:r w:rsidRPr="00ED3A37">
        <w:t xml:space="preserve"> feed line layout and overall configuration</w:t>
      </w:r>
      <w:r w:rsidR="003B1FBE">
        <w:t>.</w:t>
      </w:r>
      <w:r w:rsidRPr="00ED3A37">
        <w:t xml:space="preserve"> </w:t>
      </w:r>
      <w:r w:rsidR="003B1FBE">
        <w:t>A</w:t>
      </w:r>
      <w:r w:rsidRPr="00ED3A37">
        <w:t xml:space="preserve"> more complex system </w:t>
      </w:r>
      <w:r w:rsidR="00ED3A37" w:rsidRPr="00ED3A37">
        <w:t>should</w:t>
      </w:r>
      <w:r w:rsidRPr="00ED3A37">
        <w:t xml:space="preserve"> be evaluated</w:t>
      </w:r>
      <w:r w:rsidR="00B11558">
        <w:t xml:space="preserve"> using the described analytical methodology in order to verify model accuracy and the ability to</w:t>
      </w:r>
      <w:r w:rsidRPr="00ED3A37">
        <w:t xml:space="preserve"> consistently estimate peak pressures at component locations within a ~10% margin.</w:t>
      </w:r>
      <w:r w:rsidR="00ED3A37" w:rsidRPr="00ED3A37">
        <w:t xml:space="preserve"> Feed system complexity can be driven by increased </w:t>
      </w:r>
      <w:r w:rsidR="003B1FBE">
        <w:t>a</w:t>
      </w:r>
      <w:r w:rsidR="003B1FBE" w:rsidRPr="00ED3A37">
        <w:t xml:space="preserve">symmetrical </w:t>
      </w:r>
      <w:r w:rsidR="00ED3A37" w:rsidRPr="00ED3A37">
        <w:t>branches with unique line lengths or diameters,</w:t>
      </w:r>
      <w:r w:rsidR="00E26C1E">
        <w:t xml:space="preserve"> additional venturi arrays,</w:t>
      </w:r>
      <w:r w:rsidR="00ED3A37" w:rsidRPr="00ED3A37">
        <w:t xml:space="preserve"> and overall system size in terms of subsystem components.</w:t>
      </w:r>
      <w:r w:rsidRPr="00ED3A37">
        <w:t xml:space="preserve"> </w:t>
      </w:r>
      <w:r w:rsidR="00E26C1E">
        <w:t>Additional</w:t>
      </w:r>
      <w:r w:rsidR="004B091B" w:rsidRPr="00ED3A37">
        <w:t xml:space="preserve"> testing</w:t>
      </w:r>
      <w:r w:rsidR="00E26C1E">
        <w:t xml:space="preserve"> of various </w:t>
      </w:r>
      <w:r w:rsidR="008317F1">
        <w:t xml:space="preserve">system </w:t>
      </w:r>
      <w:r w:rsidR="00E26C1E">
        <w:t>configurations</w:t>
      </w:r>
      <w:r w:rsidR="004B091B" w:rsidRPr="00ED3A37">
        <w:t xml:space="preserve"> can also provide a </w:t>
      </w:r>
      <w:r w:rsidR="00652395">
        <w:t>greater</w:t>
      </w:r>
      <w:r w:rsidR="004B091B" w:rsidRPr="00ED3A37">
        <w:t xml:space="preserve"> data </w:t>
      </w:r>
      <w:r w:rsidR="008317F1">
        <w:t xml:space="preserve">set </w:t>
      </w:r>
      <w:r w:rsidR="004B091B" w:rsidRPr="00ED3A37">
        <w:t xml:space="preserve">against which to evaluate the </w:t>
      </w:r>
      <w:r w:rsidR="00ED3A37" w:rsidRPr="00ED3A37">
        <w:t>effectiveness</w:t>
      </w:r>
      <w:r w:rsidR="00E26C1E">
        <w:t xml:space="preserve"> of a TD</w:t>
      </w:r>
      <w:r w:rsidR="004B091B" w:rsidRPr="00ED3A37">
        <w:t xml:space="preserve"> computational mode</w:t>
      </w:r>
      <w:r w:rsidR="00ED3A37" w:rsidRPr="00ED3A37">
        <w:t>l</w:t>
      </w:r>
      <w:r w:rsidR="007D7F60">
        <w:t>.</w:t>
      </w:r>
      <w:r w:rsidR="00ED3A37" w:rsidRPr="00652395">
        <w:t xml:space="preserve"> </w:t>
      </w:r>
      <w:r w:rsidR="00ED3A37" w:rsidRPr="00ED3A37">
        <w:t>Additionally</w:t>
      </w:r>
      <w:r w:rsidR="008317F1">
        <w:t>,</w:t>
      </w:r>
      <w:r w:rsidR="00ED3A37" w:rsidRPr="00ED3A37">
        <w:t xml:space="preserve"> hydrazine can be used as the working fluid in the computational model and evaluated against </w:t>
      </w:r>
      <w:r w:rsidR="008317F1">
        <w:t xml:space="preserve">empirical </w:t>
      </w:r>
      <w:r w:rsidR="00ED3A37" w:rsidRPr="00ED3A37">
        <w:t>testing results with a scaling factor applied</w:t>
      </w:r>
      <w:r w:rsidR="008317F1">
        <w:t>.</w:t>
      </w:r>
    </w:p>
    <w:p w14:paraId="550F819E" w14:textId="2586A8BA" w:rsidR="005625C6" w:rsidRDefault="00732BC3" w:rsidP="00ED3A37">
      <w:pPr>
        <w:ind w:firstLine="180"/>
      </w:pPr>
      <w:r>
        <w:t xml:space="preserve">Depending on the </w:t>
      </w:r>
      <w:r w:rsidR="007D7F60">
        <w:t xml:space="preserve">future </w:t>
      </w:r>
      <w:r>
        <w:t>mission</w:t>
      </w:r>
      <w:r w:rsidR="00B11558">
        <w:t xml:space="preserve"> in which this</w:t>
      </w:r>
      <w:r w:rsidR="00ED3A37">
        <w:t xml:space="preserve"> computational model</w:t>
      </w:r>
      <w:r w:rsidR="00B11558">
        <w:t xml:space="preserve"> methodology is used,</w:t>
      </w:r>
      <w:r>
        <w:t xml:space="preserve"> it is possible to </w:t>
      </w:r>
      <w:r w:rsidR="00182D5E">
        <w:t xml:space="preserve">preliminarily determine </w:t>
      </w:r>
      <w:r>
        <w:t xml:space="preserve">unexpected surge </w:t>
      </w:r>
      <w:r w:rsidR="00ED3A37">
        <w:t>outcomes</w:t>
      </w:r>
      <w:r w:rsidR="00B11558">
        <w:t xml:space="preserve"> </w:t>
      </w:r>
      <w:r>
        <w:t xml:space="preserve">allowing for early recognition of </w:t>
      </w:r>
      <w:r w:rsidR="007D7F60">
        <w:t>noncompliance</w:t>
      </w:r>
      <w:r>
        <w:t>.</w:t>
      </w:r>
      <w:r w:rsidR="00ED3A37">
        <w:t xml:space="preserve"> With early detection</w:t>
      </w:r>
      <w:r w:rsidR="00EA2FA5">
        <w:t>,</w:t>
      </w:r>
      <w:r w:rsidR="00ED3A37">
        <w:t xml:space="preserve"> computational models can be </w:t>
      </w:r>
      <w:r w:rsidR="00B11558">
        <w:t>iterated upon quickly</w:t>
      </w:r>
      <w:r w:rsidR="00ED3A37">
        <w:t xml:space="preserve"> to accommodate potential</w:t>
      </w:r>
      <w:r w:rsidR="00EA2FA5">
        <w:t>ly</w:t>
      </w:r>
      <w:r w:rsidR="00ED3A37">
        <w:t xml:space="preserve"> </w:t>
      </w:r>
      <w:r w:rsidR="00B11558">
        <w:t xml:space="preserve">sensitive components. This </w:t>
      </w:r>
      <w:r w:rsidR="00DC3FDF">
        <w:t xml:space="preserve">analysis </w:t>
      </w:r>
      <w:r w:rsidR="00B11558">
        <w:t xml:space="preserve">also proves quite useful in driving a test campaign, as described herein, if </w:t>
      </w:r>
      <w:r w:rsidR="00EA2FA5">
        <w:t>required for</w:t>
      </w:r>
      <w:r w:rsidR="00B11558">
        <w:t xml:space="preserve"> the mission. </w:t>
      </w:r>
      <w:r w:rsidR="00ED3A37">
        <w:t xml:space="preserve"> </w:t>
      </w:r>
    </w:p>
    <w:p w14:paraId="1C124D1F" w14:textId="77777777" w:rsidR="00B11558" w:rsidRPr="00F565BA" w:rsidRDefault="00B11558" w:rsidP="00ED3A37">
      <w:pPr>
        <w:ind w:firstLine="180"/>
      </w:pPr>
    </w:p>
    <w:p w14:paraId="10C9D527"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Acknowledgments</w:t>
      </w:r>
    </w:p>
    <w:p w14:paraId="2A02E77A" w14:textId="72BB8CD0" w:rsidR="00F565BA" w:rsidRDefault="00B11558" w:rsidP="00F565BA">
      <w:pPr>
        <w:tabs>
          <w:tab w:val="left" w:pos="288"/>
        </w:tabs>
        <w:ind w:firstLine="288"/>
      </w:pPr>
      <w:r>
        <w:t xml:space="preserve">The authors wish to acknowledge the support </w:t>
      </w:r>
      <w:r w:rsidR="00DC3FDF">
        <w:t xml:space="preserve">provided by the </w:t>
      </w:r>
      <w:r>
        <w:t xml:space="preserve">NASA GSFC </w:t>
      </w:r>
      <w:r w:rsidR="00DC3FDF">
        <w:t>P</w:t>
      </w:r>
      <w:r>
        <w:t xml:space="preserve">ropulsion </w:t>
      </w:r>
      <w:r w:rsidR="00DC3FDF">
        <w:t xml:space="preserve">Branch </w:t>
      </w:r>
      <w:r>
        <w:t xml:space="preserve">and the PACE </w:t>
      </w:r>
      <w:r w:rsidR="00DC3FDF">
        <w:t>M</w:t>
      </w:r>
      <w:r>
        <w:t>ission.</w:t>
      </w:r>
    </w:p>
    <w:p w14:paraId="0A6DBD07" w14:textId="77777777" w:rsidR="00B11558" w:rsidRPr="00F565BA" w:rsidRDefault="00B11558" w:rsidP="00F565BA">
      <w:pPr>
        <w:tabs>
          <w:tab w:val="left" w:pos="288"/>
        </w:tabs>
        <w:ind w:firstLine="288"/>
        <w:rPr>
          <w:i/>
        </w:rPr>
      </w:pPr>
    </w:p>
    <w:p w14:paraId="4C76F089" w14:textId="77777777" w:rsidR="00FF3587" w:rsidRPr="00E041EA" w:rsidRDefault="00F565BA" w:rsidP="00E041EA">
      <w:pPr>
        <w:keepNext/>
        <w:spacing w:before="240" w:after="60"/>
        <w:ind w:left="180"/>
        <w:jc w:val="center"/>
        <w:outlineLvl w:val="0"/>
        <w:rPr>
          <w:b/>
          <w:kern w:val="32"/>
          <w:sz w:val="22"/>
        </w:rPr>
      </w:pPr>
      <w:r w:rsidRPr="00F565BA">
        <w:rPr>
          <w:b/>
          <w:kern w:val="32"/>
          <w:sz w:val="22"/>
        </w:rPr>
        <w:lastRenderedPageBreak/>
        <w:t>References</w:t>
      </w:r>
    </w:p>
    <w:p w14:paraId="1054F2A7" w14:textId="7C8F0DB3" w:rsidR="005625C6" w:rsidRDefault="005625C6" w:rsidP="005625C6">
      <w:pPr>
        <w:ind w:left="288" w:hanging="288"/>
        <w:rPr>
          <w:sz w:val="18"/>
        </w:rPr>
      </w:pPr>
      <w:r>
        <w:rPr>
          <w:sz w:val="18"/>
        </w:rPr>
        <w:t>[</w:t>
      </w:r>
      <w:r w:rsidR="00F975C4">
        <w:rPr>
          <w:sz w:val="18"/>
        </w:rPr>
        <w:t>1</w:t>
      </w:r>
      <w:r w:rsidRPr="00F565BA">
        <w:rPr>
          <w:sz w:val="18"/>
        </w:rPr>
        <w:t>]</w:t>
      </w:r>
      <w:r w:rsidRPr="00F565BA">
        <w:rPr>
          <w:sz w:val="18"/>
        </w:rPr>
        <w:tab/>
      </w:r>
      <w:r>
        <w:rPr>
          <w:sz w:val="18"/>
        </w:rPr>
        <w:t>Scroggins, A. R., “A Streamlined Approach to Venturi Sizing,” 48</w:t>
      </w:r>
      <w:r w:rsidRPr="005625C6">
        <w:rPr>
          <w:sz w:val="18"/>
          <w:vertAlign w:val="superscript"/>
        </w:rPr>
        <w:t>t</w:t>
      </w:r>
      <w:r>
        <w:rPr>
          <w:sz w:val="18"/>
          <w:vertAlign w:val="superscript"/>
        </w:rPr>
        <w:t xml:space="preserve">h </w:t>
      </w:r>
      <w:r>
        <w:rPr>
          <w:sz w:val="18"/>
        </w:rPr>
        <w:t>AIAA Joint Propulsion Conference, Paper AIAA 2012-4028, AIAA, Reston, VA, 2012.</w:t>
      </w:r>
    </w:p>
    <w:p w14:paraId="7B28D5A5" w14:textId="77777777" w:rsidR="00F975C4" w:rsidRDefault="00F975C4" w:rsidP="00F975C4">
      <w:pPr>
        <w:ind w:left="288" w:hanging="288"/>
        <w:rPr>
          <w:sz w:val="18"/>
          <w:szCs w:val="18"/>
        </w:rPr>
      </w:pPr>
      <w:r>
        <w:rPr>
          <w:sz w:val="18"/>
          <w:szCs w:val="18"/>
        </w:rPr>
        <w:t xml:space="preserve">[2] </w:t>
      </w:r>
      <w:r w:rsidRPr="00DE5F9B">
        <w:rPr>
          <w:sz w:val="18"/>
          <w:szCs w:val="18"/>
        </w:rPr>
        <w:t>Cardiff, E., Parker, K., Rao, A., and D. Ramspacher, “Propulsion System Design and Analysis for the Magnetospheric MultiScale (MMS) Mission” JANNAF 62nd JPM/ 10th MSS / 8th LPS / 7th SPS Joint Subcommittee Meeting, Nashville, TN, 1 - 5 June 2015.</w:t>
      </w:r>
    </w:p>
    <w:p w14:paraId="42A5FC21" w14:textId="24800D2A" w:rsidR="00D4511A" w:rsidRPr="00F975C4" w:rsidRDefault="005625C6" w:rsidP="00F975C4">
      <w:pPr>
        <w:ind w:left="288" w:hanging="288"/>
        <w:rPr>
          <w:sz w:val="18"/>
        </w:rPr>
      </w:pPr>
      <w:r>
        <w:rPr>
          <w:sz w:val="18"/>
        </w:rPr>
        <w:t>[</w:t>
      </w:r>
      <w:r w:rsidR="00F975C4">
        <w:rPr>
          <w:sz w:val="18"/>
        </w:rPr>
        <w:t>3</w:t>
      </w:r>
      <w:r w:rsidRPr="00F565BA">
        <w:rPr>
          <w:sz w:val="18"/>
        </w:rPr>
        <w:t>]</w:t>
      </w:r>
      <w:r w:rsidRPr="00F565BA">
        <w:rPr>
          <w:sz w:val="18"/>
        </w:rPr>
        <w:tab/>
      </w:r>
      <w:r>
        <w:rPr>
          <w:sz w:val="18"/>
        </w:rPr>
        <w:t>Scroggins, A. R., Fiebig, M. D., “Surge Pressure Mitigation in the Global Precipitation Measurement Mission Core Propulsion System,” 50</w:t>
      </w:r>
      <w:r w:rsidRPr="005625C6">
        <w:rPr>
          <w:sz w:val="18"/>
          <w:vertAlign w:val="superscript"/>
        </w:rPr>
        <w:t>t</w:t>
      </w:r>
      <w:r>
        <w:rPr>
          <w:sz w:val="18"/>
          <w:vertAlign w:val="superscript"/>
        </w:rPr>
        <w:t xml:space="preserve">h </w:t>
      </w:r>
      <w:r>
        <w:rPr>
          <w:sz w:val="18"/>
        </w:rPr>
        <w:t>AIAA Joint Propulsion Conference, Paper AIAA 2014-3785, AIAA, Reston, VA, 2014.</w:t>
      </w:r>
    </w:p>
    <w:p w14:paraId="1FE1CC64" w14:textId="0CA2380C" w:rsidR="007D588D" w:rsidRDefault="00F975C4" w:rsidP="005625C6">
      <w:pPr>
        <w:ind w:left="288" w:hanging="288"/>
        <w:rPr>
          <w:sz w:val="18"/>
          <w:szCs w:val="18"/>
        </w:rPr>
      </w:pPr>
      <w:r>
        <w:rPr>
          <w:sz w:val="18"/>
          <w:szCs w:val="18"/>
        </w:rPr>
        <w:t>[4</w:t>
      </w:r>
      <w:r w:rsidR="007D588D">
        <w:rPr>
          <w:sz w:val="18"/>
          <w:szCs w:val="18"/>
        </w:rPr>
        <w:t xml:space="preserve">] American Society of Mechanical Engineers, “Water-Hammer Head…or the Joukowsky Equation…is as Derived by Moody,” </w:t>
      </w:r>
      <w:r w:rsidR="007D588D" w:rsidRPr="00F975C4">
        <w:rPr>
          <w:i/>
          <w:sz w:val="18"/>
          <w:szCs w:val="18"/>
        </w:rPr>
        <w:t>ASME-ASCE Symposium on Water Hammer</w:t>
      </w:r>
      <w:r w:rsidR="007D588D">
        <w:rPr>
          <w:sz w:val="18"/>
          <w:szCs w:val="18"/>
        </w:rPr>
        <w:t>, New York, 1933, pp.25-28</w:t>
      </w:r>
      <w:r>
        <w:rPr>
          <w:sz w:val="18"/>
          <w:szCs w:val="18"/>
        </w:rPr>
        <w:t>.</w:t>
      </w:r>
    </w:p>
    <w:p w14:paraId="6988B1F5" w14:textId="21F3BF34" w:rsidR="00F975C4" w:rsidRPr="00F975C4" w:rsidRDefault="00F975C4" w:rsidP="00F975C4">
      <w:pPr>
        <w:ind w:left="288" w:hanging="288"/>
        <w:rPr>
          <w:sz w:val="18"/>
        </w:rPr>
      </w:pPr>
      <w:r w:rsidRPr="00F565BA">
        <w:rPr>
          <w:sz w:val="18"/>
        </w:rPr>
        <w:t>[</w:t>
      </w:r>
      <w:r>
        <w:rPr>
          <w:sz w:val="18"/>
        </w:rPr>
        <w:t>5</w:t>
      </w:r>
      <w:r w:rsidRPr="00F565BA">
        <w:rPr>
          <w:sz w:val="18"/>
        </w:rPr>
        <w:t>]</w:t>
      </w:r>
      <w:r w:rsidRPr="00F565BA">
        <w:rPr>
          <w:sz w:val="18"/>
        </w:rPr>
        <w:tab/>
      </w:r>
      <w:r>
        <w:rPr>
          <w:sz w:val="18"/>
        </w:rPr>
        <w:t>Prickett, R. P., Mayer, E., and Hermel, J., “Water Hammer in a Spacecraft Propellant Feed System.” 24</w:t>
      </w:r>
      <w:r>
        <w:rPr>
          <w:sz w:val="18"/>
          <w:vertAlign w:val="superscript"/>
        </w:rPr>
        <w:t>th</w:t>
      </w:r>
      <w:r>
        <w:rPr>
          <w:sz w:val="18"/>
        </w:rPr>
        <w:t xml:space="preserve"> AIAA Joint Propulsion Conference, Paper AIAA-88-2920, AIAA, Reston, VA, 1988.</w:t>
      </w:r>
    </w:p>
    <w:p w14:paraId="4CE80640" w14:textId="01ED6034" w:rsidR="00A10D11" w:rsidRPr="00D4511A" w:rsidRDefault="00F975C4" w:rsidP="00F975C4">
      <w:pPr>
        <w:ind w:left="288" w:hanging="288"/>
        <w:rPr>
          <w:sz w:val="18"/>
          <w:szCs w:val="18"/>
        </w:rPr>
      </w:pPr>
      <w:r>
        <w:rPr>
          <w:sz w:val="18"/>
          <w:szCs w:val="18"/>
        </w:rPr>
        <w:t xml:space="preserve">[6] </w:t>
      </w:r>
      <w:r w:rsidRPr="00D4511A">
        <w:rPr>
          <w:sz w:val="18"/>
          <w:szCs w:val="18"/>
        </w:rPr>
        <w:t>Thermal Desktop®, PC/CAD-Based Thermal Model Builder, developed at Cullimore &amp; Ring (C&amp;R) Technologies.</w:t>
      </w:r>
    </w:p>
    <w:p w14:paraId="71A9A863" w14:textId="492660DC" w:rsidR="005625C6" w:rsidRDefault="00F975C4" w:rsidP="005625C6">
      <w:pPr>
        <w:ind w:left="288" w:hanging="288"/>
        <w:rPr>
          <w:sz w:val="18"/>
          <w:szCs w:val="18"/>
        </w:rPr>
      </w:pPr>
      <w:r>
        <w:rPr>
          <w:sz w:val="18"/>
        </w:rPr>
        <w:t xml:space="preserve">[7] </w:t>
      </w:r>
      <w:r w:rsidRPr="00D4511A">
        <w:rPr>
          <w:sz w:val="18"/>
          <w:szCs w:val="18"/>
        </w:rPr>
        <w:t>FloCAD®, PC/CAD-Based Thermal/Fluid Model Builder, developed at Cullimore &amp; Ring (C&amp;R) Technologies.</w:t>
      </w:r>
    </w:p>
    <w:p w14:paraId="02B914ED" w14:textId="77777777" w:rsidR="00F975C4" w:rsidRPr="00E041EA" w:rsidRDefault="00F975C4" w:rsidP="00F975C4">
      <w:pPr>
        <w:ind w:left="288" w:hanging="288"/>
        <w:rPr>
          <w:sz w:val="18"/>
        </w:rPr>
      </w:pPr>
      <w:r w:rsidRPr="00F565BA">
        <w:rPr>
          <w:sz w:val="18"/>
        </w:rPr>
        <w:t>[</w:t>
      </w:r>
      <w:r>
        <w:rPr>
          <w:sz w:val="18"/>
        </w:rPr>
        <w:t>8</w:t>
      </w:r>
      <w:r w:rsidRPr="00F565BA">
        <w:rPr>
          <w:sz w:val="18"/>
        </w:rPr>
        <w:t>]</w:t>
      </w:r>
      <w:r w:rsidRPr="00F565BA">
        <w:rPr>
          <w:sz w:val="18"/>
        </w:rPr>
        <w:tab/>
      </w:r>
      <w:r>
        <w:rPr>
          <w:sz w:val="18"/>
        </w:rPr>
        <w:t xml:space="preserve">Panczak, T.; Ring, S.; Welch, M.; Johnson, D.; Cullimore, B.; Bell, D.: </w:t>
      </w:r>
      <w:r>
        <w:rPr>
          <w:i/>
          <w:sz w:val="18"/>
        </w:rPr>
        <w:t xml:space="preserve">Thermal Desktop User’s Manual, </w:t>
      </w:r>
      <w:r>
        <w:rPr>
          <w:sz w:val="18"/>
        </w:rPr>
        <w:t>Version 5.7, C&amp;R Technologies, 2014.</w:t>
      </w:r>
    </w:p>
    <w:p w14:paraId="11647030" w14:textId="77777777" w:rsidR="00F975C4" w:rsidRPr="00E041EA" w:rsidRDefault="00F975C4" w:rsidP="00F975C4">
      <w:pPr>
        <w:ind w:left="288" w:hanging="288"/>
        <w:rPr>
          <w:sz w:val="16"/>
        </w:rPr>
      </w:pPr>
      <w:r>
        <w:rPr>
          <w:sz w:val="18"/>
        </w:rPr>
        <w:t>[9</w:t>
      </w:r>
      <w:r w:rsidRPr="00F565BA">
        <w:rPr>
          <w:sz w:val="18"/>
        </w:rPr>
        <w:t>]</w:t>
      </w:r>
      <w:r w:rsidRPr="00F565BA">
        <w:rPr>
          <w:sz w:val="18"/>
        </w:rPr>
        <w:tab/>
      </w:r>
      <w:r w:rsidRPr="00E041EA">
        <w:rPr>
          <w:sz w:val="18"/>
        </w:rPr>
        <w:t>Cullimore, B.; Ring, S.; Johnson, D.: SINDA/F</w:t>
      </w:r>
      <w:r>
        <w:rPr>
          <w:sz w:val="18"/>
        </w:rPr>
        <w:t>LUINT User’s Manual, Version 5.8, C&amp;R Technologies, 201</w:t>
      </w:r>
      <w:r w:rsidRPr="00E041EA">
        <w:rPr>
          <w:sz w:val="18"/>
        </w:rPr>
        <w:t>5</w:t>
      </w:r>
    </w:p>
    <w:p w14:paraId="605EA15A" w14:textId="77777777" w:rsidR="00F975C4" w:rsidRPr="00D4511A" w:rsidRDefault="00F975C4" w:rsidP="005625C6">
      <w:pPr>
        <w:ind w:left="288" w:hanging="288"/>
        <w:rPr>
          <w:sz w:val="18"/>
          <w:szCs w:val="18"/>
        </w:rPr>
      </w:pPr>
    </w:p>
    <w:sectPr w:rsidR="00F975C4" w:rsidRPr="00D4511A" w:rsidSect="00594FA6">
      <w:footerReference w:type="even" r:id="rId20"/>
      <w:footerReference w:type="default" r:id="rId21"/>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332C45" w14:textId="77777777" w:rsidR="008C51A2" w:rsidRDefault="008C51A2">
      <w:r>
        <w:separator/>
      </w:r>
    </w:p>
  </w:endnote>
  <w:endnote w:type="continuationSeparator" w:id="0">
    <w:p w14:paraId="093FF39F" w14:textId="77777777" w:rsidR="008C51A2" w:rsidRDefault="008C5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B79DD" w14:textId="77777777" w:rsidR="005443B5" w:rsidRDefault="005443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6EC63D" w14:textId="77777777" w:rsidR="005443B5" w:rsidRDefault="005443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2580995"/>
      <w:docPartObj>
        <w:docPartGallery w:val="Page Numbers (Bottom of Page)"/>
        <w:docPartUnique/>
      </w:docPartObj>
    </w:sdtPr>
    <w:sdtEndPr>
      <w:rPr>
        <w:noProof/>
      </w:rPr>
    </w:sdtEndPr>
    <w:sdtContent>
      <w:p w14:paraId="1C1CADBF" w14:textId="7CF8144E" w:rsidR="005443B5" w:rsidRDefault="005443B5">
        <w:pPr>
          <w:pStyle w:val="Footer"/>
          <w:jc w:val="center"/>
        </w:pPr>
        <w:r>
          <w:fldChar w:fldCharType="begin"/>
        </w:r>
        <w:r>
          <w:instrText xml:space="preserve"> PAGE   \* MERGEFORMAT </w:instrText>
        </w:r>
        <w:r>
          <w:fldChar w:fldCharType="separate"/>
        </w:r>
        <w:r w:rsidR="00814876">
          <w:rPr>
            <w:noProof/>
          </w:rPr>
          <w:t>1</w:t>
        </w:r>
        <w:r>
          <w:rPr>
            <w:noProof/>
          </w:rPr>
          <w:fldChar w:fldCharType="end"/>
        </w:r>
      </w:p>
    </w:sdtContent>
  </w:sdt>
  <w:p w14:paraId="134243FE" w14:textId="77777777" w:rsidR="005443B5" w:rsidRDefault="005443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D6FD94" w14:textId="77777777" w:rsidR="008C51A2" w:rsidRDefault="008C51A2">
      <w:r>
        <w:separator/>
      </w:r>
    </w:p>
  </w:footnote>
  <w:footnote w:type="continuationSeparator" w:id="0">
    <w:p w14:paraId="515D4688" w14:textId="77777777" w:rsidR="008C51A2" w:rsidRDefault="008C51A2">
      <w:r>
        <w:continuationSeparator/>
      </w:r>
    </w:p>
  </w:footnote>
  <w:footnote w:id="1">
    <w:p w14:paraId="11E0A049" w14:textId="77777777" w:rsidR="005443B5" w:rsidRDefault="005443B5" w:rsidP="00F565BA">
      <w:r>
        <w:rPr>
          <w:rStyle w:val="FootnoteReference"/>
        </w:rPr>
        <w:footnoteRef/>
      </w:r>
      <w:r>
        <w:t xml:space="preserve"> Propulsion Engineer, NASA GSFC Propulsion Branch, Mail Stop 597.</w:t>
      </w:r>
    </w:p>
  </w:footnote>
  <w:footnote w:id="2">
    <w:p w14:paraId="7171CDCF" w14:textId="77777777" w:rsidR="005443B5" w:rsidRDefault="005443B5" w:rsidP="00F565BA">
      <w:pPr>
        <w:pStyle w:val="FootnoteText"/>
      </w:pPr>
      <w:r>
        <w:rPr>
          <w:rStyle w:val="FootnoteReference"/>
        </w:rPr>
        <w:footnoteRef/>
      </w:r>
      <w:r>
        <w:t xml:space="preserve"> Propulsion Engineer, NASA GSFC Propulsion Branch, Mail Stop 597, AIAA Member.</w:t>
      </w:r>
    </w:p>
  </w:footnote>
  <w:footnote w:id="3">
    <w:p w14:paraId="604D4B77" w14:textId="77777777" w:rsidR="005443B5" w:rsidRDefault="005443B5" w:rsidP="00E064DF">
      <w:r>
        <w:rPr>
          <w:rStyle w:val="FootnoteReference"/>
        </w:rPr>
        <w:footnoteRef/>
      </w:r>
      <w:r>
        <w:t xml:space="preserve"> Propulsion Engineer,</w:t>
      </w:r>
      <w:r w:rsidRPr="00C922F9">
        <w:t xml:space="preserve"> </w:t>
      </w:r>
      <w:r>
        <w:t>NASA GSFC Propulsion Branch, Mail Stop 597, AIAA Member.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19"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5"/>
  </w:num>
  <w:num w:numId="5">
    <w:abstractNumId w:val="2"/>
    <w:lvlOverride w:ilvl="0">
      <w:startOverride w:val="1"/>
    </w:lvlOverride>
  </w:num>
  <w:num w:numId="6">
    <w:abstractNumId w:val="9"/>
  </w:num>
  <w:num w:numId="7">
    <w:abstractNumId w:val="11"/>
  </w:num>
  <w:num w:numId="8">
    <w:abstractNumId w:val="14"/>
  </w:num>
  <w:num w:numId="9">
    <w:abstractNumId w:val="17"/>
  </w:num>
  <w:num w:numId="10">
    <w:abstractNumId w:val="10"/>
  </w:num>
  <w:num w:numId="11">
    <w:abstractNumId w:val="18"/>
  </w:num>
  <w:num w:numId="12">
    <w:abstractNumId w:val="1"/>
  </w:num>
  <w:num w:numId="13">
    <w:abstractNumId w:val="4"/>
  </w:num>
  <w:num w:numId="14">
    <w:abstractNumId w:val="20"/>
  </w:num>
  <w:num w:numId="15">
    <w:abstractNumId w:val="5"/>
  </w:num>
  <w:num w:numId="16">
    <w:abstractNumId w:val="21"/>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6"/>
  </w:num>
  <w:num w:numId="23">
    <w:abstractNumId w:val="3"/>
  </w:num>
  <w:num w:numId="24">
    <w:abstractNumId w:val="13"/>
  </w:num>
  <w:num w:numId="25">
    <w:abstractNumId w:val="12"/>
  </w:num>
  <w:num w:numId="26">
    <w:abstractNumId w:val="8"/>
  </w:num>
  <w:num w:numId="27">
    <w:abstractNumId w:val="19"/>
  </w:num>
  <w:num w:numId="2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69B"/>
    <w:rsid w:val="00007726"/>
    <w:rsid w:val="00023250"/>
    <w:rsid w:val="00024843"/>
    <w:rsid w:val="0003458B"/>
    <w:rsid w:val="00042EA4"/>
    <w:rsid w:val="00044818"/>
    <w:rsid w:val="00082135"/>
    <w:rsid w:val="000837F5"/>
    <w:rsid w:val="00086AAF"/>
    <w:rsid w:val="00094B0F"/>
    <w:rsid w:val="00097C7A"/>
    <w:rsid w:val="000A2BBF"/>
    <w:rsid w:val="000A32CD"/>
    <w:rsid w:val="000B0A1F"/>
    <w:rsid w:val="000B12C2"/>
    <w:rsid w:val="000C353C"/>
    <w:rsid w:val="000E7B82"/>
    <w:rsid w:val="000F2801"/>
    <w:rsid w:val="000F3AC0"/>
    <w:rsid w:val="0011331B"/>
    <w:rsid w:val="00116405"/>
    <w:rsid w:val="001230FB"/>
    <w:rsid w:val="001401DA"/>
    <w:rsid w:val="00143CD2"/>
    <w:rsid w:val="00165BC5"/>
    <w:rsid w:val="00182D5E"/>
    <w:rsid w:val="00184EF6"/>
    <w:rsid w:val="00193D2B"/>
    <w:rsid w:val="001C6A8B"/>
    <w:rsid w:val="001D364F"/>
    <w:rsid w:val="001D6DFF"/>
    <w:rsid w:val="001E6ED4"/>
    <w:rsid w:val="001F56D5"/>
    <w:rsid w:val="00204DD4"/>
    <w:rsid w:val="002121E3"/>
    <w:rsid w:val="0021563F"/>
    <w:rsid w:val="002219A5"/>
    <w:rsid w:val="00223D1F"/>
    <w:rsid w:val="00224C00"/>
    <w:rsid w:val="0023747F"/>
    <w:rsid w:val="002550ED"/>
    <w:rsid w:val="00256249"/>
    <w:rsid w:val="0029228A"/>
    <w:rsid w:val="002B2CC7"/>
    <w:rsid w:val="002C5247"/>
    <w:rsid w:val="002D33F7"/>
    <w:rsid w:val="002D3880"/>
    <w:rsid w:val="002E7E71"/>
    <w:rsid w:val="002F54F8"/>
    <w:rsid w:val="003204C9"/>
    <w:rsid w:val="00333ED6"/>
    <w:rsid w:val="00334B53"/>
    <w:rsid w:val="0033632A"/>
    <w:rsid w:val="00343E05"/>
    <w:rsid w:val="0036368D"/>
    <w:rsid w:val="003757F0"/>
    <w:rsid w:val="00384A64"/>
    <w:rsid w:val="003A3AAD"/>
    <w:rsid w:val="003B1FBE"/>
    <w:rsid w:val="003B5571"/>
    <w:rsid w:val="003C01D6"/>
    <w:rsid w:val="003C1A55"/>
    <w:rsid w:val="003F167B"/>
    <w:rsid w:val="003F54C3"/>
    <w:rsid w:val="003F6D48"/>
    <w:rsid w:val="00403A5D"/>
    <w:rsid w:val="004240BB"/>
    <w:rsid w:val="00427E16"/>
    <w:rsid w:val="0044604D"/>
    <w:rsid w:val="00453C32"/>
    <w:rsid w:val="004546A1"/>
    <w:rsid w:val="00474B61"/>
    <w:rsid w:val="00475ED5"/>
    <w:rsid w:val="0048661A"/>
    <w:rsid w:val="00490BF1"/>
    <w:rsid w:val="00493A6F"/>
    <w:rsid w:val="004A3227"/>
    <w:rsid w:val="004A5D3D"/>
    <w:rsid w:val="004B091B"/>
    <w:rsid w:val="004C1C92"/>
    <w:rsid w:val="004C23C9"/>
    <w:rsid w:val="004C56AA"/>
    <w:rsid w:val="004D25CC"/>
    <w:rsid w:val="004E0666"/>
    <w:rsid w:val="004E06E9"/>
    <w:rsid w:val="004E15B0"/>
    <w:rsid w:val="004E485C"/>
    <w:rsid w:val="004F01F5"/>
    <w:rsid w:val="005119F8"/>
    <w:rsid w:val="00512843"/>
    <w:rsid w:val="00515993"/>
    <w:rsid w:val="00516FDA"/>
    <w:rsid w:val="00535292"/>
    <w:rsid w:val="005443B5"/>
    <w:rsid w:val="0055113E"/>
    <w:rsid w:val="0055657E"/>
    <w:rsid w:val="005625C6"/>
    <w:rsid w:val="00570BF5"/>
    <w:rsid w:val="005723D7"/>
    <w:rsid w:val="00594FA6"/>
    <w:rsid w:val="005A571C"/>
    <w:rsid w:val="005B5BE2"/>
    <w:rsid w:val="005C34B2"/>
    <w:rsid w:val="005C557D"/>
    <w:rsid w:val="005E64BE"/>
    <w:rsid w:val="00620E0B"/>
    <w:rsid w:val="00635C7A"/>
    <w:rsid w:val="00642899"/>
    <w:rsid w:val="00643F9E"/>
    <w:rsid w:val="00646CCC"/>
    <w:rsid w:val="00647819"/>
    <w:rsid w:val="00652395"/>
    <w:rsid w:val="00654C34"/>
    <w:rsid w:val="00662D72"/>
    <w:rsid w:val="00665605"/>
    <w:rsid w:val="0067219F"/>
    <w:rsid w:val="00674B12"/>
    <w:rsid w:val="00695C90"/>
    <w:rsid w:val="006B42CE"/>
    <w:rsid w:val="006C6CA5"/>
    <w:rsid w:val="006E47D9"/>
    <w:rsid w:val="006F0250"/>
    <w:rsid w:val="006F25E0"/>
    <w:rsid w:val="006F3757"/>
    <w:rsid w:val="00702BAE"/>
    <w:rsid w:val="00712CB5"/>
    <w:rsid w:val="00722018"/>
    <w:rsid w:val="00727F41"/>
    <w:rsid w:val="0073163D"/>
    <w:rsid w:val="00731DC1"/>
    <w:rsid w:val="00732BC3"/>
    <w:rsid w:val="00734CEB"/>
    <w:rsid w:val="007378C6"/>
    <w:rsid w:val="0074265B"/>
    <w:rsid w:val="00743D48"/>
    <w:rsid w:val="00750ED5"/>
    <w:rsid w:val="007626CF"/>
    <w:rsid w:val="00772382"/>
    <w:rsid w:val="00780BC0"/>
    <w:rsid w:val="0078368E"/>
    <w:rsid w:val="00795FE9"/>
    <w:rsid w:val="007A169B"/>
    <w:rsid w:val="007B0D3C"/>
    <w:rsid w:val="007B6661"/>
    <w:rsid w:val="007C5B35"/>
    <w:rsid w:val="007D3DB5"/>
    <w:rsid w:val="007D588D"/>
    <w:rsid w:val="007D7F60"/>
    <w:rsid w:val="007E3B78"/>
    <w:rsid w:val="007F7477"/>
    <w:rsid w:val="00804A65"/>
    <w:rsid w:val="00814876"/>
    <w:rsid w:val="00822043"/>
    <w:rsid w:val="008231FD"/>
    <w:rsid w:val="00826986"/>
    <w:rsid w:val="008317F1"/>
    <w:rsid w:val="00835AF5"/>
    <w:rsid w:val="00842684"/>
    <w:rsid w:val="00844789"/>
    <w:rsid w:val="008524C7"/>
    <w:rsid w:val="0086727D"/>
    <w:rsid w:val="008C51A2"/>
    <w:rsid w:val="008C521E"/>
    <w:rsid w:val="008C5B8F"/>
    <w:rsid w:val="008C7D7F"/>
    <w:rsid w:val="008F6BAA"/>
    <w:rsid w:val="00923637"/>
    <w:rsid w:val="0092421F"/>
    <w:rsid w:val="0094306D"/>
    <w:rsid w:val="00952518"/>
    <w:rsid w:val="0095602A"/>
    <w:rsid w:val="00956C45"/>
    <w:rsid w:val="00966F73"/>
    <w:rsid w:val="00981523"/>
    <w:rsid w:val="0098329E"/>
    <w:rsid w:val="009849A1"/>
    <w:rsid w:val="009B0C49"/>
    <w:rsid w:val="009B36E1"/>
    <w:rsid w:val="009E0D9B"/>
    <w:rsid w:val="009E2513"/>
    <w:rsid w:val="009E62E1"/>
    <w:rsid w:val="009F1D08"/>
    <w:rsid w:val="009F5456"/>
    <w:rsid w:val="00A10D11"/>
    <w:rsid w:val="00A1533D"/>
    <w:rsid w:val="00A25100"/>
    <w:rsid w:val="00A370B9"/>
    <w:rsid w:val="00A428DA"/>
    <w:rsid w:val="00A44C29"/>
    <w:rsid w:val="00A477FE"/>
    <w:rsid w:val="00A533E5"/>
    <w:rsid w:val="00A53FF9"/>
    <w:rsid w:val="00A61C93"/>
    <w:rsid w:val="00A71665"/>
    <w:rsid w:val="00A723BE"/>
    <w:rsid w:val="00A815B3"/>
    <w:rsid w:val="00A91A9A"/>
    <w:rsid w:val="00AA1C43"/>
    <w:rsid w:val="00AA1E95"/>
    <w:rsid w:val="00AA77E8"/>
    <w:rsid w:val="00AB16B7"/>
    <w:rsid w:val="00AC7385"/>
    <w:rsid w:val="00AE1536"/>
    <w:rsid w:val="00AE6E5D"/>
    <w:rsid w:val="00AF1AE6"/>
    <w:rsid w:val="00AF1B6C"/>
    <w:rsid w:val="00AF22CC"/>
    <w:rsid w:val="00AF24AB"/>
    <w:rsid w:val="00B01B84"/>
    <w:rsid w:val="00B11558"/>
    <w:rsid w:val="00B636E4"/>
    <w:rsid w:val="00B6396F"/>
    <w:rsid w:val="00B720E5"/>
    <w:rsid w:val="00B75960"/>
    <w:rsid w:val="00B81CEE"/>
    <w:rsid w:val="00B906D9"/>
    <w:rsid w:val="00BA31E5"/>
    <w:rsid w:val="00BA536E"/>
    <w:rsid w:val="00BA605E"/>
    <w:rsid w:val="00BD4C0B"/>
    <w:rsid w:val="00BF25DE"/>
    <w:rsid w:val="00BF7719"/>
    <w:rsid w:val="00C05933"/>
    <w:rsid w:val="00C06A96"/>
    <w:rsid w:val="00C168CC"/>
    <w:rsid w:val="00C210B9"/>
    <w:rsid w:val="00C23793"/>
    <w:rsid w:val="00C267CE"/>
    <w:rsid w:val="00C275D2"/>
    <w:rsid w:val="00C32304"/>
    <w:rsid w:val="00C324CD"/>
    <w:rsid w:val="00C37985"/>
    <w:rsid w:val="00C42827"/>
    <w:rsid w:val="00C62E2C"/>
    <w:rsid w:val="00C62F53"/>
    <w:rsid w:val="00C643D6"/>
    <w:rsid w:val="00C6636D"/>
    <w:rsid w:val="00C71CE7"/>
    <w:rsid w:val="00C723B9"/>
    <w:rsid w:val="00C81A5C"/>
    <w:rsid w:val="00C8562D"/>
    <w:rsid w:val="00C86782"/>
    <w:rsid w:val="00C922F9"/>
    <w:rsid w:val="00CA1AA6"/>
    <w:rsid w:val="00CA1D8E"/>
    <w:rsid w:val="00CD6E54"/>
    <w:rsid w:val="00CE0BE9"/>
    <w:rsid w:val="00CE7605"/>
    <w:rsid w:val="00CF46C1"/>
    <w:rsid w:val="00D14CA4"/>
    <w:rsid w:val="00D16AC7"/>
    <w:rsid w:val="00D227D8"/>
    <w:rsid w:val="00D4511A"/>
    <w:rsid w:val="00D73C8B"/>
    <w:rsid w:val="00D864CA"/>
    <w:rsid w:val="00D94679"/>
    <w:rsid w:val="00DC3FDF"/>
    <w:rsid w:val="00DD0B90"/>
    <w:rsid w:val="00DD1406"/>
    <w:rsid w:val="00DD308C"/>
    <w:rsid w:val="00DE5F9B"/>
    <w:rsid w:val="00E01E43"/>
    <w:rsid w:val="00E041EA"/>
    <w:rsid w:val="00E064DF"/>
    <w:rsid w:val="00E26C1E"/>
    <w:rsid w:val="00E51300"/>
    <w:rsid w:val="00E5215A"/>
    <w:rsid w:val="00E60677"/>
    <w:rsid w:val="00E72D29"/>
    <w:rsid w:val="00E80E08"/>
    <w:rsid w:val="00EA2FA5"/>
    <w:rsid w:val="00EB1693"/>
    <w:rsid w:val="00EB2B25"/>
    <w:rsid w:val="00EB6C15"/>
    <w:rsid w:val="00EC547E"/>
    <w:rsid w:val="00ED0E7D"/>
    <w:rsid w:val="00ED3A37"/>
    <w:rsid w:val="00ED621C"/>
    <w:rsid w:val="00F02C3A"/>
    <w:rsid w:val="00F02E4F"/>
    <w:rsid w:val="00F35C40"/>
    <w:rsid w:val="00F403F9"/>
    <w:rsid w:val="00F45979"/>
    <w:rsid w:val="00F565BA"/>
    <w:rsid w:val="00F75E96"/>
    <w:rsid w:val="00F962A3"/>
    <w:rsid w:val="00F975C4"/>
    <w:rsid w:val="00FA629E"/>
    <w:rsid w:val="00FA78EE"/>
    <w:rsid w:val="00FB4F77"/>
    <w:rsid w:val="00FB5646"/>
    <w:rsid w:val="00FC5B09"/>
    <w:rsid w:val="00FD5F00"/>
    <w:rsid w:val="00FD71C3"/>
    <w:rsid w:val="00FE76F8"/>
    <w:rsid w:val="00FF3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50C7DF01"/>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uiPriority w:val="35"/>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unhideWhenUsed/>
    <w:rsid w:val="00AF1B6C"/>
  </w:style>
  <w:style w:type="character" w:customStyle="1" w:styleId="CommentTextChar">
    <w:name w:val="Comment Text Char"/>
    <w:basedOn w:val="DefaultParagraphFont"/>
    <w:link w:val="CommentText"/>
    <w:uiPriority w:val="99"/>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
    <w:name w:val="Unresolved Mention"/>
    <w:basedOn w:val="DefaultParagraphFont"/>
    <w:uiPriority w:val="99"/>
    <w:semiHidden/>
    <w:unhideWhenUsed/>
    <w:rsid w:val="001F56D5"/>
    <w:rPr>
      <w:color w:val="605E5C"/>
      <w:shd w:val="clear" w:color="auto" w:fill="E1DFDD"/>
    </w:rPr>
  </w:style>
  <w:style w:type="table" w:styleId="TableGrid">
    <w:name w:val="Table Grid"/>
    <w:basedOn w:val="TableNormal"/>
    <w:uiPriority w:val="39"/>
    <w:rsid w:val="00FF358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FF3587"/>
    <w:pPr>
      <w:spacing w:after="120" w:line="259" w:lineRule="auto"/>
      <w:jc w:val="left"/>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FF3587"/>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3F6D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B35DC-AFF6-4095-A506-0859FC93F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5579</Words>
  <Characters>31801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37306</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Marbley, Paul T. (GSFC-5900)</cp:lastModifiedBy>
  <cp:revision>2</cp:revision>
  <cp:lastPrinted>2016-06-27T18:55:00Z</cp:lastPrinted>
  <dcterms:created xsi:type="dcterms:W3CDTF">2020-07-24T15:29:00Z</dcterms:created>
  <dcterms:modified xsi:type="dcterms:W3CDTF">2020-07-24T15:29:00Z</dcterms:modified>
  <cp:category/>
</cp:coreProperties>
</file>