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6A63" w:rsidRDefault="0029387E" w:rsidP="0029387E">
      <w:pPr>
        <w:rPr>
          <w:b/>
          <w:color w:val="auto"/>
          <w:sz w:val="40"/>
          <w:szCs w:val="40"/>
        </w:rPr>
      </w:pPr>
      <w:r w:rsidRPr="0029387E">
        <w:rPr>
          <w:b/>
          <w:color w:val="auto"/>
          <w:sz w:val="40"/>
          <w:szCs w:val="40"/>
        </w:rPr>
        <w:t>Science performance comparison between a spaceborne HSRL and CALIOP</w:t>
      </w:r>
    </w:p>
    <w:p w:rsidR="0029387E" w:rsidRPr="0029387E" w:rsidRDefault="0029387E" w:rsidP="0029387E">
      <w:pPr>
        <w:rPr>
          <w:b/>
          <w:color w:val="auto"/>
          <w:sz w:val="40"/>
          <w:szCs w:val="40"/>
        </w:rPr>
      </w:pPr>
    </w:p>
    <w:p w:rsidR="00F66A63" w:rsidRPr="00E24497" w:rsidRDefault="00F66A63" w:rsidP="00F66A63">
      <w:pPr>
        <w:spacing w:before="180" w:after="0" w:line="240" w:lineRule="auto"/>
        <w:contextualSpacing/>
        <w:jc w:val="both"/>
        <w:rPr>
          <w:sz w:val="20"/>
          <w:szCs w:val="20"/>
          <w:lang w:val="en-GB" w:eastAsia="de-DE"/>
        </w:rPr>
      </w:pPr>
      <w:r w:rsidRPr="00E60F75">
        <w:rPr>
          <w:sz w:val="20"/>
          <w:szCs w:val="20"/>
          <w:lang w:val="en-GB" w:eastAsia="de-DE"/>
        </w:rPr>
        <w:t>Kathleen A. Powell</w:t>
      </w:r>
      <w:r w:rsidRPr="00E60F75">
        <w:rPr>
          <w:sz w:val="20"/>
          <w:szCs w:val="20"/>
          <w:vertAlign w:val="superscript"/>
          <w:lang w:val="en-GB" w:eastAsia="de-DE"/>
        </w:rPr>
        <w:t>1</w:t>
      </w:r>
      <w:r w:rsidRPr="00E60F75">
        <w:rPr>
          <w:sz w:val="20"/>
          <w:szCs w:val="20"/>
          <w:lang w:val="en-GB" w:eastAsia="de-DE"/>
        </w:rPr>
        <w:t>, Mark A. Vaughan</w:t>
      </w:r>
      <w:r w:rsidRPr="00E60F75">
        <w:rPr>
          <w:sz w:val="20"/>
          <w:szCs w:val="20"/>
          <w:vertAlign w:val="superscript"/>
          <w:lang w:val="en-GB" w:eastAsia="de-DE"/>
        </w:rPr>
        <w:t>1</w:t>
      </w:r>
      <w:r w:rsidRPr="00E60F75">
        <w:rPr>
          <w:sz w:val="20"/>
          <w:szCs w:val="20"/>
          <w:lang w:val="en-GB" w:eastAsia="de-DE"/>
        </w:rPr>
        <w:t>, Jonathan W. Hair</w:t>
      </w:r>
      <w:r w:rsidRPr="00E60F75">
        <w:rPr>
          <w:sz w:val="20"/>
          <w:szCs w:val="20"/>
          <w:vertAlign w:val="superscript"/>
          <w:lang w:val="en-GB" w:eastAsia="de-DE"/>
        </w:rPr>
        <w:t>1</w:t>
      </w:r>
      <w:r w:rsidRPr="00E60F75">
        <w:rPr>
          <w:sz w:val="20"/>
          <w:szCs w:val="20"/>
          <w:lang w:val="en-GB" w:eastAsia="de-DE"/>
        </w:rPr>
        <w:t xml:space="preserve">, </w:t>
      </w:r>
      <w:r w:rsidRPr="00E60F75">
        <w:rPr>
          <w:sz w:val="20"/>
          <w:szCs w:val="20"/>
        </w:rPr>
        <w:t>John A. Smith</w:t>
      </w:r>
      <w:r w:rsidRPr="00E60F75">
        <w:rPr>
          <w:sz w:val="20"/>
          <w:szCs w:val="20"/>
          <w:vertAlign w:val="superscript"/>
        </w:rPr>
        <w:t>1</w:t>
      </w:r>
      <w:r w:rsidRPr="00E60F75">
        <w:rPr>
          <w:sz w:val="20"/>
          <w:szCs w:val="20"/>
        </w:rPr>
        <w:t xml:space="preserve">, Travis </w:t>
      </w:r>
      <w:r>
        <w:rPr>
          <w:sz w:val="20"/>
          <w:szCs w:val="20"/>
        </w:rPr>
        <w:t xml:space="preserve">D. </w:t>
      </w:r>
      <w:r w:rsidRPr="00E60F75">
        <w:rPr>
          <w:sz w:val="20"/>
          <w:szCs w:val="20"/>
        </w:rPr>
        <w:t>Toth</w:t>
      </w:r>
      <w:r w:rsidRPr="00E60F75">
        <w:rPr>
          <w:sz w:val="20"/>
          <w:szCs w:val="20"/>
          <w:vertAlign w:val="superscript"/>
        </w:rPr>
        <w:t>1</w:t>
      </w:r>
      <w:r w:rsidRPr="00E60F75">
        <w:rPr>
          <w:sz w:val="20"/>
          <w:szCs w:val="20"/>
        </w:rPr>
        <w:t>, Chris A. Hostetler</w:t>
      </w:r>
      <w:r w:rsidRPr="00E60F75">
        <w:rPr>
          <w:sz w:val="20"/>
          <w:szCs w:val="20"/>
          <w:vertAlign w:val="superscript"/>
        </w:rPr>
        <w:t>1</w:t>
      </w:r>
      <w:r w:rsidRPr="00E60F75">
        <w:rPr>
          <w:sz w:val="20"/>
          <w:szCs w:val="20"/>
        </w:rPr>
        <w:t>, Richard A. Ferrare</w:t>
      </w:r>
      <w:r w:rsidRPr="00E60F75">
        <w:rPr>
          <w:sz w:val="20"/>
          <w:szCs w:val="20"/>
          <w:vertAlign w:val="superscript"/>
        </w:rPr>
        <w:t>1</w:t>
      </w:r>
      <w:r w:rsidR="00E24497">
        <w:rPr>
          <w:sz w:val="20"/>
          <w:szCs w:val="20"/>
        </w:rPr>
        <w:t>, David M. Winker</w:t>
      </w:r>
      <w:bookmarkStart w:id="0" w:name="_GoBack"/>
      <w:r w:rsidR="00E24497" w:rsidRPr="00E24497">
        <w:rPr>
          <w:sz w:val="20"/>
          <w:szCs w:val="20"/>
          <w:vertAlign w:val="superscript"/>
        </w:rPr>
        <w:t>1</w:t>
      </w:r>
      <w:bookmarkEnd w:id="0"/>
    </w:p>
    <w:p w:rsidR="00F66A63" w:rsidRPr="00E60F75" w:rsidRDefault="00F66A63" w:rsidP="00F66A63">
      <w:pPr>
        <w:spacing w:before="120" w:after="0" w:line="240" w:lineRule="auto"/>
        <w:contextualSpacing/>
        <w:jc w:val="both"/>
        <w:rPr>
          <w:sz w:val="20"/>
          <w:szCs w:val="20"/>
          <w:lang w:val="en-GB" w:eastAsia="de-DE"/>
        </w:rPr>
      </w:pPr>
      <w:r w:rsidRPr="00E60F75">
        <w:rPr>
          <w:sz w:val="20"/>
          <w:szCs w:val="20"/>
          <w:vertAlign w:val="superscript"/>
          <w:lang w:val="en-GB" w:eastAsia="de-DE"/>
        </w:rPr>
        <w:t>1</w:t>
      </w:r>
      <w:r w:rsidRPr="00E60F75">
        <w:rPr>
          <w:sz w:val="20"/>
          <w:szCs w:val="20"/>
          <w:lang w:val="en-GB" w:eastAsia="de-DE"/>
        </w:rPr>
        <w:t xml:space="preserve">NASA Langley Research </w:t>
      </w:r>
      <w:proofErr w:type="spellStart"/>
      <w:r w:rsidRPr="00E60F75">
        <w:rPr>
          <w:sz w:val="20"/>
          <w:szCs w:val="20"/>
          <w:lang w:val="en-GB" w:eastAsia="de-DE"/>
        </w:rPr>
        <w:t>Center</w:t>
      </w:r>
      <w:proofErr w:type="spellEnd"/>
      <w:r w:rsidRPr="00E60F75">
        <w:rPr>
          <w:sz w:val="20"/>
          <w:szCs w:val="20"/>
          <w:lang w:val="en-GB" w:eastAsia="de-DE"/>
        </w:rPr>
        <w:t>, Hampton, VA, USA</w:t>
      </w:r>
    </w:p>
    <w:p w:rsidR="00F66A63" w:rsidRPr="00E60F75" w:rsidRDefault="00F66A63" w:rsidP="00F66A63">
      <w:pPr>
        <w:spacing w:before="120" w:after="0" w:line="240" w:lineRule="auto"/>
        <w:ind w:left="0" w:firstLine="0"/>
        <w:contextualSpacing/>
        <w:jc w:val="both"/>
        <w:rPr>
          <w:sz w:val="20"/>
          <w:szCs w:val="20"/>
          <w:lang w:val="en-GB" w:eastAsia="de-DE"/>
        </w:rPr>
      </w:pPr>
    </w:p>
    <w:p w:rsidR="00F66A63" w:rsidRPr="00E60F75" w:rsidRDefault="00F66A63" w:rsidP="00F66A63">
      <w:pPr>
        <w:spacing w:before="120" w:after="360" w:line="240" w:lineRule="auto"/>
        <w:jc w:val="both"/>
        <w:rPr>
          <w:sz w:val="20"/>
          <w:szCs w:val="20"/>
          <w:lang w:val="en-GB" w:eastAsia="de-DE"/>
        </w:rPr>
      </w:pPr>
      <w:r w:rsidRPr="00E60F75">
        <w:rPr>
          <w:sz w:val="20"/>
          <w:szCs w:val="20"/>
          <w:lang w:val="en-GB" w:eastAsia="de-DE"/>
        </w:rPr>
        <w:t>Email: kathleen.a.powell@nasa.gov</w:t>
      </w:r>
    </w:p>
    <w:p w:rsidR="00F66A63" w:rsidRPr="00DF3925" w:rsidRDefault="00F66A63" w:rsidP="00F66A63">
      <w:pPr>
        <w:rPr>
          <w:sz w:val="28"/>
          <w:szCs w:val="28"/>
        </w:rPr>
      </w:pPr>
    </w:p>
    <w:p w:rsidR="00F66A63" w:rsidRPr="00DF3925" w:rsidRDefault="00E24497" w:rsidP="00F66A63">
      <w:pPr>
        <w:rPr>
          <w:sz w:val="28"/>
          <w:szCs w:val="28"/>
        </w:rPr>
      </w:pPr>
      <w:r>
        <w:rPr>
          <w:sz w:val="28"/>
          <w:szCs w:val="28"/>
        </w:rPr>
        <w:t xml:space="preserve">NASA operates </w:t>
      </w:r>
      <w:r w:rsidR="00F66A63" w:rsidRPr="00DF3925">
        <w:rPr>
          <w:sz w:val="28"/>
          <w:szCs w:val="28"/>
        </w:rPr>
        <w:t>airborne and spaceborne lidar systems to</w:t>
      </w:r>
      <w:r w:rsidR="0029387E">
        <w:rPr>
          <w:sz w:val="28"/>
          <w:szCs w:val="28"/>
        </w:rPr>
        <w:t xml:space="preserve"> answer</w:t>
      </w:r>
      <w:r w:rsidR="00F66A63" w:rsidRPr="00DF3925">
        <w:rPr>
          <w:sz w:val="28"/>
          <w:szCs w:val="28"/>
        </w:rPr>
        <w:t xml:space="preserve"> aerosol and cloud related science questions. </w:t>
      </w:r>
      <w:r w:rsidR="00F66A63">
        <w:rPr>
          <w:sz w:val="28"/>
          <w:szCs w:val="28"/>
        </w:rPr>
        <w:t>NASA Langley Research Center has extensive experience operating lidar systems in both regimes. These include</w:t>
      </w:r>
      <w:r>
        <w:rPr>
          <w:sz w:val="28"/>
          <w:szCs w:val="28"/>
        </w:rPr>
        <w:t xml:space="preserve"> High Spectral Resolution Lidar</w:t>
      </w:r>
      <w:r w:rsidR="00F66A63">
        <w:rPr>
          <w:sz w:val="28"/>
          <w:szCs w:val="28"/>
        </w:rPr>
        <w:t xml:space="preserve"> </w:t>
      </w:r>
      <w:r>
        <w:rPr>
          <w:sz w:val="28"/>
          <w:szCs w:val="28"/>
        </w:rPr>
        <w:t>(</w:t>
      </w:r>
      <w:r w:rsidR="00F66A63" w:rsidRPr="00DF3925">
        <w:rPr>
          <w:sz w:val="28"/>
          <w:szCs w:val="28"/>
        </w:rPr>
        <w:t>HSRL</w:t>
      </w:r>
      <w:r>
        <w:rPr>
          <w:sz w:val="28"/>
          <w:szCs w:val="28"/>
        </w:rPr>
        <w:t>)</w:t>
      </w:r>
      <w:r w:rsidR="00F66A63" w:rsidRPr="00DF3925">
        <w:rPr>
          <w:sz w:val="28"/>
          <w:szCs w:val="28"/>
        </w:rPr>
        <w:t xml:space="preserve"> systems</w:t>
      </w:r>
      <w:r w:rsidR="00F66A63">
        <w:rPr>
          <w:sz w:val="28"/>
          <w:szCs w:val="28"/>
        </w:rPr>
        <w:t>, which have been operating on airborne systems,</w:t>
      </w:r>
      <w:r w:rsidR="00F66A63" w:rsidRPr="00DF3925">
        <w:rPr>
          <w:sz w:val="28"/>
          <w:szCs w:val="28"/>
        </w:rPr>
        <w:t xml:space="preserve"> and CALIOP</w:t>
      </w:r>
      <w:r w:rsidR="00F66A63">
        <w:rPr>
          <w:sz w:val="28"/>
          <w:szCs w:val="28"/>
        </w:rPr>
        <w:t>,</w:t>
      </w:r>
      <w:r w:rsidR="00F66A63" w:rsidRPr="00DF3925">
        <w:rPr>
          <w:sz w:val="28"/>
          <w:szCs w:val="28"/>
        </w:rPr>
        <w:t xml:space="preserve"> the spaceborne </w:t>
      </w:r>
      <w:r w:rsidR="00F66A63">
        <w:rPr>
          <w:sz w:val="28"/>
          <w:szCs w:val="28"/>
        </w:rPr>
        <w:t xml:space="preserve">elastic backscatter </w:t>
      </w:r>
      <w:r w:rsidR="00F66A63" w:rsidRPr="00DF3925">
        <w:rPr>
          <w:sz w:val="28"/>
          <w:szCs w:val="28"/>
        </w:rPr>
        <w:t xml:space="preserve">lidar system on board CALIPSO. In support of </w:t>
      </w:r>
      <w:r w:rsidR="00F66A63">
        <w:rPr>
          <w:sz w:val="28"/>
          <w:szCs w:val="28"/>
        </w:rPr>
        <w:t>NASA’s</w:t>
      </w:r>
      <w:r w:rsidR="00F66A63" w:rsidRPr="00DF3925">
        <w:rPr>
          <w:sz w:val="28"/>
          <w:szCs w:val="28"/>
        </w:rPr>
        <w:t xml:space="preserve"> </w:t>
      </w:r>
      <w:r>
        <w:rPr>
          <w:sz w:val="28"/>
          <w:szCs w:val="28"/>
        </w:rPr>
        <w:t>A</w:t>
      </w:r>
      <w:r w:rsidR="00F66A63">
        <w:rPr>
          <w:sz w:val="28"/>
          <w:szCs w:val="28"/>
        </w:rPr>
        <w:t xml:space="preserve">CCP </w:t>
      </w:r>
      <w:r w:rsidR="00F66A63" w:rsidRPr="00DF3925">
        <w:rPr>
          <w:sz w:val="28"/>
          <w:szCs w:val="28"/>
        </w:rPr>
        <w:t xml:space="preserve">Study Plan </w:t>
      </w:r>
      <w:r w:rsidR="00F66A63">
        <w:rPr>
          <w:sz w:val="28"/>
          <w:szCs w:val="28"/>
        </w:rPr>
        <w:t>to address the Aerosol (A) and Cloud, Convection, and Precipitation (CCP)</w:t>
      </w:r>
      <w:r w:rsidR="0029387E">
        <w:rPr>
          <w:sz w:val="28"/>
          <w:szCs w:val="28"/>
        </w:rPr>
        <w:t xml:space="preserve"> Designated Observables</w:t>
      </w:r>
      <w:r w:rsidR="00F66A63">
        <w:rPr>
          <w:sz w:val="28"/>
          <w:szCs w:val="28"/>
        </w:rPr>
        <w:t xml:space="preserve"> called out in the 2017 E</w:t>
      </w:r>
      <w:r w:rsidR="0029387E">
        <w:rPr>
          <w:sz w:val="28"/>
          <w:szCs w:val="28"/>
        </w:rPr>
        <w:t>arth Science Decadal Survey</w:t>
      </w:r>
      <w:r w:rsidR="00F66A63">
        <w:rPr>
          <w:sz w:val="28"/>
          <w:szCs w:val="28"/>
        </w:rPr>
        <w:t xml:space="preserve">, LaRC is using lidar simulation tools to evaluate the performance of spaceborne systems using both the HSRL and elastic backscatter techniques. The LaRC high-fidelity simulator tool models both HSRL and elastic backscatter lidar systems by modeling the effects of the instrument specifications and producing backscatter signals generated from molecules, aerosols, clouds, ocean surface, and ocean subsurface. It derives the solar background signals from the scene specific aerosol and cloud characteristics, surface type, and sun elevation. The tool models both random and systematic uncertainties in the retrieved geophysical parameters. In this study, we will </w:t>
      </w:r>
      <w:r>
        <w:rPr>
          <w:sz w:val="28"/>
          <w:szCs w:val="28"/>
        </w:rPr>
        <w:t>present</w:t>
      </w:r>
      <w:r w:rsidR="00F66A63">
        <w:rPr>
          <w:sz w:val="28"/>
          <w:szCs w:val="28"/>
        </w:rPr>
        <w:t xml:space="preserve"> simulated results that compare a</w:t>
      </w:r>
      <w:r>
        <w:rPr>
          <w:sz w:val="28"/>
          <w:szCs w:val="28"/>
        </w:rPr>
        <w:t>nd contrast the performance of</w:t>
      </w:r>
      <w:r w:rsidR="00F66A63">
        <w:rPr>
          <w:sz w:val="28"/>
          <w:szCs w:val="28"/>
        </w:rPr>
        <w:t xml:space="preserve"> spaceborne HSRL system</w:t>
      </w:r>
      <w:r>
        <w:rPr>
          <w:sz w:val="28"/>
          <w:szCs w:val="28"/>
        </w:rPr>
        <w:t>s</w:t>
      </w:r>
      <w:r w:rsidR="00F66A63">
        <w:rPr>
          <w:sz w:val="28"/>
          <w:szCs w:val="28"/>
        </w:rPr>
        <w:t xml:space="preserve"> to the performance of CALIOP. As reco</w:t>
      </w:r>
      <w:r>
        <w:rPr>
          <w:sz w:val="28"/>
          <w:szCs w:val="28"/>
        </w:rPr>
        <w:t>mmended by the Decadal Study, A</w:t>
      </w:r>
      <w:r w:rsidR="00F66A63">
        <w:rPr>
          <w:sz w:val="28"/>
          <w:szCs w:val="28"/>
        </w:rPr>
        <w:t>CCP is seeking advances over performance that has been achieved by A-Train. This study will provide a des</w:t>
      </w:r>
      <w:r>
        <w:rPr>
          <w:sz w:val="28"/>
          <w:szCs w:val="28"/>
        </w:rPr>
        <w:t>cription of</w:t>
      </w:r>
      <w:r w:rsidR="00F66A63">
        <w:rPr>
          <w:sz w:val="28"/>
          <w:szCs w:val="28"/>
        </w:rPr>
        <w:t xml:space="preserve"> the HSRL and elastic backscatter techniques and demonstrate </w:t>
      </w:r>
      <w:r>
        <w:rPr>
          <w:sz w:val="28"/>
          <w:szCs w:val="28"/>
        </w:rPr>
        <w:t>how and why</w:t>
      </w:r>
      <w:r w:rsidR="00F66A63">
        <w:rPr>
          <w:sz w:val="28"/>
          <w:szCs w:val="28"/>
        </w:rPr>
        <w:t xml:space="preserve"> the </w:t>
      </w:r>
      <w:r>
        <w:rPr>
          <w:sz w:val="28"/>
          <w:szCs w:val="28"/>
        </w:rPr>
        <w:t xml:space="preserve">performance of these </w:t>
      </w:r>
      <w:r w:rsidR="00F66A63">
        <w:rPr>
          <w:sz w:val="28"/>
          <w:szCs w:val="28"/>
        </w:rPr>
        <w:t xml:space="preserve">HSRL </w:t>
      </w:r>
      <w:r>
        <w:rPr>
          <w:sz w:val="28"/>
          <w:szCs w:val="28"/>
        </w:rPr>
        <w:t xml:space="preserve">systems </w:t>
      </w:r>
      <w:r w:rsidR="00F66A63">
        <w:rPr>
          <w:sz w:val="28"/>
          <w:szCs w:val="28"/>
        </w:rPr>
        <w:t xml:space="preserve">exceeds the performance of </w:t>
      </w:r>
      <w:r w:rsidR="00B920A2">
        <w:rPr>
          <w:sz w:val="28"/>
          <w:szCs w:val="28"/>
        </w:rPr>
        <w:t>CALIOP.</w:t>
      </w:r>
    </w:p>
    <w:p w:rsidR="0087370F" w:rsidRDefault="0087370F"/>
    <w:sectPr w:rsidR="008737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6A63"/>
    <w:rsid w:val="0029387E"/>
    <w:rsid w:val="00310717"/>
    <w:rsid w:val="00544BA3"/>
    <w:rsid w:val="0087370F"/>
    <w:rsid w:val="00B920A2"/>
    <w:rsid w:val="00DD190D"/>
    <w:rsid w:val="00E24497"/>
    <w:rsid w:val="00F66A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62D47"/>
  <w15:chartTrackingRefBased/>
  <w15:docId w15:val="{53867BCC-889C-4763-8039-BF26FC74B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6A63"/>
    <w:pPr>
      <w:spacing w:after="32" w:line="265" w:lineRule="auto"/>
      <w:ind w:left="10" w:hanging="10"/>
    </w:pPr>
    <w:rPr>
      <w:rFonts w:ascii="Times New Roman" w:eastAsia="Times New Roman" w:hAnsi="Times New Roman" w:cs="Times New Roman"/>
      <w:color w:val="000000"/>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title">
    <w:name w:val="MS title"/>
    <w:basedOn w:val="Normal"/>
    <w:link w:val="MStitleChar"/>
    <w:qFormat/>
    <w:rsid w:val="00F66A63"/>
    <w:pPr>
      <w:spacing w:before="360" w:after="0" w:line="440" w:lineRule="exact"/>
      <w:ind w:left="0" w:firstLine="0"/>
      <w:contextualSpacing/>
      <w:jc w:val="both"/>
    </w:pPr>
    <w:rPr>
      <w:b/>
      <w:color w:val="auto"/>
      <w:sz w:val="34"/>
      <w:szCs w:val="24"/>
      <w:lang w:val="en-GB" w:eastAsia="de-DE"/>
    </w:rPr>
  </w:style>
  <w:style w:type="character" w:customStyle="1" w:styleId="MStitleChar">
    <w:name w:val="MS title Char"/>
    <w:basedOn w:val="DefaultParagraphFont"/>
    <w:link w:val="MStitle"/>
    <w:rsid w:val="00F66A63"/>
    <w:rPr>
      <w:rFonts w:ascii="Times New Roman" w:eastAsia="Times New Roman" w:hAnsi="Times New Roman" w:cs="Times New Roman"/>
      <w:b/>
      <w:sz w:val="34"/>
      <w:szCs w:val="24"/>
      <w:lang w:val="en-GB"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781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293</Words>
  <Characters>1672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HPES ACES</Company>
  <LinksUpToDate>false</LinksUpToDate>
  <CharactersWithSpaces>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Powell, Kathleen A. (LARC-E304)</dc:creator>
  <cp:keywords/>
  <dc:description/>
  <cp:lastModifiedBy>Powell, Kathleen A. (LARC-E304)</cp:lastModifiedBy>
  <cp:revision>2</cp:revision>
  <dcterms:created xsi:type="dcterms:W3CDTF">2020-07-28T18:46:00Z</dcterms:created>
  <dcterms:modified xsi:type="dcterms:W3CDTF">2020-07-28T18:46:00Z</dcterms:modified>
</cp:coreProperties>
</file>