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cs="Times New Roman"/>
        </w:rPr>
      </w:pPr>
      <w:r>
        <w:rPr>
          <w:rFonts w:cs="Times New Roman" w:ascii="Times New Roman" w:hAnsi="Times New Roman"/>
        </w:rPr>
        <w:t>Title: Studying Microbial Adaptation in the Laboratory: Sensor &amp; Control Upgrades for an Experimental Evolution Biofluidics System</w:t>
      </w:r>
    </w:p>
    <w:p>
      <w:pPr>
        <w:pStyle w:val="Normal"/>
        <w:rPr>
          <w:rFonts w:ascii="Times New Roman" w:hAnsi="Times New Roman" w:cs="Times New Roman"/>
          <w:vertAlign w:val="superscript"/>
        </w:rPr>
      </w:pPr>
      <w:r>
        <w:rPr>
          <w:rFonts w:cs="Times New Roman" w:ascii="Times New Roman" w:hAnsi="Times New Roman"/>
        </w:rPr>
        <w:t>Authors: Cassandra Hergenrader</w:t>
      </w:r>
      <w:r>
        <w:rPr>
          <w:rFonts w:cs="Times New Roman" w:ascii="Times New Roman" w:hAnsi="Times New Roman"/>
          <w:vertAlign w:val="superscript"/>
        </w:rPr>
        <w:t>1,2</w:t>
      </w:r>
      <w:r>
        <w:rPr>
          <w:rFonts w:cs="Times New Roman" w:ascii="Times New Roman" w:hAnsi="Times New Roman"/>
        </w:rPr>
        <w:t>, Kindred Griffis</w:t>
      </w:r>
      <w:r>
        <w:rPr>
          <w:rFonts w:cs="Times New Roman" w:ascii="Times New Roman" w:hAnsi="Times New Roman"/>
          <w:vertAlign w:val="superscript"/>
        </w:rPr>
        <w:t>1,3</w:t>
      </w:r>
      <w:r>
        <w:rPr>
          <w:rFonts w:cs="Times New Roman" w:ascii="Times New Roman" w:hAnsi="Times New Roman"/>
        </w:rPr>
        <w:t>, Chinmayee Govinda Raj</w:t>
      </w:r>
      <w:r>
        <w:rPr>
          <w:rFonts w:cs="Times New Roman" w:ascii="Times New Roman" w:hAnsi="Times New Roman"/>
          <w:vertAlign w:val="superscript"/>
        </w:rPr>
        <w:t>4</w:t>
      </w:r>
      <w:r>
        <w:rPr>
          <w:rFonts w:cs="Times New Roman" w:ascii="Times New Roman" w:hAnsi="Times New Roman"/>
        </w:rPr>
        <w:t>, Opinder Dhami</w:t>
      </w:r>
      <w:r>
        <w:rPr>
          <w:rFonts w:cs="Times New Roman" w:ascii="Times New Roman" w:hAnsi="Times New Roman"/>
          <w:vertAlign w:val="superscript"/>
        </w:rPr>
        <w:t>5</w:t>
      </w:r>
      <w:r>
        <w:rPr>
          <w:rFonts w:cs="Times New Roman" w:ascii="Times New Roman" w:hAnsi="Times New Roman"/>
        </w:rPr>
        <w:t>, Jonathan Wang</w:t>
      </w:r>
      <w:r>
        <w:rPr>
          <w:rFonts w:cs="Times New Roman" w:ascii="Times New Roman" w:hAnsi="Times New Roman"/>
          <w:vertAlign w:val="superscript"/>
        </w:rPr>
        <w:t>6,7</w:t>
      </w:r>
      <w:r>
        <w:rPr>
          <w:rFonts w:cs="Times New Roman" w:ascii="Times New Roman" w:hAnsi="Times New Roman"/>
        </w:rPr>
        <w:t>, Vijaypal Singh</w:t>
      </w:r>
      <w:r>
        <w:rPr>
          <w:rFonts w:cs="Times New Roman" w:ascii="Times New Roman" w:hAnsi="Times New Roman"/>
          <w:vertAlign w:val="superscript"/>
        </w:rPr>
        <w:t>5</w:t>
      </w:r>
      <w:r>
        <w:rPr>
          <w:rFonts w:cs="Times New Roman" w:ascii="Times New Roman" w:hAnsi="Times New Roman"/>
        </w:rPr>
        <w:t>, Diana Gentry</w:t>
      </w:r>
      <w:r>
        <w:rPr>
          <w:rFonts w:cs="Times New Roman" w:ascii="Times New Roman" w:hAnsi="Times New Roman"/>
          <w:vertAlign w:val="superscript"/>
        </w:rPr>
        <w:t>7</w:t>
      </w:r>
    </w:p>
    <w:p>
      <w:pPr>
        <w:pStyle w:val="Normal"/>
        <w:rPr>
          <w:rFonts w:ascii="Times New Roman" w:hAnsi="Times New Roman" w:cs="Times New Roman"/>
        </w:rPr>
      </w:pPr>
      <w:r>
        <w:rPr>
          <w:rFonts w:cs="Times New Roman" w:ascii="Times New Roman" w:hAnsi="Times New Roman"/>
          <w:vertAlign w:val="superscript"/>
        </w:rPr>
        <w:t>1</w:t>
      </w:r>
      <w:r>
        <w:rPr>
          <w:rFonts w:cs="Times New Roman" w:ascii="Times New Roman" w:hAnsi="Times New Roman"/>
        </w:rPr>
        <w:t xml:space="preserve">NASA Internships, Fellowships and Scholarships, </w:t>
      </w:r>
      <w:r>
        <w:rPr>
          <w:rFonts w:cs="Times New Roman" w:ascii="Times New Roman" w:hAnsi="Times New Roman"/>
          <w:vertAlign w:val="superscript"/>
        </w:rPr>
        <w:t>2</w:t>
      </w:r>
      <w:r>
        <w:rPr>
          <w:rFonts w:cs="Times New Roman" w:ascii="Times New Roman" w:hAnsi="Times New Roman"/>
        </w:rPr>
        <w:t xml:space="preserve">University of Nevada, Reno, </w:t>
      </w:r>
      <w:r>
        <w:rPr>
          <w:rFonts w:cs="Times New Roman" w:ascii="Times New Roman" w:hAnsi="Times New Roman"/>
          <w:vertAlign w:val="superscript"/>
        </w:rPr>
        <w:t>3</w:t>
      </w:r>
      <w:r>
        <w:rPr>
          <w:rFonts w:cs="Times New Roman" w:ascii="Times New Roman" w:hAnsi="Times New Roman"/>
        </w:rPr>
        <w:t xml:space="preserve">Michigan State University, </w:t>
      </w:r>
      <w:r>
        <w:rPr>
          <w:rFonts w:cs="Times New Roman" w:ascii="Times New Roman" w:hAnsi="Times New Roman"/>
          <w:vertAlign w:val="superscript"/>
        </w:rPr>
        <w:t>4</w:t>
      </w:r>
      <w:r>
        <w:rPr>
          <w:rFonts w:cs="Times New Roman" w:ascii="Times New Roman" w:hAnsi="Times New Roman"/>
        </w:rPr>
        <w:t xml:space="preserve">Georgia Institute of Technology, </w:t>
      </w:r>
      <w:r>
        <w:rPr>
          <w:rFonts w:cs="Times New Roman" w:ascii="Times New Roman" w:hAnsi="Times New Roman"/>
          <w:vertAlign w:val="superscript"/>
        </w:rPr>
        <w:t>5</w:t>
      </w:r>
      <w:r>
        <w:rPr>
          <w:rFonts w:cs="Times New Roman" w:ascii="Times New Roman" w:hAnsi="Times New Roman"/>
        </w:rPr>
        <w:t xml:space="preserve">San Jose State University, </w:t>
      </w:r>
      <w:r>
        <w:rPr>
          <w:rFonts w:cs="Times New Roman" w:ascii="Times New Roman" w:hAnsi="Times New Roman"/>
          <w:vertAlign w:val="superscript"/>
        </w:rPr>
        <w:t>6</w:t>
      </w:r>
      <w:r>
        <w:rPr>
          <w:rFonts w:cs="Times New Roman" w:ascii="Times New Roman" w:hAnsi="Times New Roman"/>
        </w:rPr>
        <w:t xml:space="preserve">Millennium Engineering &amp; Integration, </w:t>
      </w:r>
      <w:r>
        <w:rPr>
          <w:rFonts w:cs="Times New Roman" w:ascii="Times New Roman" w:hAnsi="Times New Roman"/>
          <w:vertAlign w:val="superscript"/>
        </w:rPr>
        <w:t>7</w:t>
      </w:r>
      <w:r>
        <w:rPr>
          <w:rFonts w:cs="Times New Roman" w:ascii="Times New Roman" w:hAnsi="Times New Roman"/>
        </w:rPr>
        <w:t>NASA Ames Research Center</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Experimental evolution (EE) involves iteratively exposing a microbial community to specific stressors to study its response to changes in environment over time. EE work is commonly done manually in the laboratory, but, when there are many environmental variables to measure and adjust, it is highly labor intensive, prone to human error, and challenging to scale</w:t>
      </w:r>
      <w:r>
        <w:rPr>
          <w:rFonts w:cs="Times New Roman" w:ascii="Times New Roman" w:hAnsi="Times New Roman"/>
          <w:b/>
          <w:bCs/>
        </w:rPr>
        <w:t xml:space="preserve">. </w:t>
      </w:r>
      <w:r>
        <w:rPr>
          <w:rFonts w:cs="Times New Roman" w:ascii="Times New Roman" w:hAnsi="Times New Roman"/>
        </w:rPr>
        <w:t>Single-purpose automated continuous culturing chambers exi</w:t>
      </w:r>
      <w:bookmarkStart w:id="0" w:name="_GoBack"/>
      <w:bookmarkEnd w:id="0"/>
      <w:r>
        <w:rPr>
          <w:rFonts w:cs="Times New Roman" w:ascii="Times New Roman" w:hAnsi="Times New Roman"/>
        </w:rPr>
        <w:t>st, but implement only limited stressor types. A more general-purpose design is desirable.</w:t>
      </w:r>
    </w:p>
    <w:p>
      <w:pPr>
        <w:pStyle w:val="Normal"/>
        <w:rPr>
          <w:rFonts w:ascii="Times New Roman" w:hAnsi="Times New Roman" w:cs="Times New Roman"/>
        </w:rPr>
      </w:pPr>
      <w:r>
        <w:rPr>
          <w:rFonts w:cs="Times New Roman" w:ascii="Times New Roman" w:hAnsi="Times New Roman"/>
        </w:rPr>
        <w:t xml:space="preserve">The BeING Lab at Ames Research Center created the prototype Automated Adaptive Directed Evolution Chamber (AADEC) to address these problems, beginning with </w:t>
      </w:r>
      <w:r>
        <w:rPr>
          <w:rFonts w:cs="Times New Roman" w:ascii="Times New Roman" w:hAnsi="Times New Roman"/>
          <w:i/>
          <w:iCs/>
        </w:rPr>
        <w:t>Escherichia coli</w:t>
      </w:r>
      <w:r>
        <w:rPr>
          <w:rFonts w:cs="Times New Roman" w:ascii="Times New Roman" w:hAnsi="Times New Roman"/>
        </w:rPr>
        <w:t xml:space="preserve"> tolerance of short-wave ultraviolet (UV-C) radiation and of temperature. In newer versions, AADEC monitors microbial activity and can adjust the UV-C and temperature levels automatically. An optical density measurement is used to determine how many cells are present in the growth medium—over time, this corresponds to how many survive and reproduce. Oxidation-reduction potential provides information on consumed metabolic energy, and pH and electrical conductivity on metabolic products. Dissolved oxygen content is used to determine aerobic vs anaerobic growth. A Raspberry Pi computer processes all this data to set the UV-C stressor level.</w:t>
      </w:r>
    </w:p>
    <w:p>
      <w:pPr>
        <w:pStyle w:val="Normal"/>
        <w:rPr>
          <w:rFonts w:ascii="Times New Roman" w:hAnsi="Times New Roman" w:cs="Times New Roman"/>
        </w:rPr>
      </w:pPr>
      <w:r>
        <w:rPr>
          <w:rFonts w:cs="Times New Roman" w:ascii="Times New Roman" w:hAnsi="Times New Roman"/>
        </w:rPr>
        <w:t>AADEC’s auxiliary systems include peristaltic pumps to change media and agitation to counteract cell settling. These actuators can also act as additional stressors. With the Raspberry Pi monitoring sensors and adjusting actuators in real time, AADEC takes measurements and controls the environment much more accurately than can be done with a manual EE implementation.</w:t>
      </w:r>
    </w:p>
    <w:p>
      <w:pPr>
        <w:pStyle w:val="Normal"/>
        <w:spacing w:before="0" w:after="160"/>
        <w:rPr>
          <w:rFonts w:ascii="Times New Roman" w:hAnsi="Times New Roman" w:cs="Times New Roman"/>
        </w:rPr>
      </w:pPr>
      <w:r>
        <w:rPr>
          <w:rFonts w:cs="Times New Roman" w:ascii="Times New Roman" w:hAnsi="Times New Roman"/>
        </w:rPr>
        <w:t>The third and latest AADEC iteration is the first to simplify design and usage with circuits on PCBs and the ability to pre-program experimental protocols. Still planned is expansion to a multi-well design for the study of varying cell cultures in parallel, which will enable researchers to retain and re-inoculate cultures exhibiting the desired trait most strongly while flushing out others. AADEC’s special capabilities make it a valuable tool for studying life under multiple stressors, enabling scientists to replicate changes in climate on microbes for study in a lab setting.</w:t>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Application>LibreOffice/6.4.5.2$MacOSX_X86_64 LibreOffice_project/a726b36747cf2001e06b58ad5db1aa3a9a1872d6</Application>
  <Pages>1</Pages>
  <Words>395</Words>
  <Characters>2398</Characters>
  <CharactersWithSpaces>2785</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2020-07-29T18:05:00Z</dcterms:created>
  <dc:creator>Hergenrader, Cassandra J. (ARC-SGE)[UNIVERSITIES SPACE RESEARCH ASSOCIATION]</dc:creator>
  <dc:description/>
  <dc:language>en-US</dc:language>
  <cp:lastModifiedBy>Hergenrader, Cassandra J. (ARC-SGE)[UNIVERSITIES SPACE RESEARCH ASSOCIATION]</cp:lastModifiedBy>
  <dcterms:modified xsi:type="dcterms:W3CDTF">2020-07-29T19:10:00Z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