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D349F" w:rsidRDefault="00845338">
      <w:pPr>
        <w:rPr>
          <w:rFonts w:ascii="Arial" w:hAnsi="Arial" w:cs="Arial"/>
        </w:rPr>
      </w:pPr>
      <w:r w:rsidRPr="00845338">
        <w:rPr>
          <w:rFonts w:ascii="Arial" w:hAnsi="Arial" w:cs="Arial"/>
        </w:rPr>
        <w:t>GSA abstract 357530</w:t>
      </w:r>
      <w:bookmarkStart w:id="0" w:name="_GoBack"/>
      <w:bookmarkEnd w:id="0"/>
    </w:p>
    <w:p w:rsidR="00845338" w:rsidRPr="00845338" w:rsidRDefault="00845338">
      <w:pPr>
        <w:rPr>
          <w:rFonts w:ascii="Arial" w:hAnsi="Arial" w:cs="Arial"/>
        </w:rPr>
      </w:pPr>
    </w:p>
    <w:p w:rsidR="00845338" w:rsidRPr="00845338" w:rsidRDefault="00845338" w:rsidP="00845338">
      <w:pPr>
        <w:pBdr>
          <w:bottom w:val="single" w:sz="6" w:space="6" w:color="000000"/>
        </w:pBdr>
        <w:shd w:val="clear" w:color="auto" w:fill="FFFFFF"/>
        <w:spacing w:after="120" w:line="240" w:lineRule="auto"/>
        <w:outlineLvl w:val="3"/>
        <w:rPr>
          <w:rFonts w:ascii="Arial" w:eastAsia="Times New Roman" w:hAnsi="Arial" w:cs="Arial"/>
          <w:b/>
          <w:bCs/>
          <w:color w:val="000000"/>
          <w:sz w:val="24"/>
          <w:szCs w:val="24"/>
        </w:rPr>
      </w:pPr>
      <w:r w:rsidRPr="00845338">
        <w:rPr>
          <w:rFonts w:ascii="Arial" w:eastAsia="Times New Roman" w:hAnsi="Arial" w:cs="Arial"/>
          <w:b/>
          <w:bCs/>
          <w:color w:val="000000"/>
          <w:sz w:val="24"/>
          <w:szCs w:val="24"/>
        </w:rPr>
        <w:t>ZIRCON (U-TH)/HE IMPACT CRATER THERMOCHRONOMETRY AND THE EFFECTS OF SHOCK MICROSTRUCTURES ON HELIUM DIFFUSION KINETICS</w:t>
      </w:r>
    </w:p>
    <w:p w:rsidR="00845338" w:rsidRDefault="00845338">
      <w:pPr>
        <w:rPr>
          <w:rFonts w:ascii="Arial" w:hAnsi="Arial" w:cs="Arial"/>
          <w:color w:val="000000"/>
          <w:shd w:val="clear" w:color="auto" w:fill="FFFFFF"/>
        </w:rPr>
      </w:pPr>
      <w:r>
        <w:rPr>
          <w:rFonts w:ascii="Arial" w:hAnsi="Arial" w:cs="Arial"/>
          <w:b/>
          <w:bCs/>
          <w:color w:val="000000"/>
          <w:shd w:val="clear" w:color="auto" w:fill="FFFFFF"/>
        </w:rPr>
        <w:t>ROSS, Catherine H.</w:t>
      </w:r>
      <w:r>
        <w:rPr>
          <w:rFonts w:ascii="Arial" w:hAnsi="Arial" w:cs="Arial"/>
          <w:color w:val="000000"/>
          <w:shd w:val="clear" w:color="auto" w:fill="FFFFFF"/>
          <w:vertAlign w:val="superscript"/>
        </w:rPr>
        <w:t>1</w:t>
      </w:r>
      <w:r>
        <w:rPr>
          <w:rFonts w:ascii="Arial" w:hAnsi="Arial" w:cs="Arial"/>
          <w:color w:val="000000"/>
          <w:shd w:val="clear" w:color="auto" w:fill="FFFFFF"/>
        </w:rPr>
        <w:t>, STOCKLI, Daniel F.</w:t>
      </w:r>
      <w:r>
        <w:rPr>
          <w:rFonts w:ascii="Arial" w:hAnsi="Arial" w:cs="Arial"/>
          <w:color w:val="000000"/>
          <w:shd w:val="clear" w:color="auto" w:fill="FFFFFF"/>
          <w:vertAlign w:val="superscript"/>
        </w:rPr>
        <w:t>2</w:t>
      </w:r>
      <w:r>
        <w:rPr>
          <w:rFonts w:ascii="Arial" w:hAnsi="Arial" w:cs="Arial"/>
          <w:color w:val="000000"/>
          <w:shd w:val="clear" w:color="auto" w:fill="FFFFFF"/>
        </w:rPr>
        <w:t>, ERICKSON, Timmons</w:t>
      </w:r>
      <w:r>
        <w:rPr>
          <w:rFonts w:ascii="Arial" w:hAnsi="Arial" w:cs="Arial"/>
          <w:color w:val="000000"/>
          <w:shd w:val="clear" w:color="auto" w:fill="FFFFFF"/>
          <w:vertAlign w:val="superscript"/>
        </w:rPr>
        <w:t>3</w:t>
      </w:r>
      <w:r>
        <w:rPr>
          <w:rFonts w:ascii="Arial" w:hAnsi="Arial" w:cs="Arial"/>
          <w:color w:val="000000"/>
          <w:shd w:val="clear" w:color="auto" w:fill="FFFFFF"/>
        </w:rPr>
        <w:t>, PATTERSON, Desmond B.</w:t>
      </w:r>
      <w:r>
        <w:rPr>
          <w:rFonts w:ascii="Arial" w:hAnsi="Arial" w:cs="Arial"/>
          <w:color w:val="000000"/>
          <w:shd w:val="clear" w:color="auto" w:fill="FFFFFF"/>
          <w:vertAlign w:val="superscript"/>
        </w:rPr>
        <w:t>2</w:t>
      </w:r>
      <w:r>
        <w:rPr>
          <w:rFonts w:ascii="Arial" w:hAnsi="Arial" w:cs="Arial"/>
          <w:color w:val="000000"/>
          <w:shd w:val="clear" w:color="auto" w:fill="FFFFFF"/>
        </w:rPr>
        <w:t> and GULICK, Sean P.S.</w:t>
      </w:r>
      <w:r>
        <w:rPr>
          <w:rFonts w:ascii="Arial" w:hAnsi="Arial" w:cs="Arial"/>
          <w:color w:val="000000"/>
          <w:shd w:val="clear" w:color="auto" w:fill="FFFFFF"/>
          <w:vertAlign w:val="superscript"/>
        </w:rPr>
        <w:t>1</w:t>
      </w:r>
      <w:r>
        <w:rPr>
          <w:rFonts w:ascii="Arial" w:hAnsi="Arial" w:cs="Arial"/>
          <w:color w:val="000000"/>
          <w:shd w:val="clear" w:color="auto" w:fill="FFFFFF"/>
        </w:rPr>
        <w:t>, (1)University of Texas, Jackson School of Geosciences, Institute for Geophysics and Department of Geological Sciences, J.J. Pickle Research Campus, Bldg. 196, 10100 Burnet Rd., Austin, TX 78758, (2)Department of Geological Sciences, Jackson School of Geosciences, The University of Texas at Austin, Austin, TX 78712, (3)NASA Johnson Space Center, Jacobs JETS, ARES division, 2101 E NASA Pkwy, Houston, TX 77058</w:t>
      </w:r>
    </w:p>
    <w:p w:rsidR="00845338" w:rsidRDefault="00845338" w:rsidP="00845338">
      <w:pPr>
        <w:jc w:val="both"/>
      </w:pPr>
      <w:r>
        <w:rPr>
          <w:rFonts w:ascii="Arial" w:hAnsi="Arial" w:cs="Arial"/>
          <w:color w:val="000000"/>
          <w:shd w:val="clear" w:color="auto" w:fill="FFFFFF"/>
        </w:rPr>
        <w:t>Accurate age determinations of hyper-velocity impact and cratering events remains difficult and often controversial, while less than half of all known impact craters are regarded as accurately and precisely dated. Besides </w:t>
      </w:r>
      <w:r>
        <w:rPr>
          <w:rFonts w:ascii="Arial" w:hAnsi="Arial" w:cs="Arial"/>
          <w:color w:val="000000"/>
          <w:shd w:val="clear" w:color="auto" w:fill="FFFFFF"/>
          <w:vertAlign w:val="superscript"/>
        </w:rPr>
        <w:t>40</w:t>
      </w:r>
      <w:r>
        <w:rPr>
          <w:rFonts w:ascii="Arial" w:hAnsi="Arial" w:cs="Arial"/>
          <w:color w:val="000000"/>
          <w:shd w:val="clear" w:color="auto" w:fill="FFFFFF"/>
        </w:rPr>
        <w:t>Ar/</w:t>
      </w:r>
      <w:r>
        <w:rPr>
          <w:rFonts w:ascii="Arial" w:hAnsi="Arial" w:cs="Arial"/>
          <w:color w:val="000000"/>
          <w:shd w:val="clear" w:color="auto" w:fill="FFFFFF"/>
          <w:vertAlign w:val="superscript"/>
        </w:rPr>
        <w:t>39</w:t>
      </w:r>
      <w:r>
        <w:rPr>
          <w:rFonts w:ascii="Arial" w:hAnsi="Arial" w:cs="Arial"/>
          <w:color w:val="000000"/>
          <w:shd w:val="clear" w:color="auto" w:fill="FFFFFF"/>
        </w:rPr>
        <w:t>Ar and U-</w:t>
      </w:r>
      <w:proofErr w:type="spellStart"/>
      <w:r>
        <w:rPr>
          <w:rFonts w:ascii="Arial" w:hAnsi="Arial" w:cs="Arial"/>
          <w:color w:val="000000"/>
          <w:shd w:val="clear" w:color="auto" w:fill="FFFFFF"/>
        </w:rPr>
        <w:t>Pb</w:t>
      </w:r>
      <w:proofErr w:type="spellEnd"/>
      <w:r>
        <w:rPr>
          <w:rFonts w:ascii="Arial" w:hAnsi="Arial" w:cs="Arial"/>
          <w:color w:val="000000"/>
          <w:shd w:val="clear" w:color="auto" w:fill="FFFFFF"/>
        </w:rPr>
        <w:t xml:space="preserve"> methods, zircon (U-</w:t>
      </w:r>
      <w:proofErr w:type="spellStart"/>
      <w:r>
        <w:rPr>
          <w:rFonts w:ascii="Arial" w:hAnsi="Arial" w:cs="Arial"/>
          <w:color w:val="000000"/>
          <w:shd w:val="clear" w:color="auto" w:fill="FFFFFF"/>
        </w:rPr>
        <w:t>Th</w:t>
      </w:r>
      <w:proofErr w:type="spellEnd"/>
      <w:r>
        <w:rPr>
          <w:rFonts w:ascii="Arial" w:hAnsi="Arial" w:cs="Arial"/>
          <w:color w:val="000000"/>
          <w:shd w:val="clear" w:color="auto" w:fill="FFFFFF"/>
        </w:rPr>
        <w:t xml:space="preserve">)/He dating of </w:t>
      </w:r>
      <w:proofErr w:type="spellStart"/>
      <w:r>
        <w:rPr>
          <w:rFonts w:ascii="Arial" w:hAnsi="Arial" w:cs="Arial"/>
          <w:color w:val="000000"/>
          <w:shd w:val="clear" w:color="auto" w:fill="FFFFFF"/>
        </w:rPr>
        <w:t>impactites</w:t>
      </w:r>
      <w:proofErr w:type="spellEnd"/>
      <w:r>
        <w:rPr>
          <w:rFonts w:ascii="Arial" w:hAnsi="Arial" w:cs="Arial"/>
          <w:color w:val="000000"/>
          <w:shd w:val="clear" w:color="auto" w:fill="FFFFFF"/>
        </w:rPr>
        <w:t xml:space="preserve"> is a burgeoning technique to date large- to medium-sized impact structures. Zircon (U-</w:t>
      </w:r>
      <w:proofErr w:type="spellStart"/>
      <w:r>
        <w:rPr>
          <w:rFonts w:ascii="Arial" w:hAnsi="Arial" w:cs="Arial"/>
          <w:color w:val="000000"/>
          <w:shd w:val="clear" w:color="auto" w:fill="FFFFFF"/>
        </w:rPr>
        <w:t>Th</w:t>
      </w:r>
      <w:proofErr w:type="spellEnd"/>
      <w:r>
        <w:rPr>
          <w:rFonts w:ascii="Arial" w:hAnsi="Arial" w:cs="Arial"/>
          <w:color w:val="000000"/>
          <w:shd w:val="clear" w:color="auto" w:fill="FFFFFF"/>
        </w:rPr>
        <w:t>)/He ages can be fully reset in minutes at 1000°C, T commonly reached in and directly adjacent to impact melt domains, whereas complete resetting of zircon (U-</w:t>
      </w:r>
      <w:proofErr w:type="spellStart"/>
      <w:r>
        <w:rPr>
          <w:rFonts w:ascii="Arial" w:hAnsi="Arial" w:cs="Arial"/>
          <w:color w:val="000000"/>
          <w:shd w:val="clear" w:color="auto" w:fill="FFFFFF"/>
        </w:rPr>
        <w:t>Th</w:t>
      </w:r>
      <w:proofErr w:type="spellEnd"/>
      <w:r>
        <w:rPr>
          <w:rFonts w:ascii="Arial" w:hAnsi="Arial" w:cs="Arial"/>
          <w:color w:val="000000"/>
          <w:shd w:val="clear" w:color="auto" w:fill="FFFFFF"/>
        </w:rPr>
        <w:t>)/He at &lt;300°C, which might be encountered near the crater margins or persist in post-impact hydrothermal systems, may take &gt;10</w:t>
      </w:r>
      <w:r>
        <w:rPr>
          <w:rFonts w:ascii="Arial" w:hAnsi="Arial" w:cs="Arial"/>
          <w:color w:val="000000"/>
          <w:shd w:val="clear" w:color="auto" w:fill="FFFFFF"/>
          <w:vertAlign w:val="superscript"/>
        </w:rPr>
        <w:t>3-4 </w:t>
      </w:r>
      <w:r>
        <w:rPr>
          <w:rFonts w:ascii="Arial" w:hAnsi="Arial" w:cs="Arial"/>
          <w:color w:val="000000"/>
          <w:shd w:val="clear" w:color="auto" w:fill="FFFFFF"/>
        </w:rPr>
        <w:t>years. However, there is a critical need to test the reliability of (U-</w:t>
      </w:r>
      <w:proofErr w:type="spellStart"/>
      <w:r>
        <w:rPr>
          <w:rFonts w:ascii="Arial" w:hAnsi="Arial" w:cs="Arial"/>
          <w:color w:val="000000"/>
          <w:shd w:val="clear" w:color="auto" w:fill="FFFFFF"/>
        </w:rPr>
        <w:t>Th</w:t>
      </w:r>
      <w:proofErr w:type="spellEnd"/>
      <w:r>
        <w:rPr>
          <w:rFonts w:ascii="Arial" w:hAnsi="Arial" w:cs="Arial"/>
          <w:color w:val="000000"/>
          <w:shd w:val="clear" w:color="auto" w:fill="FFFFFF"/>
        </w:rPr>
        <w:t>)/</w:t>
      </w:r>
      <w:proofErr w:type="gramStart"/>
      <w:r>
        <w:rPr>
          <w:rFonts w:ascii="Arial" w:hAnsi="Arial" w:cs="Arial"/>
          <w:color w:val="000000"/>
          <w:shd w:val="clear" w:color="auto" w:fill="FFFFFF"/>
        </w:rPr>
        <w:t>He</w:t>
      </w:r>
      <w:proofErr w:type="gramEnd"/>
      <w:r>
        <w:rPr>
          <w:rFonts w:ascii="Arial" w:hAnsi="Arial" w:cs="Arial"/>
          <w:color w:val="000000"/>
          <w:shd w:val="clear" w:color="auto" w:fill="FFFFFF"/>
        </w:rPr>
        <w:t xml:space="preserve"> impact dating in shock deformed zircon, and to quantify helium diffusion kinetics in well-characterized grains with a broad spectrum of shock-induced defect substructures. For this purpose, we investigated samples from two impact structures, the 66 Ma Chicxulub multi-ring basin and the 15 Ma </w:t>
      </w:r>
      <w:proofErr w:type="spellStart"/>
      <w:r>
        <w:rPr>
          <w:rFonts w:ascii="Arial" w:hAnsi="Arial" w:cs="Arial"/>
          <w:color w:val="000000"/>
          <w:shd w:val="clear" w:color="auto" w:fill="FFFFFF"/>
        </w:rPr>
        <w:t>Ries</w:t>
      </w:r>
      <w:proofErr w:type="spellEnd"/>
      <w:r>
        <w:rPr>
          <w:rFonts w:ascii="Arial" w:hAnsi="Arial" w:cs="Arial"/>
          <w:color w:val="000000"/>
          <w:shd w:val="clear" w:color="auto" w:fill="FFFFFF"/>
        </w:rPr>
        <w:t xml:space="preserve"> complex crater, to compare zircon diffusion kinetics from impact structures with varying parameters, including size, age, and hydrothermal system longevity. Shock microstructures were characterized by backscattered-electron (BSE) imaging prior to determination of diffusion step-heating fractional release experiments using light-bulb furnace with prograde and retrograde incrementally 10°C steps from 300°C to 600°C. We find that zircon with low-level shock microstructures exhibit no significant deviation from helium diffusion kinetics of undamaged zircon. In contrast, zircon grains with planar deformation features and granular textures classified by SEM are characterized by a dramatic decrease in helium </w:t>
      </w:r>
      <w:proofErr w:type="spellStart"/>
      <w:r>
        <w:rPr>
          <w:rFonts w:ascii="Arial" w:hAnsi="Arial" w:cs="Arial"/>
          <w:color w:val="000000"/>
          <w:shd w:val="clear" w:color="auto" w:fill="FFFFFF"/>
        </w:rPr>
        <w:t>retentivity</w:t>
      </w:r>
      <w:proofErr w:type="spellEnd"/>
      <w:r>
        <w:rPr>
          <w:rFonts w:ascii="Arial" w:hAnsi="Arial" w:cs="Arial"/>
          <w:color w:val="000000"/>
          <w:shd w:val="clear" w:color="auto" w:fill="FFFFFF"/>
        </w:rPr>
        <w:t>, similar to radiation damage, due to the reduction in the effective domain size and the introduction of fast diffusion pathways. This likely renders shocked grains more susceptible to impact-induced hydrothermal resetting. Hence, characterization of impact microstructure is critical for determining accurate impact ages, but also offers the opportunity to determine the magnitude and duration of post-impact hydrothermal circulation.</w:t>
      </w:r>
    </w:p>
    <w:sectPr w:rsidR="0084533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5338"/>
    <w:rsid w:val="00845338"/>
    <w:rsid w:val="00BD34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8488C8"/>
  <w15:chartTrackingRefBased/>
  <w15:docId w15:val="{FD6B418F-2CC4-460C-801B-1A737A583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4">
    <w:name w:val="heading 4"/>
    <w:basedOn w:val="Normal"/>
    <w:link w:val="Heading4Char"/>
    <w:uiPriority w:val="9"/>
    <w:qFormat/>
    <w:rsid w:val="00845338"/>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845338"/>
    <w:rPr>
      <w:rFonts w:ascii="Times New Roman" w:eastAsia="Times New Roman" w:hAnsi="Times New Roman" w:cs="Times New Roman"/>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688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427</Words>
  <Characters>2435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HPES ACES</Company>
  <LinksUpToDate>false</LinksUpToDate>
  <CharactersWithSpaces>2857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Erickson, Timmons M. (JSC-XI111)[Jacobs Technology, Inc.]</dc:creator>
  <cp:keywords/>
  <dc:description/>
  <cp:lastModifiedBy>Erickson, Timmons M. (JSC-XI111)[Jacobs Technology, Inc.]</cp:lastModifiedBy>
  <cp:revision>1</cp:revision>
  <dcterms:created xsi:type="dcterms:W3CDTF">2020-08-06T15:11:00Z</dcterms:created>
  <dcterms:modified xsi:type="dcterms:W3CDTF">2020-08-06T15:13:00Z</dcterms:modified>
</cp:coreProperties>
</file>