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2F1F6" w14:textId="650E2CD0" w:rsidR="00013CA5" w:rsidRPr="000F29D9" w:rsidRDefault="00B55222" w:rsidP="000F29D9">
      <w:pPr>
        <w:pStyle w:val="PaperTitle"/>
      </w:pPr>
      <w:r>
        <w:t>MODEL VALIDATION F</w:t>
      </w:r>
      <w:r w:rsidR="001F47A7">
        <w:t>OR BIGELOW EXPANDABLE ACTIVITy</w:t>
      </w:r>
      <w:r>
        <w:t xml:space="preserve"> MODULE (beam) with stowage</w:t>
      </w:r>
    </w:p>
    <w:p w14:paraId="64893418" w14:textId="77777777" w:rsidR="00013CA5" w:rsidRPr="00F84CA7" w:rsidRDefault="00F84CA7" w:rsidP="000F29D9">
      <w:pPr>
        <w:pStyle w:val="AuthorName"/>
        <w:rPr>
          <w:lang w:val="en-US"/>
        </w:rPr>
      </w:pPr>
      <w:r>
        <w:rPr>
          <w:lang w:val="en-US"/>
        </w:rPr>
        <w:t>Sydney Taylor, Zaida Hernandez, and John Iovine</w:t>
      </w:r>
    </w:p>
    <w:p w14:paraId="7EA072BA" w14:textId="77777777" w:rsidR="00013CA5" w:rsidRPr="00F84CA7" w:rsidRDefault="00F84CA7" w:rsidP="000F29D9">
      <w:pPr>
        <w:pStyle w:val="AuthorAffiliation"/>
        <w:rPr>
          <w:lang w:val="en-US"/>
        </w:rPr>
      </w:pPr>
      <w:r>
        <w:rPr>
          <w:lang w:val="en-US"/>
        </w:rPr>
        <w:t>NASA Johnson Space Center</w:t>
      </w:r>
      <w:r w:rsidR="008354BC">
        <w:rPr>
          <w:lang w:val="en-US"/>
        </w:rPr>
        <w:t>, Houston TX 77058</w:t>
      </w:r>
    </w:p>
    <w:p w14:paraId="6C5E4CFE" w14:textId="77777777" w:rsidR="00013CA5" w:rsidRPr="000F29D9" w:rsidRDefault="00013CA5" w:rsidP="000F29D9">
      <w:pPr>
        <w:pStyle w:val="Heading1"/>
      </w:pPr>
      <w:r w:rsidRPr="000F29D9">
        <w:t xml:space="preserve">ABSTRACT </w:t>
      </w:r>
    </w:p>
    <w:p w14:paraId="78BC9D30" w14:textId="0181115A" w:rsidR="000F29D9" w:rsidRDefault="00C27C0F" w:rsidP="000C3C5C">
      <w:pPr>
        <w:jc w:val="both"/>
      </w:pPr>
      <w:r>
        <w:t>T</w:t>
      </w:r>
      <w:r w:rsidR="001F47A7">
        <w:t>he Bigelow Expandable Activity</w:t>
      </w:r>
      <w:r>
        <w:t xml:space="preserve"> Module (BEAM) was a collaboration between NASA and Bigelow Aerospace to develop an expandable habitat technology that could be used for future space exploration missions such as the Artemis program. On April 26, 2016, the BEAM was launched and berthed to the International Space Station</w:t>
      </w:r>
      <w:r w:rsidR="006139AB">
        <w:t xml:space="preserve"> (ISS)</w:t>
      </w:r>
      <w:r>
        <w:t xml:space="preserve"> on the aft port of Node 3. </w:t>
      </w:r>
      <w:r w:rsidR="000C3C5C">
        <w:t>After the originally planned two-year mission life, BEAM was approv</w:t>
      </w:r>
      <w:r w:rsidR="00310B20">
        <w:t>ed for use as a stowage module</w:t>
      </w:r>
      <w:r w:rsidR="000C3C5C">
        <w:t xml:space="preserve"> for a 109-cargo transfer bag equivalent (CTBE) to alleviate stowage limitations onboard the ISS. </w:t>
      </w:r>
      <w:r>
        <w:t>The present wor</w:t>
      </w:r>
      <w:r w:rsidR="000C3C5C">
        <w:t>k builds on the previous 2017 model validation to flight data that demonstrated that BEAM could generally accommodate cargo stowage without adversely affecting BEAM thermal control, primarily for condensation management. Once the stowage was configured in early 2019, model validation efforts resumed. The thermal model revisions included the CTBE stowage and updated CFD-derived heat transfer coefficients for various intra-module ventilation (IMV) flow rates. The coefficients were provided by the Crew and Thermal Systems Division (EC) at NASA JSC and Jacobs Technology. The model is now revalidated and able to predict minimum temperatures with good agreement to flight temperatures (within 1 °C) for both historic and recurring minimum values. Additionally, the model is partially validated for reduced flow rates. With this model, the team was able to provide new flight rule recommendations for condensation and IMV operations management.</w:t>
      </w:r>
    </w:p>
    <w:p w14:paraId="76E73072" w14:textId="77777777" w:rsidR="006139AB" w:rsidRDefault="004B4E4B" w:rsidP="006139AB">
      <w:pPr>
        <w:pStyle w:val="Heading1"/>
      </w:pPr>
      <w:r>
        <w:t>Nomenclature, Acronyms, Abbreviations</w:t>
      </w:r>
    </w:p>
    <w:p w14:paraId="1E3A88EA" w14:textId="77777777" w:rsidR="006139AB" w:rsidRDefault="006139AB" w:rsidP="008F210D">
      <w:r>
        <w:t>CFD</w:t>
      </w:r>
      <w:r>
        <w:tab/>
      </w:r>
      <w:r>
        <w:tab/>
        <w:t>computational fluid dynamics</w:t>
      </w:r>
    </w:p>
    <w:p w14:paraId="46A34A74" w14:textId="77777777" w:rsidR="006139AB" w:rsidRPr="006139AB" w:rsidRDefault="006139AB" w:rsidP="008F210D">
      <w:r>
        <w:t>CFM</w:t>
      </w:r>
      <w:r>
        <w:tab/>
      </w:r>
      <w:r>
        <w:tab/>
        <w:t>cubic feet per minute</w:t>
      </w:r>
    </w:p>
    <w:p w14:paraId="016C2EFE" w14:textId="77777777" w:rsidR="004B4E4B" w:rsidRDefault="000C3C5C" w:rsidP="004B4E4B">
      <w:r>
        <w:t>CTBE</w:t>
      </w:r>
      <w:r w:rsidR="004B4E4B">
        <w:t xml:space="preserve"> </w:t>
      </w:r>
      <w:r w:rsidR="004B4E4B">
        <w:tab/>
      </w:r>
      <w:r w:rsidR="006139AB" w:rsidRPr="006B57CB">
        <w:tab/>
      </w:r>
      <w:r w:rsidRPr="006B57CB">
        <w:t>cargo</w:t>
      </w:r>
      <w:r>
        <w:t xml:space="preserve"> transfer bag equivalent</w:t>
      </w:r>
    </w:p>
    <w:p w14:paraId="2E537A80" w14:textId="77777777" w:rsidR="006139AB" w:rsidRDefault="006139AB" w:rsidP="004B4E4B">
      <w:r>
        <w:t xml:space="preserve">GMT </w:t>
      </w:r>
      <w:r>
        <w:tab/>
      </w:r>
      <w:r>
        <w:tab/>
      </w:r>
      <w:r w:rsidRPr="006139AB">
        <w:t>Greenwich Mean Time</w:t>
      </w:r>
    </w:p>
    <w:p w14:paraId="538F4B21" w14:textId="77777777" w:rsidR="00EA1397" w:rsidRDefault="00EA1397" w:rsidP="004B4E4B">
      <w:r>
        <w:t>HTC</w:t>
      </w:r>
      <w:r>
        <w:tab/>
      </w:r>
      <w:r w:rsidR="006139AB">
        <w:tab/>
      </w:r>
      <w:r>
        <w:t>heat transfer coefficients</w:t>
      </w:r>
    </w:p>
    <w:p w14:paraId="3B421308" w14:textId="77777777" w:rsidR="000C3C5C" w:rsidRDefault="000C3C5C" w:rsidP="004B4E4B">
      <w:r>
        <w:t>IMV</w:t>
      </w:r>
      <w:r>
        <w:tab/>
      </w:r>
      <w:r w:rsidR="006139AB">
        <w:tab/>
      </w:r>
      <w:r>
        <w:t>intra-module ventilation</w:t>
      </w:r>
    </w:p>
    <w:p w14:paraId="70E0FA90" w14:textId="77777777" w:rsidR="006139AB" w:rsidRDefault="006139AB" w:rsidP="004B4E4B">
      <w:r>
        <w:t>ISS</w:t>
      </w:r>
      <w:r>
        <w:tab/>
      </w:r>
      <w:r>
        <w:tab/>
        <w:t>International Space Station</w:t>
      </w:r>
    </w:p>
    <w:p w14:paraId="01F94C4B" w14:textId="77777777" w:rsidR="006139AB" w:rsidRDefault="006139AB" w:rsidP="004B4E4B">
      <w:r>
        <w:t>MMOD</w:t>
      </w:r>
      <w:r>
        <w:tab/>
      </w:r>
      <w:r>
        <w:tab/>
        <w:t>micrometeoroid orbital debris</w:t>
      </w:r>
    </w:p>
    <w:p w14:paraId="53F094F7" w14:textId="77777777" w:rsidR="007A4B74" w:rsidRDefault="007A4B74" w:rsidP="004B4E4B">
      <w:r>
        <w:lastRenderedPageBreak/>
        <w:t>PSARJ</w:t>
      </w:r>
      <w:r>
        <w:tab/>
      </w:r>
      <w:r w:rsidR="006139AB">
        <w:tab/>
      </w:r>
      <w:r>
        <w:t>port solar array alpha rotary joints</w:t>
      </w:r>
    </w:p>
    <w:p w14:paraId="4F8F98A8" w14:textId="2FE3497B" w:rsidR="00604BE5" w:rsidRDefault="00604BE5" w:rsidP="004B4E4B">
      <w:r>
        <w:t>PTRRJ</w:t>
      </w:r>
      <w:r>
        <w:tab/>
      </w:r>
      <w:r w:rsidR="006139AB">
        <w:tab/>
      </w:r>
      <w:r>
        <w:t>port thermal radiator rotary joint</w:t>
      </w:r>
      <w:r w:rsidR="00310B20">
        <w:t>s</w:t>
      </w:r>
    </w:p>
    <w:p w14:paraId="52E0361A" w14:textId="437F17B1" w:rsidR="007A4B74" w:rsidRDefault="007A4B74" w:rsidP="004B4E4B">
      <w:r>
        <w:t>SSARJ</w:t>
      </w:r>
      <w:r>
        <w:tab/>
      </w:r>
      <w:r w:rsidR="006B57CB">
        <w:tab/>
      </w:r>
      <w:r>
        <w:t>starboard solar array rotary joints</w:t>
      </w:r>
    </w:p>
    <w:p w14:paraId="7E8871D0" w14:textId="497E3630" w:rsidR="00604BE5" w:rsidRDefault="00604BE5" w:rsidP="004B4E4B">
      <w:r>
        <w:t>STRRJ</w:t>
      </w:r>
      <w:r>
        <w:tab/>
      </w:r>
      <w:r w:rsidR="006B57CB">
        <w:tab/>
      </w:r>
      <w:r>
        <w:t>starboard thermal radiator rotary joint</w:t>
      </w:r>
      <w:r w:rsidR="00310B20">
        <w:t>s</w:t>
      </w:r>
    </w:p>
    <w:p w14:paraId="538327C1" w14:textId="78F16D64" w:rsidR="00406946" w:rsidRDefault="003F130F" w:rsidP="004B4E4B">
      <w:r>
        <w:t>WTS</w:t>
      </w:r>
      <w:r>
        <w:tab/>
      </w:r>
      <w:r w:rsidR="006B57CB">
        <w:tab/>
      </w:r>
      <w:r>
        <w:t>wired</w:t>
      </w:r>
      <w:r w:rsidR="00406946">
        <w:t xml:space="preserve"> temperature sensors</w:t>
      </w:r>
    </w:p>
    <w:p w14:paraId="6999063B" w14:textId="77777777" w:rsidR="00013CA5" w:rsidRDefault="00406946" w:rsidP="000F29D9">
      <w:pPr>
        <w:pStyle w:val="Heading1"/>
      </w:pPr>
      <w:r>
        <w:t>INTRODUCTION</w:t>
      </w:r>
    </w:p>
    <w:p w14:paraId="2E90ED96" w14:textId="41880A70" w:rsidR="00EE7065" w:rsidRDefault="00EE7065" w:rsidP="00602686">
      <w:pPr>
        <w:jc w:val="both"/>
      </w:pPr>
      <w:r>
        <w:t xml:space="preserve">The National Aeronautics and Space Administration collaborated with Bigelow Aerospace to develop the Bigelow Expandable Activity Module (BEAM). BEAM was part of an initiative to develop expandable habitat technology that could be used in future space exploration missions, such as the Artemis Program, which will put the first woman and next man on the moon by 2024. Expandable habitats yield many advantages over traditional habitat modules, including low launch mass, impressive volume to habitable volume ratios, </w:t>
      </w:r>
      <w:r w:rsidR="00310B20">
        <w:t>radiation shielding options,</w:t>
      </w:r>
      <w:r>
        <w:t xml:space="preserve"> micrometeoroid orbital debris (MMOD) protection, thermal protection, and opportunity for reduced mission cost </w:t>
      </w:r>
      <w:sdt>
        <w:sdtPr>
          <w:id w:val="-828746452"/>
          <w:citation/>
        </w:sdtPr>
        <w:sdtContent>
          <w:r>
            <w:fldChar w:fldCharType="begin"/>
          </w:r>
          <w:r w:rsidR="00FB77F8">
            <w:instrText>CITATION Wal17 \m BEA \l 1033  \m BEA1</w:instrText>
          </w:r>
          <w:r>
            <w:fldChar w:fldCharType="separate"/>
          </w:r>
          <w:r w:rsidR="00310B20">
            <w:rPr>
              <w:noProof/>
            </w:rPr>
            <w:t>[1, 2, 3]</w:t>
          </w:r>
          <w:r>
            <w:fldChar w:fldCharType="end"/>
          </w:r>
        </w:sdtContent>
      </w:sdt>
      <w:r>
        <w:t>.</w:t>
      </w:r>
    </w:p>
    <w:p w14:paraId="08F75967" w14:textId="77777777" w:rsidR="00A34257" w:rsidRPr="00EE7065" w:rsidRDefault="00A34257" w:rsidP="00602686">
      <w:pPr>
        <w:jc w:val="both"/>
      </w:pPr>
      <w:r>
        <w:t xml:space="preserve">BEAM was launched on April 26, 2016 aboard a SpaceX Commercial Resupply Mission (CRS-8) and was berthed to the International Space Station on the aft port of Node 3. The BEAM mission was originally planned for two years, but due to stowage limitations onboard the ISS, the module life was extended and BEAM is now being used to store flight hardware. </w:t>
      </w:r>
      <w:r>
        <w:fldChar w:fldCharType="begin"/>
      </w:r>
      <w:r>
        <w:instrText xml:space="preserve"> REF _Ref47886294 \h </w:instrText>
      </w:r>
      <w:r w:rsidR="00602686">
        <w:instrText xml:space="preserve"> \* MERGEFORMAT </w:instrText>
      </w:r>
      <w:r>
        <w:fldChar w:fldCharType="separate"/>
      </w:r>
      <w:r>
        <w:t xml:space="preserve">Figure </w:t>
      </w:r>
      <w:r>
        <w:rPr>
          <w:noProof/>
        </w:rPr>
        <w:t>1</w:t>
      </w:r>
      <w:r>
        <w:fldChar w:fldCharType="end"/>
      </w:r>
      <w:r>
        <w:t xml:space="preserve"> shows the BEAM module in the stowed (packed) and expanded configurations.</w:t>
      </w:r>
    </w:p>
    <w:p w14:paraId="142D89F4" w14:textId="77777777" w:rsidR="00067427" w:rsidRDefault="00067427" w:rsidP="00067427">
      <w:pPr>
        <w:keepNext/>
        <w:jc w:val="center"/>
      </w:pPr>
      <w:r>
        <w:rPr>
          <w:noProof/>
        </w:rPr>
        <w:drawing>
          <wp:inline distT="0" distB="0" distL="0" distR="0" wp14:anchorId="4CE073EB" wp14:editId="59CBD476">
            <wp:extent cx="5560060" cy="1981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060" cy="1981200"/>
                    </a:xfrm>
                    <a:prstGeom prst="rect">
                      <a:avLst/>
                    </a:prstGeom>
                    <a:noFill/>
                  </pic:spPr>
                </pic:pic>
              </a:graphicData>
            </a:graphic>
          </wp:inline>
        </w:drawing>
      </w:r>
    </w:p>
    <w:p w14:paraId="32121EB2" w14:textId="534D8FD7" w:rsidR="001A5FA1" w:rsidRDefault="00067427" w:rsidP="002B58E4">
      <w:pPr>
        <w:pStyle w:val="Caption"/>
        <w:rPr>
          <w:noProof/>
        </w:rPr>
      </w:pPr>
      <w:bookmarkStart w:id="0" w:name="_Ref47886294"/>
      <w:r>
        <w:t xml:space="preserve">Figure </w:t>
      </w:r>
      <w:fldSimple w:instr=" SEQ Figure \* ARABIC ">
        <w:r w:rsidR="00B85071">
          <w:rPr>
            <w:noProof/>
          </w:rPr>
          <w:t>1</w:t>
        </w:r>
      </w:fldSimple>
      <w:bookmarkEnd w:id="0"/>
      <w:r>
        <w:rPr>
          <w:noProof/>
        </w:rPr>
        <w:t xml:space="preserve">. BEAM (a) Stowed vs. (b) Expanded Configuration  </w:t>
      </w:r>
      <w:sdt>
        <w:sdtPr>
          <w:rPr>
            <w:noProof/>
          </w:rPr>
          <w:id w:val="1767808345"/>
          <w:citation/>
        </w:sdtPr>
        <w:sdtContent>
          <w:r>
            <w:rPr>
              <w:noProof/>
            </w:rPr>
            <w:fldChar w:fldCharType="begin"/>
          </w:r>
          <w:r>
            <w:rPr>
              <w:noProof/>
            </w:rPr>
            <w:instrText xml:space="preserve"> CITATION Wal17 \l 1033 </w:instrText>
          </w:r>
          <w:r>
            <w:rPr>
              <w:noProof/>
            </w:rPr>
            <w:fldChar w:fldCharType="separate"/>
          </w:r>
          <w:r w:rsidR="00310B20">
            <w:rPr>
              <w:noProof/>
            </w:rPr>
            <w:t>[1]</w:t>
          </w:r>
          <w:r>
            <w:rPr>
              <w:noProof/>
            </w:rPr>
            <w:fldChar w:fldCharType="end"/>
          </w:r>
        </w:sdtContent>
      </w:sdt>
      <w:r w:rsidR="00020461">
        <w:rPr>
          <w:noProof/>
        </w:rPr>
        <w:t>.</w:t>
      </w:r>
    </w:p>
    <w:p w14:paraId="7C307052" w14:textId="333715CC" w:rsidR="00195FFB" w:rsidRDefault="001A5FA1" w:rsidP="00195FFB">
      <w:pPr>
        <w:pStyle w:val="Caption-Figure"/>
        <w:spacing w:after="240"/>
        <w:jc w:val="both"/>
        <w:rPr>
          <w:b w:val="0"/>
        </w:rPr>
      </w:pPr>
      <w:r>
        <w:rPr>
          <w:b w:val="0"/>
        </w:rPr>
        <w:t>BEAM is instrumented to collect radiation, vibration, and temperature data. The temperatures have been collected by the thermal team to monitor thermal</w:t>
      </w:r>
      <w:r w:rsidR="00310B20">
        <w:rPr>
          <w:b w:val="0"/>
        </w:rPr>
        <w:t xml:space="preserve"> performance</w:t>
      </w:r>
      <w:r>
        <w:rPr>
          <w:b w:val="0"/>
        </w:rPr>
        <w:t xml:space="preserve"> and understand the effects of the configuration changes both internal and external to the module. In 2017, the temperature sensors were converted from wireless to w</w:t>
      </w:r>
      <w:r w:rsidR="00195FFB">
        <w:rPr>
          <w:b w:val="0"/>
        </w:rPr>
        <w:t>ired temperature sensors (WTS).</w:t>
      </w:r>
    </w:p>
    <w:p w14:paraId="6951FBF0" w14:textId="6F6CBF83" w:rsidR="00C03F09" w:rsidRDefault="001A5FA1" w:rsidP="00195FFB">
      <w:pPr>
        <w:pStyle w:val="Caption-Figure"/>
        <w:spacing w:after="240"/>
        <w:jc w:val="both"/>
        <w:rPr>
          <w:b w:val="0"/>
        </w:rPr>
      </w:pPr>
      <w:r>
        <w:rPr>
          <w:b w:val="0"/>
        </w:rPr>
        <w:lastRenderedPageBreak/>
        <w:t>Intra-module ventilation (IMV) jumpers between the Node 3 aft bulkhead and the BEAM forward bulkhead allow an IMV fan to provide airflow through a duct to the BEAM aft bulkhead. The air then returns from the aft bulkhead to exit through the forward bulkhead via the BEAM internal volume.  The BEAM nominal IMV flow rate is 120 cubic feet per minute (CFM). The IMV thermal conditioning requires unobstructed ventilation to prevent condensation. Since condensation prevention was a concern, computational fluid dynamics (CFD) analysis was used to calculate the convective heat transfer coefficients (HTC) for the expected IMV flow rates. The HTC were provided by the NASA/JSC Crew and Ther</w:t>
      </w:r>
      <w:r w:rsidR="006B57CB">
        <w:rPr>
          <w:b w:val="0"/>
        </w:rPr>
        <w:t>m</w:t>
      </w:r>
      <w:r>
        <w:rPr>
          <w:b w:val="0"/>
        </w:rPr>
        <w:t>al Systems Division and Jacobs Technology</w:t>
      </w:r>
      <w:r w:rsidR="00C03F09">
        <w:rPr>
          <w:b w:val="0"/>
        </w:rPr>
        <w:t>.</w:t>
      </w:r>
    </w:p>
    <w:p w14:paraId="093B13A9" w14:textId="6A84D81C" w:rsidR="00C03F09" w:rsidRDefault="00C03F09" w:rsidP="00195FFB">
      <w:pPr>
        <w:pStyle w:val="Caption-Figure"/>
        <w:spacing w:after="240"/>
        <w:jc w:val="both"/>
        <w:rPr>
          <w:b w:val="0"/>
        </w:rPr>
      </w:pPr>
      <w:r>
        <w:rPr>
          <w:b w:val="0"/>
        </w:rPr>
        <w:t xml:space="preserve">The purpose of this study is two-fold: (1) to validate the updated model with stowage using on-orbit flight data and (2) to calculate minimum temperatures within BEAM to provide recommendations for updates to ISS flight rules on dew point management and IMV operations. This study provides a review of the BEAM on-orbit performance to date and describes the thermal model validation work, including cargo stowage and assessment of lower IMV </w:t>
      </w:r>
      <w:r w:rsidR="00310B20">
        <w:rPr>
          <w:b w:val="0"/>
        </w:rPr>
        <w:t xml:space="preserve">flow </w:t>
      </w:r>
      <w:r>
        <w:rPr>
          <w:b w:val="0"/>
        </w:rPr>
        <w:t>rates.</w:t>
      </w:r>
    </w:p>
    <w:p w14:paraId="3A6DFC55" w14:textId="77777777" w:rsidR="00353D17" w:rsidRPr="00EF0CCC" w:rsidRDefault="00353D17" w:rsidP="00353D17">
      <w:pPr>
        <w:pStyle w:val="Heading2"/>
      </w:pPr>
      <w:r>
        <w:t>BEAM Configuration and Cargo Stowage</w:t>
      </w:r>
    </w:p>
    <w:p w14:paraId="28761CBA" w14:textId="77777777" w:rsidR="004C0D89" w:rsidRDefault="00353D17" w:rsidP="00602686">
      <w:pPr>
        <w:jc w:val="both"/>
      </w:pPr>
      <w:r>
        <w:t xml:space="preserve">In the stowed (packed) configuration, BEAM is 2.2 m in length and 2.4 m in diameter, while in the expanded configuration, BEAM is 4.0 m in length and 3.2 </w:t>
      </w:r>
      <w:r w:rsidR="00557558">
        <w:t>m in diameter with an internal volume of 16.0 m</w:t>
      </w:r>
      <w:r w:rsidR="00557558">
        <w:rPr>
          <w:vertAlign w:val="superscript"/>
        </w:rPr>
        <w:t>3</w:t>
      </w:r>
      <w:r w:rsidR="00557558">
        <w:t xml:space="preserve">. The BEAM </w:t>
      </w:r>
      <w:r w:rsidR="00067427">
        <w:t>is equipped</w:t>
      </w:r>
      <w:r w:rsidR="00557558">
        <w:t xml:space="preserve"> with 16 sensors</w:t>
      </w:r>
      <w:r w:rsidR="002A0598">
        <w:t xml:space="preserve"> in total</w:t>
      </w:r>
      <w:r w:rsidR="00557558">
        <w:t>, where 12 are placed around the inner air barrier</w:t>
      </w:r>
      <w:r w:rsidR="002A0598">
        <w:t>, two are placed on the forward bulkhead, and two on the aft bulkhead as seen in Figure 2.</w:t>
      </w:r>
    </w:p>
    <w:p w14:paraId="5638C8DC" w14:textId="77777777" w:rsidR="00C927D4" w:rsidRDefault="00C927D4" w:rsidP="00C927D4">
      <w:pPr>
        <w:pStyle w:val="FigureTitle"/>
      </w:pPr>
      <w:r w:rsidRPr="000A3F51">
        <w:rPr>
          <w:rFonts w:ascii="Times New Roman" w:hAnsi="Times New Roman"/>
          <w:b w:val="0"/>
          <w:noProof/>
          <w:szCs w:val="24"/>
        </w:rPr>
        <w:drawing>
          <wp:inline distT="0" distB="0" distL="0" distR="0" wp14:anchorId="7BA2A7C1" wp14:editId="2A0A7EBE">
            <wp:extent cx="5943600" cy="1672562"/>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43600" cy="1672562"/>
                    </a:xfrm>
                    <a:prstGeom prst="rect">
                      <a:avLst/>
                    </a:prstGeom>
                  </pic:spPr>
                </pic:pic>
              </a:graphicData>
            </a:graphic>
          </wp:inline>
        </w:drawing>
      </w:r>
    </w:p>
    <w:p w14:paraId="5B7E9017" w14:textId="77777777" w:rsidR="00C927D4" w:rsidRDefault="00C927D4" w:rsidP="00C927D4">
      <w:pPr>
        <w:pStyle w:val="Caption-Figure"/>
      </w:pPr>
      <w:bookmarkStart w:id="1" w:name="_Ref286131380"/>
      <w:r>
        <w:t xml:space="preserve">Figure </w:t>
      </w:r>
      <w:r>
        <w:rPr>
          <w:noProof/>
        </w:rPr>
        <w:fldChar w:fldCharType="begin"/>
      </w:r>
      <w:r>
        <w:rPr>
          <w:noProof/>
        </w:rPr>
        <w:instrText xml:space="preserve"> SEQ Figure \* ARABIC </w:instrText>
      </w:r>
      <w:r>
        <w:rPr>
          <w:noProof/>
        </w:rPr>
        <w:fldChar w:fldCharType="separate"/>
      </w:r>
      <w:r w:rsidR="00B85071">
        <w:rPr>
          <w:noProof/>
        </w:rPr>
        <w:t>2</w:t>
      </w:r>
      <w:r>
        <w:rPr>
          <w:noProof/>
        </w:rPr>
        <w:fldChar w:fldCharType="end"/>
      </w:r>
      <w:bookmarkEnd w:id="1"/>
      <w:r>
        <w:t>. BEAM WTS locations.</w:t>
      </w:r>
    </w:p>
    <w:p w14:paraId="216A98FA" w14:textId="77777777" w:rsidR="00C927D4" w:rsidRPr="00557558" w:rsidRDefault="00574739" w:rsidP="001B74B6">
      <w:pPr>
        <w:jc w:val="both"/>
      </w:pPr>
      <w:r>
        <w:t xml:space="preserve">The BEAM team evaluated whether BEAM could accommodate cargo stowage without adversely impacting the thermal control </w:t>
      </w:r>
      <w:r w:rsidR="00EE7065">
        <w:t xml:space="preserve">via the IMV, where the primary concern was condensation forming in the BEAM. CFD analyses of various cargo volume configurations and IMV duct positions were conducted. The studies concluded that the proposed 109 CTBE stowage configuration would result in minimal impact to the BEAM thermal control. </w:t>
      </w:r>
    </w:p>
    <w:p w14:paraId="4EADDFDB" w14:textId="1B0B7D4C" w:rsidR="0030618D" w:rsidRDefault="0030618D" w:rsidP="001B74B6">
      <w:pPr>
        <w:jc w:val="both"/>
      </w:pPr>
      <w:r>
        <w:t>In late 2017, final preparations were completed for cargo stowage inside the BEAM and the thermal environments were defined for cargo owners to assess</w:t>
      </w:r>
      <w:r w:rsidR="00310B20">
        <w:t xml:space="preserve"> </w:t>
      </w:r>
      <w:sdt>
        <w:sdtPr>
          <w:id w:val="-1833821149"/>
          <w:citation/>
        </w:sdtPr>
        <w:sdtContent>
          <w:r w:rsidR="00310B20">
            <w:fldChar w:fldCharType="begin"/>
          </w:r>
          <w:r w:rsidR="00310B20">
            <w:instrText xml:space="preserve"> CITATION Car15 \l 1033 </w:instrText>
          </w:r>
          <w:r w:rsidR="00310B20">
            <w:fldChar w:fldCharType="separate"/>
          </w:r>
          <w:r w:rsidR="00310B20">
            <w:rPr>
              <w:noProof/>
            </w:rPr>
            <w:t>[4]</w:t>
          </w:r>
          <w:r w:rsidR="00310B20">
            <w:fldChar w:fldCharType="end"/>
          </w:r>
        </w:sdtContent>
      </w:sdt>
      <w:r>
        <w:t xml:space="preserve">. </w:t>
      </w:r>
      <w:r w:rsidR="008664BD">
        <w:t xml:space="preserve">On November 21, 2017, the WTS were converted to wired sensors. Netting was also added to ensure clearance for the IMV duct flow near the aft bulkhead. The cargo bags were pre-positioned as shown in </w:t>
      </w:r>
      <w:r w:rsidR="008664BD">
        <w:fldChar w:fldCharType="begin"/>
      </w:r>
      <w:r w:rsidR="008664BD">
        <w:instrText xml:space="preserve"> REF _Ref47946637 \h </w:instrText>
      </w:r>
      <w:r w:rsidR="001B74B6">
        <w:instrText xml:space="preserve"> \* MERGEFORMAT </w:instrText>
      </w:r>
      <w:r w:rsidR="008664BD">
        <w:fldChar w:fldCharType="separate"/>
      </w:r>
      <w:r w:rsidR="008664BD" w:rsidRPr="008664BD">
        <w:t xml:space="preserve">Figure </w:t>
      </w:r>
      <w:r w:rsidR="008664BD" w:rsidRPr="008664BD">
        <w:rPr>
          <w:noProof/>
        </w:rPr>
        <w:t>3</w:t>
      </w:r>
      <w:r w:rsidR="008664BD">
        <w:fldChar w:fldCharType="end"/>
      </w:r>
      <w:r w:rsidR="008664BD">
        <w:t>.</w:t>
      </w:r>
    </w:p>
    <w:p w14:paraId="7F71C4A6" w14:textId="77777777" w:rsidR="008664BD" w:rsidRDefault="008664BD" w:rsidP="008664BD">
      <w:pPr>
        <w:keepNext/>
        <w:jc w:val="center"/>
      </w:pPr>
      <w:r w:rsidRPr="000A3F51">
        <w:rPr>
          <w:rFonts w:ascii="Times New Roman" w:hAnsi="Times New Roman"/>
          <w:noProof/>
          <w:szCs w:val="24"/>
        </w:rPr>
        <w:lastRenderedPageBreak/>
        <w:drawing>
          <wp:inline distT="0" distB="0" distL="0" distR="0" wp14:anchorId="6FACFA97" wp14:editId="5A165C34">
            <wp:extent cx="4667693" cy="31117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671997" cy="3114665"/>
                    </a:xfrm>
                    <a:prstGeom prst="rect">
                      <a:avLst/>
                    </a:prstGeom>
                  </pic:spPr>
                </pic:pic>
              </a:graphicData>
            </a:graphic>
          </wp:inline>
        </w:drawing>
      </w:r>
    </w:p>
    <w:p w14:paraId="4A920A51" w14:textId="77777777" w:rsidR="008664BD" w:rsidRDefault="008664BD" w:rsidP="008664BD">
      <w:pPr>
        <w:pStyle w:val="Caption"/>
        <w:rPr>
          <w:rFonts w:ascii="Times New Roman" w:hAnsi="Times New Roman"/>
        </w:rPr>
      </w:pPr>
      <w:bookmarkStart w:id="2" w:name="_Ref47946637"/>
      <w:r w:rsidRPr="008664BD">
        <w:t xml:space="preserve">Figure </w:t>
      </w:r>
      <w:fldSimple w:instr=" SEQ Figure \* ARABIC ">
        <w:r w:rsidR="00B85071">
          <w:rPr>
            <w:noProof/>
          </w:rPr>
          <w:t>3</w:t>
        </w:r>
      </w:fldSimple>
      <w:bookmarkEnd w:id="2"/>
      <w:r w:rsidRPr="008664BD">
        <w:t xml:space="preserve">. </w:t>
      </w:r>
      <w:r w:rsidRPr="008664BD">
        <w:rPr>
          <w:rFonts w:ascii="Times New Roman" w:hAnsi="Times New Roman"/>
        </w:rPr>
        <w:t>BEAM Cargo Netting and Prepositioned Bags</w:t>
      </w:r>
      <w:r w:rsidR="00020461">
        <w:rPr>
          <w:rFonts w:ascii="Times New Roman" w:hAnsi="Times New Roman"/>
        </w:rPr>
        <w:t>.</w:t>
      </w:r>
    </w:p>
    <w:p w14:paraId="5FA2A28F" w14:textId="77777777" w:rsidR="001B74B6" w:rsidRDefault="001B74B6" w:rsidP="000D098C">
      <w:pPr>
        <w:jc w:val="both"/>
      </w:pPr>
      <w:r>
        <w:t xml:space="preserve">The cargo bags inside the BEAM were filled on January 24, 2019 (2019 GMT day 24) to represent the previously approved 109 CTBE configuration. The CTBE are divided into three categories based on size and location: four MO3 (45.8 CTBE), four MO1 (27.4 CTBE) and 12 triples (36 CTBE). The locations and layout are shown in </w:t>
      </w:r>
      <w:r>
        <w:fldChar w:fldCharType="begin"/>
      </w:r>
      <w:r>
        <w:instrText xml:space="preserve"> REF _Ref47947376 \h </w:instrText>
      </w:r>
      <w:r w:rsidR="000D098C">
        <w:instrText xml:space="preserve"> \* MERGEFORMAT </w:instrText>
      </w:r>
      <w:r>
        <w:fldChar w:fldCharType="separate"/>
      </w:r>
      <w:r>
        <w:t xml:space="preserve">Figure </w:t>
      </w:r>
      <w:r>
        <w:rPr>
          <w:noProof/>
        </w:rPr>
        <w:t>4</w:t>
      </w:r>
      <w:r>
        <w:fldChar w:fldCharType="end"/>
      </w:r>
      <w:r>
        <w:t>.</w:t>
      </w:r>
    </w:p>
    <w:p w14:paraId="7D433FAE" w14:textId="77777777" w:rsidR="001B74B6" w:rsidRDefault="001B74B6" w:rsidP="001B74B6">
      <w:pPr>
        <w:keepNext/>
      </w:pPr>
      <w:r>
        <w:rPr>
          <w:noProof/>
        </w:rPr>
        <w:drawing>
          <wp:inline distT="0" distB="0" distL="0" distR="0" wp14:anchorId="26DC1FB8" wp14:editId="65B98DBD">
            <wp:extent cx="5943600" cy="20683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68308"/>
                    </a:xfrm>
                    <a:prstGeom prst="rect">
                      <a:avLst/>
                    </a:prstGeom>
                    <a:noFill/>
                  </pic:spPr>
                </pic:pic>
              </a:graphicData>
            </a:graphic>
          </wp:inline>
        </w:drawing>
      </w:r>
    </w:p>
    <w:p w14:paraId="17EF0075" w14:textId="77777777" w:rsidR="001B74B6" w:rsidRDefault="001B74B6" w:rsidP="001B74B6">
      <w:pPr>
        <w:pStyle w:val="Caption"/>
      </w:pPr>
      <w:bookmarkStart w:id="3" w:name="_Ref47947376"/>
      <w:r>
        <w:t xml:space="preserve">Figure </w:t>
      </w:r>
      <w:fldSimple w:instr=" SEQ Figure \* ARABIC ">
        <w:r w:rsidR="00B85071">
          <w:rPr>
            <w:noProof/>
          </w:rPr>
          <w:t>4</w:t>
        </w:r>
      </w:fldSimple>
      <w:bookmarkEnd w:id="3"/>
      <w:r>
        <w:t>. BEAM CTBE Locations and Layout</w:t>
      </w:r>
      <w:r w:rsidR="00020461">
        <w:t>.</w:t>
      </w:r>
    </w:p>
    <w:p w14:paraId="46F140ED" w14:textId="77777777" w:rsidR="001B74B6" w:rsidRPr="001B74B6" w:rsidRDefault="00E64D5C" w:rsidP="00C16BAC">
      <w:pPr>
        <w:jc w:val="both"/>
      </w:pPr>
      <w:r>
        <w:t>After the 109 CTBE stowage was completed, the WTS flight data was</w:t>
      </w:r>
      <w:r w:rsidR="00824DD4">
        <w:t xml:space="preserve"> </w:t>
      </w:r>
      <w:r>
        <w:t xml:space="preserve">monitored for approximately </w:t>
      </w:r>
      <w:r w:rsidR="006821F5">
        <w:t>60 days to confirm that the stowage would have minimal impact at a nominal IMV</w:t>
      </w:r>
      <w:r w:rsidR="00824DD4">
        <w:t xml:space="preserve"> </w:t>
      </w:r>
      <w:r w:rsidR="006821F5">
        <w:t>flow of 120 CFM, as the CFD analysis had previously indicated.</w:t>
      </w:r>
      <w:r w:rsidR="00C16BAC">
        <w:t xml:space="preserve"> It is important to note that neither extreme environment nor reduced IMV flow were encountered over this period.</w:t>
      </w:r>
    </w:p>
    <w:p w14:paraId="30549552" w14:textId="77777777" w:rsidR="00013CA5" w:rsidRDefault="00353D17" w:rsidP="000F29D9">
      <w:pPr>
        <w:pStyle w:val="Heading1"/>
      </w:pPr>
      <w:r>
        <w:lastRenderedPageBreak/>
        <w:t>OVERVIEW OF ON-ORBIT PERFORMANCE AND MODEL VALIDATION CASES</w:t>
      </w:r>
    </w:p>
    <w:p w14:paraId="37F140BC" w14:textId="77777777" w:rsidR="00542532" w:rsidRDefault="00C16BAC" w:rsidP="00EB3E73">
      <w:pPr>
        <w:pStyle w:val="BodyText"/>
        <w:spacing w:after="240"/>
        <w:jc w:val="both"/>
      </w:pPr>
      <w:r>
        <w:t xml:space="preserve">Using the WTS data, on-orbit performance of the BEAM is monitored and reported on a quarterly basis. </w:t>
      </w:r>
      <w:r w:rsidR="00E03911">
        <w:fldChar w:fldCharType="begin"/>
      </w:r>
      <w:r w:rsidR="00E03911">
        <w:instrText xml:space="preserve"> REF _Ref47948075 \h </w:instrText>
      </w:r>
      <w:r w:rsidR="00EB3E73">
        <w:instrText xml:space="preserve"> \* MERGEFORMAT </w:instrText>
      </w:r>
      <w:r w:rsidR="00E03911">
        <w:fldChar w:fldCharType="separate"/>
      </w:r>
      <w:r w:rsidR="00E03911">
        <w:t>Fig</w:t>
      </w:r>
      <w:r w:rsidR="00E03911" w:rsidRPr="00E03911">
        <w:t xml:space="preserve">ure </w:t>
      </w:r>
      <w:r w:rsidR="00E03911" w:rsidRPr="00E03911">
        <w:rPr>
          <w:noProof/>
        </w:rPr>
        <w:t>5</w:t>
      </w:r>
      <w:r w:rsidR="00E03911">
        <w:fldChar w:fldCharType="end"/>
      </w:r>
      <w:r w:rsidR="00E03911">
        <w:t xml:space="preserve"> shows the flight data for 2019, where WTS data vs solar beta angle is provided for all sensors. Red represents the aft bulkhead temperatures, blue represents the forward bulkhead temperatures, and black represents the air barrier sensors</w:t>
      </w:r>
      <w:r w:rsidR="004F6590">
        <w:t xml:space="preserve">. Three minimum temperature events were observed in 2019, as seen in </w:t>
      </w:r>
      <w:r w:rsidR="004F6590">
        <w:fldChar w:fldCharType="begin"/>
      </w:r>
      <w:r w:rsidR="004F6590">
        <w:instrText xml:space="preserve"> REF _Ref47948075 \h </w:instrText>
      </w:r>
      <w:r w:rsidR="00EB3E73">
        <w:instrText xml:space="preserve"> \* MERGEFORMAT </w:instrText>
      </w:r>
      <w:r w:rsidR="004F6590">
        <w:fldChar w:fldCharType="separate"/>
      </w:r>
      <w:r w:rsidR="004F6590">
        <w:t>Fig</w:t>
      </w:r>
      <w:r w:rsidR="004F6590" w:rsidRPr="00E03911">
        <w:t xml:space="preserve">ure </w:t>
      </w:r>
      <w:r w:rsidR="004F6590" w:rsidRPr="00E03911">
        <w:rPr>
          <w:noProof/>
        </w:rPr>
        <w:t>5</w:t>
      </w:r>
      <w:r w:rsidR="004F6590">
        <w:fldChar w:fldCharType="end"/>
      </w:r>
      <w:r w:rsidR="004F6590">
        <w:t>: July 2019 (GMT 200), October 2019</w:t>
      </w:r>
      <w:r w:rsidR="00542532">
        <w:t xml:space="preserve"> (GMT 292), and December 2019 (GMT 350). These events form the basis for the BEAM with stowage model validation.</w:t>
      </w:r>
    </w:p>
    <w:p w14:paraId="3D4D2CE3" w14:textId="44C0B499" w:rsidR="00542532" w:rsidRDefault="00E37590" w:rsidP="00EB3E73">
      <w:pPr>
        <w:pStyle w:val="BodyText"/>
        <w:spacing w:after="240"/>
        <w:jc w:val="both"/>
      </w:pPr>
      <w:r>
        <w:t>I</w:t>
      </w:r>
      <w:r w:rsidR="00542532">
        <w:t xml:space="preserve">n July 2019, </w:t>
      </w:r>
      <w:r w:rsidR="00386CB2">
        <w:t>t</w:t>
      </w:r>
      <w:r w:rsidR="00542532">
        <w:t>he BEAM reached an all-time low temperature</w:t>
      </w:r>
      <w:r w:rsidR="0000343B">
        <w:t xml:space="preserve"> </w:t>
      </w:r>
      <w:r w:rsidR="00386CB2">
        <w:t xml:space="preserve">of </w:t>
      </w:r>
      <w:r w:rsidR="00EB3E73">
        <w:t xml:space="preserve">nearly </w:t>
      </w:r>
      <w:r w:rsidR="00386CB2">
        <w:t xml:space="preserve">14 </w:t>
      </w:r>
      <w:r w:rsidR="00D10292">
        <w:t xml:space="preserve">°C on the aft bulkhead, as indicated by the orange box in </w:t>
      </w:r>
      <w:r w:rsidR="00D10292">
        <w:fldChar w:fldCharType="begin"/>
      </w:r>
      <w:r w:rsidR="00D10292">
        <w:instrText xml:space="preserve"> REF _Ref47948075 \h </w:instrText>
      </w:r>
      <w:r w:rsidR="00EB3E73">
        <w:instrText xml:space="preserve"> \* MERGEFORMAT </w:instrText>
      </w:r>
      <w:r w:rsidR="00D10292">
        <w:fldChar w:fldCharType="separate"/>
      </w:r>
      <w:r w:rsidR="00D10292">
        <w:t>Fig</w:t>
      </w:r>
      <w:r w:rsidR="00D10292" w:rsidRPr="00E03911">
        <w:t xml:space="preserve">ure </w:t>
      </w:r>
      <w:r w:rsidR="00D10292" w:rsidRPr="00E03911">
        <w:rPr>
          <w:noProof/>
        </w:rPr>
        <w:t>5</w:t>
      </w:r>
      <w:r w:rsidR="00D10292">
        <w:fldChar w:fldCharType="end"/>
      </w:r>
      <w:r w:rsidR="00D10292">
        <w:t xml:space="preserve">. A plot spanning the month of July 2019 can be seen in </w:t>
      </w:r>
      <w:r>
        <w:fldChar w:fldCharType="begin"/>
      </w:r>
      <w:r>
        <w:instrText xml:space="preserve"> REF _Ref47949792 \h </w:instrText>
      </w:r>
      <w:r w:rsidR="00EB3E73">
        <w:instrText xml:space="preserve"> \* MERGEFORMAT </w:instrText>
      </w:r>
      <w:r>
        <w:fldChar w:fldCharType="separate"/>
      </w:r>
      <w:r w:rsidRPr="00D10292">
        <w:t xml:space="preserve">Figure </w:t>
      </w:r>
      <w:r w:rsidRPr="00D10292">
        <w:rPr>
          <w:noProof/>
        </w:rPr>
        <w:t>6</w:t>
      </w:r>
      <w:r>
        <w:fldChar w:fldCharType="end"/>
      </w:r>
      <w:r>
        <w:t xml:space="preserve">. During this period, there was a maneuver from the ISS nominal +XVV attitude to –XVV </w:t>
      </w:r>
      <w:sdt>
        <w:sdtPr>
          <w:id w:val="362566543"/>
          <w:citation/>
        </w:sdtPr>
        <w:sdtContent>
          <w:r>
            <w:fldChar w:fldCharType="begin"/>
          </w:r>
          <w:r>
            <w:instrText xml:space="preserve"> CITATION Her19 \l 1033 </w:instrText>
          </w:r>
          <w:r>
            <w:fldChar w:fldCharType="separate"/>
          </w:r>
          <w:r w:rsidR="00310B20">
            <w:rPr>
              <w:noProof/>
            </w:rPr>
            <w:t>[5]</w:t>
          </w:r>
          <w:r>
            <w:fldChar w:fldCharType="end"/>
          </w:r>
        </w:sdtContent>
      </w:sdt>
      <w:r w:rsidR="001F5070">
        <w:t xml:space="preserve"> to avoid parking the P</w:t>
      </w:r>
      <w:r w:rsidR="00EB3E73">
        <w:t xml:space="preserve">6 solar array beta gimbal assembly (BGA) for power channel 2B. This BGA is normally parked at high positive solar beta angles in the +XVV attitude due to a BGA stall risk. The –XVV attitude at high positive solar beta angle exposed BEAM to full ISS shadow (normally occurring in the +XVV attitude and high negative beta) and the annual minimum solar flux simultaneously. The 14.4 °C recorded is marginally above the flight rule max allowable BEAM dew point of 14.0 °C per flight rule B17-372 Table II (PTRRJ -40, 72 °F IMV, +XVV attitude, and -75 degrees beta) </w:t>
      </w:r>
      <w:sdt>
        <w:sdtPr>
          <w:id w:val="-88016026"/>
          <w:citation/>
        </w:sdtPr>
        <w:sdtContent>
          <w:r w:rsidR="00EB3E73">
            <w:fldChar w:fldCharType="begin"/>
          </w:r>
          <w:r w:rsidR="00EB3E73">
            <w:instrText xml:space="preserve"> CITATION B171 \l 1033 </w:instrText>
          </w:r>
          <w:r w:rsidR="00EB3E73">
            <w:fldChar w:fldCharType="separate"/>
          </w:r>
          <w:r w:rsidR="00310B20">
            <w:rPr>
              <w:noProof/>
            </w:rPr>
            <w:t>[6]</w:t>
          </w:r>
          <w:r w:rsidR="00EB3E73">
            <w:fldChar w:fldCharType="end"/>
          </w:r>
        </w:sdtContent>
      </w:sdt>
      <w:r w:rsidR="00EB3E73">
        <w:t>. An IMV flow reading of 106 CFM was also recorded during this time</w:t>
      </w:r>
      <w:r w:rsidR="00903EBB">
        <w:t>,</w:t>
      </w:r>
      <w:r w:rsidR="00EB3E73">
        <w:t xml:space="preserve"> </w:t>
      </w:r>
      <w:r w:rsidR="00903EBB">
        <w:t>compared with</w:t>
      </w:r>
      <w:r w:rsidR="00EB3E73">
        <w:t xml:space="preserve"> the 90 CFM value assumed in the flight rule.</w:t>
      </w:r>
    </w:p>
    <w:p w14:paraId="54BFC9F8" w14:textId="77777777" w:rsidR="00C16BAC" w:rsidRDefault="00C16BAC" w:rsidP="00075A4F">
      <w:pPr>
        <w:pStyle w:val="BodyText"/>
        <w:keepNext/>
        <w:jc w:val="center"/>
      </w:pPr>
      <w:r w:rsidRPr="000A3F51">
        <w:rPr>
          <w:rFonts w:ascii="Times New Roman" w:hAnsi="Times New Roman"/>
          <w:b/>
          <w:noProof/>
          <w:szCs w:val="24"/>
        </w:rPr>
        <w:drawing>
          <wp:inline distT="0" distB="0" distL="0" distR="0" wp14:anchorId="1A7F78D5" wp14:editId="274B4FCF">
            <wp:extent cx="5029200" cy="237333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2373336"/>
                    </a:xfrm>
                    <a:prstGeom prst="rect">
                      <a:avLst/>
                    </a:prstGeom>
                  </pic:spPr>
                </pic:pic>
              </a:graphicData>
            </a:graphic>
          </wp:inline>
        </w:drawing>
      </w:r>
    </w:p>
    <w:p w14:paraId="5CB41033" w14:textId="77777777" w:rsidR="00C16BAC" w:rsidRDefault="00C16BAC" w:rsidP="00E03911">
      <w:pPr>
        <w:pStyle w:val="Caption"/>
        <w:rPr>
          <w:rFonts w:ascii="Times New Roman" w:hAnsi="Times New Roman"/>
        </w:rPr>
      </w:pPr>
      <w:bookmarkStart w:id="4" w:name="_Ref47948075"/>
      <w:r>
        <w:t>Fig</w:t>
      </w:r>
      <w:r w:rsidRPr="00E03911">
        <w:t xml:space="preserve">ure </w:t>
      </w:r>
      <w:fldSimple w:instr=" SEQ Figure \* ARABIC ">
        <w:r w:rsidR="00B85071">
          <w:rPr>
            <w:noProof/>
          </w:rPr>
          <w:t>5</w:t>
        </w:r>
      </w:fldSimple>
      <w:bookmarkEnd w:id="4"/>
      <w:r w:rsidRPr="00E03911">
        <w:t xml:space="preserve">. </w:t>
      </w:r>
      <w:r w:rsidR="00E37590">
        <w:rPr>
          <w:rFonts w:ascii="Times New Roman" w:hAnsi="Times New Roman"/>
        </w:rPr>
        <w:t>BEAM WTS 2019 temperatures (°</w:t>
      </w:r>
      <w:r w:rsidRPr="00E03911">
        <w:rPr>
          <w:rFonts w:ascii="Times New Roman" w:hAnsi="Times New Roman"/>
        </w:rPr>
        <w:t xml:space="preserve">C) </w:t>
      </w:r>
      <w:r w:rsidR="00E37590">
        <w:rPr>
          <w:rFonts w:ascii="Times New Roman" w:hAnsi="Times New Roman"/>
        </w:rPr>
        <w:t>vs. solar beta angle (°</w:t>
      </w:r>
      <w:r w:rsidRPr="00E03911">
        <w:rPr>
          <w:rFonts w:ascii="Times New Roman" w:hAnsi="Times New Roman"/>
        </w:rPr>
        <w:t>) for all sensors</w:t>
      </w:r>
      <w:r w:rsidR="00020461">
        <w:rPr>
          <w:rFonts w:ascii="Times New Roman" w:hAnsi="Times New Roman"/>
        </w:rPr>
        <w:t>.</w:t>
      </w:r>
    </w:p>
    <w:p w14:paraId="02DE5DF5" w14:textId="77777777" w:rsidR="00D10292" w:rsidRDefault="00D10292" w:rsidP="00D10292"/>
    <w:p w14:paraId="27C722EC" w14:textId="77777777" w:rsidR="00D10292" w:rsidRDefault="00D10292" w:rsidP="00075A4F">
      <w:pPr>
        <w:keepNext/>
        <w:jc w:val="center"/>
      </w:pPr>
      <w:r w:rsidRPr="000A3F51">
        <w:rPr>
          <w:rFonts w:ascii="Times New Roman" w:hAnsi="Times New Roman"/>
          <w:noProof/>
          <w:szCs w:val="24"/>
        </w:rPr>
        <w:lastRenderedPageBreak/>
        <w:drawing>
          <wp:inline distT="0" distB="0" distL="0" distR="0" wp14:anchorId="0F41762B" wp14:editId="5D5F0B6A">
            <wp:extent cx="5029200" cy="2815894"/>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032722" cy="2817866"/>
                    </a:xfrm>
                    <a:prstGeom prst="rect">
                      <a:avLst/>
                    </a:prstGeom>
                  </pic:spPr>
                </pic:pic>
              </a:graphicData>
            </a:graphic>
          </wp:inline>
        </w:drawing>
      </w:r>
    </w:p>
    <w:p w14:paraId="1D9383F1" w14:textId="77777777" w:rsidR="00013CA5" w:rsidRDefault="00D10292" w:rsidP="00903EBB">
      <w:pPr>
        <w:pStyle w:val="Caption"/>
      </w:pPr>
      <w:bookmarkStart w:id="5" w:name="_Ref47949792"/>
      <w:r w:rsidRPr="00D10292">
        <w:t xml:space="preserve">Figure </w:t>
      </w:r>
      <w:fldSimple w:instr=" SEQ Figure \* ARABIC ">
        <w:r w:rsidR="00B85071">
          <w:rPr>
            <w:noProof/>
          </w:rPr>
          <w:t>6</w:t>
        </w:r>
      </w:fldSimple>
      <w:bookmarkEnd w:id="5"/>
      <w:r w:rsidRPr="00D10292">
        <w:t xml:space="preserve">. </w:t>
      </w:r>
      <w:r w:rsidRPr="00D10292">
        <w:rPr>
          <w:rFonts w:ascii="Times New Roman" w:hAnsi="Times New Roman"/>
        </w:rPr>
        <w:t>BEAM WTS July 2019 temperatures (°C) vs. solar beta angle (°)</w:t>
      </w:r>
      <w:r w:rsidR="00020461">
        <w:rPr>
          <w:rFonts w:ascii="Times New Roman" w:hAnsi="Times New Roman"/>
        </w:rPr>
        <w:t>.</w:t>
      </w:r>
    </w:p>
    <w:p w14:paraId="3F39749D" w14:textId="5293A2C6" w:rsidR="00903EBB" w:rsidRDefault="00903EBB" w:rsidP="00903EBB">
      <w:pPr>
        <w:pStyle w:val="FigureTitle"/>
        <w:jc w:val="both"/>
        <w:rPr>
          <w:b w:val="0"/>
        </w:rPr>
      </w:pPr>
      <w:r>
        <w:rPr>
          <w:b w:val="0"/>
        </w:rPr>
        <w:t xml:space="preserve">In October 2019 the BEAM experienced its only low flow event since the stowage had been added in January 2019. An IMV flow reading of 50 CFM was reported on 10/21/2019 (2019 GMT day 295). Other low </w:t>
      </w:r>
      <w:r w:rsidR="001F5070">
        <w:rPr>
          <w:b w:val="0"/>
        </w:rPr>
        <w:t xml:space="preserve">flow </w:t>
      </w:r>
      <w:r>
        <w:rPr>
          <w:b w:val="0"/>
        </w:rPr>
        <w:t xml:space="preserve">events had taken place prior to stowage, but October 2019 marked the first time that the BEAM temperatures were appreciably impacted by lower CFM. The monthly plot for October 2019 is </w:t>
      </w:r>
      <w:r w:rsidRPr="00806085">
        <w:rPr>
          <w:b w:val="0"/>
        </w:rPr>
        <w:t>show in</w:t>
      </w:r>
      <w:r w:rsidR="00806085" w:rsidRPr="00806085">
        <w:rPr>
          <w:b w:val="0"/>
        </w:rPr>
        <w:t xml:space="preserve"> </w:t>
      </w:r>
      <w:r w:rsidR="00806085" w:rsidRPr="00806085">
        <w:rPr>
          <w:b w:val="0"/>
        </w:rPr>
        <w:fldChar w:fldCharType="begin"/>
      </w:r>
      <w:r w:rsidR="00806085" w:rsidRPr="00806085">
        <w:rPr>
          <w:b w:val="0"/>
        </w:rPr>
        <w:instrText xml:space="preserve"> REF _Ref47951268 \h  \* MERGEFORMAT </w:instrText>
      </w:r>
      <w:r w:rsidR="00806085" w:rsidRPr="00806085">
        <w:rPr>
          <w:b w:val="0"/>
        </w:rPr>
      </w:r>
      <w:r w:rsidR="00806085" w:rsidRPr="00806085">
        <w:rPr>
          <w:b w:val="0"/>
        </w:rPr>
        <w:fldChar w:fldCharType="separate"/>
      </w:r>
      <w:r w:rsidR="00806085" w:rsidRPr="00806085">
        <w:rPr>
          <w:b w:val="0"/>
        </w:rPr>
        <w:t xml:space="preserve">Figure </w:t>
      </w:r>
      <w:r w:rsidR="00806085" w:rsidRPr="00806085">
        <w:rPr>
          <w:b w:val="0"/>
          <w:noProof/>
        </w:rPr>
        <w:t>7</w:t>
      </w:r>
      <w:r w:rsidR="00806085" w:rsidRPr="00806085">
        <w:rPr>
          <w:b w:val="0"/>
        </w:rPr>
        <w:fldChar w:fldCharType="end"/>
      </w:r>
      <w:r w:rsidR="00806085" w:rsidRPr="00806085">
        <w:rPr>
          <w:b w:val="0"/>
        </w:rPr>
        <w:t>.</w:t>
      </w:r>
    </w:p>
    <w:p w14:paraId="1A3B907E" w14:textId="77777777" w:rsidR="00903EBB" w:rsidRDefault="00903EBB" w:rsidP="00903EBB">
      <w:pPr>
        <w:pStyle w:val="FigureTitle"/>
        <w:jc w:val="both"/>
        <w:rPr>
          <w:b w:val="0"/>
        </w:rPr>
      </w:pPr>
    </w:p>
    <w:p w14:paraId="7A22E300" w14:textId="77777777" w:rsidR="00903EBB" w:rsidRDefault="00903EBB" w:rsidP="00075A4F">
      <w:pPr>
        <w:pStyle w:val="FigureTitle"/>
        <w:keepNext/>
      </w:pPr>
      <w:r w:rsidRPr="000A3F51">
        <w:rPr>
          <w:noProof/>
          <w:szCs w:val="24"/>
        </w:rPr>
        <w:drawing>
          <wp:inline distT="0" distB="0" distL="0" distR="0" wp14:anchorId="2245B967" wp14:editId="67E65A5D">
            <wp:extent cx="5029200" cy="266355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b="4079"/>
                    <a:stretch/>
                  </pic:blipFill>
                  <pic:spPr bwMode="auto">
                    <a:xfrm>
                      <a:off x="0" y="0"/>
                      <a:ext cx="5029200" cy="2663554"/>
                    </a:xfrm>
                    <a:prstGeom prst="rect">
                      <a:avLst/>
                    </a:prstGeom>
                    <a:ln>
                      <a:noFill/>
                    </a:ln>
                    <a:extLst>
                      <a:ext uri="{53640926-AAD7-44D8-BBD7-CCE9431645EC}">
                        <a14:shadowObscured xmlns:a14="http://schemas.microsoft.com/office/drawing/2010/main"/>
                      </a:ext>
                    </a:extLst>
                  </pic:spPr>
                </pic:pic>
              </a:graphicData>
            </a:graphic>
          </wp:inline>
        </w:drawing>
      </w:r>
    </w:p>
    <w:p w14:paraId="276B5DCE" w14:textId="77777777" w:rsidR="00903EBB" w:rsidRDefault="00903EBB" w:rsidP="00903EBB">
      <w:pPr>
        <w:pStyle w:val="Caption"/>
      </w:pPr>
      <w:bookmarkStart w:id="6" w:name="_Ref47951268"/>
      <w:r w:rsidRPr="00903EBB">
        <w:t xml:space="preserve">Figure </w:t>
      </w:r>
      <w:fldSimple w:instr=" SEQ Figure \* ARABIC ">
        <w:r w:rsidR="00B85071">
          <w:rPr>
            <w:noProof/>
          </w:rPr>
          <w:t>7</w:t>
        </w:r>
      </w:fldSimple>
      <w:bookmarkEnd w:id="6"/>
      <w:r w:rsidRPr="00903EBB">
        <w:t>. BEAM WTS October 2019 temperatures (°C) vs. solar beta angle (°)</w:t>
      </w:r>
      <w:r w:rsidR="00020461">
        <w:t>.</w:t>
      </w:r>
    </w:p>
    <w:p w14:paraId="5CFA6367" w14:textId="77777777" w:rsidR="00903EBB" w:rsidRDefault="00806085" w:rsidP="00903EBB">
      <w:r>
        <w:t>The only other confirmed low flow period is from 2017, where the WTS readings began to show a slight cooling trend in August 2017 with a</w:t>
      </w:r>
      <w:r w:rsidR="0031183C">
        <w:t>n</w:t>
      </w:r>
      <w:r>
        <w:t xml:space="preserve"> approximately 66 CFM reading on August 24 and </w:t>
      </w:r>
      <w:r w:rsidR="0031183C">
        <w:t xml:space="preserve">an approximately 45 CFM reading on September 21. </w:t>
      </w:r>
    </w:p>
    <w:p w14:paraId="0CC44FC5" w14:textId="77777777" w:rsidR="0031183C" w:rsidRDefault="0031183C" w:rsidP="0031183C">
      <w:pPr>
        <w:keepNext/>
        <w:jc w:val="center"/>
      </w:pPr>
      <w:r w:rsidRPr="000A3F51">
        <w:rPr>
          <w:rFonts w:ascii="Times New Roman" w:hAnsi="Times New Roman"/>
          <w:noProof/>
          <w:szCs w:val="24"/>
        </w:rPr>
        <w:lastRenderedPageBreak/>
        <w:drawing>
          <wp:inline distT="0" distB="0" distL="0" distR="0" wp14:anchorId="0B259999" wp14:editId="3C824711">
            <wp:extent cx="4657060" cy="309998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71211" cy="3109400"/>
                    </a:xfrm>
                    <a:prstGeom prst="rect">
                      <a:avLst/>
                    </a:prstGeom>
                    <a:noFill/>
                    <a:ln>
                      <a:noFill/>
                    </a:ln>
                  </pic:spPr>
                </pic:pic>
              </a:graphicData>
            </a:graphic>
          </wp:inline>
        </w:drawing>
      </w:r>
    </w:p>
    <w:p w14:paraId="6234FAE0" w14:textId="77777777" w:rsidR="0031183C" w:rsidRPr="00B85071" w:rsidRDefault="0031183C" w:rsidP="0031183C">
      <w:pPr>
        <w:pStyle w:val="Caption"/>
        <w:rPr>
          <w:rFonts w:asciiTheme="minorHAnsi" w:hAnsiTheme="minorHAnsi" w:cstheme="minorHAnsi"/>
        </w:rPr>
      </w:pPr>
      <w:r w:rsidRPr="00B85071">
        <w:rPr>
          <w:rFonts w:asciiTheme="minorHAnsi" w:hAnsiTheme="minorHAnsi" w:cstheme="minorHAnsi"/>
        </w:rPr>
        <w:t xml:space="preserve">Figure </w:t>
      </w:r>
      <w:r w:rsidRPr="00B85071">
        <w:rPr>
          <w:rFonts w:asciiTheme="minorHAnsi" w:hAnsiTheme="minorHAnsi" w:cstheme="minorHAnsi"/>
        </w:rPr>
        <w:fldChar w:fldCharType="begin"/>
      </w:r>
      <w:r w:rsidRPr="00B85071">
        <w:rPr>
          <w:rFonts w:asciiTheme="minorHAnsi" w:hAnsiTheme="minorHAnsi" w:cstheme="minorHAnsi"/>
        </w:rPr>
        <w:instrText xml:space="preserve"> SEQ Figure \* ARABIC </w:instrText>
      </w:r>
      <w:r w:rsidRPr="00B85071">
        <w:rPr>
          <w:rFonts w:asciiTheme="minorHAnsi" w:hAnsiTheme="minorHAnsi" w:cstheme="minorHAnsi"/>
        </w:rPr>
        <w:fldChar w:fldCharType="separate"/>
      </w:r>
      <w:r w:rsidR="00B85071">
        <w:rPr>
          <w:rFonts w:asciiTheme="minorHAnsi" w:hAnsiTheme="minorHAnsi" w:cstheme="minorHAnsi"/>
          <w:noProof/>
        </w:rPr>
        <w:t>8</w:t>
      </w:r>
      <w:r w:rsidRPr="00B85071">
        <w:rPr>
          <w:rFonts w:asciiTheme="minorHAnsi" w:hAnsiTheme="minorHAnsi" w:cstheme="minorHAnsi"/>
        </w:rPr>
        <w:fldChar w:fldCharType="end"/>
      </w:r>
      <w:r w:rsidRPr="00B85071">
        <w:rPr>
          <w:rFonts w:asciiTheme="minorHAnsi" w:hAnsiTheme="minorHAnsi" w:cstheme="minorHAnsi"/>
        </w:rPr>
        <w:t>. Node 3 Aft Port Fan Blockage</w:t>
      </w:r>
      <w:r w:rsidR="00020461" w:rsidRPr="00B85071">
        <w:rPr>
          <w:rFonts w:asciiTheme="minorHAnsi" w:hAnsiTheme="minorHAnsi" w:cstheme="minorHAnsi"/>
        </w:rPr>
        <w:t>.</w:t>
      </w:r>
    </w:p>
    <w:p w14:paraId="25895A10" w14:textId="66A5B528" w:rsidR="0031183C" w:rsidRDefault="0031183C" w:rsidP="00903EBB">
      <w:r>
        <w:t>The WTS had trended slightly cooler, bu</w:t>
      </w:r>
      <w:r w:rsidR="003F130F">
        <w:t>t</w:t>
      </w:r>
      <w:r>
        <w:t xml:space="preserve"> still above the ISS maximum specification </w:t>
      </w:r>
      <w:r w:rsidR="001F5070">
        <w:t xml:space="preserve">for </w:t>
      </w:r>
      <w:r>
        <w:t xml:space="preserve">dew point (15.6 °C). The temperature trend is shown in </w:t>
      </w:r>
      <w:r>
        <w:fldChar w:fldCharType="begin"/>
      </w:r>
      <w:r>
        <w:instrText xml:space="preserve"> REF _Ref47951928 \h </w:instrText>
      </w:r>
      <w:r>
        <w:fldChar w:fldCharType="separate"/>
      </w:r>
      <w:r>
        <w:t xml:space="preserve">Figure </w:t>
      </w:r>
      <w:r>
        <w:rPr>
          <w:noProof/>
        </w:rPr>
        <w:t>9</w:t>
      </w:r>
      <w:r>
        <w:fldChar w:fldCharType="end"/>
      </w:r>
      <w:r>
        <w:t xml:space="preserve"> </w:t>
      </w:r>
      <w:sdt>
        <w:sdtPr>
          <w:id w:val="-155299646"/>
          <w:citation/>
        </w:sdtPr>
        <w:sdtContent>
          <w:r>
            <w:fldChar w:fldCharType="begin"/>
          </w:r>
          <w:r>
            <w:instrText xml:space="preserve"> CITATION Wal171 \l 1033 </w:instrText>
          </w:r>
          <w:r>
            <w:fldChar w:fldCharType="separate"/>
          </w:r>
          <w:r w:rsidR="00310B20">
            <w:rPr>
              <w:noProof/>
            </w:rPr>
            <w:t>[7]</w:t>
          </w:r>
          <w:r>
            <w:fldChar w:fldCharType="end"/>
          </w:r>
        </w:sdtContent>
      </w:sdt>
      <w:r w:rsidR="00B85071">
        <w:t>.</w:t>
      </w:r>
    </w:p>
    <w:p w14:paraId="2150E6DD" w14:textId="77777777" w:rsidR="0031183C" w:rsidRDefault="0031183C" w:rsidP="0031183C">
      <w:pPr>
        <w:keepNext/>
      </w:pPr>
      <w:r w:rsidRPr="000A3F51">
        <w:rPr>
          <w:noProof/>
          <w:szCs w:val="24"/>
        </w:rPr>
        <w:drawing>
          <wp:inline distT="0" distB="0" distL="0" distR="0" wp14:anchorId="6CED31C3" wp14:editId="629AF6D4">
            <wp:extent cx="5943600" cy="185003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3600" cy="1850038"/>
                    </a:xfrm>
                    <a:prstGeom prst="rect">
                      <a:avLst/>
                    </a:prstGeom>
                    <a:noFill/>
                  </pic:spPr>
                </pic:pic>
              </a:graphicData>
            </a:graphic>
          </wp:inline>
        </w:drawing>
      </w:r>
    </w:p>
    <w:p w14:paraId="37B577F7" w14:textId="77777777" w:rsidR="0031183C" w:rsidRDefault="0031183C" w:rsidP="0031183C">
      <w:pPr>
        <w:pStyle w:val="Caption"/>
      </w:pPr>
      <w:bookmarkStart w:id="7" w:name="_Ref47951928"/>
      <w:r>
        <w:t xml:space="preserve">Figure </w:t>
      </w:r>
      <w:fldSimple w:instr=" SEQ Figure \* ARABIC ">
        <w:r w:rsidR="00B85071">
          <w:rPr>
            <w:noProof/>
          </w:rPr>
          <w:t>9</w:t>
        </w:r>
      </w:fldSimple>
      <w:bookmarkEnd w:id="7"/>
      <w:r>
        <w:t>. BEAM WTS temperatures (°C) trend from 2017 low CFM period</w:t>
      </w:r>
      <w:r w:rsidR="00020461">
        <w:t>.</w:t>
      </w:r>
    </w:p>
    <w:p w14:paraId="47C803BD" w14:textId="77777777" w:rsidR="001B489F" w:rsidRDefault="001B489F" w:rsidP="002D77CA">
      <w:pPr>
        <w:jc w:val="both"/>
      </w:pPr>
      <w:r>
        <w:t xml:space="preserve">The October 2019 low flow event and corresponding temperatures are significantly out of family with past periods at similar time of year and beta angle. </w:t>
      </w:r>
      <w:r>
        <w:fldChar w:fldCharType="begin"/>
      </w:r>
      <w:r>
        <w:instrText xml:space="preserve"> REF _Ref47952595 \h </w:instrText>
      </w:r>
      <w:r w:rsidR="002D77CA">
        <w:instrText xml:space="preserve"> \* MERGEFORMAT </w:instrText>
      </w:r>
      <w:r>
        <w:fldChar w:fldCharType="separate"/>
      </w:r>
      <w:r>
        <w:t xml:space="preserve">Figure </w:t>
      </w:r>
      <w:r>
        <w:rPr>
          <w:noProof/>
        </w:rPr>
        <w:t>10</w:t>
      </w:r>
      <w:r>
        <w:fldChar w:fldCharType="end"/>
      </w:r>
      <w:r>
        <w:t xml:space="preserve"> shows the WTS temperatures and solar beta angles from BEAM start of life to August 2019. Instances where the time of year and solar beta angle (-60 degree) are comparable to the October 2019 low flow event are outlined in green. </w:t>
      </w:r>
      <w:r w:rsidR="002D77CA">
        <w:t>The October 2019 low flow caused over 2 °C cooling in the BEAM aft bulkhead temperatures, with the recorded temperature approaching 14 °C. This temperature is equivalent to the all-time low seen in July 2019, when BEAM was exposed to its coldest environment to date.</w:t>
      </w:r>
    </w:p>
    <w:p w14:paraId="5F444EA9" w14:textId="77777777" w:rsidR="001B489F" w:rsidRDefault="001B489F" w:rsidP="001B489F">
      <w:pPr>
        <w:keepNext/>
        <w:jc w:val="center"/>
      </w:pPr>
      <w:r>
        <w:rPr>
          <w:noProof/>
        </w:rPr>
        <w:lastRenderedPageBreak/>
        <w:drawing>
          <wp:inline distT="0" distB="0" distL="0" distR="0" wp14:anchorId="6DFC1FEB" wp14:editId="7C6172B4">
            <wp:extent cx="5943600" cy="4097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7442"/>
                    </a:xfrm>
                    <a:prstGeom prst="rect">
                      <a:avLst/>
                    </a:prstGeom>
                    <a:noFill/>
                  </pic:spPr>
                </pic:pic>
              </a:graphicData>
            </a:graphic>
          </wp:inline>
        </w:drawing>
      </w:r>
    </w:p>
    <w:p w14:paraId="5A8AA3E7" w14:textId="77777777" w:rsidR="001B489F" w:rsidRDefault="001B489F" w:rsidP="001B489F">
      <w:pPr>
        <w:pStyle w:val="Caption"/>
      </w:pPr>
      <w:bookmarkStart w:id="8" w:name="_Ref47952595"/>
      <w:r>
        <w:t xml:space="preserve">Figure </w:t>
      </w:r>
      <w:fldSimple w:instr=" SEQ Figure \* ARABIC ">
        <w:r w:rsidR="00B85071">
          <w:rPr>
            <w:noProof/>
          </w:rPr>
          <w:t>10</w:t>
        </w:r>
      </w:fldSimple>
      <w:bookmarkEnd w:id="8"/>
      <w:r>
        <w:t>. WTS temperatures (°C) vs solar beta angle (°) for (a) 2016-2017 and (b) 2018-2019</w:t>
      </w:r>
      <w:r w:rsidR="00020461">
        <w:t>.</w:t>
      </w:r>
    </w:p>
    <w:p w14:paraId="13BEAE16" w14:textId="77777777" w:rsidR="002D77CA" w:rsidRDefault="002D77CA" w:rsidP="00C31E51">
      <w:pPr>
        <w:jc w:val="both"/>
      </w:pPr>
      <w:r>
        <w:t>In addition to the singular low temperature events discussed above, BEAM also experiences an annual cold case in the December time frame, when the ISS approaches a minimum beta angle of -75 degrees. Looking back at historical BEAM temperatures since December 2016, the minimum temperatures observed during this annual cold case have decreased</w:t>
      </w:r>
      <w:r w:rsidR="00C31E51">
        <w:t xml:space="preserve"> (outlined in purple in </w:t>
      </w:r>
      <w:r w:rsidR="00C31E51">
        <w:fldChar w:fldCharType="begin"/>
      </w:r>
      <w:r w:rsidR="00C31E51">
        <w:instrText xml:space="preserve"> REF _Ref47952595 \h  \* MERGEFORMAT </w:instrText>
      </w:r>
      <w:r w:rsidR="00C31E51">
        <w:fldChar w:fldCharType="separate"/>
      </w:r>
      <w:r w:rsidR="00C31E51">
        <w:t xml:space="preserve">Figure </w:t>
      </w:r>
      <w:r w:rsidR="00C31E51">
        <w:rPr>
          <w:noProof/>
        </w:rPr>
        <w:t>10</w:t>
      </w:r>
      <w:r w:rsidR="00C31E51">
        <w:fldChar w:fldCharType="end"/>
      </w:r>
      <w:r w:rsidR="00C31E51">
        <w:t>)</w:t>
      </w:r>
      <w:r>
        <w:t xml:space="preserve">. </w:t>
      </w:r>
      <w:r w:rsidR="00C31E51">
        <w:t>This was first noted in December 2017 after the November 21, 2017 wireless to wired sensor conversion and installation of the stowage netting and bags. Since the sensor calibration was reported to be unaffected by the conversion, the cooler temperatures were attributed to the netting and bags.</w:t>
      </w:r>
    </w:p>
    <w:p w14:paraId="15293B51" w14:textId="77777777" w:rsidR="00C31E51" w:rsidRDefault="002D435E" w:rsidP="00C31E51">
      <w:pPr>
        <w:jc w:val="both"/>
      </w:pPr>
      <w:r>
        <w:t xml:space="preserve">Temperatures further cooled in December 2018 but appear to have levelled off in December 2019. Note that full stowage in BEAM was not realized until January 2019. The comparative cooling from December 2017 to December 2018 has not been explained. </w:t>
      </w:r>
      <w:r w:rsidR="00FF0469">
        <w:fldChar w:fldCharType="begin"/>
      </w:r>
      <w:r w:rsidR="00FF0469">
        <w:instrText xml:space="preserve"> REF _Ref47953504 \h </w:instrText>
      </w:r>
      <w:r w:rsidR="00FF0469">
        <w:fldChar w:fldCharType="separate"/>
      </w:r>
      <w:r w:rsidR="00FF0469">
        <w:t xml:space="preserve">Figure </w:t>
      </w:r>
      <w:r w:rsidR="00FF0469" w:rsidRPr="00FF0469">
        <w:rPr>
          <w:noProof/>
        </w:rPr>
        <w:t>11</w:t>
      </w:r>
      <w:r w:rsidR="00FF0469">
        <w:fldChar w:fldCharType="end"/>
      </w:r>
      <w:r w:rsidR="00FF0469">
        <w:t xml:space="preserve"> shows the monthly plot for the December 2019 annual cold case.</w:t>
      </w:r>
    </w:p>
    <w:p w14:paraId="69D5442D" w14:textId="77777777" w:rsidR="00FF0469" w:rsidRDefault="00FF0469" w:rsidP="00FF0469">
      <w:pPr>
        <w:keepNext/>
        <w:jc w:val="both"/>
      </w:pPr>
      <w:r w:rsidRPr="000A3F51">
        <w:rPr>
          <w:noProof/>
          <w:color w:val="00B0F0"/>
          <w:szCs w:val="24"/>
        </w:rPr>
        <w:lastRenderedPageBreak/>
        <w:drawing>
          <wp:inline distT="0" distB="0" distL="0" distR="0" wp14:anchorId="417A58CE" wp14:editId="0DADA298">
            <wp:extent cx="5943600" cy="31467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146757"/>
                    </a:xfrm>
                    <a:prstGeom prst="rect">
                      <a:avLst/>
                    </a:prstGeom>
                  </pic:spPr>
                </pic:pic>
              </a:graphicData>
            </a:graphic>
          </wp:inline>
        </w:drawing>
      </w:r>
    </w:p>
    <w:p w14:paraId="35A56391" w14:textId="77777777" w:rsidR="00FF0469" w:rsidRDefault="00FF0469" w:rsidP="00FF0469">
      <w:pPr>
        <w:pStyle w:val="Caption"/>
      </w:pPr>
      <w:bookmarkStart w:id="9" w:name="_Ref47953504"/>
      <w:r>
        <w:t xml:space="preserve">Figure </w:t>
      </w:r>
      <w:fldSimple w:instr=" SEQ Figure \* ARABIC ">
        <w:r w:rsidR="00B85071">
          <w:rPr>
            <w:noProof/>
          </w:rPr>
          <w:t>11</w:t>
        </w:r>
      </w:fldSimple>
      <w:bookmarkEnd w:id="9"/>
      <w:r w:rsidRPr="00FF0469">
        <w:t>. BEAM WTS December 2019 temperatures (°C) vs. solar beta angle (°)</w:t>
      </w:r>
      <w:r w:rsidR="00020461">
        <w:t>.</w:t>
      </w:r>
    </w:p>
    <w:p w14:paraId="24E976C3" w14:textId="77777777" w:rsidR="00124150" w:rsidRDefault="009F6610" w:rsidP="00124150">
      <w:r>
        <w:t>The July, October, and December 2019 events were selected for validation of the BEAM thermal model with the 109 CTBE stowage configuration.</w:t>
      </w:r>
      <w:r w:rsidR="00FC7FD3">
        <w:t xml:space="preserve"> </w:t>
      </w:r>
    </w:p>
    <w:p w14:paraId="2B7DDC73" w14:textId="77777777" w:rsidR="00124150" w:rsidRDefault="00124150" w:rsidP="00124150">
      <w:pPr>
        <w:pStyle w:val="Heading1"/>
      </w:pPr>
      <w:r>
        <w:t>BEAM tHERMAL MODEL VALIDATION</w:t>
      </w:r>
    </w:p>
    <w:p w14:paraId="167EF7CE" w14:textId="77777777" w:rsidR="00EB2416" w:rsidRPr="00EB2416" w:rsidRDefault="00EB2416" w:rsidP="001F0BF7">
      <w:pPr>
        <w:jc w:val="both"/>
      </w:pPr>
      <w:r>
        <w:fldChar w:fldCharType="begin"/>
      </w:r>
      <w:r>
        <w:instrText xml:space="preserve"> REF _Ref47953966 \h </w:instrText>
      </w:r>
      <w:r w:rsidR="001F0BF7">
        <w:instrText xml:space="preserve"> \* MERGEFORMAT </w:instrText>
      </w:r>
      <w:r>
        <w:fldChar w:fldCharType="separate"/>
      </w:r>
      <w:r>
        <w:t xml:space="preserve">Figure </w:t>
      </w:r>
      <w:r>
        <w:rPr>
          <w:noProof/>
        </w:rPr>
        <w:t>12</w:t>
      </w:r>
      <w:r>
        <w:fldChar w:fldCharType="end"/>
      </w:r>
      <w:r>
        <w:t xml:space="preserve"> shows the aft bulkhead and other component locations on the BEAM. The current iteration of the BEAM model shown in </w:t>
      </w:r>
      <w:r>
        <w:fldChar w:fldCharType="begin"/>
      </w:r>
      <w:r>
        <w:instrText xml:space="preserve"> REF _Ref47953966 \h </w:instrText>
      </w:r>
      <w:r w:rsidR="001F0BF7">
        <w:instrText xml:space="preserve"> \* MERGEFORMAT </w:instrText>
      </w:r>
      <w:r>
        <w:fldChar w:fldCharType="separate"/>
      </w:r>
      <w:r>
        <w:t xml:space="preserve">Figure </w:t>
      </w:r>
      <w:r>
        <w:rPr>
          <w:noProof/>
        </w:rPr>
        <w:t>12</w:t>
      </w:r>
      <w:r>
        <w:fldChar w:fldCharType="end"/>
      </w:r>
      <w:r>
        <w:t xml:space="preserve"> includes the CTBE and as well as the CFD-derived HTC for the baseline and selected lower flow rates (120, 90, 60, and 30 CFM). The original model, developed by Applied Technology Associates (ATA) for ISS verification analysis, used CFD-based HTC from ATA.</w:t>
      </w:r>
    </w:p>
    <w:p w14:paraId="1FF54D04" w14:textId="77777777" w:rsidR="00124150" w:rsidRDefault="00124150" w:rsidP="001F0BF7">
      <w:pPr>
        <w:keepNext/>
        <w:jc w:val="both"/>
      </w:pPr>
      <w:r>
        <w:rPr>
          <w:noProof/>
        </w:rPr>
        <w:lastRenderedPageBreak/>
        <w:drawing>
          <wp:inline distT="0" distB="0" distL="0" distR="0" wp14:anchorId="594346D5" wp14:editId="05013A44">
            <wp:extent cx="6071870" cy="7053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1870" cy="7053580"/>
                    </a:xfrm>
                    <a:prstGeom prst="rect">
                      <a:avLst/>
                    </a:prstGeom>
                    <a:noFill/>
                  </pic:spPr>
                </pic:pic>
              </a:graphicData>
            </a:graphic>
          </wp:inline>
        </w:drawing>
      </w:r>
    </w:p>
    <w:p w14:paraId="20984841" w14:textId="2C2B7DD9" w:rsidR="00124150" w:rsidRDefault="00124150" w:rsidP="00BB6D32">
      <w:pPr>
        <w:pStyle w:val="Caption"/>
      </w:pPr>
      <w:bookmarkStart w:id="10" w:name="_Ref47953966"/>
      <w:r>
        <w:t xml:space="preserve">Figure </w:t>
      </w:r>
      <w:fldSimple w:instr=" SEQ Figure \* ARABIC ">
        <w:r w:rsidR="00B85071">
          <w:rPr>
            <w:noProof/>
          </w:rPr>
          <w:t>12</w:t>
        </w:r>
      </w:fldSimple>
      <w:bookmarkEnd w:id="10"/>
      <w:r>
        <w:t>. (a) BEAM Components and (b) Thermal Model</w:t>
      </w:r>
      <w:r w:rsidR="00020461">
        <w:t xml:space="preserve"> </w:t>
      </w:r>
      <w:sdt>
        <w:sdtPr>
          <w:id w:val="-1111665421"/>
          <w:citation/>
        </w:sdtPr>
        <w:sdtContent>
          <w:r w:rsidR="00020461">
            <w:fldChar w:fldCharType="begin"/>
          </w:r>
          <w:r w:rsidR="00020461">
            <w:instrText xml:space="preserve"> CITATION Wal17 \l 1033 </w:instrText>
          </w:r>
          <w:r w:rsidR="00020461">
            <w:fldChar w:fldCharType="separate"/>
          </w:r>
          <w:r w:rsidR="00310B20">
            <w:rPr>
              <w:noProof/>
            </w:rPr>
            <w:t>[1]</w:t>
          </w:r>
          <w:r w:rsidR="00020461">
            <w:fldChar w:fldCharType="end"/>
          </w:r>
        </w:sdtContent>
      </w:sdt>
      <w:r w:rsidR="00020461">
        <w:t>.</w:t>
      </w:r>
    </w:p>
    <w:p w14:paraId="0D18A921" w14:textId="77777777" w:rsidR="00124150" w:rsidRDefault="00EB2416" w:rsidP="001F0BF7">
      <w:pPr>
        <w:jc w:val="both"/>
      </w:pPr>
      <w:r>
        <w:t xml:space="preserve">In 2017, a model validation effort was initiated to better correlate model results to flight data. The model has nodes that correspond to the 16 WTS locations. These nodes are plotted for comparison to the flight data. The ATA-developed thermal model was used to run a baseline </w:t>
      </w:r>
      <w:r>
        <w:lastRenderedPageBreak/>
        <w:t xml:space="preserve">analysis that concluded that the model was </w:t>
      </w:r>
      <w:r w:rsidR="00020461">
        <w:t>under predicting flight data by 5-6 °C. The team acknowledged that the ATA-derived HTC were lower than similar data previously provided by Jacobs, and that the ATA data had been used to maintain a lower temperature bound for BEAM verification. However, as a result of initial model validation findings, the team decided to replace the ATA data with the higher CFD-derived HTC from Jacobs.</w:t>
      </w:r>
    </w:p>
    <w:p w14:paraId="061CFD5B" w14:textId="2AD39BAF" w:rsidR="00020461" w:rsidRDefault="00020461" w:rsidP="001F0BF7">
      <w:pPr>
        <w:jc w:val="both"/>
      </w:pPr>
      <w:r>
        <w:t xml:space="preserve">Further review led to additional changes with focus on structural heat leak sources. To better reconcile the air barrier temperatures, more isolation from the BEAM debris shield assembly was required. Because this design is </w:t>
      </w:r>
      <w:r w:rsidR="000738E6">
        <w:t>proprietary</w:t>
      </w:r>
      <w:r>
        <w:t xml:space="preserve">, the team simply added an additional radiation barrier at this interface, and an effective emittance (known as e-star or e*) of 0.075 was chosen as a best fit. To better reconcile the aft bulkhead temperatures, couplings to the soft goods attachment ring and the Flight Releasable Grapple Fixture (FRGF) were further scrutinized and adjusted. As a result of these model adjustments, the model predictions were typically </w:t>
      </w:r>
      <w:r w:rsidR="001F0BF7">
        <w:t xml:space="preserve">within 1 °C of the WTS while some brief instances had differences on the order of 2 °C </w:t>
      </w:r>
      <w:sdt>
        <w:sdtPr>
          <w:id w:val="-433895139"/>
          <w:citation/>
        </w:sdtPr>
        <w:sdtContent>
          <w:r w:rsidR="001F0BF7">
            <w:fldChar w:fldCharType="begin"/>
          </w:r>
          <w:r w:rsidR="001F0BF7">
            <w:instrText xml:space="preserve"> CITATION Wal172 \l 1033 </w:instrText>
          </w:r>
          <w:r w:rsidR="001F0BF7">
            <w:fldChar w:fldCharType="separate"/>
          </w:r>
          <w:r w:rsidR="00310B20">
            <w:rPr>
              <w:noProof/>
            </w:rPr>
            <w:t>[8]</w:t>
          </w:r>
          <w:r w:rsidR="001F0BF7">
            <w:fldChar w:fldCharType="end"/>
          </w:r>
        </w:sdtContent>
      </w:sdt>
      <w:r w:rsidR="00BB6D32">
        <w:t>.</w:t>
      </w:r>
    </w:p>
    <w:p w14:paraId="21303F89" w14:textId="712B2E8A" w:rsidR="001F0BF7" w:rsidRDefault="008547B7" w:rsidP="001F0BF7">
      <w:pPr>
        <w:jc w:val="both"/>
      </w:pPr>
      <w:r>
        <w:t>The model validation resumed in 2019, after flight data for the BEAM with stowage became available and updated CFD analysis that included the cargo bags was completed</w:t>
      </w:r>
      <w:r w:rsidR="00FB77F8">
        <w:t xml:space="preserve"> </w:t>
      </w:r>
      <w:sdt>
        <w:sdtPr>
          <w:id w:val="-429352625"/>
          <w:citation/>
        </w:sdtPr>
        <w:sdtContent>
          <w:r w:rsidR="00FB77F8">
            <w:fldChar w:fldCharType="begin"/>
          </w:r>
          <w:r w:rsidR="00FB77F8">
            <w:instrText xml:space="preserve"> CITATION Pau19 \l 1033 </w:instrText>
          </w:r>
          <w:r w:rsidR="00FB77F8">
            <w:fldChar w:fldCharType="separate"/>
          </w:r>
          <w:r w:rsidR="00310B20">
            <w:rPr>
              <w:noProof/>
            </w:rPr>
            <w:t>[9]</w:t>
          </w:r>
          <w:r w:rsidR="00FB77F8">
            <w:fldChar w:fldCharType="end"/>
          </w:r>
        </w:sdtContent>
      </w:sdt>
      <w:r>
        <w:t xml:space="preserve">. </w:t>
      </w:r>
      <w:r w:rsidR="001F0BF7">
        <w:t>When model validation resumed in 2019, the date-specific flight cases</w:t>
      </w:r>
      <w:r w:rsidR="00BB6D32">
        <w:t xml:space="preserve"> required many different parameters to be considered, including visiting vehicle configurations, beta angle, angles for Port and Starboard Thermal Radiator Rotary Joints (PTRRJ/STRRJ) seen in </w:t>
      </w:r>
      <w:r w:rsidR="000D78CA">
        <w:fldChar w:fldCharType="begin"/>
      </w:r>
      <w:r w:rsidR="000D78CA">
        <w:instrText xml:space="preserve"> REF _Ref47955644 \h </w:instrText>
      </w:r>
      <w:r w:rsidR="000D78CA">
        <w:fldChar w:fldCharType="separate"/>
      </w:r>
      <w:r w:rsidR="000D78CA">
        <w:t xml:space="preserve">Figure </w:t>
      </w:r>
      <w:r w:rsidR="000D78CA">
        <w:rPr>
          <w:noProof/>
        </w:rPr>
        <w:t>13</w:t>
      </w:r>
      <w:r w:rsidR="000D78CA">
        <w:fldChar w:fldCharType="end"/>
      </w:r>
      <w:r w:rsidR="000D78CA">
        <w:t>(a), and Port and Starboard Solar Array Alpha Rotary Joints (PSAR</w:t>
      </w:r>
      <w:r w:rsidR="000738E6">
        <w:t>J</w:t>
      </w:r>
      <w:r w:rsidR="000D78CA">
        <w:t>/SSARJ) see</w:t>
      </w:r>
      <w:r w:rsidR="000738E6">
        <w:t>n</w:t>
      </w:r>
      <w:r w:rsidR="000D78CA">
        <w:t xml:space="preserve"> in </w:t>
      </w:r>
      <w:r w:rsidR="000D78CA">
        <w:fldChar w:fldCharType="begin"/>
      </w:r>
      <w:r w:rsidR="000D78CA">
        <w:instrText xml:space="preserve"> REF _Ref47955644 \h </w:instrText>
      </w:r>
      <w:r w:rsidR="000D78CA">
        <w:fldChar w:fldCharType="separate"/>
      </w:r>
      <w:r w:rsidR="000D78CA">
        <w:t xml:space="preserve">Figure </w:t>
      </w:r>
      <w:r w:rsidR="000D78CA">
        <w:rPr>
          <w:noProof/>
        </w:rPr>
        <w:t>13</w:t>
      </w:r>
      <w:r w:rsidR="000D78CA">
        <w:fldChar w:fldCharType="end"/>
      </w:r>
      <w:r w:rsidR="000D78CA">
        <w:t>(b). Table 1 summarizes the parameters used in the three model validation cases.</w:t>
      </w:r>
    </w:p>
    <w:p w14:paraId="53023C71" w14:textId="77777777" w:rsidR="000D78CA" w:rsidRDefault="000D78CA" w:rsidP="000D78CA">
      <w:pPr>
        <w:pStyle w:val="Caption"/>
      </w:pPr>
      <w:bookmarkStart w:id="11" w:name="_Ref47956658"/>
      <w:r>
        <w:t xml:space="preserve">Table </w:t>
      </w:r>
      <w:fldSimple w:instr=" SEQ Table \* ARABIC ">
        <w:r w:rsidR="0009105F">
          <w:rPr>
            <w:noProof/>
          </w:rPr>
          <w:t>1</w:t>
        </w:r>
      </w:fldSimple>
      <w:bookmarkEnd w:id="11"/>
      <w:r>
        <w:t>. Model Validation Parameters.</w:t>
      </w:r>
    </w:p>
    <w:tbl>
      <w:tblPr>
        <w:tblW w:w="8455" w:type="dxa"/>
        <w:jc w:val="center"/>
        <w:tblLook w:val="04A0" w:firstRow="1" w:lastRow="0" w:firstColumn="1" w:lastColumn="0" w:noHBand="0" w:noVBand="1"/>
      </w:tblPr>
      <w:tblGrid>
        <w:gridCol w:w="2425"/>
        <w:gridCol w:w="2070"/>
        <w:gridCol w:w="1980"/>
        <w:gridCol w:w="1980"/>
      </w:tblGrid>
      <w:tr w:rsidR="000D78CA" w:rsidRPr="000D78CA" w14:paraId="33F16188" w14:textId="77777777" w:rsidTr="004A0D0E">
        <w:trPr>
          <w:trHeight w:val="397"/>
          <w:jc w:val="center"/>
        </w:trPr>
        <w:tc>
          <w:tcPr>
            <w:tcW w:w="242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7D59471"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Parameter</w:t>
            </w:r>
          </w:p>
        </w:tc>
        <w:tc>
          <w:tcPr>
            <w:tcW w:w="2070" w:type="dxa"/>
            <w:tcBorders>
              <w:top w:val="single" w:sz="4" w:space="0" w:color="auto"/>
              <w:left w:val="nil"/>
              <w:bottom w:val="single" w:sz="4" w:space="0" w:color="auto"/>
              <w:right w:val="single" w:sz="4" w:space="0" w:color="auto"/>
            </w:tcBorders>
            <w:shd w:val="clear" w:color="000000" w:fill="D0CECE"/>
            <w:noWrap/>
            <w:vAlign w:val="center"/>
            <w:hideMark/>
          </w:tcPr>
          <w:p w14:paraId="77AC8146"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GMT 200</w:t>
            </w:r>
          </w:p>
          <w:p w14:paraId="2FE84C8C"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(July 2019)</w:t>
            </w:r>
          </w:p>
        </w:tc>
        <w:tc>
          <w:tcPr>
            <w:tcW w:w="1980" w:type="dxa"/>
            <w:tcBorders>
              <w:top w:val="single" w:sz="4" w:space="0" w:color="auto"/>
              <w:left w:val="nil"/>
              <w:bottom w:val="single" w:sz="4" w:space="0" w:color="auto"/>
              <w:right w:val="single" w:sz="4" w:space="0" w:color="auto"/>
            </w:tcBorders>
            <w:shd w:val="clear" w:color="000000" w:fill="D0CECE"/>
            <w:noWrap/>
            <w:vAlign w:val="center"/>
            <w:hideMark/>
          </w:tcPr>
          <w:p w14:paraId="7DCD62E8"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GMT 292</w:t>
            </w:r>
          </w:p>
          <w:p w14:paraId="4B586C7F"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(October 2019)</w:t>
            </w:r>
          </w:p>
        </w:tc>
        <w:tc>
          <w:tcPr>
            <w:tcW w:w="1980" w:type="dxa"/>
            <w:tcBorders>
              <w:top w:val="single" w:sz="4" w:space="0" w:color="auto"/>
              <w:left w:val="nil"/>
              <w:bottom w:val="single" w:sz="4" w:space="0" w:color="auto"/>
              <w:right w:val="single" w:sz="4" w:space="0" w:color="auto"/>
            </w:tcBorders>
            <w:shd w:val="clear" w:color="000000" w:fill="D0CECE"/>
            <w:vAlign w:val="center"/>
            <w:hideMark/>
          </w:tcPr>
          <w:p w14:paraId="1A4714B0"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GMT 350 (December 2019)</w:t>
            </w:r>
          </w:p>
        </w:tc>
      </w:tr>
      <w:tr w:rsidR="000D78CA" w:rsidRPr="000D78CA" w14:paraId="31F50282"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E375DB8"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Beta Angle (deg)</w:t>
            </w:r>
          </w:p>
        </w:tc>
        <w:tc>
          <w:tcPr>
            <w:tcW w:w="2070" w:type="dxa"/>
            <w:tcBorders>
              <w:top w:val="nil"/>
              <w:left w:val="nil"/>
              <w:bottom w:val="single" w:sz="4" w:space="0" w:color="auto"/>
              <w:right w:val="single" w:sz="4" w:space="0" w:color="auto"/>
            </w:tcBorders>
            <w:shd w:val="clear" w:color="auto" w:fill="auto"/>
            <w:noWrap/>
            <w:vAlign w:val="center"/>
          </w:tcPr>
          <w:p w14:paraId="3D134857"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+72</w:t>
            </w:r>
          </w:p>
        </w:tc>
        <w:tc>
          <w:tcPr>
            <w:tcW w:w="1980" w:type="dxa"/>
            <w:tcBorders>
              <w:top w:val="nil"/>
              <w:left w:val="nil"/>
              <w:bottom w:val="single" w:sz="4" w:space="0" w:color="auto"/>
              <w:right w:val="single" w:sz="4" w:space="0" w:color="auto"/>
            </w:tcBorders>
            <w:shd w:val="clear" w:color="auto" w:fill="auto"/>
            <w:noWrap/>
            <w:vAlign w:val="center"/>
          </w:tcPr>
          <w:p w14:paraId="27CB0C0C"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-60</w:t>
            </w:r>
          </w:p>
        </w:tc>
        <w:tc>
          <w:tcPr>
            <w:tcW w:w="1980" w:type="dxa"/>
            <w:tcBorders>
              <w:top w:val="nil"/>
              <w:left w:val="nil"/>
              <w:bottom w:val="single" w:sz="4" w:space="0" w:color="auto"/>
              <w:right w:val="single" w:sz="4" w:space="0" w:color="auto"/>
            </w:tcBorders>
            <w:shd w:val="clear" w:color="auto" w:fill="auto"/>
            <w:noWrap/>
            <w:vAlign w:val="center"/>
          </w:tcPr>
          <w:p w14:paraId="3399E50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-75</w:t>
            </w:r>
          </w:p>
        </w:tc>
      </w:tr>
      <w:tr w:rsidR="000D78CA" w:rsidRPr="000D78CA" w14:paraId="199DB325"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F6E0673"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Yaw/Pitch/Roll</w:t>
            </w:r>
          </w:p>
        </w:tc>
        <w:tc>
          <w:tcPr>
            <w:tcW w:w="2070" w:type="dxa"/>
            <w:tcBorders>
              <w:top w:val="nil"/>
              <w:left w:val="nil"/>
              <w:bottom w:val="single" w:sz="4" w:space="0" w:color="auto"/>
              <w:right w:val="single" w:sz="4" w:space="0" w:color="auto"/>
            </w:tcBorders>
            <w:shd w:val="clear" w:color="auto" w:fill="auto"/>
            <w:noWrap/>
            <w:vAlign w:val="center"/>
          </w:tcPr>
          <w:p w14:paraId="5AFA3FB8"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185.0/-3.8/0.7</w:t>
            </w:r>
          </w:p>
        </w:tc>
        <w:tc>
          <w:tcPr>
            <w:tcW w:w="1980" w:type="dxa"/>
            <w:tcBorders>
              <w:top w:val="nil"/>
              <w:left w:val="nil"/>
              <w:bottom w:val="single" w:sz="4" w:space="0" w:color="auto"/>
              <w:right w:val="single" w:sz="4" w:space="0" w:color="auto"/>
            </w:tcBorders>
            <w:shd w:val="clear" w:color="auto" w:fill="auto"/>
            <w:noWrap/>
            <w:vAlign w:val="center"/>
          </w:tcPr>
          <w:p w14:paraId="4D6B5CC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-4/-1/1</w:t>
            </w:r>
          </w:p>
        </w:tc>
        <w:tc>
          <w:tcPr>
            <w:tcW w:w="1980" w:type="dxa"/>
            <w:tcBorders>
              <w:top w:val="nil"/>
              <w:left w:val="nil"/>
              <w:bottom w:val="single" w:sz="4" w:space="0" w:color="auto"/>
              <w:right w:val="single" w:sz="4" w:space="0" w:color="auto"/>
            </w:tcBorders>
            <w:shd w:val="clear" w:color="auto" w:fill="auto"/>
            <w:noWrap/>
            <w:vAlign w:val="center"/>
          </w:tcPr>
          <w:p w14:paraId="2AD3C79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+4/-1/+1</w:t>
            </w:r>
          </w:p>
        </w:tc>
      </w:tr>
      <w:tr w:rsidR="000D78CA" w:rsidRPr="000D78CA" w14:paraId="7F8BED4D"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1EE5580"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Solar Constant (BTU/hr/ft</w:t>
            </w:r>
            <w:r w:rsidRPr="000D78CA">
              <w:rPr>
                <w:rFonts w:ascii="Times New Roman" w:hAnsi="Times New Roman"/>
                <w:color w:val="000000"/>
                <w:szCs w:val="24"/>
                <w:vertAlign w:val="superscript"/>
              </w:rPr>
              <w:t>2</w:t>
            </w:r>
            <w:r w:rsidRPr="000D78CA">
              <w:rPr>
                <w:rFonts w:ascii="Times New Roman" w:hAnsi="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center"/>
          </w:tcPr>
          <w:p w14:paraId="3F52FF25"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419</w:t>
            </w:r>
          </w:p>
        </w:tc>
        <w:tc>
          <w:tcPr>
            <w:tcW w:w="1980" w:type="dxa"/>
            <w:tcBorders>
              <w:top w:val="nil"/>
              <w:left w:val="nil"/>
              <w:bottom w:val="single" w:sz="4" w:space="0" w:color="auto"/>
              <w:right w:val="single" w:sz="4" w:space="0" w:color="auto"/>
            </w:tcBorders>
            <w:shd w:val="clear" w:color="auto" w:fill="auto"/>
            <w:noWrap/>
            <w:vAlign w:val="center"/>
          </w:tcPr>
          <w:p w14:paraId="6E12FAA4"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437</w:t>
            </w:r>
          </w:p>
        </w:tc>
        <w:tc>
          <w:tcPr>
            <w:tcW w:w="1980" w:type="dxa"/>
            <w:tcBorders>
              <w:top w:val="nil"/>
              <w:left w:val="nil"/>
              <w:bottom w:val="single" w:sz="4" w:space="0" w:color="auto"/>
              <w:right w:val="single" w:sz="4" w:space="0" w:color="auto"/>
            </w:tcBorders>
            <w:shd w:val="clear" w:color="auto" w:fill="auto"/>
            <w:noWrap/>
            <w:vAlign w:val="center"/>
          </w:tcPr>
          <w:p w14:paraId="69265B5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447</w:t>
            </w:r>
          </w:p>
        </w:tc>
      </w:tr>
      <w:tr w:rsidR="000D78CA" w:rsidRPr="000D78CA" w14:paraId="1681C3B7"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61BA01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OLR (BTU/hr/ft</w:t>
            </w:r>
            <w:r w:rsidRPr="000D78CA">
              <w:rPr>
                <w:rFonts w:ascii="Times New Roman" w:hAnsi="Times New Roman"/>
                <w:color w:val="000000"/>
                <w:szCs w:val="24"/>
                <w:vertAlign w:val="superscript"/>
              </w:rPr>
              <w:t>2</w:t>
            </w:r>
            <w:r w:rsidRPr="000D78CA">
              <w:rPr>
                <w:rFonts w:ascii="Times New Roman" w:hAnsi="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center"/>
          </w:tcPr>
          <w:p w14:paraId="5CD9EC78"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76</w:t>
            </w:r>
          </w:p>
        </w:tc>
        <w:tc>
          <w:tcPr>
            <w:tcW w:w="1980" w:type="dxa"/>
            <w:tcBorders>
              <w:top w:val="nil"/>
              <w:left w:val="nil"/>
              <w:bottom w:val="single" w:sz="4" w:space="0" w:color="auto"/>
              <w:right w:val="single" w:sz="4" w:space="0" w:color="auto"/>
            </w:tcBorders>
            <w:shd w:val="clear" w:color="auto" w:fill="auto"/>
            <w:noWrap/>
            <w:vAlign w:val="center"/>
          </w:tcPr>
          <w:p w14:paraId="2F51AE6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76</w:t>
            </w:r>
          </w:p>
        </w:tc>
        <w:tc>
          <w:tcPr>
            <w:tcW w:w="1980" w:type="dxa"/>
            <w:tcBorders>
              <w:top w:val="nil"/>
              <w:left w:val="nil"/>
              <w:bottom w:val="single" w:sz="4" w:space="0" w:color="auto"/>
              <w:right w:val="single" w:sz="4" w:space="0" w:color="auto"/>
            </w:tcBorders>
            <w:shd w:val="clear" w:color="auto" w:fill="auto"/>
            <w:noWrap/>
            <w:vAlign w:val="center"/>
          </w:tcPr>
          <w:p w14:paraId="6B9D8EF2"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76</w:t>
            </w:r>
          </w:p>
        </w:tc>
      </w:tr>
      <w:tr w:rsidR="000D78CA" w:rsidRPr="000D78CA" w14:paraId="5EB4C5C0"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B3E093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Albedo</w:t>
            </w:r>
          </w:p>
        </w:tc>
        <w:tc>
          <w:tcPr>
            <w:tcW w:w="2070" w:type="dxa"/>
            <w:tcBorders>
              <w:top w:val="nil"/>
              <w:left w:val="nil"/>
              <w:bottom w:val="single" w:sz="4" w:space="0" w:color="auto"/>
              <w:right w:val="single" w:sz="4" w:space="0" w:color="auto"/>
            </w:tcBorders>
            <w:shd w:val="clear" w:color="auto" w:fill="auto"/>
            <w:noWrap/>
            <w:vAlign w:val="center"/>
          </w:tcPr>
          <w:p w14:paraId="65F5471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0.27</w:t>
            </w:r>
          </w:p>
        </w:tc>
        <w:tc>
          <w:tcPr>
            <w:tcW w:w="1980" w:type="dxa"/>
            <w:tcBorders>
              <w:top w:val="nil"/>
              <w:left w:val="nil"/>
              <w:bottom w:val="single" w:sz="4" w:space="0" w:color="auto"/>
              <w:right w:val="single" w:sz="4" w:space="0" w:color="auto"/>
            </w:tcBorders>
            <w:shd w:val="clear" w:color="auto" w:fill="auto"/>
            <w:noWrap/>
            <w:vAlign w:val="center"/>
          </w:tcPr>
          <w:p w14:paraId="0DB64190"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0.27</w:t>
            </w:r>
          </w:p>
        </w:tc>
        <w:tc>
          <w:tcPr>
            <w:tcW w:w="1980" w:type="dxa"/>
            <w:tcBorders>
              <w:top w:val="nil"/>
              <w:left w:val="nil"/>
              <w:bottom w:val="single" w:sz="4" w:space="0" w:color="auto"/>
              <w:right w:val="single" w:sz="4" w:space="0" w:color="auto"/>
            </w:tcBorders>
            <w:shd w:val="clear" w:color="auto" w:fill="auto"/>
            <w:noWrap/>
            <w:vAlign w:val="center"/>
          </w:tcPr>
          <w:p w14:paraId="23FDE7D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0.27</w:t>
            </w:r>
          </w:p>
        </w:tc>
      </w:tr>
      <w:tr w:rsidR="000D78CA" w:rsidRPr="000D78CA" w14:paraId="04C7464F"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581346F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PTRRJ</w:t>
            </w:r>
          </w:p>
        </w:tc>
        <w:tc>
          <w:tcPr>
            <w:tcW w:w="2070" w:type="dxa"/>
            <w:tcBorders>
              <w:top w:val="nil"/>
              <w:left w:val="nil"/>
              <w:bottom w:val="single" w:sz="4" w:space="0" w:color="auto"/>
              <w:right w:val="single" w:sz="4" w:space="0" w:color="auto"/>
            </w:tcBorders>
            <w:shd w:val="clear" w:color="auto" w:fill="auto"/>
            <w:noWrap/>
            <w:vAlign w:val="center"/>
          </w:tcPr>
          <w:p w14:paraId="76975BD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-40</w:t>
            </w:r>
          </w:p>
        </w:tc>
        <w:tc>
          <w:tcPr>
            <w:tcW w:w="1980" w:type="dxa"/>
            <w:tcBorders>
              <w:top w:val="nil"/>
              <w:left w:val="nil"/>
              <w:bottom w:val="single" w:sz="4" w:space="0" w:color="auto"/>
              <w:right w:val="single" w:sz="4" w:space="0" w:color="auto"/>
            </w:tcBorders>
            <w:shd w:val="clear" w:color="auto" w:fill="auto"/>
            <w:noWrap/>
            <w:vAlign w:val="center"/>
          </w:tcPr>
          <w:p w14:paraId="27ABDBB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-40</w:t>
            </w:r>
          </w:p>
        </w:tc>
        <w:tc>
          <w:tcPr>
            <w:tcW w:w="1980" w:type="dxa"/>
            <w:tcBorders>
              <w:top w:val="nil"/>
              <w:left w:val="nil"/>
              <w:bottom w:val="single" w:sz="4" w:space="0" w:color="auto"/>
              <w:right w:val="single" w:sz="4" w:space="0" w:color="auto"/>
            </w:tcBorders>
            <w:shd w:val="clear" w:color="auto" w:fill="auto"/>
            <w:noWrap/>
            <w:vAlign w:val="center"/>
          </w:tcPr>
          <w:p w14:paraId="0719D32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-40</w:t>
            </w:r>
          </w:p>
        </w:tc>
      </w:tr>
      <w:tr w:rsidR="000D78CA" w:rsidRPr="000D78CA" w14:paraId="1CCB888E"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BE0F9D2"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STRRJ</w:t>
            </w:r>
          </w:p>
        </w:tc>
        <w:tc>
          <w:tcPr>
            <w:tcW w:w="2070" w:type="dxa"/>
            <w:tcBorders>
              <w:top w:val="nil"/>
              <w:left w:val="nil"/>
              <w:bottom w:val="single" w:sz="4" w:space="0" w:color="auto"/>
              <w:right w:val="single" w:sz="4" w:space="0" w:color="auto"/>
            </w:tcBorders>
            <w:shd w:val="clear" w:color="auto" w:fill="auto"/>
            <w:noWrap/>
            <w:vAlign w:val="center"/>
          </w:tcPr>
          <w:p w14:paraId="30DCE52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+60</w:t>
            </w:r>
          </w:p>
        </w:tc>
        <w:tc>
          <w:tcPr>
            <w:tcW w:w="1980" w:type="dxa"/>
            <w:tcBorders>
              <w:top w:val="nil"/>
              <w:left w:val="nil"/>
              <w:bottom w:val="single" w:sz="4" w:space="0" w:color="auto"/>
              <w:right w:val="single" w:sz="4" w:space="0" w:color="auto"/>
            </w:tcBorders>
            <w:shd w:val="clear" w:color="auto" w:fill="auto"/>
            <w:noWrap/>
            <w:vAlign w:val="center"/>
          </w:tcPr>
          <w:p w14:paraId="2550BAC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+25</w:t>
            </w:r>
          </w:p>
        </w:tc>
        <w:tc>
          <w:tcPr>
            <w:tcW w:w="1980" w:type="dxa"/>
            <w:tcBorders>
              <w:top w:val="nil"/>
              <w:left w:val="nil"/>
              <w:bottom w:val="single" w:sz="4" w:space="0" w:color="auto"/>
              <w:right w:val="single" w:sz="4" w:space="0" w:color="auto"/>
            </w:tcBorders>
            <w:shd w:val="clear" w:color="auto" w:fill="auto"/>
            <w:noWrap/>
            <w:vAlign w:val="center"/>
          </w:tcPr>
          <w:p w14:paraId="251B20F1"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+55</w:t>
            </w:r>
          </w:p>
        </w:tc>
      </w:tr>
      <w:tr w:rsidR="000D78CA" w:rsidRPr="000D78CA" w14:paraId="53E4CD1B"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742829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PSARJ</w:t>
            </w:r>
          </w:p>
        </w:tc>
        <w:tc>
          <w:tcPr>
            <w:tcW w:w="2070" w:type="dxa"/>
            <w:tcBorders>
              <w:top w:val="nil"/>
              <w:left w:val="nil"/>
              <w:bottom w:val="single" w:sz="4" w:space="0" w:color="auto"/>
              <w:right w:val="single" w:sz="4" w:space="0" w:color="auto"/>
            </w:tcBorders>
            <w:shd w:val="clear" w:color="auto" w:fill="auto"/>
            <w:noWrap/>
            <w:vAlign w:val="center"/>
          </w:tcPr>
          <w:p w14:paraId="5D995809"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Auto-track (AT)</w:t>
            </w:r>
          </w:p>
        </w:tc>
        <w:tc>
          <w:tcPr>
            <w:tcW w:w="1980" w:type="dxa"/>
            <w:tcBorders>
              <w:top w:val="nil"/>
              <w:left w:val="nil"/>
              <w:bottom w:val="single" w:sz="4" w:space="0" w:color="auto"/>
              <w:right w:val="single" w:sz="4" w:space="0" w:color="auto"/>
            </w:tcBorders>
            <w:shd w:val="clear" w:color="auto" w:fill="auto"/>
            <w:noWrap/>
            <w:vAlign w:val="center"/>
          </w:tcPr>
          <w:p w14:paraId="5ED34867"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c>
          <w:tcPr>
            <w:tcW w:w="1980" w:type="dxa"/>
            <w:tcBorders>
              <w:top w:val="nil"/>
              <w:left w:val="nil"/>
              <w:bottom w:val="single" w:sz="4" w:space="0" w:color="auto"/>
              <w:right w:val="single" w:sz="4" w:space="0" w:color="auto"/>
            </w:tcBorders>
            <w:shd w:val="clear" w:color="auto" w:fill="auto"/>
            <w:noWrap/>
            <w:vAlign w:val="center"/>
          </w:tcPr>
          <w:p w14:paraId="6A8D9046"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r>
      <w:tr w:rsidR="000D78CA" w:rsidRPr="000D78CA" w14:paraId="7A8177A2"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B9D726F"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SSARJ</w:t>
            </w:r>
          </w:p>
        </w:tc>
        <w:tc>
          <w:tcPr>
            <w:tcW w:w="2070" w:type="dxa"/>
            <w:tcBorders>
              <w:top w:val="nil"/>
              <w:left w:val="nil"/>
              <w:bottom w:val="single" w:sz="4" w:space="0" w:color="auto"/>
              <w:right w:val="single" w:sz="4" w:space="0" w:color="auto"/>
            </w:tcBorders>
            <w:shd w:val="clear" w:color="auto" w:fill="auto"/>
            <w:noWrap/>
            <w:vAlign w:val="center"/>
          </w:tcPr>
          <w:p w14:paraId="323BB5D6"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c>
          <w:tcPr>
            <w:tcW w:w="1980" w:type="dxa"/>
            <w:tcBorders>
              <w:top w:val="nil"/>
              <w:left w:val="nil"/>
              <w:bottom w:val="single" w:sz="4" w:space="0" w:color="auto"/>
              <w:right w:val="single" w:sz="4" w:space="0" w:color="auto"/>
            </w:tcBorders>
            <w:shd w:val="clear" w:color="auto" w:fill="auto"/>
            <w:noWrap/>
            <w:vAlign w:val="center"/>
          </w:tcPr>
          <w:p w14:paraId="37BB9E58"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c>
          <w:tcPr>
            <w:tcW w:w="1980" w:type="dxa"/>
            <w:tcBorders>
              <w:top w:val="nil"/>
              <w:left w:val="nil"/>
              <w:bottom w:val="single" w:sz="4" w:space="0" w:color="auto"/>
              <w:right w:val="single" w:sz="4" w:space="0" w:color="auto"/>
            </w:tcBorders>
            <w:shd w:val="clear" w:color="auto" w:fill="auto"/>
            <w:noWrap/>
            <w:vAlign w:val="center"/>
          </w:tcPr>
          <w:p w14:paraId="33B67A60"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r>
      <w:tr w:rsidR="000D78CA" w:rsidRPr="000D78CA" w14:paraId="57CC2748"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53D77BFC"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Flow Rate</w:t>
            </w:r>
          </w:p>
          <w:p w14:paraId="0CBC4F63"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(CFM)</w:t>
            </w:r>
          </w:p>
        </w:tc>
        <w:tc>
          <w:tcPr>
            <w:tcW w:w="2070" w:type="dxa"/>
            <w:tcBorders>
              <w:top w:val="nil"/>
              <w:left w:val="nil"/>
              <w:bottom w:val="single" w:sz="4" w:space="0" w:color="auto"/>
              <w:right w:val="single" w:sz="4" w:space="0" w:color="auto"/>
            </w:tcBorders>
            <w:shd w:val="clear" w:color="auto" w:fill="auto"/>
            <w:noWrap/>
            <w:vAlign w:val="center"/>
          </w:tcPr>
          <w:p w14:paraId="2F3E3E77"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120</w:t>
            </w:r>
          </w:p>
        </w:tc>
        <w:tc>
          <w:tcPr>
            <w:tcW w:w="1980" w:type="dxa"/>
            <w:tcBorders>
              <w:top w:val="nil"/>
              <w:left w:val="nil"/>
              <w:bottom w:val="single" w:sz="4" w:space="0" w:color="auto"/>
              <w:right w:val="single" w:sz="4" w:space="0" w:color="auto"/>
            </w:tcBorders>
            <w:shd w:val="clear" w:color="auto" w:fill="auto"/>
            <w:noWrap/>
            <w:vAlign w:val="center"/>
          </w:tcPr>
          <w:p w14:paraId="01EF293C"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60</w:t>
            </w:r>
          </w:p>
        </w:tc>
        <w:tc>
          <w:tcPr>
            <w:tcW w:w="1980" w:type="dxa"/>
            <w:tcBorders>
              <w:top w:val="nil"/>
              <w:left w:val="nil"/>
              <w:bottom w:val="single" w:sz="4" w:space="0" w:color="auto"/>
              <w:right w:val="single" w:sz="4" w:space="0" w:color="auto"/>
            </w:tcBorders>
            <w:shd w:val="clear" w:color="auto" w:fill="auto"/>
            <w:noWrap/>
            <w:vAlign w:val="center"/>
          </w:tcPr>
          <w:p w14:paraId="4F0D99A5"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120</w:t>
            </w:r>
          </w:p>
        </w:tc>
      </w:tr>
      <w:tr w:rsidR="000D78CA" w:rsidRPr="000D78CA" w14:paraId="5E25A250"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E0BEBE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HTC</w:t>
            </w:r>
          </w:p>
        </w:tc>
        <w:tc>
          <w:tcPr>
            <w:tcW w:w="2070" w:type="dxa"/>
            <w:tcBorders>
              <w:top w:val="nil"/>
              <w:left w:val="nil"/>
              <w:bottom w:val="single" w:sz="4" w:space="0" w:color="auto"/>
              <w:right w:val="single" w:sz="4" w:space="0" w:color="auto"/>
            </w:tcBorders>
            <w:shd w:val="clear" w:color="auto" w:fill="auto"/>
            <w:noWrap/>
            <w:vAlign w:val="center"/>
          </w:tcPr>
          <w:p w14:paraId="3A666C64"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See Appendix A</w:t>
            </w:r>
          </w:p>
        </w:tc>
        <w:tc>
          <w:tcPr>
            <w:tcW w:w="1980" w:type="dxa"/>
            <w:tcBorders>
              <w:top w:val="nil"/>
              <w:left w:val="nil"/>
              <w:bottom w:val="single" w:sz="4" w:space="0" w:color="auto"/>
              <w:right w:val="single" w:sz="4" w:space="0" w:color="auto"/>
            </w:tcBorders>
            <w:shd w:val="clear" w:color="auto" w:fill="auto"/>
            <w:noWrap/>
            <w:vAlign w:val="center"/>
          </w:tcPr>
          <w:p w14:paraId="0658FFE3"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See Appendix A</w:t>
            </w:r>
          </w:p>
        </w:tc>
        <w:tc>
          <w:tcPr>
            <w:tcW w:w="1980" w:type="dxa"/>
            <w:tcBorders>
              <w:top w:val="nil"/>
              <w:left w:val="nil"/>
              <w:bottom w:val="single" w:sz="4" w:space="0" w:color="auto"/>
              <w:right w:val="single" w:sz="4" w:space="0" w:color="auto"/>
            </w:tcBorders>
            <w:shd w:val="clear" w:color="auto" w:fill="auto"/>
            <w:noWrap/>
            <w:vAlign w:val="center"/>
          </w:tcPr>
          <w:p w14:paraId="1F5D6CDA"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See Appendix A</w:t>
            </w:r>
          </w:p>
        </w:tc>
      </w:tr>
      <w:tr w:rsidR="000D78CA" w:rsidRPr="000D78CA" w14:paraId="0DE08277" w14:textId="77777777" w:rsidTr="004A0D0E">
        <w:trPr>
          <w:trHeight w:val="207"/>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0BCF7"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Visiting Vehicles</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6EE2AC5"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FGB/MRM1: Soyuz</w:t>
            </w:r>
          </w:p>
          <w:p w14:paraId="69EB95A4"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N1N: Dragon</w:t>
            </w:r>
          </w:p>
          <w:p w14:paraId="0DD898C3"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N2N: Cygnus</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49691EB2"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FGB/MRM1: None</w:t>
            </w:r>
          </w:p>
          <w:p w14:paraId="60CB72CC"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N1N: Dragon</w:t>
            </w:r>
          </w:p>
          <w:p w14:paraId="77FFD7AB"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 xml:space="preserve">N2N: None </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2D01B9FA"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FGB/MRM1: None</w:t>
            </w:r>
          </w:p>
          <w:p w14:paraId="3648733A"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N1N: Dragon</w:t>
            </w:r>
          </w:p>
          <w:p w14:paraId="147955E2"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N2N: Cygnus</w:t>
            </w:r>
          </w:p>
        </w:tc>
      </w:tr>
    </w:tbl>
    <w:p w14:paraId="226177E6" w14:textId="77777777" w:rsidR="000D78CA" w:rsidRDefault="00BB6D32" w:rsidP="000D78CA">
      <w:pPr>
        <w:keepNext/>
        <w:jc w:val="center"/>
      </w:pPr>
      <w:bookmarkStart w:id="12" w:name="_GoBack"/>
      <w:bookmarkEnd w:id="12"/>
      <w:r>
        <w:rPr>
          <w:noProof/>
        </w:rPr>
        <w:lastRenderedPageBreak/>
        <w:drawing>
          <wp:inline distT="0" distB="0" distL="0" distR="0" wp14:anchorId="1B24F0DD" wp14:editId="7338FD90">
            <wp:extent cx="4523740" cy="5968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5968365"/>
                    </a:xfrm>
                    <a:prstGeom prst="rect">
                      <a:avLst/>
                    </a:prstGeom>
                    <a:noFill/>
                  </pic:spPr>
                </pic:pic>
              </a:graphicData>
            </a:graphic>
          </wp:inline>
        </w:drawing>
      </w:r>
    </w:p>
    <w:p w14:paraId="1041838E" w14:textId="77777777" w:rsidR="00BB6D32" w:rsidRDefault="000D78CA" w:rsidP="000D78CA">
      <w:pPr>
        <w:pStyle w:val="Caption"/>
      </w:pPr>
      <w:bookmarkStart w:id="13" w:name="_Ref47955644"/>
      <w:r>
        <w:t xml:space="preserve">Figure </w:t>
      </w:r>
      <w:fldSimple w:instr=" SEQ Figure \* ARABIC ">
        <w:r w:rsidR="00B85071">
          <w:rPr>
            <w:noProof/>
          </w:rPr>
          <w:t>13</w:t>
        </w:r>
      </w:fldSimple>
      <w:bookmarkEnd w:id="13"/>
      <w:r>
        <w:t>. BEAM (a) Thermal Radiator Rotary Joints and (b) Solar Alpha Rotary Joints</w:t>
      </w:r>
      <w:r w:rsidR="003F130F">
        <w:t>.</w:t>
      </w:r>
    </w:p>
    <w:p w14:paraId="3C609FA0" w14:textId="6A3131AC" w:rsidR="00BB6D32" w:rsidRDefault="0048483C" w:rsidP="001F0BF7">
      <w:pPr>
        <w:jc w:val="both"/>
      </w:pPr>
      <w:r>
        <w:t>The mo</w:t>
      </w:r>
      <w:r w:rsidR="00FB332D">
        <w:t>re recent flight data indicates</w:t>
      </w:r>
      <w:r>
        <w:t xml:space="preserve"> an additional warm-bias in the 2017 model, where the BEAM minimum internal temperatures at the aft bulkhead sensor locations was now over-predicted by approximately 3 °C for the minimum temperatures seen during the annual December cold case when the beta angles approach -75 degrees.</w:t>
      </w:r>
    </w:p>
    <w:p w14:paraId="61D88A13" w14:textId="77777777" w:rsidR="0048483C" w:rsidRDefault="0048483C" w:rsidP="001F0BF7">
      <w:pPr>
        <w:jc w:val="both"/>
      </w:pPr>
      <w:r>
        <w:t xml:space="preserve">Initial efforts in 2019 again focused on structural heat leak sources. The conduction coefficient between the soft goods ring and the aft bulkhead was revisited with reductions to 50 and 10 percent of the existing model value. Another attempt involved an increase to the e* value for the aft bulkhead MLI from 0.02 to 0.05. These changes were discarded as they did not have a </w:t>
      </w:r>
      <w:r>
        <w:lastRenderedPageBreak/>
        <w:t>significant impact on the temperature results (less than 0.5 °C). Furthermore, the team concluded that the IMV flow was the dominant heat source for the aft bulkhead.</w:t>
      </w:r>
    </w:p>
    <w:p w14:paraId="4B35E9A5" w14:textId="77777777" w:rsidR="0048483C" w:rsidRDefault="0048483C" w:rsidP="001F0BF7">
      <w:pPr>
        <w:jc w:val="both"/>
      </w:pPr>
      <w:r>
        <w:t>Once the structural heat leaks were exhausted as a source of temperature over-prediction, and since these heat leaks were not expected to vary over time under recurring similar conditions, a decision was made to examine potential degradation of the convective heat transfer coefficients derived from CFD analysis due to stowage. The final attempt at refining the model was to degrade the HTC on the aft bulkhead with factors between ten and thirty percent of the original value. Results showed that the closest match to the flight data was obtained when the HTC was degraded to ten percent of the CFD derived value</w:t>
      </w:r>
      <w:r w:rsidR="00C337D8">
        <w:t>s</w:t>
      </w:r>
      <w:r>
        <w:t>.</w:t>
      </w:r>
    </w:p>
    <w:p w14:paraId="6E514A9C" w14:textId="0DF4AC6F" w:rsidR="00B85071" w:rsidRDefault="00B85071" w:rsidP="001F0BF7">
      <w:pPr>
        <w:jc w:val="both"/>
      </w:pPr>
      <w:r>
        <w:t>The minimum temperature predictions were produced by running the model for 35 to 75 hou</w:t>
      </w:r>
      <w:r w:rsidR="00FB332D">
        <w:t>rs</w:t>
      </w:r>
      <w:r w:rsidR="00857886">
        <w:t>,</w:t>
      </w:r>
      <w:r w:rsidR="00FB332D">
        <w:t xml:space="preserve"> until the temperature reached</w:t>
      </w:r>
      <w:r>
        <w:t xml:space="preserve"> steady state, and then determining the lowest temperature seen on the BEAM (typically observed on the aft bulkhead). A sample model output is included in </w:t>
      </w:r>
      <w:r>
        <w:fldChar w:fldCharType="begin"/>
      </w:r>
      <w:r>
        <w:instrText xml:space="preserve"> REF _Ref47975928 \h </w:instrText>
      </w:r>
      <w:r>
        <w:fldChar w:fldCharType="separate"/>
      </w:r>
      <w:r>
        <w:t xml:space="preserve">Figure </w:t>
      </w:r>
      <w:r>
        <w:rPr>
          <w:noProof/>
        </w:rPr>
        <w:t>14</w:t>
      </w:r>
      <w:r>
        <w:fldChar w:fldCharType="end"/>
      </w:r>
      <w:r>
        <w:t xml:space="preserve">. </w:t>
      </w:r>
      <w:r w:rsidR="00493D2A">
        <w:fldChar w:fldCharType="begin"/>
      </w:r>
      <w:r w:rsidR="00493D2A">
        <w:instrText xml:space="preserve"> REF _Ref47956669 \h </w:instrText>
      </w:r>
      <w:r w:rsidR="00493D2A">
        <w:fldChar w:fldCharType="separate"/>
      </w:r>
      <w:r w:rsidR="00493D2A">
        <w:t xml:space="preserve">Table </w:t>
      </w:r>
      <w:r w:rsidR="00493D2A">
        <w:rPr>
          <w:noProof/>
        </w:rPr>
        <w:t>2</w:t>
      </w:r>
      <w:r w:rsidR="00493D2A">
        <w:fldChar w:fldCharType="end"/>
      </w:r>
      <w:r w:rsidR="00493D2A">
        <w:t xml:space="preserve"> summarizes the minimum temperature predicted for the model validation cases. </w:t>
      </w:r>
    </w:p>
    <w:p w14:paraId="3FA8438D" w14:textId="77777777" w:rsidR="00B85071" w:rsidRDefault="00B85071" w:rsidP="00B85071">
      <w:pPr>
        <w:keepNext/>
        <w:jc w:val="center"/>
      </w:pPr>
      <w:r w:rsidRPr="003552A7">
        <w:rPr>
          <w:noProof/>
          <w:color w:val="000000" w:themeColor="text1"/>
          <w:kern w:val="24"/>
        </w:rPr>
        <w:drawing>
          <wp:inline distT="0" distB="0" distL="0" distR="0" wp14:anchorId="6C646EC0" wp14:editId="664D125A">
            <wp:extent cx="3228975" cy="2872817"/>
            <wp:effectExtent l="0" t="0" r="0" b="3810"/>
            <wp:docPr id="29" name="Picture 29" descr="C:\Users\sjtaylo4\Desktop\BEAM Thermal Analysis\2020_02_15 Working Model\Tecplot Working Figures\GMT 200 - 30 cfm degr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jtaylo4\Desktop\BEAM Thermal Analysis\2020_02_15 Working Model\Tecplot Working Figures\GMT 200 - 30 cfm degrad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6677" cy="2888566"/>
                    </a:xfrm>
                    <a:prstGeom prst="rect">
                      <a:avLst/>
                    </a:prstGeom>
                    <a:noFill/>
                    <a:ln>
                      <a:noFill/>
                    </a:ln>
                  </pic:spPr>
                </pic:pic>
              </a:graphicData>
            </a:graphic>
          </wp:inline>
        </w:drawing>
      </w:r>
    </w:p>
    <w:p w14:paraId="35343BE2" w14:textId="77777777" w:rsidR="00B85071" w:rsidRDefault="00B85071" w:rsidP="00B85071">
      <w:pPr>
        <w:pStyle w:val="Caption"/>
      </w:pPr>
      <w:bookmarkStart w:id="14" w:name="_Ref47975928"/>
      <w:bookmarkStart w:id="15" w:name="_Ref47975833"/>
      <w:r>
        <w:t xml:space="preserve">Figure </w:t>
      </w:r>
      <w:fldSimple w:instr=" SEQ Figure \* ARABIC ">
        <w:r>
          <w:rPr>
            <w:noProof/>
          </w:rPr>
          <w:t>14</w:t>
        </w:r>
      </w:fldSimple>
      <w:bookmarkEnd w:id="14"/>
      <w:r>
        <w:t>. Sample output for the revised BEAM model.</w:t>
      </w:r>
      <w:bookmarkEnd w:id="15"/>
    </w:p>
    <w:p w14:paraId="2FEA27C4" w14:textId="77777777" w:rsidR="00493D2A" w:rsidRDefault="00493D2A" w:rsidP="001F0BF7">
      <w:pPr>
        <w:jc w:val="both"/>
      </w:pPr>
      <w:r>
        <w:t xml:space="preserve">The table includes the predictions for the model with the original HTC as well as with the degraded HTC on the aft bulkhead. The ten percent factor for the 120 CFM was determined and validated with the </w:t>
      </w:r>
      <w:r w:rsidR="000F64CC">
        <w:t xml:space="preserve">2017 December case and the 2019 July and December cases. The results for the original and degraded HTCs for each model validation case are shown in </w:t>
      </w:r>
      <w:r w:rsidR="000F64CC">
        <w:fldChar w:fldCharType="begin"/>
      </w:r>
      <w:r w:rsidR="000F64CC">
        <w:instrText xml:space="preserve"> REF _Ref47956669 \h </w:instrText>
      </w:r>
      <w:r w:rsidR="000F64CC">
        <w:fldChar w:fldCharType="separate"/>
      </w:r>
      <w:r w:rsidR="000F64CC">
        <w:t xml:space="preserve">Table </w:t>
      </w:r>
      <w:r w:rsidR="000F64CC">
        <w:rPr>
          <w:noProof/>
        </w:rPr>
        <w:t>2</w:t>
      </w:r>
      <w:r w:rsidR="000F64CC">
        <w:fldChar w:fldCharType="end"/>
      </w:r>
      <w:r w:rsidR="000F64CC">
        <w:t xml:space="preserve">. The </w:t>
      </w:r>
      <w:r w:rsidR="00604BE5">
        <w:t xml:space="preserve">original and </w:t>
      </w:r>
      <w:r w:rsidR="000F64CC">
        <w:t xml:space="preserve">degraded HTC coefficients are shown in </w:t>
      </w:r>
      <w:r w:rsidR="00FB17C1">
        <w:fldChar w:fldCharType="begin"/>
      </w:r>
      <w:r w:rsidR="00FB17C1">
        <w:instrText xml:space="preserve"> REF _Ref47963652 \h </w:instrText>
      </w:r>
      <w:r w:rsidR="00FB17C1">
        <w:fldChar w:fldCharType="separate"/>
      </w:r>
      <w:r w:rsidR="00FB17C1" w:rsidRPr="00604BE5">
        <w:t xml:space="preserve">Table </w:t>
      </w:r>
      <w:r w:rsidR="00FB17C1" w:rsidRPr="00604BE5">
        <w:rPr>
          <w:noProof/>
        </w:rPr>
        <w:t>3</w:t>
      </w:r>
      <w:r w:rsidR="00FB17C1">
        <w:fldChar w:fldCharType="end"/>
      </w:r>
      <w:r w:rsidR="00FB17C1">
        <w:t xml:space="preserve">. From the results, it can be observed that the degraded minimum temperature is </w:t>
      </w:r>
      <w:r w:rsidR="003F13CD">
        <w:t>in good agreement with</w:t>
      </w:r>
      <w:r w:rsidR="00FB17C1">
        <w:t xml:space="preserve"> the flight minimum temperatures (</w:t>
      </w:r>
      <w:r w:rsidR="007E4FDF">
        <w:t>within 1 °C).</w:t>
      </w:r>
    </w:p>
    <w:p w14:paraId="45045BCD" w14:textId="77777777" w:rsidR="00C337D8" w:rsidRDefault="00C337D8" w:rsidP="00C337D8">
      <w:pPr>
        <w:pStyle w:val="Caption"/>
      </w:pPr>
      <w:bookmarkStart w:id="16" w:name="_Ref47956669"/>
      <w:r>
        <w:lastRenderedPageBreak/>
        <w:t xml:space="preserve">Table </w:t>
      </w:r>
      <w:fldSimple w:instr=" SEQ Table \* ARABIC ">
        <w:r w:rsidR="0009105F">
          <w:rPr>
            <w:noProof/>
          </w:rPr>
          <w:t>2</w:t>
        </w:r>
      </w:fldSimple>
      <w:bookmarkEnd w:id="16"/>
      <w:r>
        <w:t>.  Model Validation Case Results: PTRRJ = -40</w:t>
      </w:r>
      <w:r w:rsidR="003F130F">
        <w:t>.</w:t>
      </w:r>
    </w:p>
    <w:tbl>
      <w:tblPr>
        <w:tblW w:w="9476" w:type="dxa"/>
        <w:tblInd w:w="-10" w:type="dxa"/>
        <w:tblLook w:val="04A0" w:firstRow="1" w:lastRow="0" w:firstColumn="1" w:lastColumn="0" w:noHBand="0" w:noVBand="1"/>
      </w:tblPr>
      <w:tblGrid>
        <w:gridCol w:w="990"/>
        <w:gridCol w:w="810"/>
        <w:gridCol w:w="810"/>
        <w:gridCol w:w="1710"/>
        <w:gridCol w:w="1710"/>
        <w:gridCol w:w="763"/>
        <w:gridCol w:w="1037"/>
        <w:gridCol w:w="830"/>
        <w:gridCol w:w="816"/>
      </w:tblGrid>
      <w:tr w:rsidR="0048483C" w:rsidRPr="0048483C" w14:paraId="41DE85AC" w14:textId="77777777" w:rsidTr="00DB66D8">
        <w:trPr>
          <w:trHeight w:val="1392"/>
        </w:trPr>
        <w:tc>
          <w:tcPr>
            <w:tcW w:w="99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34299E5"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Date</w:t>
            </w:r>
          </w:p>
        </w:tc>
        <w:tc>
          <w:tcPr>
            <w:tcW w:w="810" w:type="dxa"/>
            <w:tcBorders>
              <w:top w:val="single" w:sz="8" w:space="0" w:color="auto"/>
              <w:left w:val="nil"/>
              <w:bottom w:val="single" w:sz="8" w:space="0" w:color="auto"/>
              <w:right w:val="single" w:sz="8" w:space="0" w:color="auto"/>
            </w:tcBorders>
            <w:shd w:val="clear" w:color="000000" w:fill="D0CECE"/>
            <w:noWrap/>
            <w:vAlign w:val="center"/>
            <w:hideMark/>
          </w:tcPr>
          <w:p w14:paraId="3D16B88A"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GMT</w:t>
            </w:r>
          </w:p>
        </w:tc>
        <w:tc>
          <w:tcPr>
            <w:tcW w:w="810" w:type="dxa"/>
            <w:tcBorders>
              <w:top w:val="single" w:sz="8" w:space="0" w:color="auto"/>
              <w:left w:val="nil"/>
              <w:bottom w:val="single" w:sz="8" w:space="0" w:color="auto"/>
              <w:right w:val="single" w:sz="8" w:space="0" w:color="auto"/>
            </w:tcBorders>
            <w:shd w:val="clear" w:color="000000" w:fill="D0CECE"/>
            <w:noWrap/>
            <w:vAlign w:val="center"/>
            <w:hideMark/>
          </w:tcPr>
          <w:p w14:paraId="2BB25183"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CFM</w:t>
            </w:r>
          </w:p>
        </w:tc>
        <w:tc>
          <w:tcPr>
            <w:tcW w:w="1710" w:type="dxa"/>
            <w:tcBorders>
              <w:top w:val="single" w:sz="8" w:space="0" w:color="auto"/>
              <w:left w:val="nil"/>
              <w:bottom w:val="single" w:sz="8" w:space="0" w:color="auto"/>
              <w:right w:val="single" w:sz="8" w:space="0" w:color="auto"/>
            </w:tcBorders>
            <w:shd w:val="clear" w:color="000000" w:fill="D0CECE"/>
            <w:vAlign w:val="center"/>
            <w:hideMark/>
          </w:tcPr>
          <w:p w14:paraId="72EDDE16"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Min Temp °C (baseline)</w:t>
            </w:r>
          </w:p>
        </w:tc>
        <w:tc>
          <w:tcPr>
            <w:tcW w:w="1710" w:type="dxa"/>
            <w:tcBorders>
              <w:top w:val="single" w:sz="8" w:space="0" w:color="auto"/>
              <w:left w:val="nil"/>
              <w:bottom w:val="single" w:sz="8" w:space="0" w:color="auto"/>
              <w:right w:val="single" w:sz="8" w:space="0" w:color="auto"/>
            </w:tcBorders>
            <w:shd w:val="clear" w:color="000000" w:fill="D0CECE"/>
            <w:vAlign w:val="center"/>
            <w:hideMark/>
          </w:tcPr>
          <w:p w14:paraId="2A6DE77B"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Min Temp °C (degraded)</w:t>
            </w:r>
          </w:p>
        </w:tc>
        <w:tc>
          <w:tcPr>
            <w:tcW w:w="763" w:type="dxa"/>
            <w:tcBorders>
              <w:top w:val="single" w:sz="8" w:space="0" w:color="auto"/>
              <w:left w:val="nil"/>
              <w:bottom w:val="single" w:sz="8" w:space="0" w:color="auto"/>
              <w:right w:val="single" w:sz="8" w:space="0" w:color="auto"/>
            </w:tcBorders>
            <w:shd w:val="clear" w:color="000000" w:fill="D0CECE"/>
            <w:vAlign w:val="center"/>
            <w:hideMark/>
          </w:tcPr>
          <w:p w14:paraId="55562C54"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Delta</w:t>
            </w:r>
          </w:p>
        </w:tc>
        <w:tc>
          <w:tcPr>
            <w:tcW w:w="1037" w:type="dxa"/>
            <w:tcBorders>
              <w:top w:val="single" w:sz="8" w:space="0" w:color="auto"/>
              <w:left w:val="nil"/>
              <w:bottom w:val="single" w:sz="8" w:space="0" w:color="auto"/>
              <w:right w:val="single" w:sz="8" w:space="0" w:color="auto"/>
            </w:tcBorders>
            <w:shd w:val="clear" w:color="000000" w:fill="D0CECE"/>
            <w:vAlign w:val="center"/>
            <w:hideMark/>
          </w:tcPr>
          <w:p w14:paraId="65EF79C4"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Flight Min Temp Date</w:t>
            </w:r>
          </w:p>
        </w:tc>
        <w:tc>
          <w:tcPr>
            <w:tcW w:w="830" w:type="dxa"/>
            <w:tcBorders>
              <w:top w:val="single" w:sz="8" w:space="0" w:color="auto"/>
              <w:left w:val="nil"/>
              <w:bottom w:val="single" w:sz="8" w:space="0" w:color="auto"/>
              <w:right w:val="single" w:sz="8" w:space="0" w:color="auto"/>
            </w:tcBorders>
            <w:shd w:val="clear" w:color="000000" w:fill="D0CECE"/>
            <w:vAlign w:val="center"/>
            <w:hideMark/>
          </w:tcPr>
          <w:p w14:paraId="2F1F3995"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Flight Min Temp °C</w:t>
            </w:r>
          </w:p>
        </w:tc>
        <w:tc>
          <w:tcPr>
            <w:tcW w:w="816" w:type="dxa"/>
            <w:tcBorders>
              <w:top w:val="single" w:sz="8" w:space="0" w:color="auto"/>
              <w:left w:val="nil"/>
              <w:bottom w:val="single" w:sz="8" w:space="0" w:color="auto"/>
              <w:right w:val="single" w:sz="8" w:space="0" w:color="auto"/>
            </w:tcBorders>
            <w:shd w:val="clear" w:color="000000" w:fill="D0CECE"/>
            <w:vAlign w:val="center"/>
            <w:hideMark/>
          </w:tcPr>
          <w:p w14:paraId="5BF0D9C0"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IMV Inlet Temp °F</w:t>
            </w:r>
          </w:p>
        </w:tc>
      </w:tr>
      <w:tr w:rsidR="0048483C" w:rsidRPr="0048483C" w14:paraId="1DEFB72C"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0BAF90B"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19-Jul</w:t>
            </w:r>
          </w:p>
        </w:tc>
        <w:tc>
          <w:tcPr>
            <w:tcW w:w="810" w:type="dxa"/>
            <w:tcBorders>
              <w:top w:val="nil"/>
              <w:left w:val="nil"/>
              <w:bottom w:val="single" w:sz="8" w:space="0" w:color="auto"/>
              <w:right w:val="single" w:sz="8" w:space="0" w:color="auto"/>
            </w:tcBorders>
            <w:shd w:val="clear" w:color="auto" w:fill="auto"/>
            <w:noWrap/>
            <w:vAlign w:val="center"/>
            <w:hideMark/>
          </w:tcPr>
          <w:p w14:paraId="6FF0E180"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0707E8C9"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120</w:t>
            </w:r>
          </w:p>
        </w:tc>
        <w:tc>
          <w:tcPr>
            <w:tcW w:w="1710" w:type="dxa"/>
            <w:tcBorders>
              <w:top w:val="nil"/>
              <w:left w:val="nil"/>
              <w:bottom w:val="single" w:sz="8" w:space="0" w:color="auto"/>
              <w:right w:val="single" w:sz="8" w:space="0" w:color="auto"/>
            </w:tcBorders>
            <w:shd w:val="clear" w:color="auto" w:fill="auto"/>
            <w:noWrap/>
            <w:vAlign w:val="center"/>
            <w:hideMark/>
          </w:tcPr>
          <w:p w14:paraId="557A0F1B"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17.6</w:t>
            </w:r>
          </w:p>
        </w:tc>
        <w:tc>
          <w:tcPr>
            <w:tcW w:w="1710" w:type="dxa"/>
            <w:tcBorders>
              <w:top w:val="nil"/>
              <w:left w:val="nil"/>
              <w:bottom w:val="single" w:sz="8" w:space="0" w:color="auto"/>
              <w:right w:val="single" w:sz="8" w:space="0" w:color="auto"/>
            </w:tcBorders>
            <w:shd w:val="clear" w:color="auto" w:fill="auto"/>
            <w:noWrap/>
            <w:vAlign w:val="center"/>
            <w:hideMark/>
          </w:tcPr>
          <w:p w14:paraId="46A25F7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14.3</w:t>
            </w:r>
          </w:p>
        </w:tc>
        <w:tc>
          <w:tcPr>
            <w:tcW w:w="763" w:type="dxa"/>
            <w:tcBorders>
              <w:top w:val="nil"/>
              <w:left w:val="nil"/>
              <w:bottom w:val="single" w:sz="8" w:space="0" w:color="auto"/>
              <w:right w:val="single" w:sz="8" w:space="0" w:color="auto"/>
            </w:tcBorders>
            <w:shd w:val="clear" w:color="auto" w:fill="auto"/>
            <w:noWrap/>
            <w:vAlign w:val="center"/>
            <w:hideMark/>
          </w:tcPr>
          <w:p w14:paraId="5E353E35"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3.3</w:t>
            </w:r>
          </w:p>
        </w:tc>
        <w:tc>
          <w:tcPr>
            <w:tcW w:w="1037" w:type="dxa"/>
            <w:tcBorders>
              <w:top w:val="nil"/>
              <w:left w:val="nil"/>
              <w:bottom w:val="single" w:sz="8" w:space="0" w:color="auto"/>
              <w:right w:val="single" w:sz="8" w:space="0" w:color="auto"/>
            </w:tcBorders>
            <w:shd w:val="clear" w:color="auto" w:fill="auto"/>
            <w:noWrap/>
            <w:vAlign w:val="center"/>
            <w:hideMark/>
          </w:tcPr>
          <w:p w14:paraId="3BA0594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201</w:t>
            </w:r>
          </w:p>
        </w:tc>
        <w:tc>
          <w:tcPr>
            <w:tcW w:w="830" w:type="dxa"/>
            <w:tcBorders>
              <w:top w:val="nil"/>
              <w:left w:val="nil"/>
              <w:bottom w:val="single" w:sz="8" w:space="0" w:color="auto"/>
              <w:right w:val="single" w:sz="8" w:space="0" w:color="auto"/>
            </w:tcBorders>
            <w:shd w:val="clear" w:color="auto" w:fill="auto"/>
            <w:noWrap/>
            <w:vAlign w:val="center"/>
            <w:hideMark/>
          </w:tcPr>
          <w:p w14:paraId="118D294C"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14.4</w:t>
            </w:r>
          </w:p>
        </w:tc>
        <w:tc>
          <w:tcPr>
            <w:tcW w:w="816" w:type="dxa"/>
            <w:tcBorders>
              <w:top w:val="nil"/>
              <w:left w:val="nil"/>
              <w:bottom w:val="single" w:sz="8" w:space="0" w:color="auto"/>
              <w:right w:val="single" w:sz="8" w:space="0" w:color="auto"/>
            </w:tcBorders>
            <w:shd w:val="clear" w:color="auto" w:fill="auto"/>
            <w:noWrap/>
            <w:vAlign w:val="center"/>
            <w:hideMark/>
          </w:tcPr>
          <w:p w14:paraId="6F7606CC"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r w:rsidR="0048483C" w:rsidRPr="0048483C" w14:paraId="0C6E3D1F"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052DE9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19-Oct</w:t>
            </w:r>
          </w:p>
        </w:tc>
        <w:tc>
          <w:tcPr>
            <w:tcW w:w="810" w:type="dxa"/>
            <w:tcBorders>
              <w:top w:val="nil"/>
              <w:left w:val="nil"/>
              <w:bottom w:val="single" w:sz="8" w:space="0" w:color="auto"/>
              <w:right w:val="single" w:sz="8" w:space="0" w:color="auto"/>
            </w:tcBorders>
            <w:shd w:val="clear" w:color="auto" w:fill="auto"/>
            <w:noWrap/>
            <w:vAlign w:val="center"/>
            <w:hideMark/>
          </w:tcPr>
          <w:p w14:paraId="563204E5"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292</w:t>
            </w:r>
          </w:p>
        </w:tc>
        <w:tc>
          <w:tcPr>
            <w:tcW w:w="810" w:type="dxa"/>
            <w:tcBorders>
              <w:top w:val="nil"/>
              <w:left w:val="nil"/>
              <w:bottom w:val="single" w:sz="8" w:space="0" w:color="auto"/>
              <w:right w:val="single" w:sz="8" w:space="0" w:color="auto"/>
            </w:tcBorders>
            <w:shd w:val="clear" w:color="auto" w:fill="auto"/>
            <w:noWrap/>
            <w:vAlign w:val="center"/>
            <w:hideMark/>
          </w:tcPr>
          <w:p w14:paraId="57F2AE51"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60</w:t>
            </w:r>
          </w:p>
        </w:tc>
        <w:tc>
          <w:tcPr>
            <w:tcW w:w="1710" w:type="dxa"/>
            <w:tcBorders>
              <w:top w:val="nil"/>
              <w:left w:val="nil"/>
              <w:bottom w:val="single" w:sz="8" w:space="0" w:color="auto"/>
              <w:right w:val="single" w:sz="8" w:space="0" w:color="auto"/>
            </w:tcBorders>
            <w:shd w:val="clear" w:color="auto" w:fill="auto"/>
            <w:noWrap/>
            <w:vAlign w:val="center"/>
            <w:hideMark/>
          </w:tcPr>
          <w:p w14:paraId="14162D3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17.4</w:t>
            </w:r>
          </w:p>
        </w:tc>
        <w:tc>
          <w:tcPr>
            <w:tcW w:w="1710" w:type="dxa"/>
            <w:tcBorders>
              <w:top w:val="nil"/>
              <w:left w:val="nil"/>
              <w:bottom w:val="single" w:sz="8" w:space="0" w:color="auto"/>
              <w:right w:val="single" w:sz="8" w:space="0" w:color="auto"/>
            </w:tcBorders>
            <w:shd w:val="clear" w:color="auto" w:fill="auto"/>
            <w:noWrap/>
            <w:vAlign w:val="center"/>
            <w:hideMark/>
          </w:tcPr>
          <w:p w14:paraId="31D0B3DA"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15.4</w:t>
            </w:r>
          </w:p>
        </w:tc>
        <w:tc>
          <w:tcPr>
            <w:tcW w:w="763" w:type="dxa"/>
            <w:tcBorders>
              <w:top w:val="nil"/>
              <w:left w:val="nil"/>
              <w:bottom w:val="single" w:sz="8" w:space="0" w:color="auto"/>
              <w:right w:val="single" w:sz="8" w:space="0" w:color="auto"/>
            </w:tcBorders>
            <w:shd w:val="clear" w:color="auto" w:fill="auto"/>
            <w:noWrap/>
            <w:vAlign w:val="center"/>
            <w:hideMark/>
          </w:tcPr>
          <w:p w14:paraId="2E90801F"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2</w:t>
            </w:r>
          </w:p>
        </w:tc>
        <w:tc>
          <w:tcPr>
            <w:tcW w:w="1037" w:type="dxa"/>
            <w:tcBorders>
              <w:top w:val="nil"/>
              <w:left w:val="nil"/>
              <w:bottom w:val="single" w:sz="8" w:space="0" w:color="auto"/>
              <w:right w:val="single" w:sz="8" w:space="0" w:color="auto"/>
            </w:tcBorders>
            <w:shd w:val="clear" w:color="auto" w:fill="auto"/>
            <w:noWrap/>
            <w:vAlign w:val="center"/>
            <w:hideMark/>
          </w:tcPr>
          <w:p w14:paraId="788FFB80"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291</w:t>
            </w:r>
          </w:p>
        </w:tc>
        <w:tc>
          <w:tcPr>
            <w:tcW w:w="830" w:type="dxa"/>
            <w:tcBorders>
              <w:top w:val="nil"/>
              <w:left w:val="nil"/>
              <w:bottom w:val="single" w:sz="8" w:space="0" w:color="auto"/>
              <w:right w:val="single" w:sz="8" w:space="0" w:color="auto"/>
            </w:tcBorders>
            <w:shd w:val="clear" w:color="auto" w:fill="auto"/>
            <w:noWrap/>
            <w:vAlign w:val="center"/>
            <w:hideMark/>
          </w:tcPr>
          <w:p w14:paraId="46B0605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14.1</w:t>
            </w:r>
          </w:p>
        </w:tc>
        <w:tc>
          <w:tcPr>
            <w:tcW w:w="816" w:type="dxa"/>
            <w:tcBorders>
              <w:top w:val="nil"/>
              <w:left w:val="nil"/>
              <w:bottom w:val="single" w:sz="8" w:space="0" w:color="auto"/>
              <w:right w:val="single" w:sz="8" w:space="0" w:color="auto"/>
            </w:tcBorders>
            <w:shd w:val="clear" w:color="auto" w:fill="auto"/>
            <w:noWrap/>
            <w:vAlign w:val="center"/>
            <w:hideMark/>
          </w:tcPr>
          <w:p w14:paraId="776C2FAF"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r w:rsidR="0048483C" w:rsidRPr="0048483C" w14:paraId="5CD4F5F8"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C2B7B24"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19-Oct</w:t>
            </w:r>
          </w:p>
        </w:tc>
        <w:tc>
          <w:tcPr>
            <w:tcW w:w="810" w:type="dxa"/>
            <w:tcBorders>
              <w:top w:val="nil"/>
              <w:left w:val="nil"/>
              <w:bottom w:val="single" w:sz="8" w:space="0" w:color="auto"/>
              <w:right w:val="single" w:sz="8" w:space="0" w:color="auto"/>
            </w:tcBorders>
            <w:shd w:val="clear" w:color="auto" w:fill="auto"/>
            <w:noWrap/>
            <w:vAlign w:val="center"/>
            <w:hideMark/>
          </w:tcPr>
          <w:p w14:paraId="2B200CB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292</w:t>
            </w:r>
          </w:p>
        </w:tc>
        <w:tc>
          <w:tcPr>
            <w:tcW w:w="810" w:type="dxa"/>
            <w:tcBorders>
              <w:top w:val="nil"/>
              <w:left w:val="nil"/>
              <w:bottom w:val="single" w:sz="8" w:space="0" w:color="auto"/>
              <w:right w:val="single" w:sz="8" w:space="0" w:color="auto"/>
            </w:tcBorders>
            <w:shd w:val="clear" w:color="auto" w:fill="auto"/>
            <w:noWrap/>
            <w:vAlign w:val="center"/>
            <w:hideMark/>
          </w:tcPr>
          <w:p w14:paraId="07948D0B"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30</w:t>
            </w:r>
          </w:p>
        </w:tc>
        <w:tc>
          <w:tcPr>
            <w:tcW w:w="1710" w:type="dxa"/>
            <w:tcBorders>
              <w:top w:val="nil"/>
              <w:left w:val="nil"/>
              <w:bottom w:val="single" w:sz="8" w:space="0" w:color="auto"/>
              <w:right w:val="single" w:sz="8" w:space="0" w:color="auto"/>
            </w:tcBorders>
            <w:shd w:val="clear" w:color="auto" w:fill="auto"/>
            <w:noWrap/>
            <w:vAlign w:val="center"/>
            <w:hideMark/>
          </w:tcPr>
          <w:p w14:paraId="68F39A30"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15.5</w:t>
            </w:r>
          </w:p>
        </w:tc>
        <w:tc>
          <w:tcPr>
            <w:tcW w:w="1710" w:type="dxa"/>
            <w:tcBorders>
              <w:top w:val="nil"/>
              <w:left w:val="nil"/>
              <w:bottom w:val="single" w:sz="8" w:space="0" w:color="auto"/>
              <w:right w:val="single" w:sz="8" w:space="0" w:color="auto"/>
            </w:tcBorders>
            <w:shd w:val="clear" w:color="auto" w:fill="auto"/>
            <w:noWrap/>
            <w:vAlign w:val="center"/>
            <w:hideMark/>
          </w:tcPr>
          <w:p w14:paraId="646F104E"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13.9</w:t>
            </w:r>
          </w:p>
        </w:tc>
        <w:tc>
          <w:tcPr>
            <w:tcW w:w="763" w:type="dxa"/>
            <w:tcBorders>
              <w:top w:val="nil"/>
              <w:left w:val="nil"/>
              <w:bottom w:val="single" w:sz="8" w:space="0" w:color="auto"/>
              <w:right w:val="single" w:sz="8" w:space="0" w:color="auto"/>
            </w:tcBorders>
            <w:shd w:val="clear" w:color="auto" w:fill="auto"/>
            <w:noWrap/>
            <w:vAlign w:val="center"/>
            <w:hideMark/>
          </w:tcPr>
          <w:p w14:paraId="13D17D9E"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1.6</w:t>
            </w:r>
          </w:p>
        </w:tc>
        <w:tc>
          <w:tcPr>
            <w:tcW w:w="1037" w:type="dxa"/>
            <w:tcBorders>
              <w:top w:val="nil"/>
              <w:left w:val="nil"/>
              <w:bottom w:val="single" w:sz="8" w:space="0" w:color="auto"/>
              <w:right w:val="single" w:sz="8" w:space="0" w:color="auto"/>
            </w:tcBorders>
            <w:shd w:val="clear" w:color="auto" w:fill="auto"/>
            <w:noWrap/>
            <w:vAlign w:val="center"/>
            <w:hideMark/>
          </w:tcPr>
          <w:p w14:paraId="66CCE4D9"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291</w:t>
            </w:r>
          </w:p>
        </w:tc>
        <w:tc>
          <w:tcPr>
            <w:tcW w:w="830" w:type="dxa"/>
            <w:tcBorders>
              <w:top w:val="nil"/>
              <w:left w:val="nil"/>
              <w:bottom w:val="single" w:sz="8" w:space="0" w:color="auto"/>
              <w:right w:val="single" w:sz="8" w:space="0" w:color="auto"/>
            </w:tcBorders>
            <w:shd w:val="clear" w:color="auto" w:fill="auto"/>
            <w:noWrap/>
            <w:vAlign w:val="center"/>
            <w:hideMark/>
          </w:tcPr>
          <w:p w14:paraId="5D74397D"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14.1</w:t>
            </w:r>
          </w:p>
        </w:tc>
        <w:tc>
          <w:tcPr>
            <w:tcW w:w="816" w:type="dxa"/>
            <w:tcBorders>
              <w:top w:val="nil"/>
              <w:left w:val="nil"/>
              <w:bottom w:val="single" w:sz="8" w:space="0" w:color="auto"/>
              <w:right w:val="single" w:sz="8" w:space="0" w:color="auto"/>
            </w:tcBorders>
            <w:shd w:val="clear" w:color="auto" w:fill="auto"/>
            <w:noWrap/>
            <w:vAlign w:val="center"/>
            <w:hideMark/>
          </w:tcPr>
          <w:p w14:paraId="4ECE566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r w:rsidR="0048483C" w:rsidRPr="0048483C" w14:paraId="48FF9DD8"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0ED1B69"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19-Dec</w:t>
            </w:r>
          </w:p>
        </w:tc>
        <w:tc>
          <w:tcPr>
            <w:tcW w:w="810" w:type="dxa"/>
            <w:tcBorders>
              <w:top w:val="nil"/>
              <w:left w:val="nil"/>
              <w:bottom w:val="single" w:sz="8" w:space="0" w:color="auto"/>
              <w:right w:val="single" w:sz="8" w:space="0" w:color="auto"/>
            </w:tcBorders>
            <w:shd w:val="clear" w:color="auto" w:fill="auto"/>
            <w:noWrap/>
            <w:vAlign w:val="center"/>
            <w:hideMark/>
          </w:tcPr>
          <w:p w14:paraId="53416FB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350</w:t>
            </w:r>
          </w:p>
        </w:tc>
        <w:tc>
          <w:tcPr>
            <w:tcW w:w="810" w:type="dxa"/>
            <w:tcBorders>
              <w:top w:val="nil"/>
              <w:left w:val="nil"/>
              <w:bottom w:val="single" w:sz="8" w:space="0" w:color="auto"/>
              <w:right w:val="single" w:sz="8" w:space="0" w:color="auto"/>
            </w:tcBorders>
            <w:shd w:val="clear" w:color="auto" w:fill="auto"/>
            <w:noWrap/>
            <w:vAlign w:val="center"/>
            <w:hideMark/>
          </w:tcPr>
          <w:p w14:paraId="1066F6E1"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120</w:t>
            </w:r>
          </w:p>
        </w:tc>
        <w:tc>
          <w:tcPr>
            <w:tcW w:w="1710" w:type="dxa"/>
            <w:tcBorders>
              <w:top w:val="nil"/>
              <w:left w:val="nil"/>
              <w:bottom w:val="single" w:sz="8" w:space="0" w:color="auto"/>
              <w:right w:val="single" w:sz="8" w:space="0" w:color="auto"/>
            </w:tcBorders>
            <w:shd w:val="clear" w:color="auto" w:fill="auto"/>
            <w:noWrap/>
            <w:vAlign w:val="center"/>
            <w:hideMark/>
          </w:tcPr>
          <w:p w14:paraId="5919C8D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17.5</w:t>
            </w:r>
          </w:p>
        </w:tc>
        <w:tc>
          <w:tcPr>
            <w:tcW w:w="1710" w:type="dxa"/>
            <w:tcBorders>
              <w:top w:val="nil"/>
              <w:left w:val="nil"/>
              <w:bottom w:val="single" w:sz="8" w:space="0" w:color="auto"/>
              <w:right w:val="single" w:sz="8" w:space="0" w:color="auto"/>
            </w:tcBorders>
            <w:shd w:val="clear" w:color="auto" w:fill="auto"/>
            <w:noWrap/>
            <w:vAlign w:val="center"/>
            <w:hideMark/>
          </w:tcPr>
          <w:p w14:paraId="4D3AB54C"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w:t>
            </w:r>
          </w:p>
        </w:tc>
        <w:tc>
          <w:tcPr>
            <w:tcW w:w="763" w:type="dxa"/>
            <w:tcBorders>
              <w:top w:val="nil"/>
              <w:left w:val="nil"/>
              <w:bottom w:val="single" w:sz="8" w:space="0" w:color="auto"/>
              <w:right w:val="single" w:sz="8" w:space="0" w:color="auto"/>
            </w:tcBorders>
            <w:shd w:val="clear" w:color="auto" w:fill="auto"/>
            <w:noWrap/>
            <w:vAlign w:val="center"/>
            <w:hideMark/>
          </w:tcPr>
          <w:p w14:paraId="604A129A"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3.5</w:t>
            </w:r>
          </w:p>
        </w:tc>
        <w:tc>
          <w:tcPr>
            <w:tcW w:w="1037" w:type="dxa"/>
            <w:tcBorders>
              <w:top w:val="nil"/>
              <w:left w:val="nil"/>
              <w:bottom w:val="single" w:sz="8" w:space="0" w:color="auto"/>
              <w:right w:val="single" w:sz="8" w:space="0" w:color="auto"/>
            </w:tcBorders>
            <w:shd w:val="clear" w:color="auto" w:fill="auto"/>
            <w:noWrap/>
            <w:vAlign w:val="center"/>
            <w:hideMark/>
          </w:tcPr>
          <w:p w14:paraId="14B890AA"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355</w:t>
            </w:r>
          </w:p>
        </w:tc>
        <w:tc>
          <w:tcPr>
            <w:tcW w:w="830" w:type="dxa"/>
            <w:tcBorders>
              <w:top w:val="nil"/>
              <w:left w:val="nil"/>
              <w:bottom w:val="single" w:sz="8" w:space="0" w:color="auto"/>
              <w:right w:val="single" w:sz="8" w:space="0" w:color="auto"/>
            </w:tcBorders>
            <w:shd w:val="clear" w:color="auto" w:fill="auto"/>
            <w:noWrap/>
            <w:vAlign w:val="center"/>
            <w:hideMark/>
          </w:tcPr>
          <w:p w14:paraId="079280C2"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15.0</w:t>
            </w:r>
          </w:p>
        </w:tc>
        <w:tc>
          <w:tcPr>
            <w:tcW w:w="816" w:type="dxa"/>
            <w:tcBorders>
              <w:top w:val="nil"/>
              <w:left w:val="nil"/>
              <w:bottom w:val="single" w:sz="8" w:space="0" w:color="auto"/>
              <w:right w:val="single" w:sz="8" w:space="0" w:color="auto"/>
            </w:tcBorders>
            <w:shd w:val="clear" w:color="auto" w:fill="auto"/>
            <w:noWrap/>
            <w:vAlign w:val="center"/>
            <w:hideMark/>
          </w:tcPr>
          <w:p w14:paraId="1A625265"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r w:rsidR="0048483C" w:rsidRPr="0048483C" w14:paraId="09D5065D"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157474E"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17-Aug</w:t>
            </w:r>
          </w:p>
        </w:tc>
        <w:tc>
          <w:tcPr>
            <w:tcW w:w="810" w:type="dxa"/>
            <w:tcBorders>
              <w:top w:val="nil"/>
              <w:left w:val="nil"/>
              <w:bottom w:val="single" w:sz="8" w:space="0" w:color="auto"/>
              <w:right w:val="single" w:sz="8" w:space="0" w:color="auto"/>
            </w:tcBorders>
            <w:shd w:val="clear" w:color="auto" w:fill="auto"/>
            <w:noWrap/>
            <w:vAlign w:val="center"/>
            <w:hideMark/>
          </w:tcPr>
          <w:p w14:paraId="5C573B06"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239</w:t>
            </w:r>
          </w:p>
        </w:tc>
        <w:tc>
          <w:tcPr>
            <w:tcW w:w="810" w:type="dxa"/>
            <w:tcBorders>
              <w:top w:val="nil"/>
              <w:left w:val="nil"/>
              <w:bottom w:val="single" w:sz="8" w:space="0" w:color="auto"/>
              <w:right w:val="single" w:sz="8" w:space="0" w:color="auto"/>
            </w:tcBorders>
            <w:shd w:val="clear" w:color="auto" w:fill="auto"/>
            <w:noWrap/>
            <w:vAlign w:val="center"/>
            <w:hideMark/>
          </w:tcPr>
          <w:p w14:paraId="19803E28"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60</w:t>
            </w:r>
          </w:p>
        </w:tc>
        <w:tc>
          <w:tcPr>
            <w:tcW w:w="1710" w:type="dxa"/>
            <w:tcBorders>
              <w:top w:val="nil"/>
              <w:left w:val="nil"/>
              <w:bottom w:val="single" w:sz="8" w:space="0" w:color="auto"/>
              <w:right w:val="single" w:sz="8" w:space="0" w:color="auto"/>
            </w:tcBorders>
            <w:shd w:val="clear" w:color="auto" w:fill="auto"/>
            <w:noWrap/>
            <w:vAlign w:val="center"/>
            <w:hideMark/>
          </w:tcPr>
          <w:p w14:paraId="67DD4A5D"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16.7</w:t>
            </w:r>
          </w:p>
        </w:tc>
        <w:tc>
          <w:tcPr>
            <w:tcW w:w="1710" w:type="dxa"/>
            <w:tcBorders>
              <w:top w:val="nil"/>
              <w:left w:val="nil"/>
              <w:bottom w:val="single" w:sz="8" w:space="0" w:color="auto"/>
              <w:right w:val="single" w:sz="8" w:space="0" w:color="auto"/>
            </w:tcBorders>
            <w:shd w:val="clear" w:color="auto" w:fill="auto"/>
            <w:noWrap/>
            <w:vAlign w:val="center"/>
            <w:hideMark/>
          </w:tcPr>
          <w:p w14:paraId="2F7AB6B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14.3</w:t>
            </w:r>
          </w:p>
        </w:tc>
        <w:tc>
          <w:tcPr>
            <w:tcW w:w="763" w:type="dxa"/>
            <w:tcBorders>
              <w:top w:val="nil"/>
              <w:left w:val="nil"/>
              <w:bottom w:val="single" w:sz="8" w:space="0" w:color="auto"/>
              <w:right w:val="single" w:sz="8" w:space="0" w:color="auto"/>
            </w:tcBorders>
            <w:shd w:val="clear" w:color="auto" w:fill="auto"/>
            <w:noWrap/>
            <w:vAlign w:val="center"/>
            <w:hideMark/>
          </w:tcPr>
          <w:p w14:paraId="11C057A9"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2.4</w:t>
            </w:r>
          </w:p>
        </w:tc>
        <w:tc>
          <w:tcPr>
            <w:tcW w:w="1037" w:type="dxa"/>
            <w:tcBorders>
              <w:top w:val="nil"/>
              <w:left w:val="nil"/>
              <w:bottom w:val="single" w:sz="8" w:space="0" w:color="auto"/>
              <w:right w:val="single" w:sz="8" w:space="0" w:color="auto"/>
            </w:tcBorders>
            <w:shd w:val="clear" w:color="auto" w:fill="auto"/>
            <w:noWrap/>
            <w:vAlign w:val="center"/>
            <w:hideMark/>
          </w:tcPr>
          <w:p w14:paraId="1AEFA552"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243</w:t>
            </w:r>
          </w:p>
        </w:tc>
        <w:tc>
          <w:tcPr>
            <w:tcW w:w="830" w:type="dxa"/>
            <w:tcBorders>
              <w:top w:val="nil"/>
              <w:left w:val="nil"/>
              <w:bottom w:val="single" w:sz="8" w:space="0" w:color="auto"/>
              <w:right w:val="single" w:sz="8" w:space="0" w:color="auto"/>
            </w:tcBorders>
            <w:shd w:val="clear" w:color="auto" w:fill="auto"/>
            <w:noWrap/>
            <w:vAlign w:val="center"/>
            <w:hideMark/>
          </w:tcPr>
          <w:p w14:paraId="76A5F3BB"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16.3</w:t>
            </w:r>
          </w:p>
        </w:tc>
        <w:tc>
          <w:tcPr>
            <w:tcW w:w="816" w:type="dxa"/>
            <w:tcBorders>
              <w:top w:val="nil"/>
              <w:left w:val="nil"/>
              <w:bottom w:val="single" w:sz="8" w:space="0" w:color="auto"/>
              <w:right w:val="single" w:sz="8" w:space="0" w:color="auto"/>
            </w:tcBorders>
            <w:shd w:val="clear" w:color="auto" w:fill="auto"/>
            <w:noWrap/>
            <w:vAlign w:val="center"/>
            <w:hideMark/>
          </w:tcPr>
          <w:p w14:paraId="57844EEF"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bl>
    <w:p w14:paraId="4C61C19A" w14:textId="77777777" w:rsidR="000B78E1" w:rsidRDefault="000B78E1" w:rsidP="00712233">
      <w:pPr>
        <w:pStyle w:val="Caption"/>
      </w:pPr>
      <w:bookmarkStart w:id="17" w:name="_Ref47963652"/>
    </w:p>
    <w:p w14:paraId="5D4D040A" w14:textId="77777777" w:rsidR="00604BE5" w:rsidRPr="00604BE5" w:rsidRDefault="00604BE5" w:rsidP="00712233">
      <w:pPr>
        <w:pStyle w:val="Caption"/>
      </w:pPr>
      <w:r w:rsidRPr="00604BE5">
        <w:t xml:space="preserve">Table </w:t>
      </w:r>
      <w:fldSimple w:instr=" SEQ Table \* ARABIC ">
        <w:r w:rsidR="0009105F">
          <w:rPr>
            <w:noProof/>
          </w:rPr>
          <w:t>3</w:t>
        </w:r>
      </w:fldSimple>
      <w:bookmarkEnd w:id="17"/>
      <w:r w:rsidRPr="00604BE5">
        <w:t>. Model HTC Aft Bulkhead Coefficients</w:t>
      </w:r>
      <w:r w:rsidR="003F130F">
        <w:t>.</w:t>
      </w:r>
    </w:p>
    <w:tbl>
      <w:tblPr>
        <w:tblW w:w="7754" w:type="dxa"/>
        <w:jc w:val="center"/>
        <w:tblLook w:val="04A0" w:firstRow="1" w:lastRow="0" w:firstColumn="1" w:lastColumn="0" w:noHBand="0" w:noVBand="1"/>
      </w:tblPr>
      <w:tblGrid>
        <w:gridCol w:w="2515"/>
        <w:gridCol w:w="1191"/>
        <w:gridCol w:w="1530"/>
        <w:gridCol w:w="1402"/>
        <w:gridCol w:w="1116"/>
      </w:tblGrid>
      <w:tr w:rsidR="000F64CC" w:rsidRPr="000F64CC" w14:paraId="658FE7EA" w14:textId="77777777" w:rsidTr="00791396">
        <w:trPr>
          <w:trHeight w:val="397"/>
          <w:jc w:val="center"/>
        </w:trPr>
        <w:tc>
          <w:tcPr>
            <w:tcW w:w="251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EA0DE54"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 xml:space="preserve">HTC </w:t>
            </w:r>
          </w:p>
        </w:tc>
        <w:tc>
          <w:tcPr>
            <w:tcW w:w="1191" w:type="dxa"/>
            <w:tcBorders>
              <w:top w:val="single" w:sz="4" w:space="0" w:color="auto"/>
              <w:left w:val="nil"/>
              <w:bottom w:val="single" w:sz="4" w:space="0" w:color="auto"/>
              <w:right w:val="single" w:sz="4" w:space="0" w:color="auto"/>
            </w:tcBorders>
            <w:shd w:val="clear" w:color="000000" w:fill="D0CECE"/>
            <w:noWrap/>
            <w:vAlign w:val="center"/>
            <w:hideMark/>
          </w:tcPr>
          <w:p w14:paraId="2C7E2F88"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120 CFM</w:t>
            </w:r>
          </w:p>
        </w:tc>
        <w:tc>
          <w:tcPr>
            <w:tcW w:w="1530" w:type="dxa"/>
            <w:tcBorders>
              <w:top w:val="single" w:sz="4" w:space="0" w:color="auto"/>
              <w:left w:val="nil"/>
              <w:bottom w:val="single" w:sz="4" w:space="0" w:color="auto"/>
              <w:right w:val="single" w:sz="4" w:space="0" w:color="auto"/>
            </w:tcBorders>
            <w:shd w:val="clear" w:color="000000" w:fill="D0CECE"/>
            <w:noWrap/>
            <w:vAlign w:val="center"/>
            <w:hideMark/>
          </w:tcPr>
          <w:p w14:paraId="7FF24759"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90 CFM</w:t>
            </w:r>
          </w:p>
        </w:tc>
        <w:tc>
          <w:tcPr>
            <w:tcW w:w="1402" w:type="dxa"/>
            <w:tcBorders>
              <w:top w:val="single" w:sz="4" w:space="0" w:color="auto"/>
              <w:left w:val="nil"/>
              <w:bottom w:val="single" w:sz="4" w:space="0" w:color="auto"/>
              <w:right w:val="single" w:sz="4" w:space="0" w:color="auto"/>
            </w:tcBorders>
            <w:shd w:val="clear" w:color="000000" w:fill="D0CECE"/>
            <w:vAlign w:val="center"/>
            <w:hideMark/>
          </w:tcPr>
          <w:p w14:paraId="0CA82476"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60 CFM</w:t>
            </w:r>
          </w:p>
        </w:tc>
        <w:tc>
          <w:tcPr>
            <w:tcW w:w="1116" w:type="dxa"/>
            <w:tcBorders>
              <w:top w:val="single" w:sz="4" w:space="0" w:color="auto"/>
              <w:left w:val="nil"/>
              <w:bottom w:val="single" w:sz="4" w:space="0" w:color="auto"/>
              <w:right w:val="single" w:sz="4" w:space="0" w:color="auto"/>
            </w:tcBorders>
            <w:shd w:val="clear" w:color="000000" w:fill="D0CECE"/>
            <w:vAlign w:val="center"/>
          </w:tcPr>
          <w:p w14:paraId="298B718D"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30 CFM</w:t>
            </w:r>
          </w:p>
        </w:tc>
      </w:tr>
      <w:tr w:rsidR="000F64CC" w:rsidRPr="000F64CC" w14:paraId="3A413996" w14:textId="77777777" w:rsidTr="00791396">
        <w:trPr>
          <w:trHeight w:val="207"/>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CC0F6F7"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HTC Inside Shear Panel (aft bulkhead)</w:t>
            </w:r>
          </w:p>
        </w:tc>
        <w:tc>
          <w:tcPr>
            <w:tcW w:w="1191" w:type="dxa"/>
            <w:tcBorders>
              <w:top w:val="nil"/>
              <w:left w:val="nil"/>
              <w:bottom w:val="single" w:sz="4" w:space="0" w:color="auto"/>
              <w:right w:val="single" w:sz="4" w:space="0" w:color="auto"/>
            </w:tcBorders>
            <w:shd w:val="clear" w:color="auto" w:fill="auto"/>
            <w:noWrap/>
            <w:vAlign w:val="center"/>
          </w:tcPr>
          <w:p w14:paraId="71CF3E57"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2.015</w:t>
            </w:r>
          </w:p>
        </w:tc>
        <w:tc>
          <w:tcPr>
            <w:tcW w:w="1530" w:type="dxa"/>
            <w:tcBorders>
              <w:top w:val="nil"/>
              <w:left w:val="nil"/>
              <w:bottom w:val="single" w:sz="4" w:space="0" w:color="auto"/>
              <w:right w:val="single" w:sz="4" w:space="0" w:color="auto"/>
            </w:tcBorders>
            <w:shd w:val="clear" w:color="auto" w:fill="auto"/>
            <w:noWrap/>
            <w:vAlign w:val="center"/>
          </w:tcPr>
          <w:p w14:paraId="36977CED"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1.6256</w:t>
            </w:r>
          </w:p>
        </w:tc>
        <w:tc>
          <w:tcPr>
            <w:tcW w:w="1402" w:type="dxa"/>
            <w:tcBorders>
              <w:top w:val="nil"/>
              <w:left w:val="nil"/>
              <w:bottom w:val="single" w:sz="4" w:space="0" w:color="auto"/>
              <w:right w:val="single" w:sz="4" w:space="0" w:color="auto"/>
            </w:tcBorders>
            <w:shd w:val="clear" w:color="auto" w:fill="auto"/>
            <w:noWrap/>
            <w:vAlign w:val="center"/>
          </w:tcPr>
          <w:p w14:paraId="6CA06A89"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1.2663</w:t>
            </w:r>
          </w:p>
        </w:tc>
        <w:tc>
          <w:tcPr>
            <w:tcW w:w="1116" w:type="dxa"/>
            <w:tcBorders>
              <w:top w:val="nil"/>
              <w:left w:val="nil"/>
              <w:bottom w:val="single" w:sz="4" w:space="0" w:color="auto"/>
              <w:right w:val="single" w:sz="4" w:space="0" w:color="auto"/>
            </w:tcBorders>
            <w:shd w:val="clear" w:color="auto" w:fill="auto"/>
            <w:vAlign w:val="center"/>
          </w:tcPr>
          <w:p w14:paraId="6123ECD3"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0.8982</w:t>
            </w:r>
          </w:p>
        </w:tc>
      </w:tr>
      <w:tr w:rsidR="000F64CC" w:rsidRPr="000F64CC" w14:paraId="391CE342" w14:textId="77777777" w:rsidTr="00791396">
        <w:trPr>
          <w:trHeight w:val="207"/>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34B0EA6"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HTC Outside Shear Panel (aft bulkhead)</w:t>
            </w:r>
          </w:p>
        </w:tc>
        <w:tc>
          <w:tcPr>
            <w:tcW w:w="1191" w:type="dxa"/>
            <w:tcBorders>
              <w:top w:val="nil"/>
              <w:left w:val="nil"/>
              <w:bottom w:val="single" w:sz="4" w:space="0" w:color="auto"/>
              <w:right w:val="single" w:sz="4" w:space="0" w:color="auto"/>
            </w:tcBorders>
            <w:shd w:val="clear" w:color="auto" w:fill="auto"/>
            <w:noWrap/>
            <w:vAlign w:val="center"/>
          </w:tcPr>
          <w:p w14:paraId="217DEA5F"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1.624</w:t>
            </w:r>
          </w:p>
        </w:tc>
        <w:tc>
          <w:tcPr>
            <w:tcW w:w="1530" w:type="dxa"/>
            <w:tcBorders>
              <w:top w:val="nil"/>
              <w:left w:val="nil"/>
              <w:bottom w:val="single" w:sz="4" w:space="0" w:color="auto"/>
              <w:right w:val="single" w:sz="4" w:space="0" w:color="auto"/>
            </w:tcBorders>
            <w:shd w:val="clear" w:color="auto" w:fill="auto"/>
            <w:noWrap/>
            <w:vAlign w:val="center"/>
          </w:tcPr>
          <w:p w14:paraId="7694FFEC"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0.6393</w:t>
            </w:r>
          </w:p>
        </w:tc>
        <w:tc>
          <w:tcPr>
            <w:tcW w:w="1402" w:type="dxa"/>
            <w:tcBorders>
              <w:top w:val="nil"/>
              <w:left w:val="nil"/>
              <w:bottom w:val="single" w:sz="4" w:space="0" w:color="auto"/>
              <w:right w:val="single" w:sz="4" w:space="0" w:color="auto"/>
            </w:tcBorders>
            <w:shd w:val="clear" w:color="auto" w:fill="auto"/>
            <w:noWrap/>
            <w:vAlign w:val="center"/>
          </w:tcPr>
          <w:p w14:paraId="4D2AF087"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0.5090</w:t>
            </w:r>
          </w:p>
        </w:tc>
        <w:tc>
          <w:tcPr>
            <w:tcW w:w="1116" w:type="dxa"/>
            <w:tcBorders>
              <w:top w:val="nil"/>
              <w:left w:val="nil"/>
              <w:bottom w:val="single" w:sz="4" w:space="0" w:color="auto"/>
              <w:right w:val="single" w:sz="4" w:space="0" w:color="auto"/>
            </w:tcBorders>
            <w:shd w:val="clear" w:color="auto" w:fill="auto"/>
            <w:vAlign w:val="center"/>
          </w:tcPr>
          <w:p w14:paraId="035A4530"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0.3153</w:t>
            </w:r>
          </w:p>
        </w:tc>
      </w:tr>
      <w:tr w:rsidR="000F64CC" w:rsidRPr="000F64CC" w14:paraId="4AD845A3" w14:textId="77777777" w:rsidTr="00791396">
        <w:trPr>
          <w:trHeight w:val="207"/>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723E2"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 xml:space="preserve">HTC Inside Shear Panel (aft bulkhead) degraded </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83864D3"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0.2015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680D6AF"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0.16256</w:t>
            </w:r>
          </w:p>
        </w:tc>
        <w:tc>
          <w:tcPr>
            <w:tcW w:w="1402" w:type="dxa"/>
            <w:tcBorders>
              <w:top w:val="single" w:sz="4" w:space="0" w:color="auto"/>
              <w:left w:val="nil"/>
              <w:bottom w:val="single" w:sz="4" w:space="0" w:color="auto"/>
              <w:right w:val="single" w:sz="4" w:space="0" w:color="auto"/>
            </w:tcBorders>
            <w:shd w:val="clear" w:color="auto" w:fill="auto"/>
            <w:noWrap/>
            <w:vAlign w:val="center"/>
          </w:tcPr>
          <w:p w14:paraId="17B8BDDC"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0.12663</w:t>
            </w:r>
          </w:p>
        </w:tc>
        <w:tc>
          <w:tcPr>
            <w:tcW w:w="1116" w:type="dxa"/>
            <w:tcBorders>
              <w:top w:val="single" w:sz="4" w:space="0" w:color="auto"/>
              <w:left w:val="nil"/>
              <w:bottom w:val="single" w:sz="4" w:space="0" w:color="auto"/>
              <w:right w:val="single" w:sz="4" w:space="0" w:color="auto"/>
            </w:tcBorders>
            <w:shd w:val="clear" w:color="auto" w:fill="auto"/>
            <w:vAlign w:val="center"/>
          </w:tcPr>
          <w:p w14:paraId="255862F0"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0.08982</w:t>
            </w:r>
          </w:p>
        </w:tc>
      </w:tr>
      <w:tr w:rsidR="000F64CC" w:rsidRPr="000F64CC" w14:paraId="171B9EEF" w14:textId="77777777" w:rsidTr="00791396">
        <w:trPr>
          <w:trHeight w:val="207"/>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5DBF"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 xml:space="preserve">HTC Outside Shear Panel (aft bulkhead) degraded </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ABD58ED"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0.1624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D09758E"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0.06393</w:t>
            </w:r>
          </w:p>
        </w:tc>
        <w:tc>
          <w:tcPr>
            <w:tcW w:w="1402" w:type="dxa"/>
            <w:tcBorders>
              <w:top w:val="single" w:sz="4" w:space="0" w:color="auto"/>
              <w:left w:val="nil"/>
              <w:bottom w:val="single" w:sz="4" w:space="0" w:color="auto"/>
              <w:right w:val="single" w:sz="4" w:space="0" w:color="auto"/>
            </w:tcBorders>
            <w:shd w:val="clear" w:color="auto" w:fill="auto"/>
            <w:noWrap/>
            <w:vAlign w:val="center"/>
          </w:tcPr>
          <w:p w14:paraId="6EEFB348"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0.05090</w:t>
            </w:r>
          </w:p>
        </w:tc>
        <w:tc>
          <w:tcPr>
            <w:tcW w:w="1116" w:type="dxa"/>
            <w:tcBorders>
              <w:top w:val="single" w:sz="4" w:space="0" w:color="auto"/>
              <w:left w:val="nil"/>
              <w:bottom w:val="single" w:sz="4" w:space="0" w:color="auto"/>
              <w:right w:val="single" w:sz="4" w:space="0" w:color="auto"/>
            </w:tcBorders>
            <w:shd w:val="clear" w:color="auto" w:fill="auto"/>
            <w:vAlign w:val="center"/>
          </w:tcPr>
          <w:p w14:paraId="7CBDC42B"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0.03153</w:t>
            </w:r>
          </w:p>
        </w:tc>
      </w:tr>
    </w:tbl>
    <w:p w14:paraId="19ACED4D" w14:textId="77777777" w:rsidR="00712233" w:rsidRDefault="00712233" w:rsidP="001F0BF7">
      <w:pPr>
        <w:jc w:val="both"/>
      </w:pPr>
    </w:p>
    <w:p w14:paraId="1A185879" w14:textId="40DA96FF" w:rsidR="004A0D0E" w:rsidRDefault="004A0D0E" w:rsidP="001F0BF7">
      <w:pPr>
        <w:jc w:val="both"/>
      </w:pPr>
      <w:r>
        <w:t>Degradation at lower CFM was determined and validated with the October 2019 low CFM report of 50 CFM. Recall this marked the first time that the BEAM temperatures were appreciably impacted by lower CFM, and the corresponding temperatures were sign</w:t>
      </w:r>
      <w:r w:rsidR="00857886">
        <w:t>ificantly out of family with pas</w:t>
      </w:r>
      <w:r>
        <w:t xml:space="preserve">t periods at a similar time of year and beta angle. The only other confirmed low flow period in August 2017, where only a minimal cooling effect was observed, predated the cargo netting and bag pre-positioning in November 2017. As can be seen in </w:t>
      </w:r>
      <w:r>
        <w:fldChar w:fldCharType="begin"/>
      </w:r>
      <w:r>
        <w:instrText xml:space="preserve"> REF _Ref47956669 \h </w:instrText>
      </w:r>
      <w:r>
        <w:fldChar w:fldCharType="separate"/>
      </w:r>
      <w:r>
        <w:t xml:space="preserve">Table </w:t>
      </w:r>
      <w:r>
        <w:rPr>
          <w:noProof/>
        </w:rPr>
        <w:t>2</w:t>
      </w:r>
      <w:r>
        <w:fldChar w:fldCharType="end"/>
      </w:r>
      <w:r>
        <w:t>, the non-degraded HTC case is in better agreement with the flight data.</w:t>
      </w:r>
      <w:r w:rsidR="004104EE">
        <w:t xml:space="preserve"> </w:t>
      </w:r>
      <w:r>
        <w:t>After the model was validated using the aforementioned model validation cases, additional cases were completed in preparation for flight rule update recommendations. The results of these additional cases are sho</w:t>
      </w:r>
      <w:r w:rsidRPr="004A0D0E">
        <w:t xml:space="preserve">w in </w:t>
      </w:r>
      <w:r w:rsidRPr="004A0D0E">
        <w:fldChar w:fldCharType="begin"/>
      </w:r>
      <w:r w:rsidRPr="004A0D0E">
        <w:instrText xml:space="preserve"> REF _Ref47967296 \h  \* MERGEFORMAT </w:instrText>
      </w:r>
      <w:r w:rsidRPr="004A0D0E">
        <w:fldChar w:fldCharType="separate"/>
      </w:r>
      <w:r w:rsidRPr="004A0D0E">
        <w:rPr>
          <w:rFonts w:asciiTheme="minorHAnsi" w:hAnsiTheme="minorHAnsi" w:cstheme="minorHAnsi"/>
          <w:szCs w:val="24"/>
        </w:rPr>
        <w:t xml:space="preserve">Table </w:t>
      </w:r>
      <w:r w:rsidRPr="004A0D0E">
        <w:rPr>
          <w:rFonts w:asciiTheme="minorHAnsi" w:hAnsiTheme="minorHAnsi" w:cstheme="minorHAnsi"/>
          <w:noProof/>
          <w:szCs w:val="24"/>
        </w:rPr>
        <w:t>4</w:t>
      </w:r>
      <w:r w:rsidRPr="004A0D0E">
        <w:fldChar w:fldCharType="end"/>
      </w:r>
      <w:r w:rsidRPr="004A0D0E">
        <w:t>.</w:t>
      </w:r>
      <w:r w:rsidR="00C5726C">
        <w:t xml:space="preserve"> </w:t>
      </w:r>
    </w:p>
    <w:p w14:paraId="3306E7F5" w14:textId="77777777" w:rsidR="000B78E1" w:rsidRDefault="000B78E1" w:rsidP="001F0BF7">
      <w:pPr>
        <w:jc w:val="both"/>
      </w:pPr>
    </w:p>
    <w:p w14:paraId="2AFD7F37" w14:textId="77777777" w:rsidR="004A0D0E" w:rsidRDefault="004A0D0E" w:rsidP="00712233">
      <w:pPr>
        <w:pStyle w:val="NoSpacing"/>
        <w:spacing w:after="120" w:line="240" w:lineRule="auto"/>
        <w:jc w:val="center"/>
        <w:rPr>
          <w:rFonts w:asciiTheme="minorHAnsi" w:hAnsiTheme="minorHAnsi" w:cstheme="minorHAnsi"/>
          <w:b/>
          <w:sz w:val="24"/>
          <w:szCs w:val="24"/>
        </w:rPr>
      </w:pPr>
      <w:bookmarkStart w:id="18" w:name="_Ref47967296"/>
      <w:r w:rsidRPr="004A0D0E">
        <w:rPr>
          <w:rFonts w:asciiTheme="minorHAnsi" w:hAnsiTheme="minorHAnsi" w:cstheme="minorHAnsi"/>
          <w:b/>
          <w:sz w:val="24"/>
          <w:szCs w:val="24"/>
        </w:rPr>
        <w:lastRenderedPageBreak/>
        <w:t xml:space="preserve">Table </w:t>
      </w:r>
      <w:r w:rsidRPr="004A0D0E">
        <w:rPr>
          <w:rFonts w:asciiTheme="minorHAnsi" w:hAnsiTheme="minorHAnsi" w:cstheme="minorHAnsi"/>
          <w:b/>
          <w:sz w:val="24"/>
          <w:szCs w:val="24"/>
        </w:rPr>
        <w:fldChar w:fldCharType="begin"/>
      </w:r>
      <w:r w:rsidRPr="004A0D0E">
        <w:rPr>
          <w:rFonts w:asciiTheme="minorHAnsi" w:hAnsiTheme="minorHAnsi" w:cstheme="minorHAnsi"/>
          <w:b/>
          <w:sz w:val="24"/>
          <w:szCs w:val="24"/>
        </w:rPr>
        <w:instrText xml:space="preserve"> SEQ Table \* ARABIC </w:instrText>
      </w:r>
      <w:r w:rsidRPr="004A0D0E">
        <w:rPr>
          <w:rFonts w:asciiTheme="minorHAnsi" w:hAnsiTheme="minorHAnsi" w:cstheme="minorHAnsi"/>
          <w:b/>
          <w:sz w:val="24"/>
          <w:szCs w:val="24"/>
        </w:rPr>
        <w:fldChar w:fldCharType="separate"/>
      </w:r>
      <w:r w:rsidR="0009105F">
        <w:rPr>
          <w:rFonts w:asciiTheme="minorHAnsi" w:hAnsiTheme="minorHAnsi" w:cstheme="minorHAnsi"/>
          <w:b/>
          <w:noProof/>
          <w:sz w:val="24"/>
          <w:szCs w:val="24"/>
        </w:rPr>
        <w:t>4</w:t>
      </w:r>
      <w:r w:rsidRPr="004A0D0E">
        <w:rPr>
          <w:rFonts w:asciiTheme="minorHAnsi" w:hAnsiTheme="minorHAnsi" w:cstheme="minorHAnsi"/>
          <w:b/>
          <w:sz w:val="24"/>
          <w:szCs w:val="24"/>
        </w:rPr>
        <w:fldChar w:fldCharType="end"/>
      </w:r>
      <w:bookmarkEnd w:id="18"/>
      <w:r w:rsidRPr="004A0D0E">
        <w:rPr>
          <w:rFonts w:asciiTheme="minorHAnsi" w:hAnsiTheme="minorHAnsi" w:cstheme="minorHAnsi"/>
          <w:b/>
          <w:sz w:val="24"/>
          <w:szCs w:val="24"/>
        </w:rPr>
        <w:t>. Flight Rule Update Case Results: PTRRJ = -40</w:t>
      </w:r>
      <w:r w:rsidR="003F130F">
        <w:rPr>
          <w:rFonts w:asciiTheme="minorHAnsi" w:hAnsiTheme="minorHAnsi" w:cstheme="minorHAnsi"/>
          <w:b/>
          <w:sz w:val="24"/>
          <w:szCs w:val="24"/>
        </w:rPr>
        <w:t>.</w:t>
      </w:r>
    </w:p>
    <w:tbl>
      <w:tblPr>
        <w:tblW w:w="9270" w:type="dxa"/>
        <w:jc w:val="center"/>
        <w:tblLook w:val="04A0" w:firstRow="1" w:lastRow="0" w:firstColumn="1" w:lastColumn="0" w:noHBand="0" w:noVBand="1"/>
      </w:tblPr>
      <w:tblGrid>
        <w:gridCol w:w="1340"/>
        <w:gridCol w:w="1080"/>
        <w:gridCol w:w="810"/>
        <w:gridCol w:w="1583"/>
        <w:gridCol w:w="1747"/>
        <w:gridCol w:w="1350"/>
        <w:gridCol w:w="1360"/>
      </w:tblGrid>
      <w:tr w:rsidR="0086035D" w:rsidRPr="004A0D0E" w14:paraId="56604C3F" w14:textId="77777777" w:rsidTr="0086035D">
        <w:trPr>
          <w:trHeight w:val="1024"/>
          <w:jc w:val="center"/>
        </w:trPr>
        <w:tc>
          <w:tcPr>
            <w:tcW w:w="134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A063952"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Date</w:t>
            </w:r>
          </w:p>
        </w:tc>
        <w:tc>
          <w:tcPr>
            <w:tcW w:w="1080" w:type="dxa"/>
            <w:tcBorders>
              <w:top w:val="single" w:sz="8" w:space="0" w:color="auto"/>
              <w:left w:val="nil"/>
              <w:bottom w:val="single" w:sz="8" w:space="0" w:color="auto"/>
              <w:right w:val="single" w:sz="8" w:space="0" w:color="auto"/>
            </w:tcBorders>
            <w:shd w:val="clear" w:color="000000" w:fill="D0CECE"/>
            <w:noWrap/>
            <w:vAlign w:val="center"/>
            <w:hideMark/>
          </w:tcPr>
          <w:p w14:paraId="3BD1DE8C"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GMT</w:t>
            </w:r>
          </w:p>
        </w:tc>
        <w:tc>
          <w:tcPr>
            <w:tcW w:w="810" w:type="dxa"/>
            <w:tcBorders>
              <w:top w:val="single" w:sz="8" w:space="0" w:color="auto"/>
              <w:left w:val="nil"/>
              <w:bottom w:val="single" w:sz="8" w:space="0" w:color="auto"/>
              <w:right w:val="single" w:sz="8" w:space="0" w:color="auto"/>
            </w:tcBorders>
            <w:shd w:val="clear" w:color="000000" w:fill="D0CECE"/>
            <w:noWrap/>
            <w:vAlign w:val="center"/>
            <w:hideMark/>
          </w:tcPr>
          <w:p w14:paraId="7D537FF1"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CFM</w:t>
            </w:r>
          </w:p>
        </w:tc>
        <w:tc>
          <w:tcPr>
            <w:tcW w:w="1583" w:type="dxa"/>
            <w:tcBorders>
              <w:top w:val="single" w:sz="8" w:space="0" w:color="auto"/>
              <w:left w:val="nil"/>
              <w:bottom w:val="single" w:sz="8" w:space="0" w:color="auto"/>
              <w:right w:val="single" w:sz="8" w:space="0" w:color="auto"/>
            </w:tcBorders>
            <w:shd w:val="clear" w:color="000000" w:fill="D0CECE"/>
            <w:vAlign w:val="center"/>
            <w:hideMark/>
          </w:tcPr>
          <w:p w14:paraId="07602DA6"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Min Temp °C (baseline)</w:t>
            </w:r>
          </w:p>
        </w:tc>
        <w:tc>
          <w:tcPr>
            <w:tcW w:w="1747" w:type="dxa"/>
            <w:tcBorders>
              <w:top w:val="single" w:sz="8" w:space="0" w:color="auto"/>
              <w:left w:val="nil"/>
              <w:bottom w:val="single" w:sz="8" w:space="0" w:color="auto"/>
              <w:right w:val="single" w:sz="8" w:space="0" w:color="auto"/>
            </w:tcBorders>
            <w:shd w:val="clear" w:color="000000" w:fill="D0CECE"/>
            <w:vAlign w:val="center"/>
            <w:hideMark/>
          </w:tcPr>
          <w:p w14:paraId="0FC3FEC4"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Min Temp °C (degraded)</w:t>
            </w:r>
          </w:p>
        </w:tc>
        <w:tc>
          <w:tcPr>
            <w:tcW w:w="1350" w:type="dxa"/>
            <w:tcBorders>
              <w:top w:val="single" w:sz="8" w:space="0" w:color="auto"/>
              <w:left w:val="nil"/>
              <w:bottom w:val="single" w:sz="8" w:space="0" w:color="auto"/>
              <w:right w:val="single" w:sz="8" w:space="0" w:color="auto"/>
            </w:tcBorders>
            <w:shd w:val="clear" w:color="000000" w:fill="D0CECE"/>
            <w:vAlign w:val="center"/>
            <w:hideMark/>
          </w:tcPr>
          <w:p w14:paraId="6D11674A"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Delta</w:t>
            </w:r>
          </w:p>
        </w:tc>
        <w:tc>
          <w:tcPr>
            <w:tcW w:w="1360" w:type="dxa"/>
            <w:tcBorders>
              <w:top w:val="single" w:sz="8" w:space="0" w:color="auto"/>
              <w:left w:val="nil"/>
              <w:bottom w:val="single" w:sz="8" w:space="0" w:color="auto"/>
              <w:right w:val="single" w:sz="8" w:space="0" w:color="auto"/>
            </w:tcBorders>
            <w:shd w:val="clear" w:color="000000" w:fill="D0CECE"/>
            <w:vAlign w:val="center"/>
            <w:hideMark/>
          </w:tcPr>
          <w:p w14:paraId="4FB463AA"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IMV Inlet Temp °F</w:t>
            </w:r>
          </w:p>
        </w:tc>
      </w:tr>
      <w:tr w:rsidR="0086035D" w:rsidRPr="004A0D0E" w14:paraId="0DB78634"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759DE69"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5DB62D99"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31001D0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90</w:t>
            </w:r>
          </w:p>
        </w:tc>
        <w:tc>
          <w:tcPr>
            <w:tcW w:w="1583" w:type="dxa"/>
            <w:tcBorders>
              <w:top w:val="nil"/>
              <w:left w:val="nil"/>
              <w:bottom w:val="single" w:sz="8" w:space="0" w:color="auto"/>
              <w:right w:val="single" w:sz="8" w:space="0" w:color="auto"/>
            </w:tcBorders>
            <w:shd w:val="clear" w:color="auto" w:fill="auto"/>
            <w:noWrap/>
            <w:vAlign w:val="center"/>
            <w:hideMark/>
          </w:tcPr>
          <w:p w14:paraId="6C6746B9"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17.0</w:t>
            </w:r>
          </w:p>
        </w:tc>
        <w:tc>
          <w:tcPr>
            <w:tcW w:w="1747" w:type="dxa"/>
            <w:tcBorders>
              <w:top w:val="nil"/>
              <w:left w:val="nil"/>
              <w:bottom w:val="single" w:sz="8" w:space="0" w:color="auto"/>
              <w:right w:val="single" w:sz="8" w:space="0" w:color="auto"/>
            </w:tcBorders>
            <w:shd w:val="clear" w:color="auto" w:fill="auto"/>
            <w:noWrap/>
            <w:vAlign w:val="center"/>
            <w:hideMark/>
          </w:tcPr>
          <w:p w14:paraId="51112097"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13.7</w:t>
            </w:r>
          </w:p>
        </w:tc>
        <w:tc>
          <w:tcPr>
            <w:tcW w:w="1350" w:type="dxa"/>
            <w:tcBorders>
              <w:top w:val="nil"/>
              <w:left w:val="nil"/>
              <w:bottom w:val="single" w:sz="8" w:space="0" w:color="auto"/>
              <w:right w:val="single" w:sz="8" w:space="0" w:color="auto"/>
            </w:tcBorders>
            <w:shd w:val="clear" w:color="auto" w:fill="auto"/>
            <w:noWrap/>
            <w:vAlign w:val="center"/>
            <w:hideMark/>
          </w:tcPr>
          <w:p w14:paraId="191C2496"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3.3</w:t>
            </w:r>
          </w:p>
        </w:tc>
        <w:tc>
          <w:tcPr>
            <w:tcW w:w="1360" w:type="dxa"/>
            <w:tcBorders>
              <w:top w:val="nil"/>
              <w:left w:val="nil"/>
              <w:bottom w:val="single" w:sz="8" w:space="0" w:color="auto"/>
              <w:right w:val="single" w:sz="8" w:space="0" w:color="auto"/>
            </w:tcBorders>
            <w:shd w:val="clear" w:color="auto" w:fill="auto"/>
            <w:noWrap/>
            <w:vAlign w:val="center"/>
            <w:hideMark/>
          </w:tcPr>
          <w:p w14:paraId="67B45F4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72</w:t>
            </w:r>
          </w:p>
        </w:tc>
      </w:tr>
      <w:tr w:rsidR="0086035D" w:rsidRPr="004A0D0E" w14:paraId="27F768DC"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4A42BD7"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3932C4BA"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6BB1E371"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60</w:t>
            </w:r>
          </w:p>
        </w:tc>
        <w:tc>
          <w:tcPr>
            <w:tcW w:w="1583" w:type="dxa"/>
            <w:tcBorders>
              <w:top w:val="nil"/>
              <w:left w:val="nil"/>
              <w:bottom w:val="single" w:sz="8" w:space="0" w:color="auto"/>
              <w:right w:val="single" w:sz="8" w:space="0" w:color="auto"/>
            </w:tcBorders>
            <w:shd w:val="clear" w:color="auto" w:fill="auto"/>
            <w:noWrap/>
            <w:vAlign w:val="center"/>
            <w:hideMark/>
          </w:tcPr>
          <w:p w14:paraId="226F5805"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15.8</w:t>
            </w:r>
          </w:p>
        </w:tc>
        <w:tc>
          <w:tcPr>
            <w:tcW w:w="1747" w:type="dxa"/>
            <w:tcBorders>
              <w:top w:val="nil"/>
              <w:left w:val="nil"/>
              <w:bottom w:val="single" w:sz="8" w:space="0" w:color="auto"/>
              <w:right w:val="single" w:sz="8" w:space="0" w:color="auto"/>
            </w:tcBorders>
            <w:shd w:val="clear" w:color="auto" w:fill="auto"/>
            <w:noWrap/>
            <w:vAlign w:val="center"/>
            <w:hideMark/>
          </w:tcPr>
          <w:p w14:paraId="249075EF"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12.9</w:t>
            </w:r>
          </w:p>
        </w:tc>
        <w:tc>
          <w:tcPr>
            <w:tcW w:w="1350" w:type="dxa"/>
            <w:tcBorders>
              <w:top w:val="nil"/>
              <w:left w:val="nil"/>
              <w:bottom w:val="single" w:sz="8" w:space="0" w:color="auto"/>
              <w:right w:val="single" w:sz="8" w:space="0" w:color="auto"/>
            </w:tcBorders>
            <w:shd w:val="clear" w:color="auto" w:fill="auto"/>
            <w:noWrap/>
            <w:vAlign w:val="center"/>
            <w:hideMark/>
          </w:tcPr>
          <w:p w14:paraId="55091B8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2.9</w:t>
            </w:r>
          </w:p>
        </w:tc>
        <w:tc>
          <w:tcPr>
            <w:tcW w:w="1360" w:type="dxa"/>
            <w:tcBorders>
              <w:top w:val="nil"/>
              <w:left w:val="nil"/>
              <w:bottom w:val="single" w:sz="8" w:space="0" w:color="auto"/>
              <w:right w:val="single" w:sz="8" w:space="0" w:color="auto"/>
            </w:tcBorders>
            <w:shd w:val="clear" w:color="auto" w:fill="auto"/>
            <w:noWrap/>
            <w:vAlign w:val="center"/>
            <w:hideMark/>
          </w:tcPr>
          <w:p w14:paraId="5972E63C"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72</w:t>
            </w:r>
          </w:p>
        </w:tc>
      </w:tr>
      <w:tr w:rsidR="0086035D" w:rsidRPr="004A0D0E" w14:paraId="78A8D150"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97E8A5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668D7A27"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5C940880"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30</w:t>
            </w:r>
          </w:p>
        </w:tc>
        <w:tc>
          <w:tcPr>
            <w:tcW w:w="1583" w:type="dxa"/>
            <w:tcBorders>
              <w:top w:val="nil"/>
              <w:left w:val="nil"/>
              <w:bottom w:val="single" w:sz="8" w:space="0" w:color="auto"/>
              <w:right w:val="single" w:sz="8" w:space="0" w:color="auto"/>
            </w:tcBorders>
            <w:shd w:val="clear" w:color="auto" w:fill="auto"/>
            <w:noWrap/>
            <w:vAlign w:val="center"/>
            <w:hideMark/>
          </w:tcPr>
          <w:p w14:paraId="36170AA4"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13.1</w:t>
            </w:r>
          </w:p>
        </w:tc>
        <w:tc>
          <w:tcPr>
            <w:tcW w:w="1747" w:type="dxa"/>
            <w:tcBorders>
              <w:top w:val="nil"/>
              <w:left w:val="nil"/>
              <w:bottom w:val="single" w:sz="8" w:space="0" w:color="auto"/>
              <w:right w:val="single" w:sz="8" w:space="0" w:color="auto"/>
            </w:tcBorders>
            <w:shd w:val="clear" w:color="auto" w:fill="auto"/>
            <w:noWrap/>
            <w:vAlign w:val="center"/>
            <w:hideMark/>
          </w:tcPr>
          <w:p w14:paraId="2CFFFDE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10.8</w:t>
            </w:r>
          </w:p>
        </w:tc>
        <w:tc>
          <w:tcPr>
            <w:tcW w:w="1350" w:type="dxa"/>
            <w:tcBorders>
              <w:top w:val="nil"/>
              <w:left w:val="nil"/>
              <w:bottom w:val="single" w:sz="8" w:space="0" w:color="auto"/>
              <w:right w:val="single" w:sz="8" w:space="0" w:color="auto"/>
            </w:tcBorders>
            <w:shd w:val="clear" w:color="auto" w:fill="auto"/>
            <w:noWrap/>
            <w:vAlign w:val="center"/>
            <w:hideMark/>
          </w:tcPr>
          <w:p w14:paraId="73BBABC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2.3</w:t>
            </w:r>
          </w:p>
        </w:tc>
        <w:tc>
          <w:tcPr>
            <w:tcW w:w="1360" w:type="dxa"/>
            <w:tcBorders>
              <w:top w:val="nil"/>
              <w:left w:val="nil"/>
              <w:bottom w:val="single" w:sz="8" w:space="0" w:color="auto"/>
              <w:right w:val="single" w:sz="8" w:space="0" w:color="auto"/>
            </w:tcBorders>
            <w:shd w:val="clear" w:color="auto" w:fill="auto"/>
            <w:noWrap/>
            <w:vAlign w:val="center"/>
            <w:hideMark/>
          </w:tcPr>
          <w:p w14:paraId="01BADC79"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72</w:t>
            </w:r>
          </w:p>
        </w:tc>
      </w:tr>
      <w:tr w:rsidR="0086035D" w:rsidRPr="004A0D0E" w14:paraId="74E5C139"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F72F594"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784427EC"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69BC7DFF"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120</w:t>
            </w:r>
          </w:p>
        </w:tc>
        <w:tc>
          <w:tcPr>
            <w:tcW w:w="1583" w:type="dxa"/>
            <w:tcBorders>
              <w:top w:val="nil"/>
              <w:left w:val="nil"/>
              <w:bottom w:val="single" w:sz="8" w:space="0" w:color="auto"/>
              <w:right w:val="single" w:sz="8" w:space="0" w:color="auto"/>
            </w:tcBorders>
            <w:shd w:val="clear" w:color="auto" w:fill="auto"/>
            <w:noWrap/>
            <w:vAlign w:val="center"/>
            <w:hideMark/>
          </w:tcPr>
          <w:p w14:paraId="7F3A83D0"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15.7</w:t>
            </w:r>
          </w:p>
        </w:tc>
        <w:tc>
          <w:tcPr>
            <w:tcW w:w="1747" w:type="dxa"/>
            <w:tcBorders>
              <w:top w:val="nil"/>
              <w:left w:val="nil"/>
              <w:bottom w:val="single" w:sz="8" w:space="0" w:color="auto"/>
              <w:right w:val="single" w:sz="8" w:space="0" w:color="auto"/>
            </w:tcBorders>
            <w:shd w:val="clear" w:color="auto" w:fill="auto"/>
            <w:noWrap/>
            <w:vAlign w:val="center"/>
            <w:hideMark/>
          </w:tcPr>
          <w:p w14:paraId="02DFBD26"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12.6</w:t>
            </w:r>
          </w:p>
        </w:tc>
        <w:tc>
          <w:tcPr>
            <w:tcW w:w="1350" w:type="dxa"/>
            <w:tcBorders>
              <w:top w:val="nil"/>
              <w:left w:val="nil"/>
              <w:bottom w:val="single" w:sz="8" w:space="0" w:color="auto"/>
              <w:right w:val="single" w:sz="8" w:space="0" w:color="auto"/>
            </w:tcBorders>
            <w:shd w:val="clear" w:color="auto" w:fill="auto"/>
            <w:noWrap/>
            <w:vAlign w:val="center"/>
            <w:hideMark/>
          </w:tcPr>
          <w:p w14:paraId="5C68149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3.1</w:t>
            </w:r>
          </w:p>
        </w:tc>
        <w:tc>
          <w:tcPr>
            <w:tcW w:w="1360" w:type="dxa"/>
            <w:tcBorders>
              <w:top w:val="nil"/>
              <w:left w:val="nil"/>
              <w:bottom w:val="single" w:sz="8" w:space="0" w:color="auto"/>
              <w:right w:val="single" w:sz="8" w:space="0" w:color="auto"/>
            </w:tcBorders>
            <w:shd w:val="clear" w:color="auto" w:fill="auto"/>
            <w:noWrap/>
            <w:vAlign w:val="center"/>
            <w:hideMark/>
          </w:tcPr>
          <w:p w14:paraId="1FEA26F8"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68</w:t>
            </w:r>
          </w:p>
        </w:tc>
      </w:tr>
      <w:tr w:rsidR="0086035D" w:rsidRPr="004A0D0E" w14:paraId="0AF506FA"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D328C56"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073E96F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07330FE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90</w:t>
            </w:r>
          </w:p>
        </w:tc>
        <w:tc>
          <w:tcPr>
            <w:tcW w:w="1583" w:type="dxa"/>
            <w:tcBorders>
              <w:top w:val="nil"/>
              <w:left w:val="nil"/>
              <w:bottom w:val="single" w:sz="8" w:space="0" w:color="auto"/>
              <w:right w:val="single" w:sz="8" w:space="0" w:color="auto"/>
            </w:tcBorders>
            <w:shd w:val="clear" w:color="auto" w:fill="auto"/>
            <w:noWrap/>
            <w:vAlign w:val="center"/>
            <w:hideMark/>
          </w:tcPr>
          <w:p w14:paraId="4CF6AA6C"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15.0</w:t>
            </w:r>
          </w:p>
        </w:tc>
        <w:tc>
          <w:tcPr>
            <w:tcW w:w="1747" w:type="dxa"/>
            <w:tcBorders>
              <w:top w:val="nil"/>
              <w:left w:val="nil"/>
              <w:bottom w:val="single" w:sz="8" w:space="0" w:color="auto"/>
              <w:right w:val="single" w:sz="8" w:space="0" w:color="auto"/>
            </w:tcBorders>
            <w:shd w:val="clear" w:color="auto" w:fill="auto"/>
            <w:noWrap/>
            <w:vAlign w:val="center"/>
            <w:hideMark/>
          </w:tcPr>
          <w:p w14:paraId="2DF4DB56"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12.0</w:t>
            </w:r>
          </w:p>
        </w:tc>
        <w:tc>
          <w:tcPr>
            <w:tcW w:w="1350" w:type="dxa"/>
            <w:tcBorders>
              <w:top w:val="nil"/>
              <w:left w:val="nil"/>
              <w:bottom w:val="single" w:sz="8" w:space="0" w:color="auto"/>
              <w:right w:val="single" w:sz="8" w:space="0" w:color="auto"/>
            </w:tcBorders>
            <w:shd w:val="clear" w:color="auto" w:fill="auto"/>
            <w:noWrap/>
            <w:vAlign w:val="center"/>
            <w:hideMark/>
          </w:tcPr>
          <w:p w14:paraId="258F2D83"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3.0</w:t>
            </w:r>
          </w:p>
        </w:tc>
        <w:tc>
          <w:tcPr>
            <w:tcW w:w="1360" w:type="dxa"/>
            <w:tcBorders>
              <w:top w:val="nil"/>
              <w:left w:val="nil"/>
              <w:bottom w:val="single" w:sz="8" w:space="0" w:color="auto"/>
              <w:right w:val="single" w:sz="8" w:space="0" w:color="auto"/>
            </w:tcBorders>
            <w:shd w:val="clear" w:color="auto" w:fill="auto"/>
            <w:noWrap/>
            <w:vAlign w:val="center"/>
            <w:hideMark/>
          </w:tcPr>
          <w:p w14:paraId="00D1C812"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68</w:t>
            </w:r>
          </w:p>
        </w:tc>
      </w:tr>
      <w:tr w:rsidR="0086035D" w:rsidRPr="004A0D0E" w14:paraId="271499E8"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5194D48"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66B6ABCB"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08E96AE2"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60</w:t>
            </w:r>
          </w:p>
        </w:tc>
        <w:tc>
          <w:tcPr>
            <w:tcW w:w="1583" w:type="dxa"/>
            <w:tcBorders>
              <w:top w:val="nil"/>
              <w:left w:val="nil"/>
              <w:bottom w:val="single" w:sz="8" w:space="0" w:color="auto"/>
              <w:right w:val="single" w:sz="8" w:space="0" w:color="auto"/>
            </w:tcBorders>
            <w:shd w:val="clear" w:color="auto" w:fill="auto"/>
            <w:noWrap/>
            <w:vAlign w:val="center"/>
            <w:hideMark/>
          </w:tcPr>
          <w:p w14:paraId="7DB6154C"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14.0</w:t>
            </w:r>
          </w:p>
        </w:tc>
        <w:tc>
          <w:tcPr>
            <w:tcW w:w="1747" w:type="dxa"/>
            <w:tcBorders>
              <w:top w:val="nil"/>
              <w:left w:val="nil"/>
              <w:bottom w:val="single" w:sz="8" w:space="0" w:color="auto"/>
              <w:right w:val="single" w:sz="8" w:space="0" w:color="auto"/>
            </w:tcBorders>
            <w:shd w:val="clear" w:color="auto" w:fill="auto"/>
            <w:noWrap/>
            <w:vAlign w:val="center"/>
            <w:hideMark/>
          </w:tcPr>
          <w:p w14:paraId="4D5C0376"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11.3</w:t>
            </w:r>
          </w:p>
        </w:tc>
        <w:tc>
          <w:tcPr>
            <w:tcW w:w="1350" w:type="dxa"/>
            <w:tcBorders>
              <w:top w:val="nil"/>
              <w:left w:val="nil"/>
              <w:bottom w:val="single" w:sz="8" w:space="0" w:color="auto"/>
              <w:right w:val="single" w:sz="8" w:space="0" w:color="auto"/>
            </w:tcBorders>
            <w:shd w:val="clear" w:color="auto" w:fill="auto"/>
            <w:noWrap/>
            <w:vAlign w:val="center"/>
            <w:hideMark/>
          </w:tcPr>
          <w:p w14:paraId="5DFDB3A3"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2.7</w:t>
            </w:r>
          </w:p>
        </w:tc>
        <w:tc>
          <w:tcPr>
            <w:tcW w:w="1360" w:type="dxa"/>
            <w:tcBorders>
              <w:top w:val="nil"/>
              <w:left w:val="nil"/>
              <w:bottom w:val="single" w:sz="8" w:space="0" w:color="auto"/>
              <w:right w:val="single" w:sz="8" w:space="0" w:color="auto"/>
            </w:tcBorders>
            <w:shd w:val="clear" w:color="auto" w:fill="auto"/>
            <w:noWrap/>
            <w:vAlign w:val="center"/>
            <w:hideMark/>
          </w:tcPr>
          <w:p w14:paraId="68E15206"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68</w:t>
            </w:r>
          </w:p>
        </w:tc>
      </w:tr>
      <w:tr w:rsidR="0086035D" w:rsidRPr="004A0D0E" w14:paraId="1A1516B6"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C611812"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13E54CA0"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5EB940AF"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30</w:t>
            </w:r>
          </w:p>
        </w:tc>
        <w:tc>
          <w:tcPr>
            <w:tcW w:w="1583" w:type="dxa"/>
            <w:tcBorders>
              <w:top w:val="nil"/>
              <w:left w:val="nil"/>
              <w:bottom w:val="single" w:sz="8" w:space="0" w:color="auto"/>
              <w:right w:val="single" w:sz="8" w:space="0" w:color="auto"/>
            </w:tcBorders>
            <w:shd w:val="clear" w:color="auto" w:fill="auto"/>
            <w:noWrap/>
            <w:vAlign w:val="center"/>
            <w:hideMark/>
          </w:tcPr>
          <w:p w14:paraId="03F35A0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11.5</w:t>
            </w:r>
          </w:p>
        </w:tc>
        <w:tc>
          <w:tcPr>
            <w:tcW w:w="1747" w:type="dxa"/>
            <w:tcBorders>
              <w:top w:val="nil"/>
              <w:left w:val="nil"/>
              <w:bottom w:val="single" w:sz="8" w:space="0" w:color="auto"/>
              <w:right w:val="single" w:sz="8" w:space="0" w:color="auto"/>
            </w:tcBorders>
            <w:shd w:val="clear" w:color="auto" w:fill="auto"/>
            <w:noWrap/>
            <w:vAlign w:val="center"/>
            <w:hideMark/>
          </w:tcPr>
          <w:p w14:paraId="29D0CFC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9.6</w:t>
            </w:r>
          </w:p>
        </w:tc>
        <w:tc>
          <w:tcPr>
            <w:tcW w:w="1350" w:type="dxa"/>
            <w:tcBorders>
              <w:top w:val="nil"/>
              <w:left w:val="nil"/>
              <w:bottom w:val="single" w:sz="8" w:space="0" w:color="auto"/>
              <w:right w:val="single" w:sz="8" w:space="0" w:color="auto"/>
            </w:tcBorders>
            <w:shd w:val="clear" w:color="auto" w:fill="auto"/>
            <w:noWrap/>
            <w:vAlign w:val="center"/>
            <w:hideMark/>
          </w:tcPr>
          <w:p w14:paraId="4AC0B37A"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w:t>
            </w:r>
          </w:p>
        </w:tc>
        <w:tc>
          <w:tcPr>
            <w:tcW w:w="1360" w:type="dxa"/>
            <w:tcBorders>
              <w:top w:val="nil"/>
              <w:left w:val="nil"/>
              <w:bottom w:val="single" w:sz="8" w:space="0" w:color="auto"/>
              <w:right w:val="single" w:sz="8" w:space="0" w:color="auto"/>
            </w:tcBorders>
            <w:shd w:val="clear" w:color="auto" w:fill="auto"/>
            <w:noWrap/>
            <w:vAlign w:val="center"/>
            <w:hideMark/>
          </w:tcPr>
          <w:p w14:paraId="5DB23E8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68</w:t>
            </w:r>
          </w:p>
        </w:tc>
      </w:tr>
    </w:tbl>
    <w:p w14:paraId="361505E8" w14:textId="77777777" w:rsidR="004A0D0E" w:rsidRDefault="004A0D0E" w:rsidP="001F0BF7">
      <w:pPr>
        <w:jc w:val="both"/>
      </w:pPr>
    </w:p>
    <w:p w14:paraId="5F905B30" w14:textId="77777777" w:rsidR="00F24D09" w:rsidRDefault="00CE3708" w:rsidP="001F0BF7">
      <w:pPr>
        <w:jc w:val="both"/>
      </w:pPr>
      <w:r>
        <w:t xml:space="preserve">Another way to fly ISS is with the PTRRJ automatically tracking the sun, instead of being at a fixed angle. This is known as Auto-track (AT). </w:t>
      </w:r>
      <w:r w:rsidR="00F24D09">
        <w:fldChar w:fldCharType="begin"/>
      </w:r>
      <w:r w:rsidR="00F24D09">
        <w:instrText xml:space="preserve"> REF _Ref47969024 \h </w:instrText>
      </w:r>
      <w:r w:rsidR="00F24D09">
        <w:fldChar w:fldCharType="separate"/>
      </w:r>
      <w:r w:rsidR="00F24D09">
        <w:t xml:space="preserve">Table </w:t>
      </w:r>
      <w:r w:rsidR="00F24D09">
        <w:rPr>
          <w:noProof/>
        </w:rPr>
        <w:t>5</w:t>
      </w:r>
      <w:r w:rsidR="00F24D09">
        <w:fldChar w:fldCharType="end"/>
      </w:r>
      <w:r w:rsidR="00F24D09">
        <w:t xml:space="preserve"> shows the bounding AT cases for the July 2019 case for nominal and reduced flow. As expected, the AT case results are lower than the fixed PTRRJ.</w:t>
      </w:r>
    </w:p>
    <w:p w14:paraId="40072C56" w14:textId="77777777" w:rsidR="00F24D09" w:rsidRDefault="00F24D09" w:rsidP="00F24D09">
      <w:pPr>
        <w:pStyle w:val="Caption"/>
      </w:pPr>
      <w:bookmarkStart w:id="19" w:name="_Ref47969024"/>
      <w:r>
        <w:t xml:space="preserve">Table </w:t>
      </w:r>
      <w:fldSimple w:instr=" SEQ Table \* ARABIC ">
        <w:r w:rsidR="0009105F">
          <w:rPr>
            <w:noProof/>
          </w:rPr>
          <w:t>5</w:t>
        </w:r>
      </w:fldSimple>
      <w:bookmarkEnd w:id="19"/>
      <w:r>
        <w:t>. Flight Rule Case Results: PTRRJ = AT</w:t>
      </w:r>
      <w:r w:rsidR="003F130F">
        <w:t>.</w:t>
      </w:r>
    </w:p>
    <w:tbl>
      <w:tblPr>
        <w:tblW w:w="7003" w:type="dxa"/>
        <w:jc w:val="center"/>
        <w:tblLook w:val="04A0" w:firstRow="1" w:lastRow="0" w:firstColumn="1" w:lastColumn="0" w:noHBand="0" w:noVBand="1"/>
      </w:tblPr>
      <w:tblGrid>
        <w:gridCol w:w="960"/>
        <w:gridCol w:w="1040"/>
        <w:gridCol w:w="763"/>
        <w:gridCol w:w="2420"/>
        <w:gridCol w:w="1820"/>
      </w:tblGrid>
      <w:tr w:rsidR="00F24D09" w:rsidRPr="000A3F51" w14:paraId="51E2CECF" w14:textId="77777777" w:rsidTr="00F24D09">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000000" w:fill="D0CECE"/>
            <w:hideMark/>
          </w:tcPr>
          <w:p w14:paraId="6E3CA84B"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Date</w:t>
            </w:r>
          </w:p>
        </w:tc>
        <w:tc>
          <w:tcPr>
            <w:tcW w:w="1040" w:type="dxa"/>
            <w:tcBorders>
              <w:top w:val="single" w:sz="4" w:space="0" w:color="auto"/>
              <w:left w:val="nil"/>
              <w:bottom w:val="single" w:sz="4" w:space="0" w:color="auto"/>
              <w:right w:val="single" w:sz="4" w:space="0" w:color="auto"/>
            </w:tcBorders>
            <w:shd w:val="clear" w:color="000000" w:fill="D0CECE"/>
            <w:hideMark/>
          </w:tcPr>
          <w:p w14:paraId="28114946"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GMT</w:t>
            </w:r>
          </w:p>
        </w:tc>
        <w:tc>
          <w:tcPr>
            <w:tcW w:w="763" w:type="dxa"/>
            <w:tcBorders>
              <w:top w:val="single" w:sz="4" w:space="0" w:color="auto"/>
              <w:left w:val="nil"/>
              <w:bottom w:val="single" w:sz="4" w:space="0" w:color="auto"/>
              <w:right w:val="single" w:sz="4" w:space="0" w:color="auto"/>
            </w:tcBorders>
            <w:shd w:val="clear" w:color="000000" w:fill="D0CECE"/>
            <w:hideMark/>
          </w:tcPr>
          <w:p w14:paraId="3A34B801"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CFM</w:t>
            </w:r>
          </w:p>
        </w:tc>
        <w:tc>
          <w:tcPr>
            <w:tcW w:w="2420" w:type="dxa"/>
            <w:tcBorders>
              <w:top w:val="single" w:sz="4" w:space="0" w:color="auto"/>
              <w:left w:val="nil"/>
              <w:bottom w:val="single" w:sz="4" w:space="0" w:color="auto"/>
              <w:right w:val="single" w:sz="4" w:space="0" w:color="auto"/>
            </w:tcBorders>
            <w:shd w:val="clear" w:color="000000" w:fill="D0CECE"/>
            <w:hideMark/>
          </w:tcPr>
          <w:p w14:paraId="1383D356"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Min Temperature °C (degraded)</w:t>
            </w:r>
          </w:p>
        </w:tc>
        <w:tc>
          <w:tcPr>
            <w:tcW w:w="1820" w:type="dxa"/>
            <w:tcBorders>
              <w:top w:val="single" w:sz="4" w:space="0" w:color="auto"/>
              <w:left w:val="nil"/>
              <w:bottom w:val="single" w:sz="4" w:space="0" w:color="auto"/>
              <w:right w:val="single" w:sz="4" w:space="0" w:color="auto"/>
            </w:tcBorders>
            <w:shd w:val="clear" w:color="000000" w:fill="D0CECE"/>
            <w:hideMark/>
          </w:tcPr>
          <w:p w14:paraId="434F3CF8"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IMV Inlet Temp °F</w:t>
            </w:r>
          </w:p>
        </w:tc>
      </w:tr>
      <w:tr w:rsidR="00F24D09" w:rsidRPr="000A3F51" w14:paraId="2725AE29" w14:textId="77777777" w:rsidTr="00F24D09">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24B771"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Jul-19</w:t>
            </w:r>
          </w:p>
        </w:tc>
        <w:tc>
          <w:tcPr>
            <w:tcW w:w="1040" w:type="dxa"/>
            <w:tcBorders>
              <w:top w:val="nil"/>
              <w:left w:val="nil"/>
              <w:bottom w:val="single" w:sz="4" w:space="0" w:color="auto"/>
              <w:right w:val="single" w:sz="4" w:space="0" w:color="auto"/>
            </w:tcBorders>
            <w:shd w:val="clear" w:color="auto" w:fill="auto"/>
            <w:noWrap/>
            <w:vAlign w:val="bottom"/>
            <w:hideMark/>
          </w:tcPr>
          <w:p w14:paraId="6C9E0E2A"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GMT 200</w:t>
            </w:r>
          </w:p>
        </w:tc>
        <w:tc>
          <w:tcPr>
            <w:tcW w:w="763" w:type="dxa"/>
            <w:tcBorders>
              <w:top w:val="nil"/>
              <w:left w:val="nil"/>
              <w:bottom w:val="single" w:sz="4" w:space="0" w:color="auto"/>
              <w:right w:val="single" w:sz="4" w:space="0" w:color="auto"/>
            </w:tcBorders>
            <w:shd w:val="clear" w:color="auto" w:fill="auto"/>
            <w:noWrap/>
            <w:vAlign w:val="bottom"/>
            <w:hideMark/>
          </w:tcPr>
          <w:p w14:paraId="0692503B"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120</w:t>
            </w:r>
          </w:p>
        </w:tc>
        <w:tc>
          <w:tcPr>
            <w:tcW w:w="2420" w:type="dxa"/>
            <w:tcBorders>
              <w:top w:val="nil"/>
              <w:left w:val="nil"/>
              <w:bottom w:val="single" w:sz="4" w:space="0" w:color="auto"/>
              <w:right w:val="single" w:sz="4" w:space="0" w:color="auto"/>
            </w:tcBorders>
            <w:shd w:val="clear" w:color="auto" w:fill="auto"/>
            <w:noWrap/>
            <w:vAlign w:val="bottom"/>
            <w:hideMark/>
          </w:tcPr>
          <w:p w14:paraId="361C9B5C"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13.5</w:t>
            </w:r>
          </w:p>
        </w:tc>
        <w:tc>
          <w:tcPr>
            <w:tcW w:w="1820" w:type="dxa"/>
            <w:tcBorders>
              <w:top w:val="nil"/>
              <w:left w:val="nil"/>
              <w:bottom w:val="single" w:sz="4" w:space="0" w:color="auto"/>
              <w:right w:val="single" w:sz="4" w:space="0" w:color="auto"/>
            </w:tcBorders>
            <w:shd w:val="clear" w:color="auto" w:fill="auto"/>
            <w:noWrap/>
            <w:vAlign w:val="bottom"/>
            <w:hideMark/>
          </w:tcPr>
          <w:p w14:paraId="0280ED8B"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72</w:t>
            </w:r>
          </w:p>
        </w:tc>
      </w:tr>
      <w:tr w:rsidR="00F24D09" w:rsidRPr="000A3F51" w14:paraId="2FCD721B" w14:textId="77777777" w:rsidTr="00F24D09">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972B5E"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Jul-19</w:t>
            </w:r>
          </w:p>
        </w:tc>
        <w:tc>
          <w:tcPr>
            <w:tcW w:w="1040" w:type="dxa"/>
            <w:tcBorders>
              <w:top w:val="nil"/>
              <w:left w:val="nil"/>
              <w:bottom w:val="single" w:sz="4" w:space="0" w:color="auto"/>
              <w:right w:val="single" w:sz="4" w:space="0" w:color="auto"/>
            </w:tcBorders>
            <w:shd w:val="clear" w:color="auto" w:fill="auto"/>
            <w:noWrap/>
            <w:vAlign w:val="bottom"/>
            <w:hideMark/>
          </w:tcPr>
          <w:p w14:paraId="2167A924"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GMT 200</w:t>
            </w:r>
          </w:p>
        </w:tc>
        <w:tc>
          <w:tcPr>
            <w:tcW w:w="763" w:type="dxa"/>
            <w:tcBorders>
              <w:top w:val="nil"/>
              <w:left w:val="nil"/>
              <w:bottom w:val="single" w:sz="4" w:space="0" w:color="auto"/>
              <w:right w:val="single" w:sz="4" w:space="0" w:color="auto"/>
            </w:tcBorders>
            <w:shd w:val="clear" w:color="auto" w:fill="auto"/>
            <w:noWrap/>
            <w:vAlign w:val="bottom"/>
            <w:hideMark/>
          </w:tcPr>
          <w:p w14:paraId="20D08473"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14:paraId="7A75F65B"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9.9</w:t>
            </w:r>
          </w:p>
        </w:tc>
        <w:tc>
          <w:tcPr>
            <w:tcW w:w="1820" w:type="dxa"/>
            <w:tcBorders>
              <w:top w:val="nil"/>
              <w:left w:val="nil"/>
              <w:bottom w:val="single" w:sz="4" w:space="0" w:color="auto"/>
              <w:right w:val="single" w:sz="4" w:space="0" w:color="auto"/>
            </w:tcBorders>
            <w:shd w:val="clear" w:color="auto" w:fill="auto"/>
            <w:noWrap/>
            <w:vAlign w:val="bottom"/>
            <w:hideMark/>
          </w:tcPr>
          <w:p w14:paraId="1A79054F"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72</w:t>
            </w:r>
          </w:p>
        </w:tc>
      </w:tr>
    </w:tbl>
    <w:p w14:paraId="4B56256C" w14:textId="787CF16B" w:rsidR="00013CA5" w:rsidRDefault="006D444D" w:rsidP="000F29D9">
      <w:pPr>
        <w:pStyle w:val="Heading1"/>
      </w:pPr>
      <w:r>
        <w:t>CONCLUSIONS</w:t>
      </w:r>
    </w:p>
    <w:p w14:paraId="42E67188" w14:textId="10E6FFD5" w:rsidR="006909AD" w:rsidRDefault="00857886" w:rsidP="003E09B1">
      <w:pPr>
        <w:jc w:val="both"/>
      </w:pPr>
      <w:r>
        <w:t>This paper summarizes</w:t>
      </w:r>
      <w:r w:rsidR="000A63AF">
        <w:t xml:space="preserve"> the model validation effort to create the latest thermal model revision for BEAM, which includes the 109 CTBE </w:t>
      </w:r>
      <w:r w:rsidR="006909AD">
        <w:t xml:space="preserve">stowage with CFD-derived HTC for the baseline and selected lower flow rates (120, 90, 60, and 30 CFM). Using degraded HTC on the aft bulkhead, the model is now validated for 120 CFM and able to predict the minimum temperature of the aft bulkhead with good agreement to flight minimum temperature (within 1 °C) for both historic and </w:t>
      </w:r>
      <w:r w:rsidR="006909AD">
        <w:lastRenderedPageBreak/>
        <w:t>recurring minimum values. Furthermore, the model is partially validated for reduced flow rate</w:t>
      </w:r>
      <w:r>
        <w:t>s</w:t>
      </w:r>
      <w:r w:rsidR="006909AD">
        <w:t xml:space="preserve">, also showing good agreement with the October 2019 flight data. </w:t>
      </w:r>
      <w:r w:rsidR="00175F4B">
        <w:t>The results from th</w:t>
      </w:r>
      <w:r>
        <w:t>e low flow cases</w:t>
      </w:r>
      <w:r w:rsidR="00175F4B">
        <w:t xml:space="preserve"> were also used to provide recommendations for updating the BEAM flight rules.</w:t>
      </w:r>
    </w:p>
    <w:sdt>
      <w:sdtPr>
        <w:rPr>
          <w:b w:val="0"/>
          <w:caps w:val="0"/>
        </w:rPr>
        <w:id w:val="1814301799"/>
        <w:docPartObj>
          <w:docPartGallery w:val="Bibliographies"/>
          <w:docPartUnique/>
        </w:docPartObj>
      </w:sdtPr>
      <w:sdtContent>
        <w:p w14:paraId="1D9E4B52" w14:textId="77777777" w:rsidR="00574739" w:rsidRDefault="00574739">
          <w:pPr>
            <w:pStyle w:val="Heading1"/>
          </w:pPr>
          <w:r>
            <w:t>References</w:t>
          </w:r>
        </w:p>
        <w:sdt>
          <w:sdtPr>
            <w:id w:val="-573587230"/>
            <w:bibliography/>
          </w:sdtPr>
          <w:sdtContent>
            <w:p w14:paraId="10AD4CF1" w14:textId="77777777" w:rsidR="00310B20" w:rsidRDefault="00574739" w:rsidP="00E467BC">
              <w:pPr>
                <w:jc w:val="both"/>
                <w:rPr>
                  <w:rFonts w:ascii="Times" w:hAnsi="Times"/>
                  <w:noProof/>
                  <w:sz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9016"/>
              </w:tblGrid>
              <w:tr w:rsidR="00310B20" w14:paraId="55B66CD7" w14:textId="77777777">
                <w:trPr>
                  <w:divId w:val="608706329"/>
                  <w:tblCellSpacing w:w="15" w:type="dxa"/>
                </w:trPr>
                <w:tc>
                  <w:tcPr>
                    <w:tcW w:w="50" w:type="pct"/>
                    <w:hideMark/>
                  </w:tcPr>
                  <w:p w14:paraId="264F62A5" w14:textId="1A3F7D0E" w:rsidR="00310B20" w:rsidRDefault="00310B20">
                    <w:pPr>
                      <w:pStyle w:val="Bibliography"/>
                      <w:rPr>
                        <w:noProof/>
                        <w:szCs w:val="24"/>
                      </w:rPr>
                    </w:pPr>
                    <w:r>
                      <w:rPr>
                        <w:noProof/>
                      </w:rPr>
                      <w:t xml:space="preserve">[1] </w:t>
                    </w:r>
                  </w:p>
                </w:tc>
                <w:tc>
                  <w:tcPr>
                    <w:tcW w:w="0" w:type="auto"/>
                    <w:hideMark/>
                  </w:tcPr>
                  <w:p w14:paraId="4E8815BA" w14:textId="552D4C3F" w:rsidR="00310B20" w:rsidRDefault="00310B20">
                    <w:pPr>
                      <w:pStyle w:val="Bibliography"/>
                      <w:rPr>
                        <w:noProof/>
                      </w:rPr>
                    </w:pPr>
                    <w:r>
                      <w:rPr>
                        <w:noProof/>
                      </w:rPr>
                      <w:t xml:space="preserve">W. Q. Walker and J. Iovine, "Comparison of Analysis to the On-Orbit Thermal Performance of the Bigelow Expandable Activities Module," </w:t>
                    </w:r>
                    <w:r>
                      <w:rPr>
                        <w:i/>
                        <w:iCs/>
                        <w:noProof/>
                      </w:rPr>
                      <w:t>International Conference on Environmental Systems</w:t>
                    </w:r>
                    <w:r>
                      <w:rPr>
                        <w:noProof/>
                      </w:rPr>
                      <w:t xml:space="preserve">, Charlestown, SC., 2017. </w:t>
                    </w:r>
                  </w:p>
                </w:tc>
              </w:tr>
              <w:tr w:rsidR="00310B20" w14:paraId="153F1989" w14:textId="77777777">
                <w:trPr>
                  <w:divId w:val="608706329"/>
                  <w:tblCellSpacing w:w="15" w:type="dxa"/>
                </w:trPr>
                <w:tc>
                  <w:tcPr>
                    <w:tcW w:w="50" w:type="pct"/>
                    <w:hideMark/>
                  </w:tcPr>
                  <w:p w14:paraId="527A6000" w14:textId="77777777" w:rsidR="00310B20" w:rsidRDefault="00310B20">
                    <w:pPr>
                      <w:pStyle w:val="Bibliography"/>
                      <w:rPr>
                        <w:noProof/>
                      </w:rPr>
                    </w:pPr>
                    <w:r>
                      <w:rPr>
                        <w:noProof/>
                      </w:rPr>
                      <w:t xml:space="preserve">[2] </w:t>
                    </w:r>
                  </w:p>
                </w:tc>
                <w:tc>
                  <w:tcPr>
                    <w:tcW w:w="0" w:type="auto"/>
                    <w:hideMark/>
                  </w:tcPr>
                  <w:p w14:paraId="3BC1CF6B" w14:textId="77777777" w:rsidR="00310B20" w:rsidRDefault="00310B20">
                    <w:pPr>
                      <w:pStyle w:val="Bibliography"/>
                      <w:rPr>
                        <w:noProof/>
                      </w:rPr>
                    </w:pPr>
                    <w:r>
                      <w:rPr>
                        <w:noProof/>
                      </w:rPr>
                      <w:t>"BEAM Facts, Figures, FAQs," NASA, [Online]. Available: https://www.nasa.gov/feature/beam-facts-figures-faqs.</w:t>
                    </w:r>
                  </w:p>
                </w:tc>
              </w:tr>
              <w:tr w:rsidR="00310B20" w14:paraId="1E94D280" w14:textId="77777777">
                <w:trPr>
                  <w:divId w:val="608706329"/>
                  <w:tblCellSpacing w:w="15" w:type="dxa"/>
                </w:trPr>
                <w:tc>
                  <w:tcPr>
                    <w:tcW w:w="50" w:type="pct"/>
                    <w:hideMark/>
                  </w:tcPr>
                  <w:p w14:paraId="30C35232" w14:textId="77777777" w:rsidR="00310B20" w:rsidRDefault="00310B20">
                    <w:pPr>
                      <w:pStyle w:val="Bibliography"/>
                      <w:rPr>
                        <w:noProof/>
                      </w:rPr>
                    </w:pPr>
                    <w:r>
                      <w:rPr>
                        <w:noProof/>
                      </w:rPr>
                      <w:t xml:space="preserve">[3] </w:t>
                    </w:r>
                  </w:p>
                </w:tc>
                <w:tc>
                  <w:tcPr>
                    <w:tcW w:w="0" w:type="auto"/>
                    <w:hideMark/>
                  </w:tcPr>
                  <w:p w14:paraId="50350F32" w14:textId="77777777" w:rsidR="00310B20" w:rsidRDefault="00310B20">
                    <w:pPr>
                      <w:pStyle w:val="Bibliography"/>
                      <w:rPr>
                        <w:noProof/>
                      </w:rPr>
                    </w:pPr>
                    <w:r>
                      <w:rPr>
                        <w:noProof/>
                      </w:rPr>
                      <w:t>"BEAM Expandable Activity Module," NASA, [Online]. Available: https://www.nasa.gov/content/bigelow-expandableactivity-module.</w:t>
                    </w:r>
                  </w:p>
                </w:tc>
              </w:tr>
              <w:tr w:rsidR="00310B20" w14:paraId="55504EE5" w14:textId="77777777">
                <w:trPr>
                  <w:divId w:val="608706329"/>
                  <w:tblCellSpacing w:w="15" w:type="dxa"/>
                </w:trPr>
                <w:tc>
                  <w:tcPr>
                    <w:tcW w:w="50" w:type="pct"/>
                    <w:hideMark/>
                  </w:tcPr>
                  <w:p w14:paraId="4E5C2A1A" w14:textId="77777777" w:rsidR="00310B20" w:rsidRDefault="00310B20">
                    <w:pPr>
                      <w:pStyle w:val="Bibliography"/>
                      <w:rPr>
                        <w:noProof/>
                      </w:rPr>
                    </w:pPr>
                    <w:r>
                      <w:rPr>
                        <w:noProof/>
                      </w:rPr>
                      <w:t xml:space="preserve">[4] </w:t>
                    </w:r>
                  </w:p>
                </w:tc>
                <w:tc>
                  <w:tcPr>
                    <w:tcW w:w="0" w:type="auto"/>
                    <w:hideMark/>
                  </w:tcPr>
                  <w:p w14:paraId="40C80ABA" w14:textId="1CAB8EAA" w:rsidR="00310B20" w:rsidRDefault="00310B20">
                    <w:pPr>
                      <w:pStyle w:val="Bibliography"/>
                      <w:rPr>
                        <w:noProof/>
                      </w:rPr>
                    </w:pPr>
                    <w:r>
                      <w:rPr>
                        <w:noProof/>
                      </w:rPr>
                      <w:t xml:space="preserve">L. Carrillo, D. Farner and C. Preston, "ISS Payload Thermal Environments," </w:t>
                    </w:r>
                    <w:r>
                      <w:rPr>
                        <w:i/>
                        <w:iCs/>
                        <w:noProof/>
                      </w:rPr>
                      <w:t>Thermal Fluids and Analysis Workshop</w:t>
                    </w:r>
                    <w:r>
                      <w:rPr>
                        <w:noProof/>
                      </w:rPr>
                      <w:t xml:space="preserve">, 2015. </w:t>
                    </w:r>
                  </w:p>
                </w:tc>
              </w:tr>
              <w:tr w:rsidR="00310B20" w14:paraId="64EBBAC9" w14:textId="77777777">
                <w:trPr>
                  <w:divId w:val="608706329"/>
                  <w:tblCellSpacing w:w="15" w:type="dxa"/>
                </w:trPr>
                <w:tc>
                  <w:tcPr>
                    <w:tcW w:w="50" w:type="pct"/>
                    <w:hideMark/>
                  </w:tcPr>
                  <w:p w14:paraId="04EF926B" w14:textId="77777777" w:rsidR="00310B20" w:rsidRDefault="00310B20">
                    <w:pPr>
                      <w:pStyle w:val="Bibliography"/>
                      <w:rPr>
                        <w:noProof/>
                      </w:rPr>
                    </w:pPr>
                    <w:r>
                      <w:rPr>
                        <w:noProof/>
                      </w:rPr>
                      <w:t xml:space="preserve">[5] </w:t>
                    </w:r>
                  </w:p>
                </w:tc>
                <w:tc>
                  <w:tcPr>
                    <w:tcW w:w="0" w:type="auto"/>
                    <w:hideMark/>
                  </w:tcPr>
                  <w:p w14:paraId="75D0C392" w14:textId="77777777" w:rsidR="00310B20" w:rsidRDefault="00310B20">
                    <w:pPr>
                      <w:pStyle w:val="Bibliography"/>
                      <w:rPr>
                        <w:noProof/>
                      </w:rPr>
                    </w:pPr>
                    <w:r>
                      <w:rPr>
                        <w:noProof/>
                      </w:rPr>
                      <w:t>Z. Hernandez, "BEAM Thermal Quarterly Report FY19, Quarter," NASA Report, 2019.</w:t>
                    </w:r>
                  </w:p>
                </w:tc>
              </w:tr>
              <w:tr w:rsidR="00310B20" w14:paraId="183B5599" w14:textId="77777777">
                <w:trPr>
                  <w:divId w:val="608706329"/>
                  <w:tblCellSpacing w:w="15" w:type="dxa"/>
                </w:trPr>
                <w:tc>
                  <w:tcPr>
                    <w:tcW w:w="50" w:type="pct"/>
                    <w:hideMark/>
                  </w:tcPr>
                  <w:p w14:paraId="4269AFE0" w14:textId="77777777" w:rsidR="00310B20" w:rsidRDefault="00310B20">
                    <w:pPr>
                      <w:pStyle w:val="Bibliography"/>
                      <w:rPr>
                        <w:noProof/>
                      </w:rPr>
                    </w:pPr>
                    <w:r>
                      <w:rPr>
                        <w:noProof/>
                      </w:rPr>
                      <w:t xml:space="preserve">[6] </w:t>
                    </w:r>
                  </w:p>
                </w:tc>
                <w:tc>
                  <w:tcPr>
                    <w:tcW w:w="0" w:type="auto"/>
                    <w:hideMark/>
                  </w:tcPr>
                  <w:p w14:paraId="6B8CEBB4" w14:textId="77777777" w:rsidR="00310B20" w:rsidRDefault="00310B20">
                    <w:pPr>
                      <w:pStyle w:val="Bibliography"/>
                      <w:rPr>
                        <w:noProof/>
                      </w:rPr>
                    </w:pPr>
                    <w:r>
                      <w:rPr>
                        <w:noProof/>
                      </w:rPr>
                      <w:t>"B17-372 BEAM Dew Point Management. International Space Station Flight Rule.," \\js-ea-fs-01\ws01\ES\Secure_Server\ISS_PTCS\FLIGHT_FOLDERS\SPX-8.</w:t>
                    </w:r>
                  </w:p>
                </w:tc>
              </w:tr>
              <w:tr w:rsidR="00310B20" w14:paraId="3C2E9859" w14:textId="77777777">
                <w:trPr>
                  <w:divId w:val="608706329"/>
                  <w:tblCellSpacing w:w="15" w:type="dxa"/>
                </w:trPr>
                <w:tc>
                  <w:tcPr>
                    <w:tcW w:w="50" w:type="pct"/>
                    <w:hideMark/>
                  </w:tcPr>
                  <w:p w14:paraId="374F9624" w14:textId="77777777" w:rsidR="00310B20" w:rsidRDefault="00310B20">
                    <w:pPr>
                      <w:pStyle w:val="Bibliography"/>
                      <w:rPr>
                        <w:noProof/>
                      </w:rPr>
                    </w:pPr>
                    <w:r>
                      <w:rPr>
                        <w:noProof/>
                      </w:rPr>
                      <w:t xml:space="preserve">[7] </w:t>
                    </w:r>
                  </w:p>
                </w:tc>
                <w:tc>
                  <w:tcPr>
                    <w:tcW w:w="0" w:type="auto"/>
                    <w:hideMark/>
                  </w:tcPr>
                  <w:p w14:paraId="033FA877" w14:textId="77777777" w:rsidR="00310B20" w:rsidRDefault="00310B20">
                    <w:pPr>
                      <w:pStyle w:val="Bibliography"/>
                      <w:rPr>
                        <w:noProof/>
                      </w:rPr>
                    </w:pPr>
                    <w:r>
                      <w:rPr>
                        <w:noProof/>
                      </w:rPr>
                      <w:t>W. Walker, "BEAM Thermal Quarterly Report FY17, Quarter 4," NASA Report, 2017.</w:t>
                    </w:r>
                  </w:p>
                </w:tc>
              </w:tr>
              <w:tr w:rsidR="00310B20" w14:paraId="792CE41C" w14:textId="77777777">
                <w:trPr>
                  <w:divId w:val="608706329"/>
                  <w:tblCellSpacing w:w="15" w:type="dxa"/>
                </w:trPr>
                <w:tc>
                  <w:tcPr>
                    <w:tcW w:w="50" w:type="pct"/>
                    <w:hideMark/>
                  </w:tcPr>
                  <w:p w14:paraId="6297743C" w14:textId="77777777" w:rsidR="00310B20" w:rsidRDefault="00310B20">
                    <w:pPr>
                      <w:pStyle w:val="Bibliography"/>
                      <w:rPr>
                        <w:noProof/>
                      </w:rPr>
                    </w:pPr>
                    <w:r>
                      <w:rPr>
                        <w:noProof/>
                      </w:rPr>
                      <w:t xml:space="preserve">[8] </w:t>
                    </w:r>
                  </w:p>
                </w:tc>
                <w:tc>
                  <w:tcPr>
                    <w:tcW w:w="0" w:type="auto"/>
                    <w:hideMark/>
                  </w:tcPr>
                  <w:p w14:paraId="675313D6" w14:textId="77777777" w:rsidR="00310B20" w:rsidRDefault="00310B20">
                    <w:pPr>
                      <w:pStyle w:val="Bibliography"/>
                      <w:rPr>
                        <w:noProof/>
                      </w:rPr>
                    </w:pPr>
                    <w:r>
                      <w:rPr>
                        <w:noProof/>
                      </w:rPr>
                      <w:t>W. Walker, "Bigelow Expandable Activity Module (Beam) Date Specific Thermal Analysis and Corresponding Model Updates," NASA Internal Presentation, 2017.</w:t>
                    </w:r>
                  </w:p>
                </w:tc>
              </w:tr>
              <w:tr w:rsidR="00310B20" w14:paraId="49220FF5" w14:textId="77777777">
                <w:trPr>
                  <w:divId w:val="608706329"/>
                  <w:tblCellSpacing w:w="15" w:type="dxa"/>
                </w:trPr>
                <w:tc>
                  <w:tcPr>
                    <w:tcW w:w="50" w:type="pct"/>
                    <w:hideMark/>
                  </w:tcPr>
                  <w:p w14:paraId="4A38118A" w14:textId="77777777" w:rsidR="00310B20" w:rsidRDefault="00310B20">
                    <w:pPr>
                      <w:pStyle w:val="Bibliography"/>
                      <w:rPr>
                        <w:noProof/>
                      </w:rPr>
                    </w:pPr>
                    <w:r>
                      <w:rPr>
                        <w:noProof/>
                      </w:rPr>
                      <w:t xml:space="preserve">[9] </w:t>
                    </w:r>
                  </w:p>
                </w:tc>
                <w:tc>
                  <w:tcPr>
                    <w:tcW w:w="0" w:type="auto"/>
                    <w:hideMark/>
                  </w:tcPr>
                  <w:p w14:paraId="6405AF47" w14:textId="77777777" w:rsidR="00310B20" w:rsidRDefault="00310B20">
                    <w:pPr>
                      <w:pStyle w:val="Bibliography"/>
                      <w:rPr>
                        <w:noProof/>
                      </w:rPr>
                    </w:pPr>
                    <w:r>
                      <w:rPr>
                        <w:noProof/>
                      </w:rPr>
                      <w:t xml:space="preserve">T. Paul, </w:t>
                    </w:r>
                    <w:r>
                      <w:rPr>
                        <w:i/>
                        <w:iCs/>
                        <w:noProof/>
                      </w:rPr>
                      <w:t xml:space="preserve">Reduced Flowrate case results and heat transfer coefficients on bags, </w:t>
                    </w:r>
                    <w:r>
                      <w:rPr>
                        <w:noProof/>
                      </w:rPr>
                      <w:t xml:space="preserve">Jacobs Presentation, May 17, 2019. </w:t>
                    </w:r>
                  </w:p>
                </w:tc>
              </w:tr>
            </w:tbl>
            <w:p w14:paraId="3ACB09B0" w14:textId="77777777" w:rsidR="00310B20" w:rsidRDefault="00310B20">
              <w:pPr>
                <w:divId w:val="608706329"/>
                <w:rPr>
                  <w:noProof/>
                </w:rPr>
              </w:pPr>
            </w:p>
            <w:p w14:paraId="25A2AA2A" w14:textId="77777777" w:rsidR="00013CA5" w:rsidRDefault="00574739" w:rsidP="00E467BC">
              <w:pPr>
                <w:jc w:val="both"/>
              </w:pPr>
              <w:r>
                <w:rPr>
                  <w:b/>
                  <w:bCs/>
                  <w:noProof/>
                </w:rPr>
                <w:fldChar w:fldCharType="end"/>
              </w:r>
              <w:r w:rsidR="00574959">
                <w:rPr>
                  <w:noProof/>
                  <w:sz w:val="20"/>
                </w:rPr>
                <mc:AlternateContent>
                  <mc:Choice Requires="wps">
                    <w:drawing>
                      <wp:anchor distT="0" distB="0" distL="114300" distR="114300" simplePos="0" relativeHeight="251657728" behindDoc="0" locked="0" layoutInCell="1" allowOverlap="1" wp14:anchorId="3A783238" wp14:editId="302B5A66">
                        <wp:simplePos x="0" y="0"/>
                        <wp:positionH relativeFrom="column">
                          <wp:posOffset>51435</wp:posOffset>
                        </wp:positionH>
                        <wp:positionV relativeFrom="paragraph">
                          <wp:posOffset>60325</wp:posOffset>
                        </wp:positionV>
                        <wp:extent cx="5943600" cy="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E8149"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75pt" to="472.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M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"/>
                    </w:pict>
                  </mc:Fallback>
                </mc:AlternateContent>
              </w:r>
            </w:p>
          </w:sdtContent>
        </w:sdt>
      </w:sdtContent>
    </w:sdt>
    <w:p w14:paraId="6C66E5F8" w14:textId="77777777" w:rsidR="00CF7727" w:rsidRDefault="00CF7727" w:rsidP="003A0D50"/>
    <w:p w14:paraId="42915DB2" w14:textId="77777777" w:rsidR="00CF7727" w:rsidRDefault="00CF7727" w:rsidP="00CF7727"/>
    <w:p w14:paraId="5DC44037" w14:textId="77777777" w:rsidR="00013CA5" w:rsidRPr="00CF7727" w:rsidRDefault="00CF7727" w:rsidP="00CF7727">
      <w:pPr>
        <w:tabs>
          <w:tab w:val="left" w:pos="5425"/>
        </w:tabs>
      </w:pPr>
      <w:r>
        <w:tab/>
      </w:r>
    </w:p>
    <w:sectPr w:rsidR="00013CA5" w:rsidRPr="00CF7727" w:rsidSect="009B3781">
      <w:footerReference w:type="even" r:id="rId26"/>
      <w:footerReference w:type="default" r:id="rId27"/>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57690" w14:textId="77777777" w:rsidR="00B024BC" w:rsidRDefault="00B024BC" w:rsidP="003A0D50">
      <w:r>
        <w:separator/>
      </w:r>
    </w:p>
  </w:endnote>
  <w:endnote w:type="continuationSeparator" w:id="0">
    <w:p w14:paraId="75FF533B" w14:textId="77777777" w:rsidR="00B024BC" w:rsidRDefault="00B024BC" w:rsidP="003A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5FF0" w14:textId="77777777" w:rsidR="000D66A3" w:rsidRDefault="000D66A3" w:rsidP="003A0D5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6994ABC" w14:textId="77777777" w:rsidR="000D66A3" w:rsidRDefault="000D66A3" w:rsidP="003A0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E66ED" w14:textId="77777777" w:rsidR="000D66A3" w:rsidRDefault="000D66A3" w:rsidP="003A0D50">
    <w:pPr>
      <w:pStyle w:val="Footer"/>
      <w:rPr>
        <w:rStyle w:val="PageNumber"/>
      </w:rPr>
    </w:pPr>
  </w:p>
  <w:p w14:paraId="4D9F7E98" w14:textId="4B5E5E26" w:rsidR="000D66A3" w:rsidRPr="004F19FC" w:rsidRDefault="000D66A3" w:rsidP="004F19FC">
    <w:pPr>
      <w:pStyle w:val="Footer"/>
      <w:tabs>
        <w:tab w:val="clear" w:pos="8640"/>
        <w:tab w:val="right" w:pos="9270"/>
      </w:tabs>
      <w:rPr>
        <w:sz w:val="20"/>
      </w:rPr>
    </w:pPr>
    <w:r w:rsidRPr="004F19FC">
      <w:rPr>
        <w:sz w:val="20"/>
      </w:rPr>
      <w:tab/>
    </w:r>
    <w:r>
      <w:rPr>
        <w:sz w:val="20"/>
      </w:rPr>
      <w:t>TFAWS 2020 – August 18-20, 2020</w:t>
    </w:r>
    <w:r w:rsidRPr="004F19FC">
      <w:rPr>
        <w:sz w:val="20"/>
      </w:rPr>
      <w:tab/>
    </w:r>
    <w:r w:rsidRPr="004F19FC">
      <w:rPr>
        <w:sz w:val="20"/>
      </w:rPr>
      <w:fldChar w:fldCharType="begin"/>
    </w:r>
    <w:r w:rsidRPr="004F19FC">
      <w:rPr>
        <w:sz w:val="20"/>
      </w:rPr>
      <w:instrText xml:space="preserve"> PAGE  \* Arabic  \* MERGEFORMAT </w:instrText>
    </w:r>
    <w:r w:rsidRPr="004F19FC">
      <w:rPr>
        <w:sz w:val="20"/>
      </w:rPr>
      <w:fldChar w:fldCharType="separate"/>
    </w:r>
    <w:r w:rsidR="00B24A44">
      <w:rPr>
        <w:noProof/>
        <w:sz w:val="20"/>
      </w:rPr>
      <w:t>16</w:t>
    </w:r>
    <w:r w:rsidRPr="004F19FC">
      <w:rPr>
        <w:sz w:val="20"/>
      </w:rPr>
      <w:fldChar w:fldCharType="end"/>
    </w:r>
    <w:r w:rsidRPr="004F19FC">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F8266" w14:textId="77777777" w:rsidR="00B024BC" w:rsidRDefault="00B024BC" w:rsidP="003A0D50">
      <w:r>
        <w:separator/>
      </w:r>
    </w:p>
  </w:footnote>
  <w:footnote w:type="continuationSeparator" w:id="0">
    <w:p w14:paraId="14FCA7A4" w14:textId="77777777" w:rsidR="00B024BC" w:rsidRDefault="00B024BC" w:rsidP="003A0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0A105D"/>
    <w:multiLevelType w:val="hybridMultilevel"/>
    <w:tmpl w:val="FB4E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36AA5"/>
    <w:multiLevelType w:val="hybridMultilevel"/>
    <w:tmpl w:val="FA0A07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F8C526A"/>
    <w:multiLevelType w:val="singleLevel"/>
    <w:tmpl w:val="F2CAEF36"/>
    <w:lvl w:ilvl="0">
      <w:start w:val="1"/>
      <w:numFmt w:val="decimal"/>
      <w:lvlText w:val="%1."/>
      <w:legacy w:legacy="1" w:legacySpace="0" w:legacyIndent="360"/>
      <w:lvlJc w:val="left"/>
      <w:pPr>
        <w:ind w:left="360" w:hanging="360"/>
      </w:pPr>
    </w:lvl>
  </w:abstractNum>
  <w:abstractNum w:abstractNumId="4" w15:restartNumberingAfterBreak="0">
    <w:nsid w:val="48BA3DF8"/>
    <w:multiLevelType w:val="hybridMultilevel"/>
    <w:tmpl w:val="A30C6BAA"/>
    <w:lvl w:ilvl="0" w:tplc="EABCC59C">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494D4A"/>
    <w:multiLevelType w:val="hybridMultilevel"/>
    <w:tmpl w:val="1A904E92"/>
    <w:lvl w:ilvl="0" w:tplc="9A7C00A2">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F31B00"/>
    <w:multiLevelType w:val="hybridMultilevel"/>
    <w:tmpl w:val="0BEE03D4"/>
    <w:lvl w:ilvl="0" w:tplc="2578BE1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531683"/>
    <w:multiLevelType w:val="hybridMultilevel"/>
    <w:tmpl w:val="96D00E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4">
    <w:abstractNumId w:val="2"/>
  </w:num>
  <w:num w:numId="5">
    <w:abstractNumId w:val="4"/>
  </w:num>
  <w:num w:numId="6">
    <w:abstractNumId w:val="7"/>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7" w:nlCheck="1" w:checkStyle="1"/>
  <w:activeWritingStyle w:appName="MSWord" w:lang="en-US" w:vendorID="64" w:dllVersion="131078" w:nlCheck="1" w:checkStyle="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BF"/>
    <w:rsid w:val="0000343B"/>
    <w:rsid w:val="00013CA5"/>
    <w:rsid w:val="00020461"/>
    <w:rsid w:val="00026097"/>
    <w:rsid w:val="00067427"/>
    <w:rsid w:val="000738E6"/>
    <w:rsid w:val="00075A4F"/>
    <w:rsid w:val="0009105F"/>
    <w:rsid w:val="000A0F61"/>
    <w:rsid w:val="000A63AF"/>
    <w:rsid w:val="000B2EC8"/>
    <w:rsid w:val="000B394A"/>
    <w:rsid w:val="000B78E1"/>
    <w:rsid w:val="000C3C5C"/>
    <w:rsid w:val="000D098C"/>
    <w:rsid w:val="000D4EA1"/>
    <w:rsid w:val="000D66A3"/>
    <w:rsid w:val="000D78CA"/>
    <w:rsid w:val="000E745A"/>
    <w:rsid w:val="000F29D9"/>
    <w:rsid w:val="000F64CC"/>
    <w:rsid w:val="00124150"/>
    <w:rsid w:val="0016647C"/>
    <w:rsid w:val="001707E4"/>
    <w:rsid w:val="00175F4B"/>
    <w:rsid w:val="001760B9"/>
    <w:rsid w:val="00195FFB"/>
    <w:rsid w:val="001A5D6C"/>
    <w:rsid w:val="001A5FA1"/>
    <w:rsid w:val="001B489F"/>
    <w:rsid w:val="001B74B6"/>
    <w:rsid w:val="001E63E0"/>
    <w:rsid w:val="001F0BF7"/>
    <w:rsid w:val="001F47A7"/>
    <w:rsid w:val="001F5070"/>
    <w:rsid w:val="002266FF"/>
    <w:rsid w:val="00232A1E"/>
    <w:rsid w:val="00236466"/>
    <w:rsid w:val="002578F1"/>
    <w:rsid w:val="00265993"/>
    <w:rsid w:val="00270B71"/>
    <w:rsid w:val="00283BE6"/>
    <w:rsid w:val="002A0598"/>
    <w:rsid w:val="002B58E4"/>
    <w:rsid w:val="002C1095"/>
    <w:rsid w:val="002D435E"/>
    <w:rsid w:val="002D77CA"/>
    <w:rsid w:val="002F71B7"/>
    <w:rsid w:val="0030618D"/>
    <w:rsid w:val="00310B20"/>
    <w:rsid w:val="0031183C"/>
    <w:rsid w:val="00353D17"/>
    <w:rsid w:val="00386CB2"/>
    <w:rsid w:val="003904E0"/>
    <w:rsid w:val="003A0D50"/>
    <w:rsid w:val="003A4A1A"/>
    <w:rsid w:val="003A6586"/>
    <w:rsid w:val="003C203B"/>
    <w:rsid w:val="003E09B1"/>
    <w:rsid w:val="003F130F"/>
    <w:rsid w:val="003F13CD"/>
    <w:rsid w:val="00406946"/>
    <w:rsid w:val="004104EE"/>
    <w:rsid w:val="0042425E"/>
    <w:rsid w:val="0048483C"/>
    <w:rsid w:val="00493D2A"/>
    <w:rsid w:val="004A0D0E"/>
    <w:rsid w:val="004B4E4B"/>
    <w:rsid w:val="004C0D89"/>
    <w:rsid w:val="004C3A8E"/>
    <w:rsid w:val="004F19FC"/>
    <w:rsid w:val="004F6590"/>
    <w:rsid w:val="00537FF1"/>
    <w:rsid w:val="00542532"/>
    <w:rsid w:val="00551BC0"/>
    <w:rsid w:val="005556BD"/>
    <w:rsid w:val="00557558"/>
    <w:rsid w:val="00574739"/>
    <w:rsid w:val="00574959"/>
    <w:rsid w:val="005D7DFC"/>
    <w:rsid w:val="005E56CB"/>
    <w:rsid w:val="00602686"/>
    <w:rsid w:val="00604BE5"/>
    <w:rsid w:val="00605A5B"/>
    <w:rsid w:val="00613247"/>
    <w:rsid w:val="006139AB"/>
    <w:rsid w:val="0062439E"/>
    <w:rsid w:val="00632D9B"/>
    <w:rsid w:val="00633D4A"/>
    <w:rsid w:val="006362E0"/>
    <w:rsid w:val="006821F5"/>
    <w:rsid w:val="006909AD"/>
    <w:rsid w:val="006A3EDE"/>
    <w:rsid w:val="006A7383"/>
    <w:rsid w:val="006B57CB"/>
    <w:rsid w:val="006C72EC"/>
    <w:rsid w:val="006D444D"/>
    <w:rsid w:val="00712233"/>
    <w:rsid w:val="007232D1"/>
    <w:rsid w:val="007678DA"/>
    <w:rsid w:val="00791396"/>
    <w:rsid w:val="007A3ABC"/>
    <w:rsid w:val="007A4B74"/>
    <w:rsid w:val="007D6B13"/>
    <w:rsid w:val="007E4FDF"/>
    <w:rsid w:val="00806085"/>
    <w:rsid w:val="00824DD4"/>
    <w:rsid w:val="008354BC"/>
    <w:rsid w:val="00840CFE"/>
    <w:rsid w:val="008547B7"/>
    <w:rsid w:val="00857886"/>
    <w:rsid w:val="0086035D"/>
    <w:rsid w:val="00863B97"/>
    <w:rsid w:val="008664BD"/>
    <w:rsid w:val="008B53FB"/>
    <w:rsid w:val="008C7E0E"/>
    <w:rsid w:val="008F210D"/>
    <w:rsid w:val="00903EBB"/>
    <w:rsid w:val="00970EEB"/>
    <w:rsid w:val="009930CE"/>
    <w:rsid w:val="009940BF"/>
    <w:rsid w:val="009B3781"/>
    <w:rsid w:val="009C576F"/>
    <w:rsid w:val="009C7F0B"/>
    <w:rsid w:val="009F6610"/>
    <w:rsid w:val="00A13E55"/>
    <w:rsid w:val="00A33A42"/>
    <w:rsid w:val="00A34257"/>
    <w:rsid w:val="00A544B0"/>
    <w:rsid w:val="00A75FB3"/>
    <w:rsid w:val="00A972DB"/>
    <w:rsid w:val="00AA7A53"/>
    <w:rsid w:val="00AC326F"/>
    <w:rsid w:val="00B024BC"/>
    <w:rsid w:val="00B22B9F"/>
    <w:rsid w:val="00B230EF"/>
    <w:rsid w:val="00B23623"/>
    <w:rsid w:val="00B24A44"/>
    <w:rsid w:val="00B55222"/>
    <w:rsid w:val="00B85071"/>
    <w:rsid w:val="00BB6D32"/>
    <w:rsid w:val="00BC3809"/>
    <w:rsid w:val="00BE3E67"/>
    <w:rsid w:val="00C03F09"/>
    <w:rsid w:val="00C07640"/>
    <w:rsid w:val="00C1258D"/>
    <w:rsid w:val="00C16BAC"/>
    <w:rsid w:val="00C27C0F"/>
    <w:rsid w:val="00C31E51"/>
    <w:rsid w:val="00C337D8"/>
    <w:rsid w:val="00C52105"/>
    <w:rsid w:val="00C5726C"/>
    <w:rsid w:val="00C927D4"/>
    <w:rsid w:val="00CC5EAF"/>
    <w:rsid w:val="00CE3708"/>
    <w:rsid w:val="00CE6B4C"/>
    <w:rsid w:val="00CF7727"/>
    <w:rsid w:val="00D10292"/>
    <w:rsid w:val="00D14DDC"/>
    <w:rsid w:val="00D44D99"/>
    <w:rsid w:val="00D6249D"/>
    <w:rsid w:val="00D77230"/>
    <w:rsid w:val="00DB66D8"/>
    <w:rsid w:val="00DD4CE2"/>
    <w:rsid w:val="00E03911"/>
    <w:rsid w:val="00E25141"/>
    <w:rsid w:val="00E36423"/>
    <w:rsid w:val="00E37590"/>
    <w:rsid w:val="00E467BC"/>
    <w:rsid w:val="00E64D5C"/>
    <w:rsid w:val="00E741AD"/>
    <w:rsid w:val="00EA1397"/>
    <w:rsid w:val="00EA4836"/>
    <w:rsid w:val="00EB058D"/>
    <w:rsid w:val="00EB2416"/>
    <w:rsid w:val="00EB3E73"/>
    <w:rsid w:val="00EE3679"/>
    <w:rsid w:val="00EE7065"/>
    <w:rsid w:val="00EF0CCC"/>
    <w:rsid w:val="00EF4918"/>
    <w:rsid w:val="00F24D09"/>
    <w:rsid w:val="00F24E15"/>
    <w:rsid w:val="00F84CA7"/>
    <w:rsid w:val="00F8516B"/>
    <w:rsid w:val="00FA1EF7"/>
    <w:rsid w:val="00FB17C1"/>
    <w:rsid w:val="00FB332D"/>
    <w:rsid w:val="00FB77F8"/>
    <w:rsid w:val="00FC37F2"/>
    <w:rsid w:val="00FC7FD3"/>
    <w:rsid w:val="00FF0469"/>
    <w:rsid w:val="00FF2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603856"/>
  <w15:chartTrackingRefBased/>
  <w15:docId w15:val="{6FB7ADA6-4E89-4E92-A035-B27296481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F2"/>
    <w:pPr>
      <w:spacing w:after="240"/>
    </w:pPr>
    <w:rPr>
      <w:rFonts w:ascii="Calibri" w:hAnsi="Calibri"/>
      <w:sz w:val="24"/>
    </w:rPr>
  </w:style>
  <w:style w:type="paragraph" w:styleId="Heading1">
    <w:name w:val="heading 1"/>
    <w:basedOn w:val="AbstractHeading"/>
    <w:next w:val="Normal"/>
    <w:link w:val="Heading1Char"/>
    <w:uiPriority w:val="9"/>
    <w:qFormat/>
    <w:rsid w:val="000F29D9"/>
    <w:pPr>
      <w:spacing w:before="240" w:after="120"/>
      <w:outlineLvl w:val="0"/>
    </w:pPr>
  </w:style>
  <w:style w:type="paragraph" w:styleId="Heading2">
    <w:name w:val="heading 2"/>
    <w:basedOn w:val="Normal"/>
    <w:next w:val="Normal"/>
    <w:qFormat/>
    <w:rsid w:val="00EF0CCC"/>
    <w:pPr>
      <w:keepNext/>
      <w:spacing w:before="240" w:after="60"/>
      <w:outlineLvl w:val="1"/>
    </w:pPr>
    <w:rPr>
      <w:bCs/>
      <w:iCs/>
      <w:szCs w:val="24"/>
      <w:u w:val="single"/>
    </w:rPr>
  </w:style>
  <w:style w:type="paragraph" w:styleId="Heading3">
    <w:name w:val="heading 3"/>
    <w:basedOn w:val="PaperSubSubHeading"/>
    <w:next w:val="Normal"/>
    <w:link w:val="Heading3Char"/>
    <w:uiPriority w:val="9"/>
    <w:qFormat/>
    <w:rsid w:val="000F29D9"/>
    <w:pPr>
      <w:spacing w:before="120" w:after="0"/>
      <w:ind w:left="720"/>
      <w:outlineLvl w:val="2"/>
    </w:pPr>
    <w:rPr>
      <w:rFonts w:ascii="Times New Roman" w:hAnsi="Times New Roman"/>
      <w: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customStyle="1" w:styleId="Author">
    <w:name w:val="Author"/>
    <w:basedOn w:val="Normal"/>
    <w:pPr>
      <w:spacing w:before="240" w:line="280" w:lineRule="exact"/>
      <w:jc w:val="right"/>
    </w:pPr>
    <w:rPr>
      <w:rFonts w:ascii="Helvetica" w:hAnsi="Helvetica"/>
      <w:b/>
    </w:rPr>
  </w:style>
  <w:style w:type="paragraph" w:customStyle="1" w:styleId="Affiliation">
    <w:name w:val="Affiliation"/>
    <w:basedOn w:val="Normal"/>
    <w:pPr>
      <w:spacing w:line="240" w:lineRule="exact"/>
      <w:jc w:val="right"/>
    </w:pPr>
    <w:rPr>
      <w:rFonts w:ascii="Helvetica" w:hAnsi="Helvetica"/>
    </w:rPr>
  </w:style>
  <w:style w:type="paragraph" w:styleId="BodyText2">
    <w:name w:val="Body Text 2"/>
    <w:basedOn w:val="Normal"/>
    <w:semiHidden/>
  </w:style>
  <w:style w:type="paragraph" w:customStyle="1" w:styleId="PaperHeadings">
    <w:name w:val="PaperHeadings"/>
    <w:basedOn w:val="Normal"/>
    <w:next w:val="BodyText"/>
    <w:pPr>
      <w:keepNext/>
      <w:spacing w:before="480"/>
    </w:pPr>
    <w:rPr>
      <w:b/>
      <w:caps/>
    </w:rPr>
  </w:style>
  <w:style w:type="paragraph" w:styleId="BodyText">
    <w:name w:val="Body Text"/>
    <w:basedOn w:val="Normal"/>
    <w:semiHidden/>
    <w:pPr>
      <w:spacing w:after="120"/>
    </w:pPr>
  </w:style>
  <w:style w:type="paragraph" w:customStyle="1" w:styleId="AbstractHeading">
    <w:name w:val="AbstractHeading"/>
    <w:basedOn w:val="PaperHeadings"/>
  </w:style>
  <w:style w:type="paragraph" w:customStyle="1" w:styleId="PaperSubHeadings">
    <w:name w:val="PaperSubHeadings"/>
    <w:basedOn w:val="Normal"/>
    <w:pPr>
      <w:keepNext/>
      <w:spacing w:before="480"/>
    </w:pPr>
    <w:rPr>
      <w:caps/>
    </w:rPr>
  </w:style>
  <w:style w:type="paragraph" w:customStyle="1" w:styleId="PaperSubSubHeading">
    <w:name w:val="PaperSubSubHeading"/>
    <w:basedOn w:val="Normal"/>
    <w:pPr>
      <w:keepNext/>
      <w:spacing w:before="480"/>
      <w:jc w:val="both"/>
    </w:pPr>
    <w:rPr>
      <w:u w:val="single"/>
    </w:rPr>
  </w:style>
  <w:style w:type="paragraph" w:customStyle="1" w:styleId="PaperTitle">
    <w:name w:val="PaperTitle"/>
    <w:basedOn w:val="Normal"/>
    <w:qFormat/>
    <w:rsid w:val="000F29D9"/>
    <w:pPr>
      <w:spacing w:after="360"/>
      <w:jc w:val="center"/>
    </w:pPr>
    <w:rPr>
      <w:b/>
      <w:caps/>
      <w:sz w:val="28"/>
    </w:rPr>
  </w:style>
  <w:style w:type="paragraph" w:customStyle="1" w:styleId="Body">
    <w:name w:val="Body"/>
    <w:basedOn w:val="Normal"/>
    <w:pPr>
      <w:jc w:val="both"/>
    </w:pPr>
    <w:rPr>
      <w:rFonts w:ascii="Helvetica" w:hAnsi="Helvetica"/>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TableTitle">
    <w:name w:val="TableTitle"/>
    <w:basedOn w:val="FigureTitle"/>
    <w:pPr>
      <w:keepNext/>
    </w:pPr>
  </w:style>
  <w:style w:type="paragraph" w:customStyle="1" w:styleId="FigureTitle">
    <w:name w:val="FigureTitle"/>
    <w:basedOn w:val="BodyText"/>
    <w:pPr>
      <w:jc w:val="center"/>
    </w:pPr>
    <w:rPr>
      <w:rFonts w:ascii="Times" w:hAnsi="Times"/>
      <w:b/>
    </w:rPr>
  </w:style>
  <w:style w:type="paragraph" w:styleId="Caption">
    <w:name w:val="caption"/>
    <w:aliases w:val="Caption - Table"/>
    <w:basedOn w:val="Normal"/>
    <w:next w:val="Normal"/>
    <w:uiPriority w:val="35"/>
    <w:qFormat/>
    <w:rsid w:val="00C52105"/>
    <w:pPr>
      <w:keepNext/>
      <w:spacing w:after="120"/>
      <w:jc w:val="center"/>
    </w:pPr>
    <w:rPr>
      <w:b/>
      <w:bCs/>
      <w:szCs w:val="24"/>
    </w:rPr>
  </w:style>
  <w:style w:type="paragraph" w:customStyle="1" w:styleId="Caption-Figure">
    <w:name w:val="Caption - Figure"/>
    <w:basedOn w:val="Caption"/>
    <w:qFormat/>
    <w:rsid w:val="00EF0CCC"/>
    <w:pPr>
      <w:keepNext w:val="0"/>
    </w:pPr>
  </w:style>
  <w:style w:type="paragraph" w:customStyle="1" w:styleId="AuthorName">
    <w:name w:val="AuthorName"/>
    <w:basedOn w:val="Normal"/>
    <w:link w:val="AuthorNameChar"/>
    <w:qFormat/>
    <w:rsid w:val="000F29D9"/>
    <w:pPr>
      <w:spacing w:after="0"/>
      <w:jc w:val="center"/>
    </w:pPr>
    <w:rPr>
      <w:rFonts w:ascii="Times New Roman" w:hAnsi="Times New Roman"/>
      <w:b/>
      <w:lang w:val="x-none" w:eastAsia="x-none"/>
    </w:rPr>
  </w:style>
  <w:style w:type="paragraph" w:customStyle="1" w:styleId="AuthorAffiliation">
    <w:name w:val="AuthorAffiliation"/>
    <w:basedOn w:val="Normal"/>
    <w:link w:val="AuthorAffiliationChar"/>
    <w:qFormat/>
    <w:rsid w:val="000F29D9"/>
    <w:pPr>
      <w:spacing w:after="360"/>
      <w:jc w:val="center"/>
    </w:pPr>
    <w:rPr>
      <w:rFonts w:ascii="Times New Roman" w:hAnsi="Times New Roman"/>
      <w:lang w:val="x-none" w:eastAsia="x-none"/>
    </w:rPr>
  </w:style>
  <w:style w:type="character" w:customStyle="1" w:styleId="AuthorNameChar">
    <w:name w:val="AuthorName Char"/>
    <w:link w:val="AuthorName"/>
    <w:rsid w:val="000F29D9"/>
    <w:rPr>
      <w:rFonts w:ascii="Times New Roman" w:hAnsi="Times New Roman"/>
      <w:b/>
      <w:sz w:val="24"/>
    </w:rPr>
  </w:style>
  <w:style w:type="paragraph" w:customStyle="1" w:styleId="BulletedList">
    <w:name w:val="Bulleted List"/>
    <w:basedOn w:val="Normal"/>
    <w:link w:val="BulletedListChar"/>
    <w:qFormat/>
    <w:rsid w:val="000F29D9"/>
    <w:pPr>
      <w:numPr>
        <w:numId w:val="7"/>
      </w:numPr>
      <w:spacing w:after="120"/>
    </w:pPr>
    <w:rPr>
      <w:rFonts w:ascii="Times New Roman" w:hAnsi="Times New Roman"/>
      <w:lang w:val="x-none" w:eastAsia="x-none"/>
    </w:rPr>
  </w:style>
  <w:style w:type="character" w:customStyle="1" w:styleId="AuthorAffiliationChar">
    <w:name w:val="AuthorAffiliation Char"/>
    <w:link w:val="AuthorAffiliation"/>
    <w:rsid w:val="000F29D9"/>
    <w:rPr>
      <w:rFonts w:ascii="Times New Roman" w:hAnsi="Times New Roman"/>
      <w:sz w:val="24"/>
    </w:rPr>
  </w:style>
  <w:style w:type="paragraph" w:customStyle="1" w:styleId="NumberedList">
    <w:name w:val="Numbered List"/>
    <w:basedOn w:val="Normal"/>
    <w:link w:val="NumberedListChar"/>
    <w:qFormat/>
    <w:rsid w:val="000F29D9"/>
    <w:pPr>
      <w:numPr>
        <w:numId w:val="8"/>
      </w:numPr>
      <w:spacing w:after="120"/>
    </w:pPr>
    <w:rPr>
      <w:rFonts w:ascii="Times New Roman" w:hAnsi="Times New Roman"/>
      <w:lang w:val="x-none" w:eastAsia="x-none"/>
    </w:rPr>
  </w:style>
  <w:style w:type="character" w:customStyle="1" w:styleId="BulletedListChar">
    <w:name w:val="Bulleted List Char"/>
    <w:link w:val="BulletedList"/>
    <w:rsid w:val="000F29D9"/>
    <w:rPr>
      <w:rFonts w:ascii="Times New Roman" w:hAnsi="Times New Roman"/>
      <w:sz w:val="24"/>
    </w:rPr>
  </w:style>
  <w:style w:type="character" w:customStyle="1" w:styleId="Heading3Char">
    <w:name w:val="Heading 3 Char"/>
    <w:link w:val="Heading3"/>
    <w:uiPriority w:val="9"/>
    <w:rsid w:val="000F29D9"/>
    <w:rPr>
      <w:rFonts w:ascii="Times New Roman" w:hAnsi="Times New Roman"/>
      <w:i/>
      <w:sz w:val="24"/>
      <w:u w:val="single"/>
    </w:rPr>
  </w:style>
  <w:style w:type="character" w:customStyle="1" w:styleId="NumberedListChar">
    <w:name w:val="Numbered List Char"/>
    <w:link w:val="NumberedList"/>
    <w:rsid w:val="000F29D9"/>
    <w:rPr>
      <w:rFonts w:ascii="Times New Roman" w:hAnsi="Times New Roman"/>
      <w:sz w:val="24"/>
    </w:rPr>
  </w:style>
  <w:style w:type="character" w:styleId="CommentReference">
    <w:name w:val="annotation reference"/>
    <w:basedOn w:val="DefaultParagraphFont"/>
    <w:uiPriority w:val="99"/>
    <w:semiHidden/>
    <w:unhideWhenUsed/>
    <w:rsid w:val="0062439E"/>
    <w:rPr>
      <w:sz w:val="16"/>
      <w:szCs w:val="16"/>
    </w:rPr>
  </w:style>
  <w:style w:type="paragraph" w:styleId="CommentText">
    <w:name w:val="annotation text"/>
    <w:basedOn w:val="Normal"/>
    <w:link w:val="CommentTextChar"/>
    <w:uiPriority w:val="99"/>
    <w:semiHidden/>
    <w:unhideWhenUsed/>
    <w:rsid w:val="0062439E"/>
    <w:rPr>
      <w:sz w:val="20"/>
    </w:rPr>
  </w:style>
  <w:style w:type="character" w:customStyle="1" w:styleId="CommentTextChar">
    <w:name w:val="Comment Text Char"/>
    <w:basedOn w:val="DefaultParagraphFont"/>
    <w:link w:val="CommentText"/>
    <w:uiPriority w:val="99"/>
    <w:semiHidden/>
    <w:rsid w:val="0062439E"/>
    <w:rPr>
      <w:rFonts w:ascii="Calibri" w:hAnsi="Calibri"/>
    </w:rPr>
  </w:style>
  <w:style w:type="paragraph" w:styleId="CommentSubject">
    <w:name w:val="annotation subject"/>
    <w:basedOn w:val="CommentText"/>
    <w:next w:val="CommentText"/>
    <w:link w:val="CommentSubjectChar"/>
    <w:uiPriority w:val="99"/>
    <w:semiHidden/>
    <w:unhideWhenUsed/>
    <w:rsid w:val="0062439E"/>
    <w:rPr>
      <w:b/>
      <w:bCs/>
    </w:rPr>
  </w:style>
  <w:style w:type="character" w:customStyle="1" w:styleId="CommentSubjectChar">
    <w:name w:val="Comment Subject Char"/>
    <w:basedOn w:val="CommentTextChar"/>
    <w:link w:val="CommentSubject"/>
    <w:uiPriority w:val="99"/>
    <w:semiHidden/>
    <w:rsid w:val="0062439E"/>
    <w:rPr>
      <w:rFonts w:ascii="Calibri" w:hAnsi="Calibri"/>
      <w:b/>
      <w:bCs/>
    </w:rPr>
  </w:style>
  <w:style w:type="paragraph" w:styleId="BalloonText">
    <w:name w:val="Balloon Text"/>
    <w:basedOn w:val="Normal"/>
    <w:link w:val="BalloonTextChar"/>
    <w:uiPriority w:val="99"/>
    <w:semiHidden/>
    <w:unhideWhenUsed/>
    <w:rsid w:val="0062439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39E"/>
    <w:rPr>
      <w:rFonts w:ascii="Segoe UI" w:hAnsi="Segoe UI" w:cs="Segoe UI"/>
      <w:sz w:val="18"/>
      <w:szCs w:val="18"/>
    </w:rPr>
  </w:style>
  <w:style w:type="character" w:customStyle="1" w:styleId="Heading1Char">
    <w:name w:val="Heading 1 Char"/>
    <w:basedOn w:val="DefaultParagraphFont"/>
    <w:link w:val="Heading1"/>
    <w:uiPriority w:val="9"/>
    <w:rsid w:val="00067427"/>
    <w:rPr>
      <w:rFonts w:ascii="Calibri" w:hAnsi="Calibri"/>
      <w:b/>
      <w:caps/>
      <w:sz w:val="24"/>
    </w:rPr>
  </w:style>
  <w:style w:type="paragraph" w:styleId="Bibliography">
    <w:name w:val="Bibliography"/>
    <w:basedOn w:val="Normal"/>
    <w:next w:val="Normal"/>
    <w:uiPriority w:val="37"/>
    <w:unhideWhenUsed/>
    <w:rsid w:val="00067427"/>
  </w:style>
  <w:style w:type="paragraph" w:styleId="Revision">
    <w:name w:val="Revision"/>
    <w:hidden/>
    <w:uiPriority w:val="99"/>
    <w:semiHidden/>
    <w:rsid w:val="00BB6D32"/>
    <w:rPr>
      <w:rFonts w:ascii="Calibri" w:hAnsi="Calibri"/>
      <w:sz w:val="24"/>
    </w:rPr>
  </w:style>
  <w:style w:type="paragraph" w:styleId="NoSpacing">
    <w:name w:val="No Spacing"/>
    <w:uiPriority w:val="1"/>
    <w:qFormat/>
    <w:rsid w:val="004A0D0E"/>
    <w:pPr>
      <w:spacing w:line="480" w:lineRule="auto"/>
      <w:jc w:val="both"/>
    </w:pPr>
    <w:rPr>
      <w:rFonts w:ascii="Times New Roman" w:eastAsiaTheme="minorHAnsi" w:hAnsi="Times New Roman" w:cstheme="minorBidi"/>
      <w:sz w:val="22"/>
      <w:szCs w:val="22"/>
    </w:rPr>
  </w:style>
  <w:style w:type="paragraph" w:customStyle="1" w:styleId="tablehdr">
    <w:name w:val="tablehdr"/>
    <w:link w:val="tablehdrChar"/>
    <w:uiPriority w:val="99"/>
    <w:rsid w:val="00E25141"/>
    <w:pPr>
      <w:jc w:val="center"/>
    </w:pPr>
    <w:rPr>
      <w:rFonts w:ascii="Arial" w:hAnsi="Arial"/>
      <w:caps/>
    </w:rPr>
  </w:style>
  <w:style w:type="paragraph" w:customStyle="1" w:styleId="tablent">
    <w:name w:val="tablent"/>
    <w:basedOn w:val="tablehdr"/>
    <w:link w:val="tablentChar"/>
    <w:uiPriority w:val="99"/>
    <w:rsid w:val="00E25141"/>
    <w:pPr>
      <w:jc w:val="left"/>
    </w:pPr>
    <w:rPr>
      <w:sz w:val="16"/>
    </w:rPr>
  </w:style>
  <w:style w:type="character" w:customStyle="1" w:styleId="tablehdrChar">
    <w:name w:val="tablehdr Char"/>
    <w:link w:val="tablehdr"/>
    <w:uiPriority w:val="99"/>
    <w:rsid w:val="00E25141"/>
    <w:rPr>
      <w:rFonts w:ascii="Arial" w:hAnsi="Arial"/>
      <w:caps/>
    </w:rPr>
  </w:style>
  <w:style w:type="character" w:customStyle="1" w:styleId="tablentChar">
    <w:name w:val="tablent Char"/>
    <w:link w:val="tablent"/>
    <w:uiPriority w:val="99"/>
    <w:rsid w:val="00E25141"/>
    <w:rPr>
      <w:rFonts w:ascii="Arial" w:hAnsi="Arial"/>
      <w:caps/>
      <w:sz w:val="16"/>
    </w:rPr>
  </w:style>
  <w:style w:type="table" w:styleId="TableGrid">
    <w:name w:val="Table Grid"/>
    <w:basedOn w:val="TableNormal"/>
    <w:uiPriority w:val="39"/>
    <w:rsid w:val="000910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4371">
      <w:bodyDiv w:val="1"/>
      <w:marLeft w:val="0"/>
      <w:marRight w:val="0"/>
      <w:marTop w:val="0"/>
      <w:marBottom w:val="0"/>
      <w:divBdr>
        <w:top w:val="none" w:sz="0" w:space="0" w:color="auto"/>
        <w:left w:val="none" w:sz="0" w:space="0" w:color="auto"/>
        <w:bottom w:val="none" w:sz="0" w:space="0" w:color="auto"/>
        <w:right w:val="none" w:sz="0" w:space="0" w:color="auto"/>
      </w:divBdr>
    </w:div>
    <w:div w:id="6640637">
      <w:bodyDiv w:val="1"/>
      <w:marLeft w:val="0"/>
      <w:marRight w:val="0"/>
      <w:marTop w:val="0"/>
      <w:marBottom w:val="0"/>
      <w:divBdr>
        <w:top w:val="none" w:sz="0" w:space="0" w:color="auto"/>
        <w:left w:val="none" w:sz="0" w:space="0" w:color="auto"/>
        <w:bottom w:val="none" w:sz="0" w:space="0" w:color="auto"/>
        <w:right w:val="none" w:sz="0" w:space="0" w:color="auto"/>
      </w:divBdr>
    </w:div>
    <w:div w:id="11225819">
      <w:bodyDiv w:val="1"/>
      <w:marLeft w:val="0"/>
      <w:marRight w:val="0"/>
      <w:marTop w:val="0"/>
      <w:marBottom w:val="0"/>
      <w:divBdr>
        <w:top w:val="none" w:sz="0" w:space="0" w:color="auto"/>
        <w:left w:val="none" w:sz="0" w:space="0" w:color="auto"/>
        <w:bottom w:val="none" w:sz="0" w:space="0" w:color="auto"/>
        <w:right w:val="none" w:sz="0" w:space="0" w:color="auto"/>
      </w:divBdr>
    </w:div>
    <w:div w:id="23210470">
      <w:bodyDiv w:val="1"/>
      <w:marLeft w:val="0"/>
      <w:marRight w:val="0"/>
      <w:marTop w:val="0"/>
      <w:marBottom w:val="0"/>
      <w:divBdr>
        <w:top w:val="none" w:sz="0" w:space="0" w:color="auto"/>
        <w:left w:val="none" w:sz="0" w:space="0" w:color="auto"/>
        <w:bottom w:val="none" w:sz="0" w:space="0" w:color="auto"/>
        <w:right w:val="none" w:sz="0" w:space="0" w:color="auto"/>
      </w:divBdr>
    </w:div>
    <w:div w:id="43992797">
      <w:bodyDiv w:val="1"/>
      <w:marLeft w:val="0"/>
      <w:marRight w:val="0"/>
      <w:marTop w:val="0"/>
      <w:marBottom w:val="0"/>
      <w:divBdr>
        <w:top w:val="none" w:sz="0" w:space="0" w:color="auto"/>
        <w:left w:val="none" w:sz="0" w:space="0" w:color="auto"/>
        <w:bottom w:val="none" w:sz="0" w:space="0" w:color="auto"/>
        <w:right w:val="none" w:sz="0" w:space="0" w:color="auto"/>
      </w:divBdr>
    </w:div>
    <w:div w:id="52627205">
      <w:bodyDiv w:val="1"/>
      <w:marLeft w:val="0"/>
      <w:marRight w:val="0"/>
      <w:marTop w:val="0"/>
      <w:marBottom w:val="0"/>
      <w:divBdr>
        <w:top w:val="none" w:sz="0" w:space="0" w:color="auto"/>
        <w:left w:val="none" w:sz="0" w:space="0" w:color="auto"/>
        <w:bottom w:val="none" w:sz="0" w:space="0" w:color="auto"/>
        <w:right w:val="none" w:sz="0" w:space="0" w:color="auto"/>
      </w:divBdr>
    </w:div>
    <w:div w:id="70084741">
      <w:bodyDiv w:val="1"/>
      <w:marLeft w:val="0"/>
      <w:marRight w:val="0"/>
      <w:marTop w:val="0"/>
      <w:marBottom w:val="0"/>
      <w:divBdr>
        <w:top w:val="none" w:sz="0" w:space="0" w:color="auto"/>
        <w:left w:val="none" w:sz="0" w:space="0" w:color="auto"/>
        <w:bottom w:val="none" w:sz="0" w:space="0" w:color="auto"/>
        <w:right w:val="none" w:sz="0" w:space="0" w:color="auto"/>
      </w:divBdr>
    </w:div>
    <w:div w:id="81610220">
      <w:bodyDiv w:val="1"/>
      <w:marLeft w:val="0"/>
      <w:marRight w:val="0"/>
      <w:marTop w:val="0"/>
      <w:marBottom w:val="0"/>
      <w:divBdr>
        <w:top w:val="none" w:sz="0" w:space="0" w:color="auto"/>
        <w:left w:val="none" w:sz="0" w:space="0" w:color="auto"/>
        <w:bottom w:val="none" w:sz="0" w:space="0" w:color="auto"/>
        <w:right w:val="none" w:sz="0" w:space="0" w:color="auto"/>
      </w:divBdr>
    </w:div>
    <w:div w:id="117115197">
      <w:bodyDiv w:val="1"/>
      <w:marLeft w:val="0"/>
      <w:marRight w:val="0"/>
      <w:marTop w:val="0"/>
      <w:marBottom w:val="0"/>
      <w:divBdr>
        <w:top w:val="none" w:sz="0" w:space="0" w:color="auto"/>
        <w:left w:val="none" w:sz="0" w:space="0" w:color="auto"/>
        <w:bottom w:val="none" w:sz="0" w:space="0" w:color="auto"/>
        <w:right w:val="none" w:sz="0" w:space="0" w:color="auto"/>
      </w:divBdr>
    </w:div>
    <w:div w:id="118693058">
      <w:bodyDiv w:val="1"/>
      <w:marLeft w:val="0"/>
      <w:marRight w:val="0"/>
      <w:marTop w:val="0"/>
      <w:marBottom w:val="0"/>
      <w:divBdr>
        <w:top w:val="none" w:sz="0" w:space="0" w:color="auto"/>
        <w:left w:val="none" w:sz="0" w:space="0" w:color="auto"/>
        <w:bottom w:val="none" w:sz="0" w:space="0" w:color="auto"/>
        <w:right w:val="none" w:sz="0" w:space="0" w:color="auto"/>
      </w:divBdr>
    </w:div>
    <w:div w:id="122120945">
      <w:bodyDiv w:val="1"/>
      <w:marLeft w:val="0"/>
      <w:marRight w:val="0"/>
      <w:marTop w:val="0"/>
      <w:marBottom w:val="0"/>
      <w:divBdr>
        <w:top w:val="none" w:sz="0" w:space="0" w:color="auto"/>
        <w:left w:val="none" w:sz="0" w:space="0" w:color="auto"/>
        <w:bottom w:val="none" w:sz="0" w:space="0" w:color="auto"/>
        <w:right w:val="none" w:sz="0" w:space="0" w:color="auto"/>
      </w:divBdr>
    </w:div>
    <w:div w:id="122697626">
      <w:bodyDiv w:val="1"/>
      <w:marLeft w:val="0"/>
      <w:marRight w:val="0"/>
      <w:marTop w:val="0"/>
      <w:marBottom w:val="0"/>
      <w:divBdr>
        <w:top w:val="none" w:sz="0" w:space="0" w:color="auto"/>
        <w:left w:val="none" w:sz="0" w:space="0" w:color="auto"/>
        <w:bottom w:val="none" w:sz="0" w:space="0" w:color="auto"/>
        <w:right w:val="none" w:sz="0" w:space="0" w:color="auto"/>
      </w:divBdr>
    </w:div>
    <w:div w:id="135953178">
      <w:bodyDiv w:val="1"/>
      <w:marLeft w:val="0"/>
      <w:marRight w:val="0"/>
      <w:marTop w:val="0"/>
      <w:marBottom w:val="0"/>
      <w:divBdr>
        <w:top w:val="none" w:sz="0" w:space="0" w:color="auto"/>
        <w:left w:val="none" w:sz="0" w:space="0" w:color="auto"/>
        <w:bottom w:val="none" w:sz="0" w:space="0" w:color="auto"/>
        <w:right w:val="none" w:sz="0" w:space="0" w:color="auto"/>
      </w:divBdr>
    </w:div>
    <w:div w:id="147210371">
      <w:bodyDiv w:val="1"/>
      <w:marLeft w:val="0"/>
      <w:marRight w:val="0"/>
      <w:marTop w:val="0"/>
      <w:marBottom w:val="0"/>
      <w:divBdr>
        <w:top w:val="none" w:sz="0" w:space="0" w:color="auto"/>
        <w:left w:val="none" w:sz="0" w:space="0" w:color="auto"/>
        <w:bottom w:val="none" w:sz="0" w:space="0" w:color="auto"/>
        <w:right w:val="none" w:sz="0" w:space="0" w:color="auto"/>
      </w:divBdr>
    </w:div>
    <w:div w:id="187378499">
      <w:bodyDiv w:val="1"/>
      <w:marLeft w:val="0"/>
      <w:marRight w:val="0"/>
      <w:marTop w:val="0"/>
      <w:marBottom w:val="0"/>
      <w:divBdr>
        <w:top w:val="none" w:sz="0" w:space="0" w:color="auto"/>
        <w:left w:val="none" w:sz="0" w:space="0" w:color="auto"/>
        <w:bottom w:val="none" w:sz="0" w:space="0" w:color="auto"/>
        <w:right w:val="none" w:sz="0" w:space="0" w:color="auto"/>
      </w:divBdr>
    </w:div>
    <w:div w:id="196163411">
      <w:bodyDiv w:val="1"/>
      <w:marLeft w:val="0"/>
      <w:marRight w:val="0"/>
      <w:marTop w:val="0"/>
      <w:marBottom w:val="0"/>
      <w:divBdr>
        <w:top w:val="none" w:sz="0" w:space="0" w:color="auto"/>
        <w:left w:val="none" w:sz="0" w:space="0" w:color="auto"/>
        <w:bottom w:val="none" w:sz="0" w:space="0" w:color="auto"/>
        <w:right w:val="none" w:sz="0" w:space="0" w:color="auto"/>
      </w:divBdr>
    </w:div>
    <w:div w:id="223414485">
      <w:bodyDiv w:val="1"/>
      <w:marLeft w:val="0"/>
      <w:marRight w:val="0"/>
      <w:marTop w:val="0"/>
      <w:marBottom w:val="0"/>
      <w:divBdr>
        <w:top w:val="none" w:sz="0" w:space="0" w:color="auto"/>
        <w:left w:val="none" w:sz="0" w:space="0" w:color="auto"/>
        <w:bottom w:val="none" w:sz="0" w:space="0" w:color="auto"/>
        <w:right w:val="none" w:sz="0" w:space="0" w:color="auto"/>
      </w:divBdr>
    </w:div>
    <w:div w:id="248780484">
      <w:bodyDiv w:val="1"/>
      <w:marLeft w:val="0"/>
      <w:marRight w:val="0"/>
      <w:marTop w:val="0"/>
      <w:marBottom w:val="0"/>
      <w:divBdr>
        <w:top w:val="none" w:sz="0" w:space="0" w:color="auto"/>
        <w:left w:val="none" w:sz="0" w:space="0" w:color="auto"/>
        <w:bottom w:val="none" w:sz="0" w:space="0" w:color="auto"/>
        <w:right w:val="none" w:sz="0" w:space="0" w:color="auto"/>
      </w:divBdr>
    </w:div>
    <w:div w:id="256990086">
      <w:bodyDiv w:val="1"/>
      <w:marLeft w:val="0"/>
      <w:marRight w:val="0"/>
      <w:marTop w:val="0"/>
      <w:marBottom w:val="0"/>
      <w:divBdr>
        <w:top w:val="none" w:sz="0" w:space="0" w:color="auto"/>
        <w:left w:val="none" w:sz="0" w:space="0" w:color="auto"/>
        <w:bottom w:val="none" w:sz="0" w:space="0" w:color="auto"/>
        <w:right w:val="none" w:sz="0" w:space="0" w:color="auto"/>
      </w:divBdr>
    </w:div>
    <w:div w:id="258105243">
      <w:bodyDiv w:val="1"/>
      <w:marLeft w:val="0"/>
      <w:marRight w:val="0"/>
      <w:marTop w:val="0"/>
      <w:marBottom w:val="0"/>
      <w:divBdr>
        <w:top w:val="none" w:sz="0" w:space="0" w:color="auto"/>
        <w:left w:val="none" w:sz="0" w:space="0" w:color="auto"/>
        <w:bottom w:val="none" w:sz="0" w:space="0" w:color="auto"/>
        <w:right w:val="none" w:sz="0" w:space="0" w:color="auto"/>
      </w:divBdr>
    </w:div>
    <w:div w:id="274751729">
      <w:bodyDiv w:val="1"/>
      <w:marLeft w:val="0"/>
      <w:marRight w:val="0"/>
      <w:marTop w:val="0"/>
      <w:marBottom w:val="0"/>
      <w:divBdr>
        <w:top w:val="none" w:sz="0" w:space="0" w:color="auto"/>
        <w:left w:val="none" w:sz="0" w:space="0" w:color="auto"/>
        <w:bottom w:val="none" w:sz="0" w:space="0" w:color="auto"/>
        <w:right w:val="none" w:sz="0" w:space="0" w:color="auto"/>
      </w:divBdr>
    </w:div>
    <w:div w:id="275673376">
      <w:bodyDiv w:val="1"/>
      <w:marLeft w:val="0"/>
      <w:marRight w:val="0"/>
      <w:marTop w:val="0"/>
      <w:marBottom w:val="0"/>
      <w:divBdr>
        <w:top w:val="none" w:sz="0" w:space="0" w:color="auto"/>
        <w:left w:val="none" w:sz="0" w:space="0" w:color="auto"/>
        <w:bottom w:val="none" w:sz="0" w:space="0" w:color="auto"/>
        <w:right w:val="none" w:sz="0" w:space="0" w:color="auto"/>
      </w:divBdr>
    </w:div>
    <w:div w:id="281152069">
      <w:bodyDiv w:val="1"/>
      <w:marLeft w:val="0"/>
      <w:marRight w:val="0"/>
      <w:marTop w:val="0"/>
      <w:marBottom w:val="0"/>
      <w:divBdr>
        <w:top w:val="none" w:sz="0" w:space="0" w:color="auto"/>
        <w:left w:val="none" w:sz="0" w:space="0" w:color="auto"/>
        <w:bottom w:val="none" w:sz="0" w:space="0" w:color="auto"/>
        <w:right w:val="none" w:sz="0" w:space="0" w:color="auto"/>
      </w:divBdr>
    </w:div>
    <w:div w:id="318273949">
      <w:bodyDiv w:val="1"/>
      <w:marLeft w:val="0"/>
      <w:marRight w:val="0"/>
      <w:marTop w:val="0"/>
      <w:marBottom w:val="0"/>
      <w:divBdr>
        <w:top w:val="none" w:sz="0" w:space="0" w:color="auto"/>
        <w:left w:val="none" w:sz="0" w:space="0" w:color="auto"/>
        <w:bottom w:val="none" w:sz="0" w:space="0" w:color="auto"/>
        <w:right w:val="none" w:sz="0" w:space="0" w:color="auto"/>
      </w:divBdr>
    </w:div>
    <w:div w:id="322244531">
      <w:bodyDiv w:val="1"/>
      <w:marLeft w:val="0"/>
      <w:marRight w:val="0"/>
      <w:marTop w:val="0"/>
      <w:marBottom w:val="0"/>
      <w:divBdr>
        <w:top w:val="none" w:sz="0" w:space="0" w:color="auto"/>
        <w:left w:val="none" w:sz="0" w:space="0" w:color="auto"/>
        <w:bottom w:val="none" w:sz="0" w:space="0" w:color="auto"/>
        <w:right w:val="none" w:sz="0" w:space="0" w:color="auto"/>
      </w:divBdr>
    </w:div>
    <w:div w:id="323435492">
      <w:bodyDiv w:val="1"/>
      <w:marLeft w:val="0"/>
      <w:marRight w:val="0"/>
      <w:marTop w:val="0"/>
      <w:marBottom w:val="0"/>
      <w:divBdr>
        <w:top w:val="none" w:sz="0" w:space="0" w:color="auto"/>
        <w:left w:val="none" w:sz="0" w:space="0" w:color="auto"/>
        <w:bottom w:val="none" w:sz="0" w:space="0" w:color="auto"/>
        <w:right w:val="none" w:sz="0" w:space="0" w:color="auto"/>
      </w:divBdr>
    </w:div>
    <w:div w:id="382289844">
      <w:bodyDiv w:val="1"/>
      <w:marLeft w:val="0"/>
      <w:marRight w:val="0"/>
      <w:marTop w:val="0"/>
      <w:marBottom w:val="0"/>
      <w:divBdr>
        <w:top w:val="none" w:sz="0" w:space="0" w:color="auto"/>
        <w:left w:val="none" w:sz="0" w:space="0" w:color="auto"/>
        <w:bottom w:val="none" w:sz="0" w:space="0" w:color="auto"/>
        <w:right w:val="none" w:sz="0" w:space="0" w:color="auto"/>
      </w:divBdr>
    </w:div>
    <w:div w:id="397167806">
      <w:bodyDiv w:val="1"/>
      <w:marLeft w:val="0"/>
      <w:marRight w:val="0"/>
      <w:marTop w:val="0"/>
      <w:marBottom w:val="0"/>
      <w:divBdr>
        <w:top w:val="none" w:sz="0" w:space="0" w:color="auto"/>
        <w:left w:val="none" w:sz="0" w:space="0" w:color="auto"/>
        <w:bottom w:val="none" w:sz="0" w:space="0" w:color="auto"/>
        <w:right w:val="none" w:sz="0" w:space="0" w:color="auto"/>
      </w:divBdr>
    </w:div>
    <w:div w:id="409812061">
      <w:bodyDiv w:val="1"/>
      <w:marLeft w:val="0"/>
      <w:marRight w:val="0"/>
      <w:marTop w:val="0"/>
      <w:marBottom w:val="0"/>
      <w:divBdr>
        <w:top w:val="none" w:sz="0" w:space="0" w:color="auto"/>
        <w:left w:val="none" w:sz="0" w:space="0" w:color="auto"/>
        <w:bottom w:val="none" w:sz="0" w:space="0" w:color="auto"/>
        <w:right w:val="none" w:sz="0" w:space="0" w:color="auto"/>
      </w:divBdr>
    </w:div>
    <w:div w:id="420571307">
      <w:bodyDiv w:val="1"/>
      <w:marLeft w:val="0"/>
      <w:marRight w:val="0"/>
      <w:marTop w:val="0"/>
      <w:marBottom w:val="0"/>
      <w:divBdr>
        <w:top w:val="none" w:sz="0" w:space="0" w:color="auto"/>
        <w:left w:val="none" w:sz="0" w:space="0" w:color="auto"/>
        <w:bottom w:val="none" w:sz="0" w:space="0" w:color="auto"/>
        <w:right w:val="none" w:sz="0" w:space="0" w:color="auto"/>
      </w:divBdr>
    </w:div>
    <w:div w:id="448092503">
      <w:bodyDiv w:val="1"/>
      <w:marLeft w:val="0"/>
      <w:marRight w:val="0"/>
      <w:marTop w:val="0"/>
      <w:marBottom w:val="0"/>
      <w:divBdr>
        <w:top w:val="none" w:sz="0" w:space="0" w:color="auto"/>
        <w:left w:val="none" w:sz="0" w:space="0" w:color="auto"/>
        <w:bottom w:val="none" w:sz="0" w:space="0" w:color="auto"/>
        <w:right w:val="none" w:sz="0" w:space="0" w:color="auto"/>
      </w:divBdr>
    </w:div>
    <w:div w:id="469596051">
      <w:bodyDiv w:val="1"/>
      <w:marLeft w:val="0"/>
      <w:marRight w:val="0"/>
      <w:marTop w:val="0"/>
      <w:marBottom w:val="0"/>
      <w:divBdr>
        <w:top w:val="none" w:sz="0" w:space="0" w:color="auto"/>
        <w:left w:val="none" w:sz="0" w:space="0" w:color="auto"/>
        <w:bottom w:val="none" w:sz="0" w:space="0" w:color="auto"/>
        <w:right w:val="none" w:sz="0" w:space="0" w:color="auto"/>
      </w:divBdr>
    </w:div>
    <w:div w:id="485513154">
      <w:bodyDiv w:val="1"/>
      <w:marLeft w:val="0"/>
      <w:marRight w:val="0"/>
      <w:marTop w:val="0"/>
      <w:marBottom w:val="0"/>
      <w:divBdr>
        <w:top w:val="none" w:sz="0" w:space="0" w:color="auto"/>
        <w:left w:val="none" w:sz="0" w:space="0" w:color="auto"/>
        <w:bottom w:val="none" w:sz="0" w:space="0" w:color="auto"/>
        <w:right w:val="none" w:sz="0" w:space="0" w:color="auto"/>
      </w:divBdr>
    </w:div>
    <w:div w:id="494759229">
      <w:bodyDiv w:val="1"/>
      <w:marLeft w:val="0"/>
      <w:marRight w:val="0"/>
      <w:marTop w:val="0"/>
      <w:marBottom w:val="0"/>
      <w:divBdr>
        <w:top w:val="none" w:sz="0" w:space="0" w:color="auto"/>
        <w:left w:val="none" w:sz="0" w:space="0" w:color="auto"/>
        <w:bottom w:val="none" w:sz="0" w:space="0" w:color="auto"/>
        <w:right w:val="none" w:sz="0" w:space="0" w:color="auto"/>
      </w:divBdr>
    </w:div>
    <w:div w:id="580874952">
      <w:bodyDiv w:val="1"/>
      <w:marLeft w:val="0"/>
      <w:marRight w:val="0"/>
      <w:marTop w:val="0"/>
      <w:marBottom w:val="0"/>
      <w:divBdr>
        <w:top w:val="none" w:sz="0" w:space="0" w:color="auto"/>
        <w:left w:val="none" w:sz="0" w:space="0" w:color="auto"/>
        <w:bottom w:val="none" w:sz="0" w:space="0" w:color="auto"/>
        <w:right w:val="none" w:sz="0" w:space="0" w:color="auto"/>
      </w:divBdr>
    </w:div>
    <w:div w:id="589047456">
      <w:bodyDiv w:val="1"/>
      <w:marLeft w:val="0"/>
      <w:marRight w:val="0"/>
      <w:marTop w:val="0"/>
      <w:marBottom w:val="0"/>
      <w:divBdr>
        <w:top w:val="none" w:sz="0" w:space="0" w:color="auto"/>
        <w:left w:val="none" w:sz="0" w:space="0" w:color="auto"/>
        <w:bottom w:val="none" w:sz="0" w:space="0" w:color="auto"/>
        <w:right w:val="none" w:sz="0" w:space="0" w:color="auto"/>
      </w:divBdr>
    </w:div>
    <w:div w:id="608706329">
      <w:bodyDiv w:val="1"/>
      <w:marLeft w:val="0"/>
      <w:marRight w:val="0"/>
      <w:marTop w:val="0"/>
      <w:marBottom w:val="0"/>
      <w:divBdr>
        <w:top w:val="none" w:sz="0" w:space="0" w:color="auto"/>
        <w:left w:val="none" w:sz="0" w:space="0" w:color="auto"/>
        <w:bottom w:val="none" w:sz="0" w:space="0" w:color="auto"/>
        <w:right w:val="none" w:sz="0" w:space="0" w:color="auto"/>
      </w:divBdr>
    </w:div>
    <w:div w:id="617181969">
      <w:bodyDiv w:val="1"/>
      <w:marLeft w:val="0"/>
      <w:marRight w:val="0"/>
      <w:marTop w:val="0"/>
      <w:marBottom w:val="0"/>
      <w:divBdr>
        <w:top w:val="none" w:sz="0" w:space="0" w:color="auto"/>
        <w:left w:val="none" w:sz="0" w:space="0" w:color="auto"/>
        <w:bottom w:val="none" w:sz="0" w:space="0" w:color="auto"/>
        <w:right w:val="none" w:sz="0" w:space="0" w:color="auto"/>
      </w:divBdr>
    </w:div>
    <w:div w:id="636490494">
      <w:bodyDiv w:val="1"/>
      <w:marLeft w:val="0"/>
      <w:marRight w:val="0"/>
      <w:marTop w:val="0"/>
      <w:marBottom w:val="0"/>
      <w:divBdr>
        <w:top w:val="none" w:sz="0" w:space="0" w:color="auto"/>
        <w:left w:val="none" w:sz="0" w:space="0" w:color="auto"/>
        <w:bottom w:val="none" w:sz="0" w:space="0" w:color="auto"/>
        <w:right w:val="none" w:sz="0" w:space="0" w:color="auto"/>
      </w:divBdr>
    </w:div>
    <w:div w:id="652563392">
      <w:bodyDiv w:val="1"/>
      <w:marLeft w:val="0"/>
      <w:marRight w:val="0"/>
      <w:marTop w:val="0"/>
      <w:marBottom w:val="0"/>
      <w:divBdr>
        <w:top w:val="none" w:sz="0" w:space="0" w:color="auto"/>
        <w:left w:val="none" w:sz="0" w:space="0" w:color="auto"/>
        <w:bottom w:val="none" w:sz="0" w:space="0" w:color="auto"/>
        <w:right w:val="none" w:sz="0" w:space="0" w:color="auto"/>
      </w:divBdr>
    </w:div>
    <w:div w:id="692658524">
      <w:bodyDiv w:val="1"/>
      <w:marLeft w:val="0"/>
      <w:marRight w:val="0"/>
      <w:marTop w:val="0"/>
      <w:marBottom w:val="0"/>
      <w:divBdr>
        <w:top w:val="none" w:sz="0" w:space="0" w:color="auto"/>
        <w:left w:val="none" w:sz="0" w:space="0" w:color="auto"/>
        <w:bottom w:val="none" w:sz="0" w:space="0" w:color="auto"/>
        <w:right w:val="none" w:sz="0" w:space="0" w:color="auto"/>
      </w:divBdr>
    </w:div>
    <w:div w:id="717364048">
      <w:bodyDiv w:val="1"/>
      <w:marLeft w:val="0"/>
      <w:marRight w:val="0"/>
      <w:marTop w:val="0"/>
      <w:marBottom w:val="0"/>
      <w:divBdr>
        <w:top w:val="none" w:sz="0" w:space="0" w:color="auto"/>
        <w:left w:val="none" w:sz="0" w:space="0" w:color="auto"/>
        <w:bottom w:val="none" w:sz="0" w:space="0" w:color="auto"/>
        <w:right w:val="none" w:sz="0" w:space="0" w:color="auto"/>
      </w:divBdr>
    </w:div>
    <w:div w:id="735713139">
      <w:bodyDiv w:val="1"/>
      <w:marLeft w:val="0"/>
      <w:marRight w:val="0"/>
      <w:marTop w:val="0"/>
      <w:marBottom w:val="0"/>
      <w:divBdr>
        <w:top w:val="none" w:sz="0" w:space="0" w:color="auto"/>
        <w:left w:val="none" w:sz="0" w:space="0" w:color="auto"/>
        <w:bottom w:val="none" w:sz="0" w:space="0" w:color="auto"/>
        <w:right w:val="none" w:sz="0" w:space="0" w:color="auto"/>
      </w:divBdr>
    </w:div>
    <w:div w:id="740906673">
      <w:bodyDiv w:val="1"/>
      <w:marLeft w:val="0"/>
      <w:marRight w:val="0"/>
      <w:marTop w:val="0"/>
      <w:marBottom w:val="0"/>
      <w:divBdr>
        <w:top w:val="none" w:sz="0" w:space="0" w:color="auto"/>
        <w:left w:val="none" w:sz="0" w:space="0" w:color="auto"/>
        <w:bottom w:val="none" w:sz="0" w:space="0" w:color="auto"/>
        <w:right w:val="none" w:sz="0" w:space="0" w:color="auto"/>
      </w:divBdr>
    </w:div>
    <w:div w:id="749815679">
      <w:bodyDiv w:val="1"/>
      <w:marLeft w:val="0"/>
      <w:marRight w:val="0"/>
      <w:marTop w:val="0"/>
      <w:marBottom w:val="0"/>
      <w:divBdr>
        <w:top w:val="none" w:sz="0" w:space="0" w:color="auto"/>
        <w:left w:val="none" w:sz="0" w:space="0" w:color="auto"/>
        <w:bottom w:val="none" w:sz="0" w:space="0" w:color="auto"/>
        <w:right w:val="none" w:sz="0" w:space="0" w:color="auto"/>
      </w:divBdr>
    </w:div>
    <w:div w:id="766728643">
      <w:bodyDiv w:val="1"/>
      <w:marLeft w:val="0"/>
      <w:marRight w:val="0"/>
      <w:marTop w:val="0"/>
      <w:marBottom w:val="0"/>
      <w:divBdr>
        <w:top w:val="none" w:sz="0" w:space="0" w:color="auto"/>
        <w:left w:val="none" w:sz="0" w:space="0" w:color="auto"/>
        <w:bottom w:val="none" w:sz="0" w:space="0" w:color="auto"/>
        <w:right w:val="none" w:sz="0" w:space="0" w:color="auto"/>
      </w:divBdr>
    </w:div>
    <w:div w:id="852651743">
      <w:bodyDiv w:val="1"/>
      <w:marLeft w:val="0"/>
      <w:marRight w:val="0"/>
      <w:marTop w:val="0"/>
      <w:marBottom w:val="0"/>
      <w:divBdr>
        <w:top w:val="none" w:sz="0" w:space="0" w:color="auto"/>
        <w:left w:val="none" w:sz="0" w:space="0" w:color="auto"/>
        <w:bottom w:val="none" w:sz="0" w:space="0" w:color="auto"/>
        <w:right w:val="none" w:sz="0" w:space="0" w:color="auto"/>
      </w:divBdr>
    </w:div>
    <w:div w:id="872571247">
      <w:bodyDiv w:val="1"/>
      <w:marLeft w:val="0"/>
      <w:marRight w:val="0"/>
      <w:marTop w:val="0"/>
      <w:marBottom w:val="0"/>
      <w:divBdr>
        <w:top w:val="none" w:sz="0" w:space="0" w:color="auto"/>
        <w:left w:val="none" w:sz="0" w:space="0" w:color="auto"/>
        <w:bottom w:val="none" w:sz="0" w:space="0" w:color="auto"/>
        <w:right w:val="none" w:sz="0" w:space="0" w:color="auto"/>
      </w:divBdr>
    </w:div>
    <w:div w:id="955869183">
      <w:bodyDiv w:val="1"/>
      <w:marLeft w:val="0"/>
      <w:marRight w:val="0"/>
      <w:marTop w:val="0"/>
      <w:marBottom w:val="0"/>
      <w:divBdr>
        <w:top w:val="none" w:sz="0" w:space="0" w:color="auto"/>
        <w:left w:val="none" w:sz="0" w:space="0" w:color="auto"/>
        <w:bottom w:val="none" w:sz="0" w:space="0" w:color="auto"/>
        <w:right w:val="none" w:sz="0" w:space="0" w:color="auto"/>
      </w:divBdr>
    </w:div>
    <w:div w:id="958954193">
      <w:bodyDiv w:val="1"/>
      <w:marLeft w:val="0"/>
      <w:marRight w:val="0"/>
      <w:marTop w:val="0"/>
      <w:marBottom w:val="0"/>
      <w:divBdr>
        <w:top w:val="none" w:sz="0" w:space="0" w:color="auto"/>
        <w:left w:val="none" w:sz="0" w:space="0" w:color="auto"/>
        <w:bottom w:val="none" w:sz="0" w:space="0" w:color="auto"/>
        <w:right w:val="none" w:sz="0" w:space="0" w:color="auto"/>
      </w:divBdr>
    </w:div>
    <w:div w:id="972759281">
      <w:bodyDiv w:val="1"/>
      <w:marLeft w:val="0"/>
      <w:marRight w:val="0"/>
      <w:marTop w:val="0"/>
      <w:marBottom w:val="0"/>
      <w:divBdr>
        <w:top w:val="none" w:sz="0" w:space="0" w:color="auto"/>
        <w:left w:val="none" w:sz="0" w:space="0" w:color="auto"/>
        <w:bottom w:val="none" w:sz="0" w:space="0" w:color="auto"/>
        <w:right w:val="none" w:sz="0" w:space="0" w:color="auto"/>
      </w:divBdr>
    </w:div>
    <w:div w:id="974873597">
      <w:bodyDiv w:val="1"/>
      <w:marLeft w:val="0"/>
      <w:marRight w:val="0"/>
      <w:marTop w:val="0"/>
      <w:marBottom w:val="0"/>
      <w:divBdr>
        <w:top w:val="none" w:sz="0" w:space="0" w:color="auto"/>
        <w:left w:val="none" w:sz="0" w:space="0" w:color="auto"/>
        <w:bottom w:val="none" w:sz="0" w:space="0" w:color="auto"/>
        <w:right w:val="none" w:sz="0" w:space="0" w:color="auto"/>
      </w:divBdr>
    </w:div>
    <w:div w:id="996112458">
      <w:bodyDiv w:val="1"/>
      <w:marLeft w:val="0"/>
      <w:marRight w:val="0"/>
      <w:marTop w:val="0"/>
      <w:marBottom w:val="0"/>
      <w:divBdr>
        <w:top w:val="none" w:sz="0" w:space="0" w:color="auto"/>
        <w:left w:val="none" w:sz="0" w:space="0" w:color="auto"/>
        <w:bottom w:val="none" w:sz="0" w:space="0" w:color="auto"/>
        <w:right w:val="none" w:sz="0" w:space="0" w:color="auto"/>
      </w:divBdr>
    </w:div>
    <w:div w:id="1017074887">
      <w:bodyDiv w:val="1"/>
      <w:marLeft w:val="0"/>
      <w:marRight w:val="0"/>
      <w:marTop w:val="0"/>
      <w:marBottom w:val="0"/>
      <w:divBdr>
        <w:top w:val="none" w:sz="0" w:space="0" w:color="auto"/>
        <w:left w:val="none" w:sz="0" w:space="0" w:color="auto"/>
        <w:bottom w:val="none" w:sz="0" w:space="0" w:color="auto"/>
        <w:right w:val="none" w:sz="0" w:space="0" w:color="auto"/>
      </w:divBdr>
    </w:div>
    <w:div w:id="1024328400">
      <w:bodyDiv w:val="1"/>
      <w:marLeft w:val="0"/>
      <w:marRight w:val="0"/>
      <w:marTop w:val="0"/>
      <w:marBottom w:val="0"/>
      <w:divBdr>
        <w:top w:val="none" w:sz="0" w:space="0" w:color="auto"/>
        <w:left w:val="none" w:sz="0" w:space="0" w:color="auto"/>
        <w:bottom w:val="none" w:sz="0" w:space="0" w:color="auto"/>
        <w:right w:val="none" w:sz="0" w:space="0" w:color="auto"/>
      </w:divBdr>
    </w:div>
    <w:div w:id="1032651107">
      <w:bodyDiv w:val="1"/>
      <w:marLeft w:val="0"/>
      <w:marRight w:val="0"/>
      <w:marTop w:val="0"/>
      <w:marBottom w:val="0"/>
      <w:divBdr>
        <w:top w:val="none" w:sz="0" w:space="0" w:color="auto"/>
        <w:left w:val="none" w:sz="0" w:space="0" w:color="auto"/>
        <w:bottom w:val="none" w:sz="0" w:space="0" w:color="auto"/>
        <w:right w:val="none" w:sz="0" w:space="0" w:color="auto"/>
      </w:divBdr>
    </w:div>
    <w:div w:id="1067069949">
      <w:bodyDiv w:val="1"/>
      <w:marLeft w:val="0"/>
      <w:marRight w:val="0"/>
      <w:marTop w:val="0"/>
      <w:marBottom w:val="0"/>
      <w:divBdr>
        <w:top w:val="none" w:sz="0" w:space="0" w:color="auto"/>
        <w:left w:val="none" w:sz="0" w:space="0" w:color="auto"/>
        <w:bottom w:val="none" w:sz="0" w:space="0" w:color="auto"/>
        <w:right w:val="none" w:sz="0" w:space="0" w:color="auto"/>
      </w:divBdr>
    </w:div>
    <w:div w:id="1077168792">
      <w:bodyDiv w:val="1"/>
      <w:marLeft w:val="0"/>
      <w:marRight w:val="0"/>
      <w:marTop w:val="0"/>
      <w:marBottom w:val="0"/>
      <w:divBdr>
        <w:top w:val="none" w:sz="0" w:space="0" w:color="auto"/>
        <w:left w:val="none" w:sz="0" w:space="0" w:color="auto"/>
        <w:bottom w:val="none" w:sz="0" w:space="0" w:color="auto"/>
        <w:right w:val="none" w:sz="0" w:space="0" w:color="auto"/>
      </w:divBdr>
    </w:div>
    <w:div w:id="1091240678">
      <w:bodyDiv w:val="1"/>
      <w:marLeft w:val="0"/>
      <w:marRight w:val="0"/>
      <w:marTop w:val="0"/>
      <w:marBottom w:val="0"/>
      <w:divBdr>
        <w:top w:val="none" w:sz="0" w:space="0" w:color="auto"/>
        <w:left w:val="none" w:sz="0" w:space="0" w:color="auto"/>
        <w:bottom w:val="none" w:sz="0" w:space="0" w:color="auto"/>
        <w:right w:val="none" w:sz="0" w:space="0" w:color="auto"/>
      </w:divBdr>
    </w:div>
    <w:div w:id="1146749945">
      <w:bodyDiv w:val="1"/>
      <w:marLeft w:val="0"/>
      <w:marRight w:val="0"/>
      <w:marTop w:val="0"/>
      <w:marBottom w:val="0"/>
      <w:divBdr>
        <w:top w:val="none" w:sz="0" w:space="0" w:color="auto"/>
        <w:left w:val="none" w:sz="0" w:space="0" w:color="auto"/>
        <w:bottom w:val="none" w:sz="0" w:space="0" w:color="auto"/>
        <w:right w:val="none" w:sz="0" w:space="0" w:color="auto"/>
      </w:divBdr>
    </w:div>
    <w:div w:id="1233733252">
      <w:bodyDiv w:val="1"/>
      <w:marLeft w:val="0"/>
      <w:marRight w:val="0"/>
      <w:marTop w:val="0"/>
      <w:marBottom w:val="0"/>
      <w:divBdr>
        <w:top w:val="none" w:sz="0" w:space="0" w:color="auto"/>
        <w:left w:val="none" w:sz="0" w:space="0" w:color="auto"/>
        <w:bottom w:val="none" w:sz="0" w:space="0" w:color="auto"/>
        <w:right w:val="none" w:sz="0" w:space="0" w:color="auto"/>
      </w:divBdr>
    </w:div>
    <w:div w:id="1281113205">
      <w:bodyDiv w:val="1"/>
      <w:marLeft w:val="0"/>
      <w:marRight w:val="0"/>
      <w:marTop w:val="0"/>
      <w:marBottom w:val="0"/>
      <w:divBdr>
        <w:top w:val="none" w:sz="0" w:space="0" w:color="auto"/>
        <w:left w:val="none" w:sz="0" w:space="0" w:color="auto"/>
        <w:bottom w:val="none" w:sz="0" w:space="0" w:color="auto"/>
        <w:right w:val="none" w:sz="0" w:space="0" w:color="auto"/>
      </w:divBdr>
    </w:div>
    <w:div w:id="1308823949">
      <w:bodyDiv w:val="1"/>
      <w:marLeft w:val="0"/>
      <w:marRight w:val="0"/>
      <w:marTop w:val="0"/>
      <w:marBottom w:val="0"/>
      <w:divBdr>
        <w:top w:val="none" w:sz="0" w:space="0" w:color="auto"/>
        <w:left w:val="none" w:sz="0" w:space="0" w:color="auto"/>
        <w:bottom w:val="none" w:sz="0" w:space="0" w:color="auto"/>
        <w:right w:val="none" w:sz="0" w:space="0" w:color="auto"/>
      </w:divBdr>
    </w:div>
    <w:div w:id="1341202608">
      <w:bodyDiv w:val="1"/>
      <w:marLeft w:val="0"/>
      <w:marRight w:val="0"/>
      <w:marTop w:val="0"/>
      <w:marBottom w:val="0"/>
      <w:divBdr>
        <w:top w:val="none" w:sz="0" w:space="0" w:color="auto"/>
        <w:left w:val="none" w:sz="0" w:space="0" w:color="auto"/>
        <w:bottom w:val="none" w:sz="0" w:space="0" w:color="auto"/>
        <w:right w:val="none" w:sz="0" w:space="0" w:color="auto"/>
      </w:divBdr>
    </w:div>
    <w:div w:id="1343166601">
      <w:bodyDiv w:val="1"/>
      <w:marLeft w:val="0"/>
      <w:marRight w:val="0"/>
      <w:marTop w:val="0"/>
      <w:marBottom w:val="0"/>
      <w:divBdr>
        <w:top w:val="none" w:sz="0" w:space="0" w:color="auto"/>
        <w:left w:val="none" w:sz="0" w:space="0" w:color="auto"/>
        <w:bottom w:val="none" w:sz="0" w:space="0" w:color="auto"/>
        <w:right w:val="none" w:sz="0" w:space="0" w:color="auto"/>
      </w:divBdr>
    </w:div>
    <w:div w:id="1344167777">
      <w:bodyDiv w:val="1"/>
      <w:marLeft w:val="0"/>
      <w:marRight w:val="0"/>
      <w:marTop w:val="0"/>
      <w:marBottom w:val="0"/>
      <w:divBdr>
        <w:top w:val="none" w:sz="0" w:space="0" w:color="auto"/>
        <w:left w:val="none" w:sz="0" w:space="0" w:color="auto"/>
        <w:bottom w:val="none" w:sz="0" w:space="0" w:color="auto"/>
        <w:right w:val="none" w:sz="0" w:space="0" w:color="auto"/>
      </w:divBdr>
    </w:div>
    <w:div w:id="1359817992">
      <w:bodyDiv w:val="1"/>
      <w:marLeft w:val="0"/>
      <w:marRight w:val="0"/>
      <w:marTop w:val="0"/>
      <w:marBottom w:val="0"/>
      <w:divBdr>
        <w:top w:val="none" w:sz="0" w:space="0" w:color="auto"/>
        <w:left w:val="none" w:sz="0" w:space="0" w:color="auto"/>
        <w:bottom w:val="none" w:sz="0" w:space="0" w:color="auto"/>
        <w:right w:val="none" w:sz="0" w:space="0" w:color="auto"/>
      </w:divBdr>
    </w:div>
    <w:div w:id="1377387647">
      <w:bodyDiv w:val="1"/>
      <w:marLeft w:val="0"/>
      <w:marRight w:val="0"/>
      <w:marTop w:val="0"/>
      <w:marBottom w:val="0"/>
      <w:divBdr>
        <w:top w:val="none" w:sz="0" w:space="0" w:color="auto"/>
        <w:left w:val="none" w:sz="0" w:space="0" w:color="auto"/>
        <w:bottom w:val="none" w:sz="0" w:space="0" w:color="auto"/>
        <w:right w:val="none" w:sz="0" w:space="0" w:color="auto"/>
      </w:divBdr>
    </w:div>
    <w:div w:id="1409040856">
      <w:bodyDiv w:val="1"/>
      <w:marLeft w:val="0"/>
      <w:marRight w:val="0"/>
      <w:marTop w:val="0"/>
      <w:marBottom w:val="0"/>
      <w:divBdr>
        <w:top w:val="none" w:sz="0" w:space="0" w:color="auto"/>
        <w:left w:val="none" w:sz="0" w:space="0" w:color="auto"/>
        <w:bottom w:val="none" w:sz="0" w:space="0" w:color="auto"/>
        <w:right w:val="none" w:sz="0" w:space="0" w:color="auto"/>
      </w:divBdr>
    </w:div>
    <w:div w:id="1413044201">
      <w:bodyDiv w:val="1"/>
      <w:marLeft w:val="0"/>
      <w:marRight w:val="0"/>
      <w:marTop w:val="0"/>
      <w:marBottom w:val="0"/>
      <w:divBdr>
        <w:top w:val="none" w:sz="0" w:space="0" w:color="auto"/>
        <w:left w:val="none" w:sz="0" w:space="0" w:color="auto"/>
        <w:bottom w:val="none" w:sz="0" w:space="0" w:color="auto"/>
        <w:right w:val="none" w:sz="0" w:space="0" w:color="auto"/>
      </w:divBdr>
    </w:div>
    <w:div w:id="1451894025">
      <w:bodyDiv w:val="1"/>
      <w:marLeft w:val="0"/>
      <w:marRight w:val="0"/>
      <w:marTop w:val="0"/>
      <w:marBottom w:val="0"/>
      <w:divBdr>
        <w:top w:val="none" w:sz="0" w:space="0" w:color="auto"/>
        <w:left w:val="none" w:sz="0" w:space="0" w:color="auto"/>
        <w:bottom w:val="none" w:sz="0" w:space="0" w:color="auto"/>
        <w:right w:val="none" w:sz="0" w:space="0" w:color="auto"/>
      </w:divBdr>
    </w:div>
    <w:div w:id="1475413376">
      <w:bodyDiv w:val="1"/>
      <w:marLeft w:val="0"/>
      <w:marRight w:val="0"/>
      <w:marTop w:val="0"/>
      <w:marBottom w:val="0"/>
      <w:divBdr>
        <w:top w:val="none" w:sz="0" w:space="0" w:color="auto"/>
        <w:left w:val="none" w:sz="0" w:space="0" w:color="auto"/>
        <w:bottom w:val="none" w:sz="0" w:space="0" w:color="auto"/>
        <w:right w:val="none" w:sz="0" w:space="0" w:color="auto"/>
      </w:divBdr>
    </w:div>
    <w:div w:id="1513760023">
      <w:bodyDiv w:val="1"/>
      <w:marLeft w:val="0"/>
      <w:marRight w:val="0"/>
      <w:marTop w:val="0"/>
      <w:marBottom w:val="0"/>
      <w:divBdr>
        <w:top w:val="none" w:sz="0" w:space="0" w:color="auto"/>
        <w:left w:val="none" w:sz="0" w:space="0" w:color="auto"/>
        <w:bottom w:val="none" w:sz="0" w:space="0" w:color="auto"/>
        <w:right w:val="none" w:sz="0" w:space="0" w:color="auto"/>
      </w:divBdr>
    </w:div>
    <w:div w:id="1536886566">
      <w:bodyDiv w:val="1"/>
      <w:marLeft w:val="0"/>
      <w:marRight w:val="0"/>
      <w:marTop w:val="0"/>
      <w:marBottom w:val="0"/>
      <w:divBdr>
        <w:top w:val="none" w:sz="0" w:space="0" w:color="auto"/>
        <w:left w:val="none" w:sz="0" w:space="0" w:color="auto"/>
        <w:bottom w:val="none" w:sz="0" w:space="0" w:color="auto"/>
        <w:right w:val="none" w:sz="0" w:space="0" w:color="auto"/>
      </w:divBdr>
    </w:div>
    <w:div w:id="1540239386">
      <w:bodyDiv w:val="1"/>
      <w:marLeft w:val="0"/>
      <w:marRight w:val="0"/>
      <w:marTop w:val="0"/>
      <w:marBottom w:val="0"/>
      <w:divBdr>
        <w:top w:val="none" w:sz="0" w:space="0" w:color="auto"/>
        <w:left w:val="none" w:sz="0" w:space="0" w:color="auto"/>
        <w:bottom w:val="none" w:sz="0" w:space="0" w:color="auto"/>
        <w:right w:val="none" w:sz="0" w:space="0" w:color="auto"/>
      </w:divBdr>
    </w:div>
    <w:div w:id="1587764805">
      <w:bodyDiv w:val="1"/>
      <w:marLeft w:val="0"/>
      <w:marRight w:val="0"/>
      <w:marTop w:val="0"/>
      <w:marBottom w:val="0"/>
      <w:divBdr>
        <w:top w:val="none" w:sz="0" w:space="0" w:color="auto"/>
        <w:left w:val="none" w:sz="0" w:space="0" w:color="auto"/>
        <w:bottom w:val="none" w:sz="0" w:space="0" w:color="auto"/>
        <w:right w:val="none" w:sz="0" w:space="0" w:color="auto"/>
      </w:divBdr>
    </w:div>
    <w:div w:id="1598053681">
      <w:bodyDiv w:val="1"/>
      <w:marLeft w:val="0"/>
      <w:marRight w:val="0"/>
      <w:marTop w:val="0"/>
      <w:marBottom w:val="0"/>
      <w:divBdr>
        <w:top w:val="none" w:sz="0" w:space="0" w:color="auto"/>
        <w:left w:val="none" w:sz="0" w:space="0" w:color="auto"/>
        <w:bottom w:val="none" w:sz="0" w:space="0" w:color="auto"/>
        <w:right w:val="none" w:sz="0" w:space="0" w:color="auto"/>
      </w:divBdr>
    </w:div>
    <w:div w:id="1621372011">
      <w:bodyDiv w:val="1"/>
      <w:marLeft w:val="0"/>
      <w:marRight w:val="0"/>
      <w:marTop w:val="0"/>
      <w:marBottom w:val="0"/>
      <w:divBdr>
        <w:top w:val="none" w:sz="0" w:space="0" w:color="auto"/>
        <w:left w:val="none" w:sz="0" w:space="0" w:color="auto"/>
        <w:bottom w:val="none" w:sz="0" w:space="0" w:color="auto"/>
        <w:right w:val="none" w:sz="0" w:space="0" w:color="auto"/>
      </w:divBdr>
    </w:div>
    <w:div w:id="1696617548">
      <w:bodyDiv w:val="1"/>
      <w:marLeft w:val="0"/>
      <w:marRight w:val="0"/>
      <w:marTop w:val="0"/>
      <w:marBottom w:val="0"/>
      <w:divBdr>
        <w:top w:val="none" w:sz="0" w:space="0" w:color="auto"/>
        <w:left w:val="none" w:sz="0" w:space="0" w:color="auto"/>
        <w:bottom w:val="none" w:sz="0" w:space="0" w:color="auto"/>
        <w:right w:val="none" w:sz="0" w:space="0" w:color="auto"/>
      </w:divBdr>
    </w:div>
    <w:div w:id="1701469772">
      <w:bodyDiv w:val="1"/>
      <w:marLeft w:val="0"/>
      <w:marRight w:val="0"/>
      <w:marTop w:val="0"/>
      <w:marBottom w:val="0"/>
      <w:divBdr>
        <w:top w:val="none" w:sz="0" w:space="0" w:color="auto"/>
        <w:left w:val="none" w:sz="0" w:space="0" w:color="auto"/>
        <w:bottom w:val="none" w:sz="0" w:space="0" w:color="auto"/>
        <w:right w:val="none" w:sz="0" w:space="0" w:color="auto"/>
      </w:divBdr>
    </w:div>
    <w:div w:id="1712145884">
      <w:bodyDiv w:val="1"/>
      <w:marLeft w:val="0"/>
      <w:marRight w:val="0"/>
      <w:marTop w:val="0"/>
      <w:marBottom w:val="0"/>
      <w:divBdr>
        <w:top w:val="none" w:sz="0" w:space="0" w:color="auto"/>
        <w:left w:val="none" w:sz="0" w:space="0" w:color="auto"/>
        <w:bottom w:val="none" w:sz="0" w:space="0" w:color="auto"/>
        <w:right w:val="none" w:sz="0" w:space="0" w:color="auto"/>
      </w:divBdr>
    </w:div>
    <w:div w:id="1767384726">
      <w:bodyDiv w:val="1"/>
      <w:marLeft w:val="0"/>
      <w:marRight w:val="0"/>
      <w:marTop w:val="0"/>
      <w:marBottom w:val="0"/>
      <w:divBdr>
        <w:top w:val="none" w:sz="0" w:space="0" w:color="auto"/>
        <w:left w:val="none" w:sz="0" w:space="0" w:color="auto"/>
        <w:bottom w:val="none" w:sz="0" w:space="0" w:color="auto"/>
        <w:right w:val="none" w:sz="0" w:space="0" w:color="auto"/>
      </w:divBdr>
    </w:div>
    <w:div w:id="1787239229">
      <w:bodyDiv w:val="1"/>
      <w:marLeft w:val="0"/>
      <w:marRight w:val="0"/>
      <w:marTop w:val="0"/>
      <w:marBottom w:val="0"/>
      <w:divBdr>
        <w:top w:val="none" w:sz="0" w:space="0" w:color="auto"/>
        <w:left w:val="none" w:sz="0" w:space="0" w:color="auto"/>
        <w:bottom w:val="none" w:sz="0" w:space="0" w:color="auto"/>
        <w:right w:val="none" w:sz="0" w:space="0" w:color="auto"/>
      </w:divBdr>
    </w:div>
    <w:div w:id="1803234839">
      <w:bodyDiv w:val="1"/>
      <w:marLeft w:val="0"/>
      <w:marRight w:val="0"/>
      <w:marTop w:val="0"/>
      <w:marBottom w:val="0"/>
      <w:divBdr>
        <w:top w:val="none" w:sz="0" w:space="0" w:color="auto"/>
        <w:left w:val="none" w:sz="0" w:space="0" w:color="auto"/>
        <w:bottom w:val="none" w:sz="0" w:space="0" w:color="auto"/>
        <w:right w:val="none" w:sz="0" w:space="0" w:color="auto"/>
      </w:divBdr>
    </w:div>
    <w:div w:id="1824203722">
      <w:bodyDiv w:val="1"/>
      <w:marLeft w:val="0"/>
      <w:marRight w:val="0"/>
      <w:marTop w:val="0"/>
      <w:marBottom w:val="0"/>
      <w:divBdr>
        <w:top w:val="none" w:sz="0" w:space="0" w:color="auto"/>
        <w:left w:val="none" w:sz="0" w:space="0" w:color="auto"/>
        <w:bottom w:val="none" w:sz="0" w:space="0" w:color="auto"/>
        <w:right w:val="none" w:sz="0" w:space="0" w:color="auto"/>
      </w:divBdr>
    </w:div>
    <w:div w:id="1842968162">
      <w:bodyDiv w:val="1"/>
      <w:marLeft w:val="0"/>
      <w:marRight w:val="0"/>
      <w:marTop w:val="0"/>
      <w:marBottom w:val="0"/>
      <w:divBdr>
        <w:top w:val="none" w:sz="0" w:space="0" w:color="auto"/>
        <w:left w:val="none" w:sz="0" w:space="0" w:color="auto"/>
        <w:bottom w:val="none" w:sz="0" w:space="0" w:color="auto"/>
        <w:right w:val="none" w:sz="0" w:space="0" w:color="auto"/>
      </w:divBdr>
    </w:div>
    <w:div w:id="1889342515">
      <w:bodyDiv w:val="1"/>
      <w:marLeft w:val="0"/>
      <w:marRight w:val="0"/>
      <w:marTop w:val="0"/>
      <w:marBottom w:val="0"/>
      <w:divBdr>
        <w:top w:val="none" w:sz="0" w:space="0" w:color="auto"/>
        <w:left w:val="none" w:sz="0" w:space="0" w:color="auto"/>
        <w:bottom w:val="none" w:sz="0" w:space="0" w:color="auto"/>
        <w:right w:val="none" w:sz="0" w:space="0" w:color="auto"/>
      </w:divBdr>
    </w:div>
    <w:div w:id="1917083938">
      <w:bodyDiv w:val="1"/>
      <w:marLeft w:val="0"/>
      <w:marRight w:val="0"/>
      <w:marTop w:val="0"/>
      <w:marBottom w:val="0"/>
      <w:divBdr>
        <w:top w:val="none" w:sz="0" w:space="0" w:color="auto"/>
        <w:left w:val="none" w:sz="0" w:space="0" w:color="auto"/>
        <w:bottom w:val="none" w:sz="0" w:space="0" w:color="auto"/>
        <w:right w:val="none" w:sz="0" w:space="0" w:color="auto"/>
      </w:divBdr>
    </w:div>
    <w:div w:id="1943565186">
      <w:bodyDiv w:val="1"/>
      <w:marLeft w:val="0"/>
      <w:marRight w:val="0"/>
      <w:marTop w:val="0"/>
      <w:marBottom w:val="0"/>
      <w:divBdr>
        <w:top w:val="none" w:sz="0" w:space="0" w:color="auto"/>
        <w:left w:val="none" w:sz="0" w:space="0" w:color="auto"/>
        <w:bottom w:val="none" w:sz="0" w:space="0" w:color="auto"/>
        <w:right w:val="none" w:sz="0" w:space="0" w:color="auto"/>
      </w:divBdr>
    </w:div>
    <w:div w:id="1944026691">
      <w:bodyDiv w:val="1"/>
      <w:marLeft w:val="0"/>
      <w:marRight w:val="0"/>
      <w:marTop w:val="0"/>
      <w:marBottom w:val="0"/>
      <w:divBdr>
        <w:top w:val="none" w:sz="0" w:space="0" w:color="auto"/>
        <w:left w:val="none" w:sz="0" w:space="0" w:color="auto"/>
        <w:bottom w:val="none" w:sz="0" w:space="0" w:color="auto"/>
        <w:right w:val="none" w:sz="0" w:space="0" w:color="auto"/>
      </w:divBdr>
    </w:div>
    <w:div w:id="1951354983">
      <w:bodyDiv w:val="1"/>
      <w:marLeft w:val="0"/>
      <w:marRight w:val="0"/>
      <w:marTop w:val="0"/>
      <w:marBottom w:val="0"/>
      <w:divBdr>
        <w:top w:val="none" w:sz="0" w:space="0" w:color="auto"/>
        <w:left w:val="none" w:sz="0" w:space="0" w:color="auto"/>
        <w:bottom w:val="none" w:sz="0" w:space="0" w:color="auto"/>
        <w:right w:val="none" w:sz="0" w:space="0" w:color="auto"/>
      </w:divBdr>
    </w:div>
    <w:div w:id="2014800895">
      <w:bodyDiv w:val="1"/>
      <w:marLeft w:val="0"/>
      <w:marRight w:val="0"/>
      <w:marTop w:val="0"/>
      <w:marBottom w:val="0"/>
      <w:divBdr>
        <w:top w:val="none" w:sz="0" w:space="0" w:color="auto"/>
        <w:left w:val="none" w:sz="0" w:space="0" w:color="auto"/>
        <w:bottom w:val="none" w:sz="0" w:space="0" w:color="auto"/>
        <w:right w:val="none" w:sz="0" w:space="0" w:color="auto"/>
      </w:divBdr>
    </w:div>
    <w:div w:id="2085755290">
      <w:bodyDiv w:val="1"/>
      <w:marLeft w:val="0"/>
      <w:marRight w:val="0"/>
      <w:marTop w:val="0"/>
      <w:marBottom w:val="0"/>
      <w:divBdr>
        <w:top w:val="none" w:sz="0" w:space="0" w:color="auto"/>
        <w:left w:val="none" w:sz="0" w:space="0" w:color="auto"/>
        <w:bottom w:val="none" w:sz="0" w:space="0" w:color="auto"/>
        <w:right w:val="none" w:sz="0" w:space="0" w:color="auto"/>
      </w:divBdr>
    </w:div>
    <w:div w:id="2098091898">
      <w:bodyDiv w:val="1"/>
      <w:marLeft w:val="0"/>
      <w:marRight w:val="0"/>
      <w:marTop w:val="0"/>
      <w:marBottom w:val="0"/>
      <w:divBdr>
        <w:top w:val="none" w:sz="0" w:space="0" w:color="auto"/>
        <w:left w:val="none" w:sz="0" w:space="0" w:color="auto"/>
        <w:bottom w:val="none" w:sz="0" w:space="0" w:color="auto"/>
        <w:right w:val="none" w:sz="0" w:space="0" w:color="auto"/>
      </w:divBdr>
    </w:div>
    <w:div w:id="2116123292">
      <w:bodyDiv w:val="1"/>
      <w:marLeft w:val="0"/>
      <w:marRight w:val="0"/>
      <w:marTop w:val="0"/>
      <w:marBottom w:val="0"/>
      <w:divBdr>
        <w:top w:val="none" w:sz="0" w:space="0" w:color="auto"/>
        <w:left w:val="none" w:sz="0" w:space="0" w:color="auto"/>
        <w:bottom w:val="none" w:sz="0" w:space="0" w:color="auto"/>
        <w:right w:val="none" w:sz="0" w:space="0" w:color="auto"/>
      </w:divBdr>
    </w:div>
    <w:div w:id="212862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1E6096581544AB88C532C51559CE4" ma:contentTypeVersion="0" ma:contentTypeDescription="Create a new document." ma:contentTypeScope="" ma:versionID="8239765d019e6c887f8ed8d43cfa3802">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Wal17</b:Tag>
    <b:SourceType>ConferenceProceedings</b:SourceType>
    <b:Guid>{9C0934D0-B183-4B75-B188-0ECDBE2D2C6A}</b:Guid>
    <b:Title>Comparison of Analysis to the On-Orbit Thermal Performance of the Bigelow Expandable Activities Module</b:Title>
    <b:Year>2017</b:Year>
    <b:City>Charlestown, SC.</b:City>
    <b:Author>
      <b:Author>
        <b:NameList>
          <b:Person>
            <b:Last>Walker</b:Last>
            <b:Middle>Q</b:Middle>
            <b:First>William</b:First>
          </b:Person>
          <b:Person>
            <b:Last>Iovine</b:Last>
            <b:First>John</b:First>
          </b:Person>
        </b:NameList>
      </b:Author>
    </b:Author>
    <b:ConferenceName>International Conference on Environmental Systems</b:ConferenceName>
    <b:RefOrder>1</b:RefOrder>
  </b:Source>
  <b:Source>
    <b:Tag>Her19</b:Tag>
    <b:SourceType>Report</b:SourceType>
    <b:Guid>{F4981226-0E5B-46C0-80DE-928DC1229A15}</b:Guid>
    <b:Title>BEAM Thermal Quarterly Report FY19, Quarter</b:Title>
    <b:Year>2019</b:Year>
    <b:Publisher>NASA Report</b:Publisher>
    <b:Author>
      <b:Author>
        <b:NameList>
          <b:Person>
            <b:Last>Hernandez</b:Last>
            <b:First>Zaida</b:First>
          </b:Person>
        </b:NameList>
      </b:Author>
    </b:Author>
    <b:RefOrder>5</b:RefOrder>
  </b:Source>
  <b:Source>
    <b:Tag>B171</b:Tag>
    <b:SourceType>Report</b:SourceType>
    <b:Guid>{AC2DDC8E-EEF8-45CB-BF4A-323221DBFED4}</b:Guid>
    <b:Title>B17-372 BEAM Dew Point Management. International Space Station Flight Rule.</b:Title>
    <b:Publisher>\\js-ea-fs-01\ws01\ES\Secure_Server\ISS_PTCS\FLIGHT_FOLDERS\SPX-8</b:Publisher>
    <b:RefOrder>6</b:RefOrder>
  </b:Source>
  <b:Source>
    <b:Tag>Wal171</b:Tag>
    <b:SourceType>Report</b:SourceType>
    <b:Guid>{903A6528-60D6-4BDA-9DA6-7C68161239E3}</b:Guid>
    <b:Title>BEAM Thermal Quarterly Report FY17, Quarter 4</b:Title>
    <b:Year>2017</b:Year>
    <b:Publisher>NASA Report</b:Publisher>
    <b:Author>
      <b:Author>
        <b:NameList>
          <b:Person>
            <b:Last>Walker</b:Last>
            <b:First>William</b:First>
          </b:Person>
        </b:NameList>
      </b:Author>
    </b:Author>
    <b:RefOrder>7</b:RefOrder>
  </b:Source>
  <b:Source>
    <b:Tag>Wal172</b:Tag>
    <b:SourceType>Report</b:SourceType>
    <b:Guid>{3141C718-4761-4AFC-AFFA-30320B19F778}</b:Guid>
    <b:Title>Bigelow Expandable Activity Module (Beam) Date Specific Thermal Analysis and Corresponding Model Updates</b:Title>
    <b:Year>2017</b:Year>
    <b:Publisher>NASA Internal Presentation</b:Publisher>
    <b:Author>
      <b:Author>
        <b:NameList>
          <b:Person>
            <b:Last>Walker</b:Last>
            <b:First>William</b:First>
          </b:Person>
        </b:NameList>
      </b:Author>
    </b:Author>
    <b:RefOrder>8</b:RefOrder>
  </b:Source>
  <b:Source>
    <b:Tag>BEA</b:Tag>
    <b:SourceType>InternetSite</b:SourceType>
    <b:Guid>{36C00297-0E6A-4E3C-9140-D17BC1E4242D}</b:Guid>
    <b:Title>BEAM Facts, Figures, FAQs</b:Title>
    <b:URL>https://www.nasa.gov/feature/beam-facts-figures-faqs</b:URL>
    <b:ProductionCompany>NASA</b:ProductionCompany>
    <b:RefOrder>2</b:RefOrder>
  </b:Source>
  <b:Source>
    <b:Tag>BEA1</b:Tag>
    <b:SourceType>InternetSite</b:SourceType>
    <b:Guid>{E2EC2760-82D7-48C7-9416-C4F4EFDEFA5B}</b:Guid>
    <b:Title>BEAM Expandable Activity Module</b:Title>
    <b:ProductionCompany>NASA</b:ProductionCompany>
    <b:URL>https://www.nasa.gov/content/bigelow-expandableactivity-module</b:URL>
    <b:RefOrder>3</b:RefOrder>
  </b:Source>
  <b:Source>
    <b:Tag>Pau19</b:Tag>
    <b:SourceType>Misc</b:SourceType>
    <b:Guid>{9193866C-23DF-4DE4-9640-FA39AEF74487}</b:Guid>
    <b:Title>Reduced Flowrate case results and heat transfer coefficients on bags</b:Title>
    <b:Year>May 17, 2019</b:Year>
    <b:Publisher>Jacobs Presentation</b:Publisher>
    <b:Author>
      <b:Author>
        <b:NameList>
          <b:Person>
            <b:Last>Paul</b:Last>
            <b:First>Tom</b:First>
          </b:Person>
        </b:NameList>
      </b:Author>
    </b:Author>
    <b:RefOrder>9</b:RefOrder>
  </b:Source>
  <b:Source>
    <b:Tag>Car15</b:Tag>
    <b:SourceType>ConferenceProceedings</b:SourceType>
    <b:Guid>{A36FC8A1-803B-48D3-B73E-CBFBB6E28565}</b:Guid>
    <b:Title>ISS Payload Thermal Environments</b:Title>
    <b:Year>2015</b:Year>
    <b:Author>
      <b:Author>
        <b:NameList>
          <b:Person>
            <b:Last>Carrillo</b:Last>
            <b:First>Laurie</b:First>
          </b:Person>
          <b:Person>
            <b:Last>Farner</b:Last>
            <b:First>D</b:First>
          </b:Person>
          <b:Person>
            <b:Last>Preston</b:Last>
            <b:First>Caryn</b:First>
          </b:Person>
        </b:NameList>
      </b:Author>
    </b:Author>
    <b:ConferenceName>Thermal Fluids and Analysis Workshop</b:ConferenceName>
    <b:RefOrder>4</b:RefOrder>
  </b:Source>
</b:Sources>
</file>

<file path=customXml/itemProps1.xml><?xml version="1.0" encoding="utf-8"?>
<ds:datastoreItem xmlns:ds="http://schemas.openxmlformats.org/officeDocument/2006/customXml" ds:itemID="{A884BF56-6448-4660-A6DD-CEAFA25A5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A825E8C-F09A-413A-9057-C451A070F1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705BC6-E30F-482E-8C81-2BCDBEC22C41}">
  <ds:schemaRefs>
    <ds:schemaRef ds:uri="http://schemas.microsoft.com/sharepoint/v3/contenttype/forms"/>
  </ds:schemaRefs>
</ds:datastoreItem>
</file>

<file path=customXml/itemProps4.xml><?xml version="1.0" encoding="utf-8"?>
<ds:datastoreItem xmlns:ds="http://schemas.openxmlformats.org/officeDocument/2006/customXml" ds:itemID="{BCD7FB1C-448D-4C2C-AB99-7F5E3655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16</Pages>
  <Words>3489</Words>
  <Characters>19891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Sverdrup Technology, Inc</Company>
  <LinksUpToDate>false</LinksUpToDate>
  <CharactersWithSpaces>23334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Ruth Amundsen</dc:creator>
  <cp:keywords/>
  <dc:description>Please use styles to help make standardization of paper manuscripts easier.</dc:description>
  <cp:lastModifiedBy>Taylor, Sydney J. (JSC-AH712)</cp:lastModifiedBy>
  <cp:revision>15</cp:revision>
  <cp:lastPrinted>2019-02-01T15:49:00Z</cp:lastPrinted>
  <dcterms:created xsi:type="dcterms:W3CDTF">2020-08-11T22:55:00Z</dcterms:created>
  <dcterms:modified xsi:type="dcterms:W3CDTF">2020-08-12T00:48:00Z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0x0101006781E6096581544AB88C532C51559CE4</vt:lpwstr>
  </property>
</Properties>
</file>