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484DA" w14:textId="77777777" w:rsidR="003037B3" w:rsidRPr="00C5095E" w:rsidRDefault="003037B3" w:rsidP="007B305D">
      <w:pPr>
        <w:shd w:val="clear" w:color="auto" w:fill="FFFFFF"/>
        <w:jc w:val="both"/>
        <w:outlineLvl w:val="0"/>
        <w:rPr>
          <w:rFonts w:eastAsia="Times New Roman" w:cs="Open Sans"/>
          <w:b/>
          <w:bCs/>
          <w:color w:val="1C1D1E"/>
          <w:kern w:val="36"/>
        </w:rPr>
      </w:pPr>
      <w:bookmarkStart w:id="0" w:name="_GoBack"/>
      <w:r w:rsidRPr="003037B3">
        <w:rPr>
          <w:rFonts w:eastAsia="Times New Roman" w:cs="Open Sans"/>
          <w:b/>
          <w:bCs/>
          <w:color w:val="1C1D1E"/>
          <w:kern w:val="36"/>
        </w:rPr>
        <w:t>Space</w:t>
      </w:r>
      <w:r w:rsidRPr="003037B3">
        <w:rPr>
          <w:rFonts w:eastAsia="Times New Roman" w:cs="Cambria Math"/>
          <w:b/>
          <w:bCs/>
          <w:color w:val="1C1D1E"/>
          <w:kern w:val="36"/>
        </w:rPr>
        <w:t>‐</w:t>
      </w:r>
      <w:r w:rsidRPr="003037B3">
        <w:rPr>
          <w:rFonts w:eastAsia="Times New Roman" w:cs="Open Sans"/>
          <w:b/>
          <w:bCs/>
          <w:color w:val="1C1D1E"/>
          <w:kern w:val="36"/>
        </w:rPr>
        <w:t xml:space="preserve">Based Observations for Understanding Changes </w:t>
      </w:r>
      <w:bookmarkEnd w:id="0"/>
      <w:r w:rsidRPr="003037B3">
        <w:rPr>
          <w:rFonts w:eastAsia="Times New Roman" w:cs="Open Sans"/>
          <w:b/>
          <w:bCs/>
          <w:color w:val="1C1D1E"/>
          <w:kern w:val="36"/>
        </w:rPr>
        <w:t>in the Arctic</w:t>
      </w:r>
      <w:r w:rsidRPr="003037B3">
        <w:rPr>
          <w:rFonts w:eastAsia="Times New Roman" w:cs="Cambria Math"/>
          <w:b/>
          <w:bCs/>
          <w:color w:val="1C1D1E"/>
          <w:kern w:val="36"/>
        </w:rPr>
        <w:t>‐</w:t>
      </w:r>
      <w:r w:rsidRPr="003037B3">
        <w:rPr>
          <w:rFonts w:eastAsia="Times New Roman" w:cs="Open Sans"/>
          <w:b/>
          <w:bCs/>
          <w:color w:val="1C1D1E"/>
          <w:kern w:val="36"/>
        </w:rPr>
        <w:t>Boreal Zone</w:t>
      </w:r>
    </w:p>
    <w:p w14:paraId="59B9525F" w14:textId="77777777" w:rsidR="00C5095E" w:rsidRPr="00C5095E" w:rsidRDefault="00C5095E" w:rsidP="007B305D">
      <w:pPr>
        <w:shd w:val="clear" w:color="auto" w:fill="FFFFFF"/>
        <w:jc w:val="both"/>
        <w:outlineLvl w:val="0"/>
        <w:rPr>
          <w:rFonts w:eastAsia="Times New Roman" w:cs="Open Sans"/>
          <w:b/>
          <w:bCs/>
          <w:color w:val="1C1D1E"/>
          <w:kern w:val="36"/>
        </w:rPr>
      </w:pPr>
    </w:p>
    <w:p w14:paraId="3599E2AD" w14:textId="77777777" w:rsidR="00C5095E" w:rsidRPr="00C5095E" w:rsidRDefault="00C5095E" w:rsidP="007B305D">
      <w:pPr>
        <w:shd w:val="clear" w:color="auto" w:fill="FFFFFF"/>
        <w:jc w:val="both"/>
        <w:outlineLvl w:val="0"/>
        <w:rPr>
          <w:rFonts w:eastAsia="Times New Roman" w:cs="Open Sans"/>
          <w:color w:val="1C1D1E"/>
          <w:kern w:val="36"/>
        </w:rPr>
      </w:pPr>
      <w:r w:rsidRPr="00C5095E">
        <w:rPr>
          <w:rFonts w:eastAsia="Times New Roman" w:cs="Open Sans"/>
          <w:color w:val="1C1D1E"/>
          <w:kern w:val="36"/>
        </w:rPr>
        <w:t>Bryan N. Duncan</w:t>
      </w:r>
      <w:r w:rsidRPr="00C5095E">
        <w:rPr>
          <w:rFonts w:eastAsia="Times New Roman" w:cs="Open Sans"/>
          <w:color w:val="1C1D1E"/>
          <w:kern w:val="36"/>
          <w:vertAlign w:val="superscript"/>
        </w:rPr>
        <w:t>1</w:t>
      </w:r>
      <w:r w:rsidRPr="00C5095E">
        <w:rPr>
          <w:rFonts w:eastAsia="Times New Roman" w:cs="Open Sans"/>
          <w:color w:val="1C1D1E"/>
          <w:kern w:val="36"/>
        </w:rPr>
        <w:t xml:space="preserve"> and Lesley E. Ott</w:t>
      </w:r>
      <w:r w:rsidRPr="00C5095E">
        <w:rPr>
          <w:rFonts w:eastAsia="Times New Roman" w:cs="Open Sans"/>
          <w:color w:val="1C1D1E"/>
          <w:kern w:val="36"/>
          <w:vertAlign w:val="superscript"/>
        </w:rPr>
        <w:t>1</w:t>
      </w:r>
    </w:p>
    <w:p w14:paraId="6B99CA5B" w14:textId="77777777" w:rsidR="00C5095E" w:rsidRPr="00C5095E" w:rsidRDefault="00C5095E" w:rsidP="007B305D">
      <w:pPr>
        <w:shd w:val="clear" w:color="auto" w:fill="FFFFFF"/>
        <w:jc w:val="both"/>
        <w:outlineLvl w:val="0"/>
        <w:rPr>
          <w:rFonts w:eastAsia="Times New Roman" w:cs="Open Sans"/>
          <w:color w:val="1C1D1E"/>
          <w:kern w:val="36"/>
        </w:rPr>
      </w:pPr>
      <w:r w:rsidRPr="00C5095E">
        <w:rPr>
          <w:rFonts w:eastAsia="Times New Roman" w:cs="Open Sans"/>
          <w:color w:val="1C1D1E"/>
          <w:kern w:val="36"/>
          <w:vertAlign w:val="superscript"/>
        </w:rPr>
        <w:t>1</w:t>
      </w:r>
      <w:r w:rsidRPr="00C5095E">
        <w:rPr>
          <w:rFonts w:eastAsia="Times New Roman" w:cs="Open Sans"/>
          <w:color w:val="1C1D1E"/>
          <w:kern w:val="36"/>
        </w:rPr>
        <w:t>NASA Goddard Space Flight Center</w:t>
      </w:r>
    </w:p>
    <w:p w14:paraId="05F4F827" w14:textId="77777777" w:rsidR="00C5095E" w:rsidRPr="003037B3" w:rsidRDefault="00C5095E" w:rsidP="007B305D">
      <w:pPr>
        <w:shd w:val="clear" w:color="auto" w:fill="FFFFFF"/>
        <w:jc w:val="both"/>
        <w:outlineLvl w:val="0"/>
        <w:rPr>
          <w:rFonts w:eastAsia="Times New Roman" w:cs="Open Sans"/>
          <w:color w:val="1C1D1E"/>
          <w:kern w:val="36"/>
        </w:rPr>
      </w:pPr>
    </w:p>
    <w:p w14:paraId="41F2C29D" w14:textId="50EA5B20" w:rsidR="00F85EAA" w:rsidRPr="00C5095E" w:rsidRDefault="00DD6CB5" w:rsidP="007B305D">
      <w:pPr>
        <w:jc w:val="both"/>
      </w:pPr>
      <w:r>
        <w:rPr>
          <w:b/>
          <w:bCs/>
        </w:rPr>
        <w:t>Brief Abstract</w:t>
      </w:r>
      <w:r w:rsidR="00C5095E" w:rsidRPr="00C5095E">
        <w:rPr>
          <w:b/>
          <w:bCs/>
        </w:rPr>
        <w:t xml:space="preserve">: </w:t>
      </w:r>
    </w:p>
    <w:p w14:paraId="1ACF3FBF" w14:textId="63C862A5" w:rsidR="00130699" w:rsidRPr="00C5095E" w:rsidRDefault="00F85EAA" w:rsidP="007B305D">
      <w:pPr>
        <w:jc w:val="both"/>
      </w:pPr>
      <w:r w:rsidRPr="00C5095E">
        <w:t xml:space="preserve">A recent, interdisciplinary survey of more than 40 international remote sensing experts </w:t>
      </w:r>
      <w:r w:rsidRPr="003037B3">
        <w:t>review</w:t>
      </w:r>
      <w:r w:rsidRPr="00C5095E">
        <w:t>ed</w:t>
      </w:r>
      <w:r w:rsidRPr="003037B3">
        <w:t xml:space="preserve"> the strengths and limitations of current space-based observational capabilities </w:t>
      </w:r>
      <w:r w:rsidR="00DD6CB5">
        <w:t xml:space="preserve">of the Arctic Boreal Zone (ABZ) </w:t>
      </w:r>
      <w:r w:rsidRPr="003037B3">
        <w:t>and ma</w:t>
      </w:r>
      <w:r w:rsidRPr="00C5095E">
        <w:t>d</w:t>
      </w:r>
      <w:r w:rsidRPr="003037B3">
        <w:t>e recommendations for improving upon these current capabilities</w:t>
      </w:r>
      <w:r w:rsidRPr="00C5095E">
        <w:t xml:space="preserve"> (Duncan et al., 2019)</w:t>
      </w:r>
      <w:r w:rsidRPr="003037B3">
        <w:t>.</w:t>
      </w:r>
      <w:r w:rsidRPr="00C5095E">
        <w:t xml:space="preserve"> </w:t>
      </w:r>
      <w:r w:rsidR="00995BA4" w:rsidRPr="00C5095E">
        <w:t>General recommendations focused on the complementarity of sub-orbital and satellite observation</w:t>
      </w:r>
      <w:r w:rsidR="00E73A6B" w:rsidRPr="00C5095E">
        <w:t>s,</w:t>
      </w:r>
      <w:r w:rsidR="00905975" w:rsidRPr="00C5095E">
        <w:t xml:space="preserve"> the need for measurement continuit</w:t>
      </w:r>
      <w:r w:rsidR="00E73A6B" w:rsidRPr="00C5095E">
        <w:t>y, and the importance of stakeholder engagement</w:t>
      </w:r>
      <w:r w:rsidR="00905975" w:rsidRPr="00C5095E">
        <w:t>. T</w:t>
      </w:r>
      <w:r w:rsidR="00995BA4" w:rsidRPr="00995BA4">
        <w:t>he development of a comprehensive and robust sub</w:t>
      </w:r>
      <w:r w:rsidR="004F250D" w:rsidRPr="00C5095E">
        <w:t>-</w:t>
      </w:r>
      <w:r w:rsidR="00995BA4" w:rsidRPr="00995BA4">
        <w:t>orbital portion of an ABZ</w:t>
      </w:r>
      <w:r w:rsidR="00905975" w:rsidRPr="00C5095E">
        <w:t xml:space="preserve"> observing network</w:t>
      </w:r>
      <w:r w:rsidR="00995BA4" w:rsidRPr="00995BA4">
        <w:t xml:space="preserve"> can act to fill some temporal gaps in satellite coverage, provide detail unobtainable from space, and is necessary for validation and interpretation of satellite data. </w:t>
      </w:r>
      <w:r w:rsidR="00905975" w:rsidRPr="00C5095E">
        <w:t xml:space="preserve">A priority across all types of observations is the continuation, enhancement, and/or creation of long-term, multi-satellite, climate-quality, and self-consistent data records of ABZ components, such as surface temperature, energy fluxes, or sea ice extent and volume, for improved determination of trends. Long-term passive satellite observations currently represent the only feasible option for monitoring change of the ABZ at broad spatial scales required to address pressing science challenges. </w:t>
      </w:r>
      <w:r w:rsidR="00BA1031" w:rsidRPr="00BA1031">
        <w:t>Active sensors are particularly attractive for the ABZ as they do not depend on reflected sunlight and so join passive microwave sensors in having a significant advantage over passive visible and infrared sensors in the low‐light conditions that are typical of the ABZ for several months of the year.</w:t>
      </w:r>
      <w:r w:rsidR="00BA1031">
        <w:t xml:space="preserve"> </w:t>
      </w:r>
      <w:r w:rsidR="00905975" w:rsidRPr="00C5095E">
        <w:t>Application of consistent retrieval algorithms to multiple data sets, as well as careful characterization of satellite instruments and their temporal evolution, helps to ensure data quality and consistency.</w:t>
      </w:r>
      <w:r w:rsidR="00977FC3">
        <w:t xml:space="preserve"> </w:t>
      </w:r>
      <w:r w:rsidR="00130699" w:rsidRPr="00C5095E">
        <w:t xml:space="preserve">Among the needs ranked as “Most Important” are those associated with gaining a process-based understanding of the ABZ carbon cycle and hydrologic cycle (which includes sea level rise) as they have the potential to affect a large portion of Earth’s population. </w:t>
      </w:r>
    </w:p>
    <w:p w14:paraId="62BF5A76" w14:textId="77777777" w:rsidR="00C5095E" w:rsidRDefault="00C5095E" w:rsidP="007B305D">
      <w:pPr>
        <w:jc w:val="both"/>
      </w:pPr>
    </w:p>
    <w:p w14:paraId="61FE4CB0" w14:textId="77777777" w:rsidR="00C5095E" w:rsidRDefault="00C5095E" w:rsidP="007B305D">
      <w:pPr>
        <w:jc w:val="both"/>
        <w:rPr>
          <w:b/>
          <w:bCs/>
        </w:rPr>
      </w:pPr>
      <w:r w:rsidRPr="00C5095E">
        <w:rPr>
          <w:b/>
          <w:bCs/>
        </w:rPr>
        <w:t>References</w:t>
      </w:r>
    </w:p>
    <w:p w14:paraId="73005E01" w14:textId="1B535DE1" w:rsidR="00FA1DFC" w:rsidRPr="00C5095E" w:rsidRDefault="00C5095E" w:rsidP="007B305D">
      <w:pPr>
        <w:jc w:val="both"/>
      </w:pPr>
      <w:r w:rsidRPr="001B5BAF">
        <w:rPr>
          <w:lang w:val="fr-FR"/>
        </w:rPr>
        <w:t xml:space="preserve">Duncan, B. N., et al. 2019. </w:t>
      </w:r>
      <w:r w:rsidRPr="00C5095E">
        <w:t xml:space="preserve">Space-Based Observations for Understanding Changes in the Arctic-Boreal Zone. accepted to Review of Geophysics. 57. </w:t>
      </w:r>
      <w:hyperlink r:id="rId5" w:history="1">
        <w:r w:rsidRPr="00C5095E">
          <w:rPr>
            <w:rStyle w:val="Hyperlink"/>
          </w:rPr>
          <w:t>https://</w:t>
        </w:r>
      </w:hyperlink>
      <w:hyperlink r:id="rId6" w:history="1">
        <w:r w:rsidRPr="00C5095E">
          <w:rPr>
            <w:rStyle w:val="Hyperlink"/>
          </w:rPr>
          <w:t>doi.org/10.1029/2019RG000652</w:t>
        </w:r>
      </w:hyperlink>
      <w:r w:rsidRPr="00C5095E">
        <w:t xml:space="preserve">. </w:t>
      </w:r>
    </w:p>
    <w:sectPr w:rsidR="00FA1DFC" w:rsidRPr="00C5095E" w:rsidSect="001C2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72FBF"/>
    <w:multiLevelType w:val="hybridMultilevel"/>
    <w:tmpl w:val="DB6C5788"/>
    <w:lvl w:ilvl="0" w:tplc="98C64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5C7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963B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66D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F4CE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329D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F29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4A3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3699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EA06F38"/>
    <w:multiLevelType w:val="hybridMultilevel"/>
    <w:tmpl w:val="0394C568"/>
    <w:lvl w:ilvl="0" w:tplc="C15C99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A34DB9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506B8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CD0018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B10BFD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4321D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418F20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B0E391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D2ADDC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370ABB"/>
    <w:multiLevelType w:val="hybridMultilevel"/>
    <w:tmpl w:val="986E5C34"/>
    <w:lvl w:ilvl="0" w:tplc="C4B04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58E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06D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FEAA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8E1E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CED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B459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966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26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696214"/>
    <w:multiLevelType w:val="hybridMultilevel"/>
    <w:tmpl w:val="AE00A7C4"/>
    <w:lvl w:ilvl="0" w:tplc="8F9029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15038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E409EA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C14CAF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C314681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178C9A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2C400E7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FBA2F2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6CEBC4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B333E"/>
    <w:multiLevelType w:val="hybridMultilevel"/>
    <w:tmpl w:val="11ECD096"/>
    <w:lvl w:ilvl="0" w:tplc="C30C22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3D036B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724826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91AC31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240F5F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112066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10032B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A84CA1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E0E7B4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B3"/>
    <w:rsid w:val="00130699"/>
    <w:rsid w:val="001B5BAF"/>
    <w:rsid w:val="001C269C"/>
    <w:rsid w:val="003037B3"/>
    <w:rsid w:val="004867B2"/>
    <w:rsid w:val="004F250D"/>
    <w:rsid w:val="0068099F"/>
    <w:rsid w:val="0073653E"/>
    <w:rsid w:val="007B305D"/>
    <w:rsid w:val="008330C2"/>
    <w:rsid w:val="00887D4F"/>
    <w:rsid w:val="00905975"/>
    <w:rsid w:val="00977FC3"/>
    <w:rsid w:val="00992463"/>
    <w:rsid w:val="00995BA4"/>
    <w:rsid w:val="00AC0C06"/>
    <w:rsid w:val="00B72EA4"/>
    <w:rsid w:val="00BA1031"/>
    <w:rsid w:val="00C5095E"/>
    <w:rsid w:val="00C775DA"/>
    <w:rsid w:val="00DD6CB5"/>
    <w:rsid w:val="00E15DF2"/>
    <w:rsid w:val="00E73A6B"/>
    <w:rsid w:val="00EE2D7F"/>
    <w:rsid w:val="00F8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BCE52"/>
  <w14:defaultImageDpi w14:val="32767"/>
  <w15:chartTrackingRefBased/>
  <w15:docId w15:val="{D7E4BD7D-3EA1-EE46-A582-96212194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3A6B"/>
  </w:style>
  <w:style w:type="paragraph" w:styleId="Heading1">
    <w:name w:val="heading 1"/>
    <w:basedOn w:val="Normal"/>
    <w:link w:val="Heading1Char"/>
    <w:uiPriority w:val="9"/>
    <w:qFormat/>
    <w:rsid w:val="003037B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7B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037B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037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7B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7B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3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7B3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7B3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3037B3"/>
    <w:pPr>
      <w:spacing w:before="480" w:beforeAutospacing="0" w:after="0" w:afterAutospacing="0" w:line="276" w:lineRule="auto"/>
      <w:contextualSpacing/>
      <w:outlineLvl w:val="9"/>
    </w:pPr>
    <w:rPr>
      <w:rFonts w:asciiTheme="majorHAnsi" w:eastAsiaTheme="majorEastAsia" w:hAnsiTheme="majorHAnsi" w:cstheme="majorBidi"/>
      <w:kern w:val="0"/>
      <w:sz w:val="28"/>
      <w:szCs w:val="28"/>
      <w:lang w:bidi="en-US"/>
    </w:rPr>
  </w:style>
  <w:style w:type="paragraph" w:styleId="ListParagraph">
    <w:name w:val="List Paragraph"/>
    <w:basedOn w:val="Normal"/>
    <w:uiPriority w:val="34"/>
    <w:qFormat/>
    <w:rsid w:val="00995BA4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1306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8330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49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7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4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6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9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5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77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3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3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8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64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60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1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17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9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05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3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29/2019RG000652" TargetMode="External"/><Relationship Id="rId5" Type="http://schemas.openxmlformats.org/officeDocument/2006/relationships/hyperlink" Target="https://doi.org/10.1029/2019RG0006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Ott</dc:creator>
  <cp:keywords/>
  <dc:description/>
  <cp:lastModifiedBy>Philson, Tyeisha B (GSFC-614.0)[SCIENCE SYSTEMS AND APPLICATIONS INC]</cp:lastModifiedBy>
  <cp:revision>2</cp:revision>
  <dcterms:created xsi:type="dcterms:W3CDTF">2020-10-14T22:52:00Z</dcterms:created>
  <dcterms:modified xsi:type="dcterms:W3CDTF">2020-10-14T22:52:00Z</dcterms:modified>
</cp:coreProperties>
</file>