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09122F" w14:textId="77777777" w:rsidR="00D4775E" w:rsidRDefault="00D4775E" w:rsidP="00D4775E">
      <w:pPr>
        <w:jc w:val="center"/>
        <w:rPr>
          <w:color w:val="000000"/>
        </w:rPr>
      </w:pPr>
      <w:bookmarkStart w:id="0" w:name="_GoBack"/>
      <w:bookmarkEnd w:id="0"/>
      <w:r w:rsidRPr="0004094E">
        <w:rPr>
          <w:b/>
          <w:bCs/>
          <w:color w:val="000000"/>
          <w:sz w:val="28"/>
          <w:szCs w:val="28"/>
        </w:rPr>
        <w:t>Supplementary material</w:t>
      </w:r>
    </w:p>
    <w:p w14:paraId="4E0B7056" w14:textId="77777777" w:rsidR="00D4775E" w:rsidRDefault="00D4775E" w:rsidP="00D4775E"/>
    <w:p w14:paraId="27E17639" w14:textId="77777777" w:rsidR="00D4775E" w:rsidRDefault="00D4775E" w:rsidP="00D4775E">
      <w:pPr>
        <w:spacing w:line="480" w:lineRule="auto"/>
        <w:jc w:val="center"/>
        <w:rPr>
          <w:b/>
          <w:sz w:val="28"/>
          <w:szCs w:val="28"/>
        </w:rPr>
      </w:pPr>
      <w:r>
        <w:rPr>
          <w:b/>
          <w:color w:val="000000"/>
          <w:sz w:val="28"/>
          <w:szCs w:val="28"/>
        </w:rPr>
        <w:t>Quantification of the Land Surface and Brown Ocean Influence on Tropical Cyclone Intensification Over Land</w:t>
      </w:r>
    </w:p>
    <w:p w14:paraId="0F814087" w14:textId="77777777" w:rsidR="00D4775E" w:rsidRDefault="00D4775E" w:rsidP="00D4775E">
      <w:pPr>
        <w:spacing w:line="480" w:lineRule="auto"/>
        <w:rPr>
          <w:color w:val="000000"/>
        </w:rPr>
      </w:pPr>
    </w:p>
    <w:p w14:paraId="6C952A05" w14:textId="77777777" w:rsidR="00D4775E" w:rsidRDefault="00D4775E" w:rsidP="00D4775E">
      <w:pPr>
        <w:spacing w:line="480" w:lineRule="auto"/>
        <w:jc w:val="center"/>
        <w:rPr>
          <w:color w:val="000000"/>
          <w:sz w:val="28"/>
          <w:szCs w:val="28"/>
        </w:rPr>
      </w:pPr>
      <w:r>
        <w:rPr>
          <w:color w:val="000000"/>
          <w:sz w:val="28"/>
          <w:szCs w:val="28"/>
        </w:rPr>
        <w:t>Jinwoong Yoo</w:t>
      </w:r>
      <w:r>
        <w:rPr>
          <w:color w:val="000000"/>
          <w:sz w:val="28"/>
          <w:szCs w:val="28"/>
          <w:vertAlign w:val="superscript"/>
        </w:rPr>
        <w:t>1</w:t>
      </w:r>
      <w:r>
        <w:rPr>
          <w:color w:val="000000"/>
          <w:sz w:val="28"/>
          <w:szCs w:val="28"/>
        </w:rPr>
        <w:t>, Joseph A. Santanello</w:t>
      </w:r>
      <w:r>
        <w:rPr>
          <w:color w:val="000000"/>
          <w:sz w:val="28"/>
          <w:szCs w:val="28"/>
          <w:vertAlign w:val="superscript"/>
        </w:rPr>
        <w:t>2</w:t>
      </w:r>
      <w:r>
        <w:rPr>
          <w:color w:val="000000"/>
          <w:sz w:val="28"/>
          <w:szCs w:val="28"/>
        </w:rPr>
        <w:t>, Marshall Shepherd</w:t>
      </w:r>
      <w:r>
        <w:rPr>
          <w:color w:val="000000"/>
          <w:sz w:val="28"/>
          <w:szCs w:val="28"/>
          <w:vertAlign w:val="superscript"/>
        </w:rPr>
        <w:t>3</w:t>
      </w:r>
      <w:r>
        <w:rPr>
          <w:color w:val="000000"/>
          <w:sz w:val="28"/>
          <w:szCs w:val="28"/>
        </w:rPr>
        <w:t>, Sujay Kumar</w:t>
      </w:r>
      <w:r>
        <w:rPr>
          <w:color w:val="000000"/>
          <w:sz w:val="28"/>
          <w:szCs w:val="28"/>
          <w:vertAlign w:val="superscript"/>
        </w:rPr>
        <w:t>2</w:t>
      </w:r>
      <w:r>
        <w:rPr>
          <w:color w:val="000000"/>
          <w:sz w:val="28"/>
          <w:szCs w:val="28"/>
        </w:rPr>
        <w:t xml:space="preserve">, </w:t>
      </w:r>
    </w:p>
    <w:p w14:paraId="3179FDC0" w14:textId="77777777" w:rsidR="00D4775E" w:rsidRDefault="00D4775E" w:rsidP="00D4775E">
      <w:pPr>
        <w:spacing w:line="480" w:lineRule="auto"/>
        <w:jc w:val="center"/>
        <w:rPr>
          <w:color w:val="000000"/>
          <w:sz w:val="28"/>
          <w:szCs w:val="28"/>
          <w:vertAlign w:val="superscript"/>
        </w:rPr>
      </w:pPr>
      <w:r>
        <w:rPr>
          <w:color w:val="000000"/>
          <w:sz w:val="28"/>
          <w:szCs w:val="28"/>
        </w:rPr>
        <w:t>Patricia Lawston</w:t>
      </w:r>
      <w:r>
        <w:rPr>
          <w:color w:val="000000"/>
          <w:sz w:val="28"/>
          <w:szCs w:val="28"/>
          <w:vertAlign w:val="superscript"/>
        </w:rPr>
        <w:t>1</w:t>
      </w:r>
      <w:r>
        <w:rPr>
          <w:color w:val="000000"/>
          <w:sz w:val="28"/>
          <w:szCs w:val="28"/>
        </w:rPr>
        <w:t>, and Andrew M. Thomas</w:t>
      </w:r>
      <w:r>
        <w:rPr>
          <w:color w:val="000000"/>
          <w:sz w:val="28"/>
          <w:szCs w:val="28"/>
          <w:vertAlign w:val="superscript"/>
        </w:rPr>
        <w:t>3</w:t>
      </w:r>
    </w:p>
    <w:p w14:paraId="30087303" w14:textId="77777777" w:rsidR="00D4775E" w:rsidRDefault="00D4775E" w:rsidP="00D4775E">
      <w:pPr>
        <w:spacing w:line="480" w:lineRule="auto"/>
        <w:jc w:val="center"/>
        <w:rPr>
          <w:color w:val="000000"/>
        </w:rPr>
      </w:pPr>
    </w:p>
    <w:p w14:paraId="4F30FFC6" w14:textId="77777777" w:rsidR="00D4775E" w:rsidRDefault="00D4775E" w:rsidP="00D4775E">
      <w:pPr>
        <w:numPr>
          <w:ilvl w:val="0"/>
          <w:numId w:val="4"/>
        </w:numPr>
        <w:pBdr>
          <w:top w:val="nil"/>
          <w:left w:val="nil"/>
          <w:bottom w:val="nil"/>
          <w:right w:val="nil"/>
          <w:between w:val="nil"/>
        </w:pBdr>
        <w:spacing w:line="480" w:lineRule="auto"/>
        <w:jc w:val="center"/>
        <w:rPr>
          <w:rFonts w:ascii="Calibri" w:eastAsia="Calibri" w:hAnsi="Calibri" w:cs="Calibri"/>
          <w:color w:val="000000"/>
        </w:rPr>
      </w:pPr>
      <w:r>
        <w:rPr>
          <w:rFonts w:ascii="Calibri" w:eastAsia="Calibri" w:hAnsi="Calibri" w:cs="Calibri"/>
          <w:color w:val="000000"/>
        </w:rPr>
        <w:t>University of Maryland (ESSIC)/NASA Goddard Space Flight Center</w:t>
      </w:r>
    </w:p>
    <w:p w14:paraId="25D125EC" w14:textId="77777777" w:rsidR="00D4775E" w:rsidRDefault="00D4775E" w:rsidP="00D4775E">
      <w:pPr>
        <w:numPr>
          <w:ilvl w:val="0"/>
          <w:numId w:val="4"/>
        </w:numPr>
        <w:pBdr>
          <w:top w:val="nil"/>
          <w:left w:val="nil"/>
          <w:bottom w:val="nil"/>
          <w:right w:val="nil"/>
          <w:between w:val="nil"/>
        </w:pBdr>
        <w:spacing w:line="480" w:lineRule="auto"/>
        <w:jc w:val="center"/>
        <w:rPr>
          <w:rFonts w:ascii="Calibri" w:eastAsia="Calibri" w:hAnsi="Calibri" w:cs="Calibri"/>
          <w:color w:val="000000"/>
        </w:rPr>
      </w:pPr>
      <w:r>
        <w:rPr>
          <w:rFonts w:ascii="Calibri" w:eastAsia="Calibri" w:hAnsi="Calibri" w:cs="Calibri"/>
          <w:color w:val="000000"/>
        </w:rPr>
        <w:t>NASA Goddard Space Flight Center</w:t>
      </w:r>
    </w:p>
    <w:p w14:paraId="63A8A427" w14:textId="77777777" w:rsidR="00D4775E" w:rsidRDefault="00D4775E" w:rsidP="00D4775E">
      <w:pPr>
        <w:numPr>
          <w:ilvl w:val="0"/>
          <w:numId w:val="4"/>
        </w:numPr>
        <w:pBdr>
          <w:top w:val="nil"/>
          <w:left w:val="nil"/>
          <w:bottom w:val="nil"/>
          <w:right w:val="nil"/>
          <w:between w:val="nil"/>
        </w:pBdr>
        <w:spacing w:line="480" w:lineRule="auto"/>
        <w:jc w:val="center"/>
        <w:rPr>
          <w:rFonts w:ascii="Calibri" w:eastAsia="Calibri" w:hAnsi="Calibri" w:cs="Calibri"/>
          <w:color w:val="000000"/>
        </w:rPr>
      </w:pPr>
      <w:r>
        <w:rPr>
          <w:rFonts w:ascii="Calibri" w:eastAsia="Calibri" w:hAnsi="Calibri" w:cs="Calibri"/>
          <w:color w:val="000000"/>
        </w:rPr>
        <w:t>University of Georgia</w:t>
      </w:r>
    </w:p>
    <w:p w14:paraId="57AE48B4" w14:textId="77777777" w:rsidR="00D4775E" w:rsidRDefault="00D4775E" w:rsidP="00D4775E"/>
    <w:p w14:paraId="542807BE" w14:textId="77777777" w:rsidR="00CD218E" w:rsidRDefault="00CD218E" w:rsidP="00D4775E"/>
    <w:p w14:paraId="771E4B38" w14:textId="3D5521E6" w:rsidR="007E5145" w:rsidRDefault="00A20D69" w:rsidP="003622E0">
      <w:pPr>
        <w:spacing w:line="480" w:lineRule="auto"/>
        <w:ind w:firstLine="720"/>
        <w:rPr>
          <w:color w:val="000000"/>
        </w:rPr>
      </w:pPr>
      <w:r>
        <w:rPr>
          <w:color w:val="000000"/>
        </w:rPr>
        <w:t xml:space="preserve">The entire modeling framework of this study consists of two phases; </w:t>
      </w:r>
      <w:r w:rsidR="007E5145">
        <w:rPr>
          <w:color w:val="000000"/>
        </w:rPr>
        <w:t xml:space="preserve">1) </w:t>
      </w:r>
      <w:r>
        <w:rPr>
          <w:color w:val="000000"/>
        </w:rPr>
        <w:t xml:space="preserve">the physics and BC ensemble study and </w:t>
      </w:r>
      <w:r w:rsidR="007E5145">
        <w:rPr>
          <w:color w:val="000000"/>
        </w:rPr>
        <w:t xml:space="preserve">2) </w:t>
      </w:r>
      <w:r>
        <w:rPr>
          <w:color w:val="000000"/>
        </w:rPr>
        <w:t xml:space="preserve">the land/soil moisture perturbation experiments. </w:t>
      </w:r>
      <w:r w:rsidR="007E5145">
        <w:rPr>
          <w:color w:val="000000"/>
        </w:rPr>
        <w:t xml:space="preserve">Due to the </w:t>
      </w:r>
      <w:r w:rsidR="003622E0">
        <w:rPr>
          <w:color w:val="000000"/>
        </w:rPr>
        <w:t>page restrictions and to retain conciseness</w:t>
      </w:r>
      <w:r w:rsidR="00B67EC4">
        <w:rPr>
          <w:color w:val="000000"/>
        </w:rPr>
        <w:t xml:space="preserve">, </w:t>
      </w:r>
      <w:r w:rsidR="003622E0">
        <w:rPr>
          <w:color w:val="000000"/>
        </w:rPr>
        <w:t xml:space="preserve">the manuscript </w:t>
      </w:r>
      <w:r w:rsidR="007E5145">
        <w:rPr>
          <w:color w:val="000000"/>
        </w:rPr>
        <w:t>retains only the core parts of the land/soil moisture perturbation experiments. To complement</w:t>
      </w:r>
      <w:r w:rsidR="003622E0">
        <w:rPr>
          <w:color w:val="000000"/>
        </w:rPr>
        <w:t xml:space="preserve"> the manuscript</w:t>
      </w:r>
      <w:r w:rsidR="007E5145">
        <w:rPr>
          <w:color w:val="000000"/>
        </w:rPr>
        <w:t xml:space="preserve">, specific motivating questions for the NU-WRF/WRF model simulation experiment design (see Table 5) are addressed here. Also, this supplementary material contains </w:t>
      </w:r>
      <w:r w:rsidR="00B67EC4">
        <w:rPr>
          <w:color w:val="000000"/>
        </w:rPr>
        <w:t xml:space="preserve">descriptions of extra data sets that were examined </w:t>
      </w:r>
      <w:r w:rsidR="00C01769">
        <w:rPr>
          <w:color w:val="000000"/>
        </w:rPr>
        <w:t xml:space="preserve">for the study </w:t>
      </w:r>
      <w:r w:rsidR="00B67EC4">
        <w:rPr>
          <w:color w:val="000000"/>
        </w:rPr>
        <w:t xml:space="preserve">as well as </w:t>
      </w:r>
      <w:r w:rsidR="007E5145">
        <w:rPr>
          <w:color w:val="000000"/>
        </w:rPr>
        <w:t xml:space="preserve">the results of the first phase of the experiment: the physics and BC ensemble study. </w:t>
      </w:r>
    </w:p>
    <w:p w14:paraId="2DADACD6" w14:textId="31C8D2B0" w:rsidR="00953D49" w:rsidRPr="008308D8" w:rsidRDefault="003622E0" w:rsidP="008308D8">
      <w:pPr>
        <w:pStyle w:val="ListParagraph"/>
        <w:numPr>
          <w:ilvl w:val="0"/>
          <w:numId w:val="7"/>
        </w:numPr>
        <w:spacing w:line="480" w:lineRule="auto"/>
        <w:rPr>
          <w:color w:val="000000"/>
        </w:rPr>
      </w:pPr>
      <w:r>
        <w:rPr>
          <w:color w:val="000000"/>
        </w:rPr>
        <w:t>M</w:t>
      </w:r>
      <w:r w:rsidR="00B67EC4">
        <w:rPr>
          <w:color w:val="000000"/>
        </w:rPr>
        <w:t>otivating questions for the NU-WRF/WRF model simulation experiment</w:t>
      </w:r>
    </w:p>
    <w:p w14:paraId="4C6EC711" w14:textId="77777777" w:rsidR="007E5145" w:rsidRDefault="007E5145" w:rsidP="007E5145">
      <w:pPr>
        <w:numPr>
          <w:ilvl w:val="0"/>
          <w:numId w:val="3"/>
        </w:numPr>
        <w:pBdr>
          <w:top w:val="nil"/>
          <w:left w:val="nil"/>
          <w:bottom w:val="nil"/>
          <w:right w:val="nil"/>
          <w:between w:val="nil"/>
        </w:pBdr>
        <w:spacing w:line="480" w:lineRule="auto"/>
        <w:rPr>
          <w:rFonts w:ascii="Calibri" w:eastAsia="Calibri" w:hAnsi="Calibri" w:cs="Calibri"/>
          <w:color w:val="000000"/>
        </w:rPr>
      </w:pPr>
      <w:r>
        <w:rPr>
          <w:rFonts w:ascii="Calibri" w:eastAsia="Calibri" w:hAnsi="Calibri" w:cs="Calibri"/>
          <w:color w:val="000000"/>
        </w:rPr>
        <w:t>Physics and BC ensemble Experiments</w:t>
      </w:r>
      <w:sdt>
        <w:sdtPr>
          <w:tag w:val="goog_rdk_18"/>
          <w:id w:val="-1620362255"/>
        </w:sdtPr>
        <w:sdtEndPr/>
        <w:sdtContent/>
      </w:sdt>
      <w:r>
        <w:rPr>
          <w:rFonts w:ascii="Calibri" w:eastAsia="Calibri" w:hAnsi="Calibri" w:cs="Calibri"/>
          <w:color w:val="000000"/>
        </w:rPr>
        <w:t>. Determine Optimal NU-WRF Physics for TS Kelvin Case Study</w:t>
      </w:r>
    </w:p>
    <w:p w14:paraId="50D7B044" w14:textId="77777777" w:rsidR="007E5145" w:rsidRPr="0004094E" w:rsidRDefault="007E5145" w:rsidP="007E5145">
      <w:pPr>
        <w:pStyle w:val="ListParagraph"/>
        <w:numPr>
          <w:ilvl w:val="0"/>
          <w:numId w:val="5"/>
        </w:numPr>
        <w:spacing w:line="480" w:lineRule="auto"/>
        <w:rPr>
          <w:color w:val="000000"/>
        </w:rPr>
      </w:pPr>
      <w:r w:rsidRPr="0004094E">
        <w:rPr>
          <w:color w:val="000000"/>
        </w:rPr>
        <w:lastRenderedPageBreak/>
        <w:t>Comparison of default WRF tropical vs. NU-WRF physics; Tropical vs. Control</w:t>
      </w:r>
    </w:p>
    <w:p w14:paraId="09051F45" w14:textId="09A65FAC" w:rsidR="00054EA5" w:rsidRDefault="007E5145" w:rsidP="0018596B">
      <w:pPr>
        <w:spacing w:line="480" w:lineRule="auto"/>
        <w:ind w:firstLine="720"/>
        <w:rPr>
          <w:color w:val="000000"/>
        </w:rPr>
      </w:pPr>
      <w:r>
        <w:rPr>
          <w:color w:val="000000"/>
        </w:rPr>
        <w:t xml:space="preserve">Results of a model simulation of TCs can be influenced by many factors that construct each simulation such as Initial </w:t>
      </w:r>
      <w:r w:rsidR="006C2FC5">
        <w:rPr>
          <w:color w:val="000000"/>
        </w:rPr>
        <w:t>C</w:t>
      </w:r>
      <w:r>
        <w:rPr>
          <w:color w:val="000000"/>
        </w:rPr>
        <w:t xml:space="preserve">onditions (ICs), </w:t>
      </w:r>
      <w:r w:rsidR="006C2FC5">
        <w:rPr>
          <w:color w:val="000000"/>
        </w:rPr>
        <w:t>B</w:t>
      </w:r>
      <w:r>
        <w:rPr>
          <w:color w:val="000000"/>
        </w:rPr>
        <w:t xml:space="preserve">oundary </w:t>
      </w:r>
      <w:r w:rsidR="006C2FC5">
        <w:rPr>
          <w:color w:val="000000"/>
        </w:rPr>
        <w:t>C</w:t>
      </w:r>
      <w:r>
        <w:rPr>
          <w:color w:val="000000"/>
        </w:rPr>
        <w:t xml:space="preserve">onditions (BCs), model physics, sea surface temperature (SST) update options, number of vertical model layers, as well as the choice of coupled model components such as </w:t>
      </w:r>
      <w:r w:rsidR="006C2FC5">
        <w:rPr>
          <w:color w:val="000000"/>
        </w:rPr>
        <w:t>land surface models (</w:t>
      </w:r>
      <w:r>
        <w:rPr>
          <w:color w:val="000000"/>
        </w:rPr>
        <w:t>LSMs</w:t>
      </w:r>
      <w:r w:rsidR="006C2FC5">
        <w:rPr>
          <w:color w:val="000000"/>
        </w:rPr>
        <w:t>)</w:t>
      </w:r>
      <w:r>
        <w:rPr>
          <w:color w:val="000000"/>
        </w:rPr>
        <w:t>. To address the impacts of the IC/BC datasets on the TC Kelvin hindcast, three global (re)analysis data were utilized in the WRF simulations: GDAS, MERRA2, and ERA-I</w:t>
      </w:r>
      <w:r w:rsidR="006C2FC5">
        <w:rPr>
          <w:color w:val="000000"/>
        </w:rPr>
        <w:t xml:space="preserve"> (</w:t>
      </w:r>
      <w:r>
        <w:rPr>
          <w:color w:val="000000"/>
        </w:rPr>
        <w:t xml:space="preserve">Table </w:t>
      </w:r>
      <w:r w:rsidR="00054EA5">
        <w:rPr>
          <w:color w:val="000000"/>
        </w:rPr>
        <w:t>S1</w:t>
      </w:r>
      <w:r w:rsidR="006C2FC5">
        <w:rPr>
          <w:color w:val="000000"/>
        </w:rPr>
        <w:t>).</w:t>
      </w:r>
      <w:r>
        <w:rPr>
          <w:color w:val="000000"/>
        </w:rPr>
        <w:t xml:space="preserve"> </w:t>
      </w:r>
    </w:p>
    <w:p w14:paraId="61FFAEB9" w14:textId="7C87B120" w:rsidR="007E5145" w:rsidRDefault="007E5145" w:rsidP="0018596B">
      <w:pPr>
        <w:spacing w:line="480" w:lineRule="auto"/>
        <w:ind w:firstLine="720"/>
        <w:rPr>
          <w:color w:val="000000"/>
        </w:rPr>
      </w:pPr>
      <w:r>
        <w:rPr>
          <w:color w:val="000000"/>
        </w:rPr>
        <w:t xml:space="preserve">In the physics and BC ensemble study, the main purposes are trifold: 1) the comparison of the NU-WRF physics against the community WRF model physics settings for tropical simulations; 2) the assessment of the impact of LIS spinup and online coupling to the WRF atmospheric model; and 3) the evaluation of the </w:t>
      </w:r>
      <w:sdt>
        <w:sdtPr>
          <w:tag w:val="goog_rdk_19"/>
          <w:id w:val="-298760477"/>
        </w:sdtPr>
        <w:sdtEndPr/>
        <w:sdtContent/>
      </w:sdt>
      <w:r>
        <w:rPr>
          <w:color w:val="000000"/>
        </w:rPr>
        <w:t xml:space="preserve">IC/BC datasets for the case study of TC Kelvin. </w:t>
      </w:r>
      <w:r>
        <w:t>Therefore, for example, the comparison of #1 Control vs.  #2 Tropical, #5 noLIS vs. #6 Tropical_noLIS, as well #7 ERAI vs.  #8 ERAI_Tropical can address the differences between the NU-WRF and the WRF tropical physics options. At the same time, the performance of the LIS spinup can be evaluated using #1 Control vs. #2 Tropical, and #5 noLIS vs. #6 Tropical_noLIS.  In addition, comparing #1 Control to #3 M2, #4 M2G and #7 ERAI simulations will yield insight as to the impact of IC/BC data.</w:t>
      </w:r>
    </w:p>
    <w:p w14:paraId="28DEE525" w14:textId="77777777" w:rsidR="007E5145" w:rsidRPr="0004094E" w:rsidRDefault="00966DB2" w:rsidP="007E5145">
      <w:pPr>
        <w:pStyle w:val="ListParagraph"/>
        <w:numPr>
          <w:ilvl w:val="0"/>
          <w:numId w:val="5"/>
        </w:numPr>
        <w:spacing w:line="480" w:lineRule="auto"/>
        <w:rPr>
          <w:color w:val="000000"/>
        </w:rPr>
      </w:pPr>
      <w:sdt>
        <w:sdtPr>
          <w:tag w:val="goog_rdk_20"/>
          <w:id w:val="-972519374"/>
        </w:sdtPr>
        <w:sdtEndPr/>
        <w:sdtContent/>
      </w:sdt>
      <w:r w:rsidR="007E5145" w:rsidRPr="0004094E">
        <w:rPr>
          <w:color w:val="000000"/>
        </w:rPr>
        <w:t>Determination of specific NU-WRF physics impacts; MP vs. Rad vs. LIS vs. All</w:t>
      </w:r>
    </w:p>
    <w:p w14:paraId="2C47604C" w14:textId="004774DF" w:rsidR="007E5145" w:rsidRDefault="007E5145" w:rsidP="008308D8">
      <w:pPr>
        <w:spacing w:line="480" w:lineRule="auto"/>
        <w:ind w:firstLine="720"/>
      </w:pPr>
      <w:r>
        <w:t xml:space="preserve">In Part II of the physics and BC ensemble study, the key question is which Goddard physics options are most influential on storm track when they are compared to the community WRF tropical physics suite. This question is important because the understanding of the sensitivity of physics schemes can shed light on which factors should be closely examined in the next phase of the experiment.  For the sensitivity tests, each physics option(s) in the community </w:t>
      </w:r>
      <w:r>
        <w:lastRenderedPageBreak/>
        <w:t xml:space="preserve">WRF tropical physics schemes is replaced by each corresponding Goddard physics option(s) (one physics option per experiment to isolate the effects), and their performance is compared to #6 Tropical_noLIS. The GDAS data is used for the IC/BCs in these experiments. The five cases include #9 MP case where only the WSM6 microphysics option from the WRF tropical suite was replaced by the Goddard 4ICE scheme; #10 Rad case where only the RRTMG shortwave and longwave radiation scheme from the WRF tropical suite were replaced by the Goddard 2017 radiation scheme; #11 PBLSFC case where only the YSU PBL option and the MM5 similarity surface parameterization from the WRF tropical suite were replaced by the MYNN2 scheme; #12 Rad3ICE case where both the microphysics scheme and the radiation option from the WRF tropical suite were replaced by the Goddard 3ICE microphysics scheme and the Goddard 2017 radiation scheme; and #13 Rad4ICE case where both the microphysics scheme and the radiation option from the WRF tropical suite were replaced by the Goddard 4ICE microphysics scheme and the Goddard 2017 radiation scheme (Table </w:t>
      </w:r>
      <w:r w:rsidR="00054EA5">
        <w:t>S1</w:t>
      </w:r>
      <w:r>
        <w:t>).</w:t>
      </w:r>
    </w:p>
    <w:p w14:paraId="494604DF" w14:textId="77777777" w:rsidR="007E5145" w:rsidRDefault="007E5145" w:rsidP="007E5145">
      <w:pPr>
        <w:numPr>
          <w:ilvl w:val="0"/>
          <w:numId w:val="3"/>
        </w:numPr>
        <w:pBdr>
          <w:top w:val="nil"/>
          <w:left w:val="nil"/>
          <w:bottom w:val="nil"/>
          <w:right w:val="nil"/>
          <w:between w:val="nil"/>
        </w:pBdr>
        <w:spacing w:line="480" w:lineRule="auto"/>
        <w:rPr>
          <w:rFonts w:ascii="Calibri" w:eastAsia="Calibri" w:hAnsi="Calibri" w:cs="Calibri"/>
          <w:color w:val="000000"/>
        </w:rPr>
      </w:pPr>
      <w:r>
        <w:rPr>
          <w:rFonts w:ascii="Calibri" w:eastAsia="Calibri" w:hAnsi="Calibri" w:cs="Calibri"/>
          <w:color w:val="000000"/>
        </w:rPr>
        <w:t>Land/soil moisture perturbation experiments</w:t>
      </w:r>
    </w:p>
    <w:p w14:paraId="1E35C0DF" w14:textId="58D743C2" w:rsidR="007E5145" w:rsidRDefault="007E5145" w:rsidP="007E5145">
      <w:pPr>
        <w:spacing w:line="480" w:lineRule="auto"/>
        <w:ind w:firstLine="720"/>
        <w:rPr>
          <w:color w:val="000000"/>
        </w:rPr>
      </w:pPr>
      <w:r>
        <w:rPr>
          <w:color w:val="000000"/>
        </w:rPr>
        <w:t xml:space="preserve">In the land/soil moisture perturbation experiments of our study, the authors explore the storm sensitivity to variations in modelling components such as soil moisture, soil texture, model physics, and surface latent/heat flux. Variations in soil moisture condition range from extreme (no latent heat flux; #18 LHzero, no sensible heat flux; #19 SHFzero), </w:t>
      </w:r>
      <w:r w:rsidR="00953D49">
        <w:rPr>
          <w:color w:val="000000"/>
        </w:rPr>
        <w:t xml:space="preserve">to </w:t>
      </w:r>
      <w:r>
        <w:rPr>
          <w:color w:val="000000"/>
        </w:rPr>
        <w:t xml:space="preserve">pseudo-climatological dry and wet (#15 SMdry and #14 SMwet), </w:t>
      </w:r>
      <w:r w:rsidR="00953D49">
        <w:rPr>
          <w:color w:val="000000"/>
        </w:rPr>
        <w:t xml:space="preserve">to </w:t>
      </w:r>
      <w:r>
        <w:rPr>
          <w:color w:val="000000"/>
        </w:rPr>
        <w:t xml:space="preserve">fully saturated at soil type’s maximum (#16 SMsat), to a quasi-aqua planet condition (#17 SMaqua). Three different soil texture configurations are compared using the NCEP/FAO soil texture (#1 Control), the ISRIC soil texture (#22 ISRIC) and a constant soil texture of clay over land (#21 Clay). These permutations </w:t>
      </w:r>
      <w:r>
        <w:rPr>
          <w:color w:val="000000"/>
        </w:rPr>
        <w:lastRenderedPageBreak/>
        <w:t xml:space="preserve">of surface moisture, moisture fluxes, and soil type were designed to isolate and control for the specific impacts of the land surface </w:t>
      </w:r>
      <w:r w:rsidR="00B66B5B">
        <w:rPr>
          <w:color w:val="000000"/>
        </w:rPr>
        <w:t>conditions</w:t>
      </w:r>
      <w:r>
        <w:rPr>
          <w:color w:val="000000"/>
        </w:rPr>
        <w:t xml:space="preserve"> on TC track and intensity.</w:t>
      </w:r>
    </w:p>
    <w:p w14:paraId="0F34E708" w14:textId="77777777" w:rsidR="007E5145" w:rsidRDefault="007E5145" w:rsidP="007E5145">
      <w:pPr>
        <w:numPr>
          <w:ilvl w:val="0"/>
          <w:numId w:val="1"/>
        </w:numPr>
        <w:pBdr>
          <w:top w:val="nil"/>
          <w:left w:val="nil"/>
          <w:bottom w:val="nil"/>
          <w:right w:val="nil"/>
          <w:between w:val="nil"/>
        </w:pBdr>
        <w:spacing w:line="480" w:lineRule="auto"/>
        <w:rPr>
          <w:color w:val="000000"/>
        </w:rPr>
      </w:pPr>
      <w:r>
        <w:rPr>
          <w:color w:val="000000"/>
        </w:rPr>
        <w:t>Impact of initial soil moisture; Control vs. SMdry, SMwet vs. SMdrytropic, SMwettropic</w:t>
      </w:r>
    </w:p>
    <w:p w14:paraId="7B8FE456" w14:textId="77777777" w:rsidR="007E5145" w:rsidRDefault="007E5145" w:rsidP="007E5145">
      <w:pPr>
        <w:spacing w:line="480" w:lineRule="auto"/>
        <w:ind w:firstLine="720"/>
        <w:rPr>
          <w:color w:val="000000"/>
        </w:rPr>
      </w:pPr>
      <w:r>
        <w:rPr>
          <w:color w:val="000000"/>
        </w:rPr>
        <w:t>For the pseudo-climatological dry and wet cases, the 5-year LIS spinup result driven by the GDAS data is used to determine the dates and times of the driest and wettest soil moisture contents, respectively, in the top soil layer of the Noah land surface model. Due to the 5-year spinup period these minimum and maximum soil moisture values may not represent the full spectrum of soil moisture range over the simulation domain region. However, it is assumed that their departures from the real climatology should not be severe as to nullify the experiment design and they would represent climatologically wet and dry values. For the pseudo-climatological dry (#15 SMdry) and wet (#14 SMwet) cases, only soil moisture values for the entire four soil layers are “transplanted” from the driest and wettest time stamps of the LIS spinup results, respectively, for the NU-WRF model initialization for each case while the soil temperature values are remained intact from the LIS spinup. The driest and wettest time stamps in the LIS spinup are 6 September, 2017 at 12 UTC and 8 February, 2017 at 18 UTC, respectively. In addition, the same soil moisture settings of the #15 SMdry and the #14 SMwet cases are applied with the WRF tropical physics suite for #24 SMdrytropic and #23 SMwettropic experiments to test the model sensitivity to the model physics options under the changed soil moisture conditions.</w:t>
      </w:r>
    </w:p>
    <w:p w14:paraId="5A37AD8D" w14:textId="77777777" w:rsidR="007E5145" w:rsidRDefault="007E5145" w:rsidP="007E5145">
      <w:pPr>
        <w:numPr>
          <w:ilvl w:val="0"/>
          <w:numId w:val="1"/>
        </w:numPr>
        <w:pBdr>
          <w:top w:val="nil"/>
          <w:left w:val="nil"/>
          <w:bottom w:val="nil"/>
          <w:right w:val="nil"/>
          <w:between w:val="nil"/>
        </w:pBdr>
        <w:spacing w:line="480" w:lineRule="auto"/>
        <w:rPr>
          <w:color w:val="000000"/>
        </w:rPr>
      </w:pPr>
      <w:r>
        <w:rPr>
          <w:color w:val="000000"/>
        </w:rPr>
        <w:t>Impact of latent heat flux; Control vs. LHzero, SHFzero, and LSHFzero</w:t>
      </w:r>
    </w:p>
    <w:p w14:paraId="2509F33C" w14:textId="77777777" w:rsidR="007E5145" w:rsidRDefault="007E5145" w:rsidP="007E5145">
      <w:pPr>
        <w:spacing w:line="480" w:lineRule="auto"/>
        <w:ind w:firstLine="720"/>
        <w:rPr>
          <w:color w:val="000000"/>
        </w:rPr>
      </w:pPr>
      <w:r>
        <w:rPr>
          <w:color w:val="000000"/>
        </w:rPr>
        <w:t xml:space="preserve">Extreme cases of a) no latent heat flux, b) no sensible heat flux, and c) no latent and sensible heat fluxes from land surface are included in our WRF-LIS coupled simulations. These </w:t>
      </w:r>
      <w:r>
        <w:rPr>
          <w:color w:val="000000"/>
        </w:rPr>
        <w:lastRenderedPageBreak/>
        <w:t xml:space="preserve">cases are realized by suppressing each flux to zero only over the land within the NU-WRF model code while these fluxes from the ocean allowed. The result can provide a good and clear estimate of the land surface flux contributions to the post-landfall TC intensity change as well as its track. Regardless of the modification, the land surface model maintains the latent/sensible heat flux(es) accounted continuously for its soil layer energy balance, minimizing the impact for the subsurface layer energy balance. </w:t>
      </w:r>
    </w:p>
    <w:p w14:paraId="09C505B0" w14:textId="77777777" w:rsidR="007E5145" w:rsidRDefault="007E5145" w:rsidP="007E5145">
      <w:pPr>
        <w:spacing w:line="480" w:lineRule="auto"/>
        <w:ind w:left="720"/>
        <w:rPr>
          <w:color w:val="000000"/>
        </w:rPr>
      </w:pPr>
      <w:r>
        <w:rPr>
          <w:color w:val="000000"/>
        </w:rPr>
        <w:t>3) Impact of saturated/inundated soil; Control vs. SMsat, SMaqua</w:t>
      </w:r>
    </w:p>
    <w:p w14:paraId="6677EFF3" w14:textId="1E7DB43E" w:rsidR="007E5145" w:rsidRDefault="007E5145" w:rsidP="007E5145">
      <w:pPr>
        <w:spacing w:line="480" w:lineRule="auto"/>
        <w:ind w:firstLine="720"/>
        <w:rPr>
          <w:color w:val="000000"/>
        </w:rPr>
      </w:pPr>
      <w:r>
        <w:rPr>
          <w:color w:val="000000"/>
        </w:rPr>
        <w:t xml:space="preserve">As another extreme cases, both saturated soil surface and inundated land surface are imagined, where soil moisture in the entire column is modified to be a fixed value either at their maximum saturated value which is determined by each soil type for the saturated soil cases (#16 SMsat) or at 1 for the inundated land surface case (#17 SMaqua). These soil moistures are fixed/replaced through the entire simulation period of 4 days. SMsat is considered as a potential maximum soil moisture availability with the limiting factor of soil type and porosity. Similarly, SMaqua represents a quasi-aqua planet condition where unlimited amount of soil moisture is available for evaporation. Note that the topography of the model domain, however, remains the same as control, and thus is not a full aqua planet representation in that only the moisture component is accounted for, while the land itself </w:t>
      </w:r>
      <w:r w:rsidR="00B433CA">
        <w:rPr>
          <w:color w:val="000000"/>
        </w:rPr>
        <w:t>remains</w:t>
      </w:r>
      <w:r>
        <w:rPr>
          <w:color w:val="000000"/>
        </w:rPr>
        <w:t xml:space="preserve"> fixed. These SMaqua setting may be able to address flooded land surface conditions and/or standing water, which also occurred during TC Kelvin.   </w:t>
      </w:r>
    </w:p>
    <w:p w14:paraId="223D3444" w14:textId="77777777" w:rsidR="007E5145" w:rsidRDefault="00966DB2" w:rsidP="007E5145">
      <w:pPr>
        <w:numPr>
          <w:ilvl w:val="0"/>
          <w:numId w:val="2"/>
        </w:numPr>
        <w:pBdr>
          <w:top w:val="nil"/>
          <w:left w:val="nil"/>
          <w:bottom w:val="nil"/>
          <w:right w:val="nil"/>
          <w:between w:val="nil"/>
        </w:pBdr>
        <w:spacing w:line="480" w:lineRule="auto"/>
        <w:rPr>
          <w:color w:val="000000"/>
        </w:rPr>
      </w:pPr>
      <w:sdt>
        <w:sdtPr>
          <w:tag w:val="goog_rdk_21"/>
          <w:id w:val="1008409039"/>
        </w:sdtPr>
        <w:sdtEndPr/>
        <w:sdtContent/>
      </w:sdt>
      <w:r w:rsidR="007E5145">
        <w:rPr>
          <w:color w:val="000000"/>
        </w:rPr>
        <w:t>Impact of soil texture; Control vs.  ISRIC, Clay</w:t>
      </w:r>
    </w:p>
    <w:p w14:paraId="210AD944" w14:textId="554F4DA8" w:rsidR="007E5145" w:rsidRDefault="007E5145" w:rsidP="007E5145">
      <w:pPr>
        <w:spacing w:line="480" w:lineRule="auto"/>
        <w:ind w:firstLine="720"/>
        <w:rPr>
          <w:color w:val="000000"/>
        </w:rPr>
      </w:pPr>
      <w:r>
        <w:rPr>
          <w:color w:val="000000"/>
        </w:rPr>
        <w:t xml:space="preserve">It is also interesting to test the model sensitivity to the soil texture options since previous studies (e.g., Emanuel et al. 2008) speculated that the hot sandy soil in the northern Australia yielded latent heat fluxes large enough to sustain the “agukabams” when soil moisture condition </w:t>
      </w:r>
      <w:r>
        <w:rPr>
          <w:color w:val="000000"/>
        </w:rPr>
        <w:lastRenderedPageBreak/>
        <w:t xml:space="preserve">is met. The global hybrid STATSGO/FAO soil texture map by NCAR </w:t>
      </w:r>
      <w:r>
        <w:rPr>
          <w:color w:val="000000"/>
          <w:highlight w:val="white"/>
        </w:rPr>
        <w:t>(in spatial grid resolutions of 30-second for CONUS and 5-minute elsewhere; https://ral.ucar.edu/solutions/products/wrf-noah-noah-mp-modeling-system)</w:t>
      </w:r>
      <w:r>
        <w:rPr>
          <w:color w:val="000000"/>
        </w:rPr>
        <w:t xml:space="preserve"> is the default soil texture option within the NU-WRF (including WRF and LIS). Optionally, LIS provides the International Soil Reference and Information Center (ISRIC) soil texture data at 250 m grid resolution (Hengl et al. 2015, 2017), which is used for #22 ISRIC experiment.  LIS users can also choose a constant value for soil texture over land. Since sandy-like soil texture is prevalent over the model simulation domain in the two soil texture datasets provided, the constant soil texture of clay (#21 Clay) is selected for the comparison purpose (Figure </w:t>
      </w:r>
      <w:r w:rsidR="00BF2273">
        <w:rPr>
          <w:color w:val="000000"/>
        </w:rPr>
        <w:t>2</w:t>
      </w:r>
      <w:r>
        <w:rPr>
          <w:color w:val="000000"/>
        </w:rPr>
        <w:t xml:space="preserve">). For the #21 Clay and #22 ISRIC experiments, 5-year LIS spinups were conducted separately using the GDAS data as the meteorological forcing with the ISRIC soil texture data and with the constant soil texture of clay, respectively. </w:t>
      </w:r>
    </w:p>
    <w:p w14:paraId="78543EB0" w14:textId="3E7A8D5A" w:rsidR="007E5145" w:rsidRDefault="007E5145" w:rsidP="00BF2273">
      <w:pPr>
        <w:spacing w:line="480" w:lineRule="auto"/>
        <w:rPr>
          <w:color w:val="000000"/>
        </w:rPr>
      </w:pPr>
    </w:p>
    <w:p w14:paraId="4AD9A590" w14:textId="7C371029" w:rsidR="00CD218E" w:rsidRDefault="00953D49" w:rsidP="0018596B">
      <w:pPr>
        <w:pStyle w:val="ListParagraph"/>
        <w:numPr>
          <w:ilvl w:val="0"/>
          <w:numId w:val="7"/>
        </w:numPr>
        <w:spacing w:line="480" w:lineRule="auto"/>
      </w:pPr>
      <w:r>
        <w:rPr>
          <w:color w:val="000000"/>
        </w:rPr>
        <w:t>Additional</w:t>
      </w:r>
      <w:r w:rsidRPr="00B67EC4">
        <w:rPr>
          <w:color w:val="000000"/>
        </w:rPr>
        <w:t xml:space="preserve"> </w:t>
      </w:r>
      <w:r w:rsidR="004C6A7B">
        <w:rPr>
          <w:color w:val="000000"/>
        </w:rPr>
        <w:t xml:space="preserve">observation </w:t>
      </w:r>
      <w:r w:rsidR="00B67EC4" w:rsidRPr="00B67EC4">
        <w:rPr>
          <w:color w:val="000000"/>
        </w:rPr>
        <w:t xml:space="preserve">datasets </w:t>
      </w:r>
    </w:p>
    <w:p w14:paraId="2FA5DFB9" w14:textId="4EB0EEB9" w:rsidR="003229BD" w:rsidRDefault="00C01769" w:rsidP="0018596B">
      <w:pPr>
        <w:pBdr>
          <w:top w:val="nil"/>
          <w:left w:val="nil"/>
          <w:bottom w:val="nil"/>
          <w:right w:val="nil"/>
          <w:between w:val="nil"/>
        </w:pBdr>
        <w:spacing w:line="480" w:lineRule="auto"/>
        <w:ind w:firstLine="720"/>
        <w:rPr>
          <w:color w:val="000000"/>
        </w:rPr>
      </w:pPr>
      <w:r>
        <w:t xml:space="preserve">In addition to the Kelvin’s track data from the BoM, </w:t>
      </w:r>
      <w:r>
        <w:rPr>
          <w:color w:val="000000"/>
        </w:rPr>
        <w:t>a few other track observation datasets were compared in this study</w:t>
      </w:r>
      <w:r w:rsidRPr="00141C05">
        <w:rPr>
          <w:color w:val="000000"/>
        </w:rPr>
        <w:t xml:space="preserve"> </w:t>
      </w:r>
      <w:r w:rsidRPr="005067E5">
        <w:rPr>
          <w:color w:val="000000"/>
        </w:rPr>
        <w:t>for the reference of our model simulations.</w:t>
      </w:r>
      <w:r>
        <w:rPr>
          <w:color w:val="000000"/>
        </w:rPr>
        <w:t xml:space="preserve"> T</w:t>
      </w:r>
      <w:r w:rsidR="00CD218E">
        <w:rPr>
          <w:color w:val="000000"/>
        </w:rPr>
        <w:t xml:space="preserve">he latest version of the </w:t>
      </w:r>
      <w:r w:rsidR="00CD218E">
        <w:rPr>
          <w:color w:val="000000"/>
          <w:highlight w:val="white"/>
        </w:rPr>
        <w:t>International Best Track Archive for Climate Stewardship (IBTrACS)</w:t>
      </w:r>
      <w:r w:rsidR="00CD218E">
        <w:rPr>
          <w:color w:val="000000"/>
        </w:rPr>
        <w:t xml:space="preserve"> data w</w:t>
      </w:r>
      <w:r w:rsidR="00CD218E">
        <w:t>ere</w:t>
      </w:r>
      <w:r w:rsidR="00CD218E">
        <w:rPr>
          <w:color w:val="000000"/>
        </w:rPr>
        <w:t xml:space="preserve"> obtained (Knapp et al. 2010; Xu et al. 2017), which contains records only from 06 UTC 16 February to 00 UTC 18 February, 2018 (Fig. </w:t>
      </w:r>
      <w:r w:rsidR="00BF2273">
        <w:rPr>
          <w:color w:val="000000"/>
        </w:rPr>
        <w:t>S</w:t>
      </w:r>
      <w:r w:rsidR="00CD218E">
        <w:rPr>
          <w:color w:val="000000"/>
        </w:rPr>
        <w:t xml:space="preserve">1). Table </w:t>
      </w:r>
      <w:r w:rsidR="00BF2273">
        <w:rPr>
          <w:color w:val="000000"/>
        </w:rPr>
        <w:t>S2</w:t>
      </w:r>
      <w:r w:rsidR="00CD218E">
        <w:rPr>
          <w:color w:val="000000"/>
        </w:rPr>
        <w:t xml:space="preserve"> shows that while the pressure and track records generally agree well, the</w:t>
      </w:r>
      <w:r w:rsidR="00CD218E">
        <w:t xml:space="preserve"> maximum wind speed by the BoM was underestimated compared to wind speed estimates from both IBTrACS and the </w:t>
      </w:r>
      <w:r w:rsidR="00CD218E">
        <w:rPr>
          <w:color w:val="000000"/>
        </w:rPr>
        <w:t xml:space="preserve">Cooperative Institute for Meteorological Satellite Studies (CIMSS) TC satellite analysis </w:t>
      </w:r>
      <w:r w:rsidR="00CD218E">
        <w:t>dataset</w:t>
      </w:r>
      <w:r w:rsidR="00CD218E">
        <w:rPr>
          <w:color w:val="000000"/>
        </w:rPr>
        <w:t xml:space="preserve"> (SATCON Wind; </w:t>
      </w:r>
      <w:r w:rsidR="00CD218E">
        <w:t xml:space="preserve">Fig. </w:t>
      </w:r>
      <w:r w:rsidR="00BF2273">
        <w:t>S</w:t>
      </w:r>
      <w:r w:rsidR="00CD218E">
        <w:t xml:space="preserve">1b; Table </w:t>
      </w:r>
      <w:r w:rsidR="00BF2273">
        <w:t>S2</w:t>
      </w:r>
      <w:r w:rsidR="00CD218E">
        <w:t xml:space="preserve">; Herndon et al. 2018; </w:t>
      </w:r>
      <w:hyperlink r:id="rId5">
        <w:r w:rsidR="00CD218E">
          <w:rPr>
            <w:color w:val="0000FF"/>
            <w:u w:val="single"/>
          </w:rPr>
          <w:t>http://tropic.ssec.wisc.edu/real-time/satcon/archive/2018/201810S.html</w:t>
        </w:r>
      </w:hyperlink>
      <w:r w:rsidR="00CD218E">
        <w:t>). The Digital Dvorak intensity estimate (</w:t>
      </w:r>
      <w:r w:rsidR="00CD218E">
        <w:rPr>
          <w:highlight w:val="white"/>
        </w:rPr>
        <w:t xml:space="preserve">Dvorak 1984) </w:t>
      </w:r>
      <w:r w:rsidR="00CD218E">
        <w:lastRenderedPageBreak/>
        <w:t xml:space="preserve">of TC Kelvin and its associated intensity warning time series agree well with the storm intensity trend of the CIMSS TC SATCON dataset (see http://rammb.cira.colostate.edu/products/tc_realtime/products/storms/2018SH10/DGTLDVOR/2018SH10_DGTLDVOR_201802180000.GIF). </w:t>
      </w:r>
      <w:r w:rsidR="00CD218E">
        <w:rPr>
          <w:color w:val="000000"/>
        </w:rPr>
        <w:t>This discrepancy</w:t>
      </w:r>
      <w:r w:rsidR="003229BD">
        <w:rPr>
          <w:color w:val="000000"/>
        </w:rPr>
        <w:t xml:space="preserve"> between the BoM and the IBTrACS</w:t>
      </w:r>
      <w:r w:rsidR="00CD218E">
        <w:rPr>
          <w:color w:val="000000"/>
        </w:rPr>
        <w:t xml:space="preserve"> can be partly due to the difference in the wind speed average method using 10-minute average winds employed by the BoM and 1-minute average winds by Joint Typhoon Warning Center (JTWC) which the IBTrACS adopted for Kelvin (Thompson 2018). </w:t>
      </w:r>
    </w:p>
    <w:p w14:paraId="225144B2" w14:textId="35C958F1" w:rsidR="00CD218E" w:rsidRDefault="00CD218E" w:rsidP="00CD218E">
      <w:pPr>
        <w:pBdr>
          <w:top w:val="nil"/>
          <w:left w:val="nil"/>
          <w:bottom w:val="nil"/>
          <w:right w:val="nil"/>
          <w:between w:val="nil"/>
        </w:pBdr>
        <w:spacing w:line="480" w:lineRule="auto"/>
        <w:ind w:firstLine="720"/>
      </w:pPr>
      <w:r>
        <w:t xml:space="preserve">Regardless of these relative differences in the magnitude of wind speed, the temporal trend and signal of post-landfall intensification are consistent across all these estimates, which is the focus of this study. Thus, the BoM storm track data </w:t>
      </w:r>
      <w:r w:rsidR="003229BD">
        <w:t>was</w:t>
      </w:r>
      <w:r>
        <w:t xml:space="preserve"> used in this study because only this data provides the storm track and intensity records even after the landfall of Kelvin. The relative underestimates of storm intensity in the BoM data </w:t>
      </w:r>
      <w:r w:rsidR="003229BD">
        <w:t>was</w:t>
      </w:r>
      <w:r>
        <w:t xml:space="preserve"> accounted for by referring to those in the IBTrACS and the initial version of the CIMSS TC SATCON dataset when analyzing modeling results. </w:t>
      </w:r>
    </w:p>
    <w:p w14:paraId="6EC2668A" w14:textId="74C3139C" w:rsidR="00CD218E" w:rsidRDefault="00820604" w:rsidP="0018596B">
      <w:pPr>
        <w:spacing w:line="480" w:lineRule="auto"/>
        <w:ind w:firstLine="720"/>
      </w:pPr>
      <w:r>
        <w:rPr>
          <w:color w:val="000000"/>
        </w:rPr>
        <w:t xml:space="preserve">Figure S2 shows 16 km grid resolution microwave-based Total Precipitable Water (TPW) composite imagery (combining </w:t>
      </w:r>
      <w:r>
        <w:rPr>
          <w:color w:val="000000"/>
          <w:highlight w:val="white"/>
        </w:rPr>
        <w:t>the information from three Advanced Microwave Sounding Units (AMSU) on NOAA satellites and five Special Sensor Microwave Imagers (SSMI) on Department of Defense satellites</w:t>
      </w:r>
      <w:r>
        <w:rPr>
          <w:color w:val="000000"/>
        </w:rPr>
        <w:t>) over Australia and Southeast Asia during the TC Kelvin at 194735 UTC 17 February (top) and at 104255 UTC 18 February (bottom). These remote-sensed imagery of TPW resemble very closely the distributions of TCW in the ERA5 reanalysis dataset in Figure 6, confirming</w:t>
      </w:r>
      <w:r>
        <w:rPr>
          <w:color w:val="333333"/>
        </w:rPr>
        <w:t xml:space="preserve"> </w:t>
      </w:r>
      <w:r>
        <w:rPr>
          <w:color w:val="000000"/>
        </w:rPr>
        <w:t xml:space="preserve">the location of the ITCZ by the equatorial band of high TPW. </w:t>
      </w:r>
    </w:p>
    <w:p w14:paraId="06A5B151" w14:textId="1D901F7C" w:rsidR="00B67EC4" w:rsidRDefault="00B67EC4" w:rsidP="00D4775E">
      <w:pPr>
        <w:spacing w:line="480" w:lineRule="auto"/>
        <w:ind w:firstLine="720"/>
        <w:rPr>
          <w:color w:val="000000"/>
        </w:rPr>
      </w:pPr>
    </w:p>
    <w:p w14:paraId="032D3EC0" w14:textId="53A8EC49" w:rsidR="004C6A7B" w:rsidRPr="00054EA5" w:rsidRDefault="006B1D9B" w:rsidP="00054EA5">
      <w:pPr>
        <w:pStyle w:val="ListParagraph"/>
        <w:numPr>
          <w:ilvl w:val="0"/>
          <w:numId w:val="7"/>
        </w:numPr>
        <w:spacing w:line="480" w:lineRule="auto"/>
        <w:rPr>
          <w:color w:val="000000"/>
        </w:rPr>
      </w:pPr>
      <w:r>
        <w:rPr>
          <w:color w:val="000000"/>
        </w:rPr>
        <w:t>R</w:t>
      </w:r>
      <w:r w:rsidR="00B67EC4">
        <w:rPr>
          <w:color w:val="000000"/>
        </w:rPr>
        <w:t>esults of the first phase of the experiment: the physics and BC ensemble study.</w:t>
      </w:r>
    </w:p>
    <w:p w14:paraId="4AFD4800" w14:textId="5B3826CE" w:rsidR="00FE32BB" w:rsidRDefault="00FE32BB" w:rsidP="00FE32BB">
      <w:pPr>
        <w:pBdr>
          <w:top w:val="nil"/>
          <w:left w:val="nil"/>
          <w:bottom w:val="nil"/>
          <w:right w:val="nil"/>
          <w:between w:val="nil"/>
        </w:pBdr>
        <w:spacing w:line="480" w:lineRule="auto"/>
        <w:ind w:firstLine="720"/>
        <w:rPr>
          <w:rFonts w:ascii="Calibri" w:eastAsia="Calibri" w:hAnsi="Calibri" w:cs="Calibri"/>
        </w:rPr>
      </w:pPr>
      <w:r>
        <w:rPr>
          <w:rFonts w:ascii="Calibri" w:eastAsia="Calibri" w:hAnsi="Calibri" w:cs="Calibri"/>
          <w:color w:val="000000"/>
        </w:rPr>
        <w:lastRenderedPageBreak/>
        <w:t>1. Sensitivity of TC Kelvin to Model Physics, Initialization, and Boundary Conditions</w:t>
      </w:r>
    </w:p>
    <w:p w14:paraId="71BFFD57" w14:textId="50B3B6B1" w:rsidR="00FE32BB" w:rsidRDefault="00FE32BB" w:rsidP="00FE32BB">
      <w:pPr>
        <w:spacing w:line="480" w:lineRule="auto"/>
        <w:ind w:firstLine="720"/>
      </w:pPr>
      <w:r>
        <w:rPr>
          <w:color w:val="000000"/>
        </w:rPr>
        <w:t>The physics and BC ensemble experiments were designed to determine optimal combinations of model physics and IC/BC to establish a control run for the main BO experiment. Before exploring the BO effect, addressed here briefly are results of our physics and BC ensemble experiments which</w:t>
      </w:r>
      <w:r w:rsidRPr="00E011FE">
        <w:t xml:space="preserve"> </w:t>
      </w:r>
      <w:r>
        <w:t xml:space="preserve">include the simulation cases of Control, Control_noLIS, Tropical, Tropical_noLIS, M2, M2G, ERAI, and ERAI_Tropical (Refer to Table </w:t>
      </w:r>
      <w:r w:rsidR="006B1D9B">
        <w:t>S1</w:t>
      </w:r>
      <w:r>
        <w:t xml:space="preserve"> Part I for their physics options). </w:t>
      </w:r>
      <w:r>
        <w:rPr>
          <w:color w:val="000000"/>
        </w:rPr>
        <w:t xml:space="preserve">As can be seen in Fig. </w:t>
      </w:r>
      <w:r w:rsidR="00820604">
        <w:rPr>
          <w:color w:val="000000"/>
        </w:rPr>
        <w:t>S3</w:t>
      </w:r>
      <w:r>
        <w:rPr>
          <w:color w:val="000000"/>
        </w:rPr>
        <w:t>, the NU-WRF physics performed</w:t>
      </w:r>
      <w:r>
        <w:t xml:space="preserve"> better than</w:t>
      </w:r>
      <w:r>
        <w:rPr>
          <w:color w:val="000000"/>
        </w:rPr>
        <w:t xml:space="preserve"> the community WRF model’s tropical suite physics settings in reproducing both storm track and intensity. The WRF tropical suite physics options (i.e., Tropical and Tropical_noLIS) yielded larger track errors (90.1 and 92.1 km, respectively) compared to the counterpart, NU-WRF physics (i.e., Control and Control_noLIS) with 43.2 and 51.6 km, respectively. Also, with the exception of ERAI_Tropical</w:t>
      </w:r>
      <w:r>
        <w:t xml:space="preserve">, </w:t>
      </w:r>
      <w:r>
        <w:rPr>
          <w:color w:val="000000"/>
        </w:rPr>
        <w:t xml:space="preserve">the WRF tropical suite cases (i.e., Tropical and Tropical_noLIS) did not reproduce the main intensification near the landfall during the night </w:t>
      </w:r>
      <w:r>
        <w:t>of</w:t>
      </w:r>
      <w:r>
        <w:rPr>
          <w:color w:val="000000"/>
        </w:rPr>
        <w:t xml:space="preserve"> 17 February (Fig. </w:t>
      </w:r>
      <w:r w:rsidR="00820604">
        <w:rPr>
          <w:color w:val="000000"/>
        </w:rPr>
        <w:t>S3</w:t>
      </w:r>
      <w:r>
        <w:rPr>
          <w:color w:val="000000"/>
        </w:rPr>
        <w:t>b). Landfall timings were closely rel</w:t>
      </w:r>
      <w:r>
        <w:t>ated</w:t>
      </w:r>
      <w:r>
        <w:rPr>
          <w:color w:val="000000"/>
        </w:rPr>
        <w:t xml:space="preserve"> to the poor intensity forecasts of these cases: Tropical and Tropical_noLIS made early landfall (about 9 hours earlier than the observation record) compared to others (see red dots marked for landfall times in Fig. </w:t>
      </w:r>
      <w:r w:rsidR="00820604">
        <w:rPr>
          <w:color w:val="000000"/>
        </w:rPr>
        <w:t>S3</w:t>
      </w:r>
      <w:r>
        <w:rPr>
          <w:color w:val="000000"/>
        </w:rPr>
        <w:t xml:space="preserve">b). </w:t>
      </w:r>
      <w:r>
        <w:t>It</w:t>
      </w:r>
      <w:r>
        <w:rPr>
          <w:color w:val="000000"/>
        </w:rPr>
        <w:t xml:space="preserve"> is notable that Control, Tropical and Tropical_noLIS presented the signature of the second intensification inland on 19 February. </w:t>
      </w:r>
    </w:p>
    <w:p w14:paraId="6D66EE89" w14:textId="77777777" w:rsidR="00FE32BB" w:rsidRDefault="00FE32BB" w:rsidP="00FE32BB">
      <w:pPr>
        <w:spacing w:line="480" w:lineRule="auto"/>
        <w:ind w:firstLine="720"/>
        <w:rPr>
          <w:color w:val="000000"/>
        </w:rPr>
      </w:pPr>
      <w:r>
        <w:t>The</w:t>
      </w:r>
      <w:r>
        <w:rPr>
          <w:color w:val="000000"/>
        </w:rPr>
        <w:t xml:space="preserve"> impacts of the LIS spinup and coupling were not significant in this analysis. The simulations of Control_noLIS and Tropical_noLIS were driven by the GDAS (i.e., GFS FNL) general circulation model (GCM) data, and they are not coupled with LIS. However, they produced similar trac</w:t>
      </w:r>
      <w:r>
        <w:t>k</w:t>
      </w:r>
      <w:r>
        <w:rPr>
          <w:color w:val="000000"/>
        </w:rPr>
        <w:t xml:space="preserve"> and intensity trends compared to their counterparts, Control and Tropical, respectively. It is considered that the GDAS data demonstrates suitable performance in managing the hydrothermal conditions of the soil layers via the default Noah LSM within the GCM (Ek et </w:t>
      </w:r>
      <w:r>
        <w:rPr>
          <w:color w:val="000000"/>
        </w:rPr>
        <w:lastRenderedPageBreak/>
        <w:t>al. 2003) since there was not a large deviation in initial soil moisture from the coarse global analysis v</w:t>
      </w:r>
      <w:r>
        <w:t>ersus the</w:t>
      </w:r>
      <w:r>
        <w:rPr>
          <w:color w:val="000000"/>
        </w:rPr>
        <w:t xml:space="preserve"> high resolution LSM spinup for this particular location and date.</w:t>
      </w:r>
    </w:p>
    <w:p w14:paraId="498282D7" w14:textId="7AD430CB" w:rsidR="00AF0AE0" w:rsidRDefault="00FE32BB" w:rsidP="0018596B">
      <w:pPr>
        <w:spacing w:line="480" w:lineRule="auto"/>
        <w:ind w:firstLine="720"/>
        <w:rPr>
          <w:color w:val="000000"/>
        </w:rPr>
      </w:pPr>
      <w:r>
        <w:rPr>
          <w:color w:val="000000"/>
        </w:rPr>
        <w:t xml:space="preserve">The evaluation of IC/BC data from MERRA2, GDAS, and ERA-I revealed that the GDAS was the best suited for the TC Kelvin case. The MERRA2 simulations (i.e., M2 and M2G) had some issues with dynamics and errors in storm center location at the initial time of the simulation (see Fig. </w:t>
      </w:r>
      <w:r w:rsidR="00820604">
        <w:rPr>
          <w:color w:val="000000"/>
        </w:rPr>
        <w:t>S3</w:t>
      </w:r>
      <w:r>
        <w:rPr>
          <w:color w:val="000000"/>
        </w:rPr>
        <w:t xml:space="preserve">a), which produced quite significant track and intensity errors from the early stages. On the other hand, the simulated storms driven by the ERA-I dataset (i.e., ERAI and ERAI_Tropical) </w:t>
      </w:r>
      <w:r>
        <w:t>made</w:t>
      </w:r>
      <w:r>
        <w:rPr>
          <w:color w:val="000000"/>
        </w:rPr>
        <w:t xml:space="preserve"> too slow translations compared to both observations and the other simulations, resulting in delayed landfalls that were about 8 hours later than the observation record (Fig. </w:t>
      </w:r>
      <w:r w:rsidR="00820604">
        <w:rPr>
          <w:color w:val="000000"/>
        </w:rPr>
        <w:t>S3</w:t>
      </w:r>
      <w:r>
        <w:rPr>
          <w:color w:val="000000"/>
        </w:rPr>
        <w:t xml:space="preserve">b) and much slower moving storms that did not penetrate far enough inland by the end of simulation at 00 UTC on 20 February (Fig. </w:t>
      </w:r>
      <w:r w:rsidR="00820604">
        <w:rPr>
          <w:color w:val="000000"/>
        </w:rPr>
        <w:t>S3</w:t>
      </w:r>
      <w:r>
        <w:rPr>
          <w:color w:val="000000"/>
        </w:rPr>
        <w:t xml:space="preserve">a). In contrast, the GDAS-driven NU-WRF physics simulations (i.e., Control and Control_noLIS) produced fairly consistent results with observations both in the storm track and intensity. </w:t>
      </w:r>
    </w:p>
    <w:p w14:paraId="417F3672" w14:textId="3960D5F4" w:rsidR="00F04D9E" w:rsidRDefault="00FE32BB" w:rsidP="00F04D9E">
      <w:pPr>
        <w:spacing w:line="480" w:lineRule="auto"/>
        <w:ind w:firstLine="720"/>
      </w:pPr>
      <w:r>
        <w:t xml:space="preserve">Five additional simulations were conducted in the physics and BC ensemble experiment to isolate the impacts of the Goddard physics options on TC track and intensity compared to the WRF tropical suite (i.e., Tropical_noLIS). They include the simulation cases of MP, Rad, PBLSFC, Rad3ICE, and Rad4ICE (Refer to Table </w:t>
      </w:r>
      <w:r w:rsidR="005E54A0">
        <w:rPr>
          <w:color w:val="000000"/>
        </w:rPr>
        <w:t>S1</w:t>
      </w:r>
      <w:r>
        <w:t xml:space="preserve"> Part II for their physics options and supplementary material for the details). The</w:t>
      </w:r>
      <w:r>
        <w:rPr>
          <w:color w:val="000000"/>
        </w:rPr>
        <w:t xml:space="preserve"> mean track errors were 58 km for MP, 94.9 km for Rad, 107.8 km for PBLSFC, 28.7 km for Rad3ICE, and 40.2 km for Rad4ICE. </w:t>
      </w:r>
      <w:r w:rsidRPr="0004094E">
        <w:rPr>
          <w:color w:val="000000"/>
        </w:rPr>
        <w:t xml:space="preserve">From this result, it can be inferred that the </w:t>
      </w:r>
      <w:r w:rsidRPr="0004094E">
        <w:t xml:space="preserve">Goddard 4ICE </w:t>
      </w:r>
      <w:r w:rsidRPr="0004094E">
        <w:rPr>
          <w:color w:val="000000"/>
        </w:rPr>
        <w:t xml:space="preserve">microphysics scheme, </w:t>
      </w:r>
      <w:r w:rsidRPr="0004094E">
        <w:t>the Goddard 2017 radiation scheme, and the MYNN2 PBL-SFC scheme</w:t>
      </w:r>
      <w:r w:rsidRPr="0004094E">
        <w:rPr>
          <w:color w:val="000000"/>
        </w:rPr>
        <w:t xml:space="preserve"> impacted TC track accuracy most in th</w:t>
      </w:r>
      <w:r w:rsidRPr="0004094E">
        <w:t>at</w:t>
      </w:r>
      <w:r w:rsidRPr="0004094E">
        <w:rPr>
          <w:color w:val="000000"/>
        </w:rPr>
        <w:t xml:space="preserve"> order, and that the combination of the </w:t>
      </w:r>
      <w:r w:rsidRPr="0004094E">
        <w:t xml:space="preserve">Goddard 4ICE </w:t>
      </w:r>
      <w:r w:rsidRPr="0004094E">
        <w:rPr>
          <w:color w:val="000000"/>
        </w:rPr>
        <w:t xml:space="preserve">microphysics scheme and </w:t>
      </w:r>
      <w:r w:rsidRPr="0004094E">
        <w:t>the Goddard 2017 radiation scheme explains most of the improvement of the NU-WRF physics scheme over</w:t>
      </w:r>
      <w:r>
        <w:t xml:space="preserve"> </w:t>
      </w:r>
      <w:r w:rsidRPr="0004094E">
        <w:t xml:space="preserve">the WRF </w:t>
      </w:r>
      <w:r w:rsidRPr="0004094E">
        <w:lastRenderedPageBreak/>
        <w:t>tropical suite</w:t>
      </w:r>
      <w:r>
        <w:t xml:space="preserve">. For the intensity forecast, the </w:t>
      </w:r>
      <w:r>
        <w:rPr>
          <w:color w:val="000000"/>
        </w:rPr>
        <w:t>Rad and the PBLSFC</w:t>
      </w:r>
      <w:r>
        <w:t xml:space="preserve"> did not reproduce the main intensification of the Kelvin near its landfall similar to the Tropical_noLIS, while all the cases with the Goddard 4ICE or 3ICE </w:t>
      </w:r>
      <w:r>
        <w:rPr>
          <w:color w:val="000000"/>
        </w:rPr>
        <w:t>microphysics scheme were able to reproduce it</w:t>
      </w:r>
      <w:r>
        <w:t xml:space="preserve">. Interestingly, the </w:t>
      </w:r>
      <w:r>
        <w:rPr>
          <w:color w:val="000000"/>
        </w:rPr>
        <w:t>Rad and the PBLSFC</w:t>
      </w:r>
      <w:r>
        <w:t xml:space="preserve"> made very early landfalls</w:t>
      </w:r>
      <w:r w:rsidR="001D0481">
        <w:t>,</w:t>
      </w:r>
      <w:r>
        <w:t xml:space="preserve"> </w:t>
      </w:r>
      <w:r w:rsidR="001D0481">
        <w:t xml:space="preserve">similar to </w:t>
      </w:r>
      <w:r>
        <w:t>Tropical_noLIS</w:t>
      </w:r>
      <w:r w:rsidR="001D0481">
        <w:t>,</w:t>
      </w:r>
      <w:r>
        <w:t xml:space="preserve"> more than 9 hours earlier</w:t>
      </w:r>
      <w:r w:rsidR="001D0481">
        <w:t xml:space="preserve"> </w:t>
      </w:r>
      <w:r>
        <w:t xml:space="preserve">compared to the observation while others (i.e., </w:t>
      </w:r>
      <w:r>
        <w:rPr>
          <w:color w:val="000000"/>
        </w:rPr>
        <w:t>MP</w:t>
      </w:r>
      <w:r>
        <w:t>,</w:t>
      </w:r>
      <w:r>
        <w:rPr>
          <w:color w:val="000000"/>
        </w:rPr>
        <w:t xml:space="preserve"> Rad3ICE, and Rad4ICE)</w:t>
      </w:r>
      <w:r>
        <w:t xml:space="preserve"> made their landfall only slightly earlier (i.e., less than 6 hours) than the observation record (</w:t>
      </w:r>
      <w:r>
        <w:rPr>
          <w:color w:val="000000"/>
        </w:rPr>
        <w:t xml:space="preserve">see also red dots in </w:t>
      </w:r>
      <w:r>
        <w:t xml:space="preserve">Figure </w:t>
      </w:r>
      <w:r w:rsidR="00820604">
        <w:t>S4</w:t>
      </w:r>
      <w:r>
        <w:t xml:space="preserve">b). Therefore, </w:t>
      </w:r>
      <w:r w:rsidRPr="0004094E">
        <w:t xml:space="preserve">it is concluded that the Goddard 4ICE (or 3ICE) </w:t>
      </w:r>
      <w:sdt>
        <w:sdtPr>
          <w:tag w:val="goog_rdk_11"/>
          <w:id w:val="1648014723"/>
        </w:sdtPr>
        <w:sdtEndPr/>
        <w:sdtContent/>
      </w:sdt>
      <w:r w:rsidRPr="0004094E">
        <w:rPr>
          <w:color w:val="000000"/>
        </w:rPr>
        <w:t>microphysics scheme plays the most critical role in realistic simulations of landfalling TC Kelvin.</w:t>
      </w:r>
      <w:r>
        <w:rPr>
          <w:color w:val="000000"/>
        </w:rPr>
        <w:t xml:space="preserve"> It is speculated that the Goddard 4ICE microphysics including hail, which improves the simulation of the fall velocities of frozen condensates, may have resulted in the better performance over the WSM6 microphysics scheme without the hail processes (Hong and Lim 2006; Van Weverberg et al. 2013; Lang et al. 2014). As such, the most optimal combination of driving data and physics is the GDAS IC/BC data with NU-WRF physics. </w:t>
      </w:r>
      <w:r>
        <w:t xml:space="preserve">The control run uses these options plus initialization with LIS spin up and LIS coupling. Although LIS had only a marginal impact on performance in the physics and BC ensemble experiments, LIS is used as a component of the modeling framework since LIS offers many advanced methods such as soil moisture data assimilation for our future study. </w:t>
      </w:r>
    </w:p>
    <w:p w14:paraId="52FCD55F" w14:textId="21CFA7C5" w:rsidR="0018596B" w:rsidRDefault="0018596B" w:rsidP="00F04D9E">
      <w:pPr>
        <w:spacing w:line="480" w:lineRule="auto"/>
        <w:ind w:firstLine="720"/>
      </w:pPr>
    </w:p>
    <w:p w14:paraId="3663F7D3" w14:textId="245E5EE0" w:rsidR="0018596B" w:rsidRDefault="0018596B" w:rsidP="008308D8">
      <w:pPr>
        <w:spacing w:line="480" w:lineRule="auto"/>
      </w:pPr>
    </w:p>
    <w:p w14:paraId="536A8F44" w14:textId="3A070004" w:rsidR="003C29EA" w:rsidRDefault="003C29EA" w:rsidP="008308D8">
      <w:pPr>
        <w:spacing w:line="480" w:lineRule="auto"/>
      </w:pPr>
    </w:p>
    <w:p w14:paraId="39986AE7" w14:textId="2749E467" w:rsidR="003C29EA" w:rsidRDefault="003C29EA" w:rsidP="008308D8">
      <w:pPr>
        <w:spacing w:line="480" w:lineRule="auto"/>
      </w:pPr>
    </w:p>
    <w:p w14:paraId="58CC1E01" w14:textId="29A7FD5B" w:rsidR="003C29EA" w:rsidRDefault="003C29EA" w:rsidP="008308D8">
      <w:pPr>
        <w:spacing w:line="480" w:lineRule="auto"/>
      </w:pPr>
    </w:p>
    <w:p w14:paraId="2CAF629A" w14:textId="77777777" w:rsidR="003C29EA" w:rsidRPr="00F04D9E" w:rsidRDefault="003C29EA" w:rsidP="008308D8">
      <w:pPr>
        <w:spacing w:line="480" w:lineRule="auto"/>
      </w:pPr>
    </w:p>
    <w:p w14:paraId="13DCE5D7" w14:textId="25E11AAD" w:rsidR="007D2571" w:rsidRPr="00893D8C" w:rsidRDefault="007D2571">
      <w:pPr>
        <w:rPr>
          <w:color w:val="000000"/>
        </w:rPr>
      </w:pPr>
      <w:r w:rsidRPr="00893D8C">
        <w:rPr>
          <w:color w:val="000000"/>
        </w:rPr>
        <w:lastRenderedPageBreak/>
        <w:t>References</w:t>
      </w:r>
    </w:p>
    <w:p w14:paraId="3DBB21FD" w14:textId="77777777" w:rsidR="007D2571" w:rsidRDefault="007D2571" w:rsidP="007D2571">
      <w:pPr>
        <w:spacing w:line="480" w:lineRule="auto"/>
        <w:ind w:left="1440" w:hanging="1440"/>
        <w:rPr>
          <w:color w:val="000000"/>
        </w:rPr>
      </w:pPr>
      <w:r>
        <w:rPr>
          <w:color w:val="000000"/>
          <w:highlight w:val="white"/>
        </w:rPr>
        <w:t>Dvorak, V., 1984: Tropical cyclone intensity analysis using satellite data. NOAA Technical Report NESDIS 11, 47 pp. [Available from NOAA/NESDIS, 5200 Auth Rd. Washington DC, 20233].</w:t>
      </w:r>
    </w:p>
    <w:p w14:paraId="655AF6DB" w14:textId="77777777" w:rsidR="000A77FE" w:rsidRPr="00462677" w:rsidRDefault="000A77FE" w:rsidP="000A77FE">
      <w:pPr>
        <w:spacing w:line="480" w:lineRule="auto"/>
        <w:ind w:left="1440" w:hanging="1440"/>
        <w:rPr>
          <w:color w:val="000000"/>
          <w:shd w:val="clear" w:color="auto" w:fill="FFFFFF"/>
        </w:rPr>
      </w:pPr>
      <w:r w:rsidRPr="00B61FCE">
        <w:rPr>
          <w:rStyle w:val="nlmstring-name"/>
          <w:color w:val="000000"/>
        </w:rPr>
        <w:t>Ek,</w:t>
      </w:r>
      <w:r w:rsidRPr="00B61FCE">
        <w:rPr>
          <w:rStyle w:val="apple-converted-space"/>
          <w:color w:val="000000"/>
        </w:rPr>
        <w:t> </w:t>
      </w:r>
      <w:r w:rsidRPr="00B61FCE">
        <w:rPr>
          <w:rStyle w:val="nlmgiven-names"/>
          <w:color w:val="000000"/>
        </w:rPr>
        <w:t>M. B.</w:t>
      </w:r>
      <w:r w:rsidRPr="00B61FCE">
        <w:rPr>
          <w:color w:val="000000"/>
          <w:shd w:val="clear" w:color="auto" w:fill="FFFFFF"/>
        </w:rPr>
        <w:t>,</w:t>
      </w:r>
      <w:r w:rsidRPr="00B61FCE">
        <w:rPr>
          <w:rStyle w:val="apple-converted-space"/>
          <w:color w:val="000000"/>
          <w:shd w:val="clear" w:color="auto" w:fill="FFFFFF"/>
        </w:rPr>
        <w:t> </w:t>
      </w:r>
      <w:r w:rsidRPr="00B61FCE">
        <w:rPr>
          <w:rStyle w:val="nlmgiven-names"/>
          <w:color w:val="000000"/>
        </w:rPr>
        <w:t>K. E.</w:t>
      </w:r>
      <w:r w:rsidRPr="00B61FCE">
        <w:rPr>
          <w:rStyle w:val="apple-converted-space"/>
          <w:color w:val="000000"/>
        </w:rPr>
        <w:t> </w:t>
      </w:r>
      <w:r w:rsidRPr="00B61FCE">
        <w:rPr>
          <w:rStyle w:val="nlmstring-name"/>
          <w:color w:val="000000"/>
        </w:rPr>
        <w:t>Mitchell</w:t>
      </w:r>
      <w:r w:rsidRPr="00B61FCE">
        <w:rPr>
          <w:color w:val="000000"/>
          <w:shd w:val="clear" w:color="auto" w:fill="FFFFFF"/>
        </w:rPr>
        <w:t>,</w:t>
      </w:r>
      <w:r w:rsidRPr="00B61FCE">
        <w:rPr>
          <w:rStyle w:val="apple-converted-space"/>
          <w:color w:val="000000"/>
          <w:shd w:val="clear" w:color="auto" w:fill="FFFFFF"/>
        </w:rPr>
        <w:t> </w:t>
      </w:r>
      <w:r w:rsidRPr="00B61FCE">
        <w:rPr>
          <w:rStyle w:val="nlmgiven-names"/>
          <w:color w:val="000000"/>
        </w:rPr>
        <w:t>Y.</w:t>
      </w:r>
      <w:r w:rsidRPr="00B61FCE">
        <w:rPr>
          <w:rStyle w:val="apple-converted-space"/>
          <w:color w:val="000000"/>
        </w:rPr>
        <w:t> </w:t>
      </w:r>
      <w:r w:rsidRPr="00B61FCE">
        <w:rPr>
          <w:rStyle w:val="nlmstring-name"/>
          <w:color w:val="000000"/>
        </w:rPr>
        <w:t>Lin</w:t>
      </w:r>
      <w:r w:rsidRPr="00B61FCE">
        <w:rPr>
          <w:color w:val="000000"/>
          <w:shd w:val="clear" w:color="auto" w:fill="FFFFFF"/>
        </w:rPr>
        <w:t>,</w:t>
      </w:r>
      <w:r w:rsidRPr="00B61FCE">
        <w:rPr>
          <w:rStyle w:val="apple-converted-space"/>
          <w:color w:val="000000"/>
          <w:shd w:val="clear" w:color="auto" w:fill="FFFFFF"/>
        </w:rPr>
        <w:t> </w:t>
      </w:r>
      <w:r w:rsidRPr="00B61FCE">
        <w:rPr>
          <w:rStyle w:val="nlmgiven-names"/>
          <w:color w:val="000000"/>
        </w:rPr>
        <w:t>E.</w:t>
      </w:r>
      <w:r w:rsidRPr="00B61FCE">
        <w:rPr>
          <w:rStyle w:val="apple-converted-space"/>
          <w:color w:val="000000"/>
        </w:rPr>
        <w:t> </w:t>
      </w:r>
      <w:r w:rsidRPr="00B61FCE">
        <w:rPr>
          <w:rStyle w:val="nlmstring-name"/>
          <w:color w:val="000000"/>
        </w:rPr>
        <w:t>Rogers</w:t>
      </w:r>
      <w:r w:rsidRPr="00B61FCE">
        <w:rPr>
          <w:color w:val="000000"/>
          <w:shd w:val="clear" w:color="auto" w:fill="FFFFFF"/>
        </w:rPr>
        <w:t>,</w:t>
      </w:r>
      <w:r w:rsidRPr="00B61FCE">
        <w:rPr>
          <w:rStyle w:val="apple-converted-space"/>
          <w:color w:val="000000"/>
          <w:shd w:val="clear" w:color="auto" w:fill="FFFFFF"/>
        </w:rPr>
        <w:t> </w:t>
      </w:r>
      <w:r w:rsidRPr="00B61FCE">
        <w:rPr>
          <w:rStyle w:val="nlmgiven-names"/>
          <w:color w:val="000000"/>
        </w:rPr>
        <w:t>P.</w:t>
      </w:r>
      <w:r w:rsidRPr="00B61FCE">
        <w:rPr>
          <w:rStyle w:val="apple-converted-space"/>
          <w:color w:val="000000"/>
        </w:rPr>
        <w:t> </w:t>
      </w:r>
      <w:r w:rsidRPr="00B61FCE">
        <w:rPr>
          <w:rStyle w:val="nlmstring-name"/>
          <w:color w:val="000000"/>
        </w:rPr>
        <w:t>Grummann</w:t>
      </w:r>
      <w:r w:rsidRPr="00B61FCE">
        <w:rPr>
          <w:color w:val="000000"/>
          <w:shd w:val="clear" w:color="auto" w:fill="FFFFFF"/>
        </w:rPr>
        <w:t>,</w:t>
      </w:r>
      <w:r w:rsidRPr="00B61FCE">
        <w:rPr>
          <w:rStyle w:val="apple-converted-space"/>
          <w:color w:val="000000"/>
          <w:shd w:val="clear" w:color="auto" w:fill="FFFFFF"/>
        </w:rPr>
        <w:t> </w:t>
      </w:r>
      <w:r w:rsidRPr="00B61FCE">
        <w:rPr>
          <w:rStyle w:val="nlmgiven-names"/>
          <w:color w:val="000000"/>
        </w:rPr>
        <w:t>V.</w:t>
      </w:r>
      <w:r w:rsidRPr="00B61FCE">
        <w:rPr>
          <w:rStyle w:val="apple-converted-space"/>
          <w:color w:val="000000"/>
        </w:rPr>
        <w:t> </w:t>
      </w:r>
      <w:r w:rsidRPr="00B61FCE">
        <w:rPr>
          <w:rStyle w:val="nlmstring-name"/>
          <w:color w:val="000000"/>
        </w:rPr>
        <w:t>Koren</w:t>
      </w:r>
      <w:r w:rsidRPr="00B61FCE">
        <w:rPr>
          <w:color w:val="000000"/>
          <w:shd w:val="clear" w:color="auto" w:fill="FFFFFF"/>
        </w:rPr>
        <w:t>,</w:t>
      </w:r>
      <w:r w:rsidRPr="00B61FCE">
        <w:rPr>
          <w:rStyle w:val="apple-converted-space"/>
          <w:color w:val="000000"/>
          <w:shd w:val="clear" w:color="auto" w:fill="FFFFFF"/>
        </w:rPr>
        <w:t> </w:t>
      </w:r>
      <w:r w:rsidRPr="00B61FCE">
        <w:rPr>
          <w:rStyle w:val="nlmgiven-names"/>
          <w:color w:val="000000"/>
        </w:rPr>
        <w:t>G.</w:t>
      </w:r>
      <w:r w:rsidRPr="00B61FCE">
        <w:rPr>
          <w:rStyle w:val="apple-converted-space"/>
          <w:color w:val="000000"/>
        </w:rPr>
        <w:t> </w:t>
      </w:r>
      <w:r w:rsidRPr="00B61FCE">
        <w:rPr>
          <w:rStyle w:val="nlmstring-name"/>
          <w:color w:val="000000"/>
        </w:rPr>
        <w:t>Gayno</w:t>
      </w:r>
      <w:r w:rsidRPr="00B61FCE">
        <w:rPr>
          <w:color w:val="000000"/>
          <w:shd w:val="clear" w:color="auto" w:fill="FFFFFF"/>
        </w:rPr>
        <w:t>, and</w:t>
      </w:r>
      <w:r w:rsidRPr="00B61FCE">
        <w:rPr>
          <w:rStyle w:val="apple-converted-space"/>
          <w:color w:val="000000"/>
          <w:shd w:val="clear" w:color="auto" w:fill="FFFFFF"/>
        </w:rPr>
        <w:t> </w:t>
      </w:r>
      <w:r w:rsidRPr="00B61FCE">
        <w:rPr>
          <w:rStyle w:val="nlmgiven-names"/>
          <w:color w:val="000000"/>
        </w:rPr>
        <w:t>J. D.</w:t>
      </w:r>
      <w:r w:rsidRPr="00B61FCE">
        <w:rPr>
          <w:rStyle w:val="apple-converted-space"/>
          <w:color w:val="000000"/>
        </w:rPr>
        <w:t> </w:t>
      </w:r>
      <w:r w:rsidRPr="00B61FCE">
        <w:rPr>
          <w:rStyle w:val="nlmstring-name"/>
          <w:color w:val="000000"/>
        </w:rPr>
        <w:t>Tarplay</w:t>
      </w:r>
      <w:r w:rsidRPr="00B61FCE">
        <w:rPr>
          <w:color w:val="000000"/>
          <w:shd w:val="clear" w:color="auto" w:fill="FFFFFF"/>
        </w:rPr>
        <w:t>,</w:t>
      </w:r>
      <w:r w:rsidRPr="00B61FCE">
        <w:rPr>
          <w:rStyle w:val="apple-converted-space"/>
          <w:color w:val="000000"/>
          <w:shd w:val="clear" w:color="auto" w:fill="FFFFFF"/>
        </w:rPr>
        <w:t> </w:t>
      </w:r>
      <w:r w:rsidRPr="00B61FCE">
        <w:rPr>
          <w:rStyle w:val="nlmyear"/>
          <w:color w:val="000000"/>
        </w:rPr>
        <w:t>2003</w:t>
      </w:r>
      <w:r w:rsidRPr="00B61FCE">
        <w:rPr>
          <w:color w:val="000000"/>
          <w:shd w:val="clear" w:color="auto" w:fill="FFFFFF"/>
        </w:rPr>
        <w:t>:</w:t>
      </w:r>
      <w:r w:rsidRPr="00B61FCE">
        <w:rPr>
          <w:rStyle w:val="apple-converted-space"/>
          <w:color w:val="000000"/>
          <w:shd w:val="clear" w:color="auto" w:fill="FFFFFF"/>
        </w:rPr>
        <w:t> </w:t>
      </w:r>
      <w:r w:rsidRPr="00B61FCE">
        <w:rPr>
          <w:rStyle w:val="nlmarticle-title"/>
          <w:color w:val="000000"/>
        </w:rPr>
        <w:t>Implementation of the Noah land-use model advances in the NCEP operational mesoscale Eta model</w:t>
      </w:r>
      <w:r w:rsidRPr="00B61FCE">
        <w:rPr>
          <w:color w:val="000000"/>
          <w:shd w:val="clear" w:color="auto" w:fill="FFFFFF"/>
        </w:rPr>
        <w:t>.</w:t>
      </w:r>
      <w:r w:rsidRPr="00B61FCE">
        <w:rPr>
          <w:rStyle w:val="apple-converted-space"/>
          <w:color w:val="000000"/>
          <w:shd w:val="clear" w:color="auto" w:fill="FFFFFF"/>
        </w:rPr>
        <w:t> </w:t>
      </w:r>
      <w:r w:rsidRPr="00B61FCE">
        <w:rPr>
          <w:i/>
          <w:iCs/>
          <w:color w:val="000000"/>
        </w:rPr>
        <w:t>J. Geophys. Res.</w:t>
      </w:r>
      <w:r w:rsidRPr="00B61FCE">
        <w:rPr>
          <w:color w:val="000000"/>
          <w:shd w:val="clear" w:color="auto" w:fill="FFFFFF"/>
        </w:rPr>
        <w:t>,</w:t>
      </w:r>
      <w:r w:rsidRPr="00B61FCE">
        <w:rPr>
          <w:rStyle w:val="apple-converted-space"/>
          <w:color w:val="000000"/>
          <w:shd w:val="clear" w:color="auto" w:fill="FFFFFF"/>
        </w:rPr>
        <w:t> </w:t>
      </w:r>
      <w:r w:rsidRPr="00B61FCE">
        <w:rPr>
          <w:b/>
          <w:bCs/>
          <w:color w:val="000000"/>
        </w:rPr>
        <w:t>108</w:t>
      </w:r>
      <w:r w:rsidRPr="00B61FCE">
        <w:rPr>
          <w:color w:val="000000"/>
          <w:shd w:val="clear" w:color="auto" w:fill="FFFFFF"/>
        </w:rPr>
        <w:t>,</w:t>
      </w:r>
      <w:r w:rsidRPr="00B61FCE">
        <w:rPr>
          <w:rStyle w:val="apple-converted-space"/>
          <w:color w:val="000000"/>
          <w:shd w:val="clear" w:color="auto" w:fill="FFFFFF"/>
        </w:rPr>
        <w:t> </w:t>
      </w:r>
      <w:r w:rsidRPr="00B61FCE">
        <w:rPr>
          <w:rStyle w:val="nlmfpage"/>
          <w:color w:val="000000"/>
        </w:rPr>
        <w:t>8851</w:t>
      </w:r>
      <w:r w:rsidRPr="00B61FCE">
        <w:rPr>
          <w:color w:val="000000"/>
          <w:shd w:val="clear" w:color="auto" w:fill="FFFFFF"/>
        </w:rPr>
        <w:t>,</w:t>
      </w:r>
      <w:r w:rsidRPr="00B61FCE">
        <w:rPr>
          <w:rStyle w:val="apple-converted-space"/>
          <w:color w:val="000000"/>
          <w:shd w:val="clear" w:color="auto" w:fill="FFFFFF"/>
        </w:rPr>
        <w:t> </w:t>
      </w:r>
      <w:hyperlink r:id="rId6" w:tgtFrame="_blank" w:history="1">
        <w:r w:rsidRPr="00B61FCE">
          <w:rPr>
            <w:rStyle w:val="Hyperlink"/>
            <w:color w:val="800000"/>
          </w:rPr>
          <w:t>https://doi.org/10.1029/2002JD003296</w:t>
        </w:r>
      </w:hyperlink>
      <w:r w:rsidRPr="00B61FCE">
        <w:rPr>
          <w:color w:val="000000"/>
          <w:shd w:val="clear" w:color="auto" w:fill="FFFFFF"/>
        </w:rPr>
        <w:t>.</w:t>
      </w:r>
    </w:p>
    <w:p w14:paraId="5D9CCE53" w14:textId="32AAE398" w:rsidR="000A77FE" w:rsidRDefault="000A77FE" w:rsidP="000A77FE">
      <w:pPr>
        <w:spacing w:line="480" w:lineRule="auto"/>
        <w:ind w:left="1440" w:hanging="1440"/>
      </w:pPr>
      <w:r>
        <w:t xml:space="preserve">Emanuel, K. E., J. Callaghan and P. Otto, 2008: A Hypothesis for the Redevelopment of Warm-Core Cyclones over Northern Australia. </w:t>
      </w:r>
      <w:r>
        <w:rPr>
          <w:i/>
        </w:rPr>
        <w:t>Mon. Wea. Rev.</w:t>
      </w:r>
      <w:r>
        <w:t xml:space="preserve">, </w:t>
      </w:r>
      <w:r>
        <w:rPr>
          <w:b/>
        </w:rPr>
        <w:t>136</w:t>
      </w:r>
      <w:r>
        <w:t>, 3863-3872.</w:t>
      </w:r>
    </w:p>
    <w:p w14:paraId="0E3419F0" w14:textId="77777777" w:rsidR="00893D8C" w:rsidRDefault="00893D8C" w:rsidP="00893D8C">
      <w:pPr>
        <w:spacing w:line="480" w:lineRule="auto"/>
        <w:ind w:left="1440" w:hanging="1440"/>
      </w:pPr>
      <w:r>
        <w:t xml:space="preserve">Hengl T., G. B. M. Heuvelink, B. Kempen, J. G. B. Leenaars, M. G. Walsh, K. D. Shepherd, </w:t>
      </w:r>
      <w:r w:rsidRPr="002F5650">
        <w:rPr>
          <w:i/>
          <w:iCs/>
        </w:rPr>
        <w:t>et al</w:t>
      </w:r>
      <w:r>
        <w:t xml:space="preserve">., 2015: Mapping Soil Properties of Africa at 250 m Resolution: Random Forests Significantly Improve Current Predictions. </w:t>
      </w:r>
      <w:r w:rsidRPr="001B6A85">
        <w:rPr>
          <w:i/>
          <w:iCs/>
        </w:rPr>
        <w:t>PLoS ONE</w:t>
      </w:r>
      <w:r>
        <w:t xml:space="preserve">, 10(6): e0125814. doi:10.1371/journal.pone.0125814 </w:t>
      </w:r>
    </w:p>
    <w:p w14:paraId="60EA0E51" w14:textId="7927B188" w:rsidR="00893D8C" w:rsidRDefault="00893D8C" w:rsidP="00893D8C">
      <w:pPr>
        <w:spacing w:line="480" w:lineRule="auto"/>
        <w:ind w:left="1440" w:hanging="1440"/>
      </w:pPr>
      <w:r w:rsidRPr="002E6520">
        <w:rPr>
          <w:rFonts w:ascii="Times" w:hAnsi="Times"/>
          <w:color w:val="000000"/>
        </w:rPr>
        <w:t>———</w:t>
      </w:r>
      <w:r>
        <w:t xml:space="preserve">, J. Mendes de Jesus, G. B. M. Heuvelink, M. Ruiperez, M. Kilibarda, A. Blagotic, </w:t>
      </w:r>
      <w:r w:rsidRPr="002F5650">
        <w:rPr>
          <w:i/>
          <w:iCs/>
        </w:rPr>
        <w:t>et al</w:t>
      </w:r>
      <w:r>
        <w:t xml:space="preserve">., 2017: SoilGrids250m: Global gridded soil information based on machine learning. </w:t>
      </w:r>
      <w:r w:rsidRPr="001B6A85">
        <w:rPr>
          <w:i/>
          <w:iCs/>
        </w:rPr>
        <w:t>PLoS ONE</w:t>
      </w:r>
      <w:r>
        <w:t xml:space="preserve">, 12(2): e0169748. doi:10.1371/journal.pone.0169748. </w:t>
      </w:r>
    </w:p>
    <w:p w14:paraId="1F8F33C7" w14:textId="5BE8ADF8" w:rsidR="000A77FE" w:rsidRDefault="000A77FE" w:rsidP="000A77FE">
      <w:pPr>
        <w:spacing w:line="480" w:lineRule="auto"/>
        <w:ind w:left="1440" w:hanging="1440"/>
        <w:rPr>
          <w:color w:val="000000"/>
          <w:highlight w:val="white"/>
        </w:rPr>
      </w:pPr>
      <w:r>
        <w:rPr>
          <w:color w:val="000000"/>
          <w:highlight w:val="white"/>
        </w:rPr>
        <w:t>Herndon, Derrick and C. S.,</w:t>
      </w:r>
      <w:r>
        <w:rPr>
          <w:b/>
          <w:color w:val="000000"/>
          <w:highlight w:val="white"/>
        </w:rPr>
        <w:t> </w:t>
      </w:r>
      <w:r>
        <w:rPr>
          <w:color w:val="000000"/>
          <w:highlight w:val="white"/>
        </w:rPr>
        <w:t xml:space="preserve">Velden, </w:t>
      </w:r>
      <w:r>
        <w:rPr>
          <w:color w:val="000000"/>
        </w:rPr>
        <w:t>An update on the CIMSS SATellite CONsensus (SATCON) tropical cyclone intensity algorithm</w:t>
      </w:r>
      <w:r>
        <w:rPr>
          <w:b/>
          <w:color w:val="000000"/>
          <w:highlight w:val="white"/>
        </w:rPr>
        <w:t>. </w:t>
      </w:r>
      <w:r>
        <w:rPr>
          <w:color w:val="000000"/>
        </w:rPr>
        <w:t>Conference on Hurricanes and Tropical Meteorology, 33rd, Ponte Vedra, FL, 16-20 April 2018</w:t>
      </w:r>
      <w:r>
        <w:rPr>
          <w:b/>
          <w:color w:val="000000"/>
          <w:highlight w:val="white"/>
        </w:rPr>
        <w:t>.</w:t>
      </w:r>
      <w:r>
        <w:rPr>
          <w:color w:val="000000"/>
          <w:highlight w:val="white"/>
        </w:rPr>
        <w:t xml:space="preserve"> Boston, MA, American Meteorological Society, 2018, Abstract 284.</w:t>
      </w:r>
    </w:p>
    <w:p w14:paraId="0866F211" w14:textId="3CF361B2" w:rsidR="00725909" w:rsidRDefault="00725909" w:rsidP="00725909">
      <w:pPr>
        <w:spacing w:line="480" w:lineRule="auto"/>
        <w:ind w:left="1440" w:hanging="1440"/>
        <w:rPr>
          <w:color w:val="000000"/>
          <w:highlight w:val="white"/>
        </w:rPr>
      </w:pPr>
      <w:r>
        <w:rPr>
          <w:color w:val="000000"/>
          <w:highlight w:val="white"/>
        </w:rPr>
        <w:t xml:space="preserve">Hong, S. and J. Lim, 2006: The WRF Single-Moment 6-Class Microphysics Scheme (WSM6). </w:t>
      </w:r>
      <w:r w:rsidRPr="0004094E">
        <w:rPr>
          <w:i/>
          <w:iCs/>
          <w:color w:val="000000"/>
          <w:highlight w:val="white"/>
        </w:rPr>
        <w:t>J</w:t>
      </w:r>
      <w:r>
        <w:rPr>
          <w:i/>
          <w:iCs/>
          <w:color w:val="000000"/>
          <w:highlight w:val="white"/>
        </w:rPr>
        <w:t xml:space="preserve">. </w:t>
      </w:r>
      <w:r w:rsidRPr="001B6A85">
        <w:rPr>
          <w:i/>
          <w:iCs/>
          <w:color w:val="000000"/>
          <w:highlight w:val="white"/>
        </w:rPr>
        <w:t>Korean Meteo. Soc.</w:t>
      </w:r>
      <w:r w:rsidRPr="0004094E">
        <w:rPr>
          <w:i/>
          <w:iCs/>
          <w:color w:val="000000"/>
          <w:highlight w:val="white"/>
        </w:rPr>
        <w:t>,</w:t>
      </w:r>
      <w:r>
        <w:rPr>
          <w:color w:val="000000"/>
          <w:highlight w:val="white"/>
        </w:rPr>
        <w:t xml:space="preserve"> </w:t>
      </w:r>
      <w:r w:rsidRPr="0004094E">
        <w:rPr>
          <w:b/>
          <w:bCs/>
          <w:color w:val="000000"/>
          <w:highlight w:val="white"/>
        </w:rPr>
        <w:t>42</w:t>
      </w:r>
      <w:r>
        <w:rPr>
          <w:color w:val="000000"/>
          <w:highlight w:val="white"/>
        </w:rPr>
        <w:t>, 129-151.</w:t>
      </w:r>
    </w:p>
    <w:p w14:paraId="2C256B2A" w14:textId="4BD79D86" w:rsidR="00B80E22" w:rsidRDefault="00B80E22" w:rsidP="00B80E22">
      <w:pPr>
        <w:spacing w:line="480" w:lineRule="auto"/>
        <w:ind w:left="1440" w:hanging="1440"/>
        <w:rPr>
          <w:color w:val="000000"/>
        </w:rPr>
      </w:pPr>
      <w:r>
        <w:rPr>
          <w:color w:val="000000"/>
          <w:highlight w:val="white"/>
        </w:rPr>
        <w:lastRenderedPageBreak/>
        <w:t>Knapp, K. R., M. C. Kruk, D. H. Levinson, H. J. Diamond, and C. J. Neumann, 2010: The International Best Track Archive for Climate Stewardship (IBTrACS): Unifying tropical cyclone best track data. </w:t>
      </w:r>
      <w:r>
        <w:rPr>
          <w:i/>
          <w:color w:val="000000"/>
          <w:highlight w:val="white"/>
        </w:rPr>
        <w:t>Bull. Amer. Meteor. Soc.</w:t>
      </w:r>
      <w:r>
        <w:rPr>
          <w:color w:val="000000"/>
          <w:highlight w:val="white"/>
        </w:rPr>
        <w:t>, </w:t>
      </w:r>
      <w:r>
        <w:rPr>
          <w:b/>
          <w:color w:val="000000"/>
          <w:highlight w:val="white"/>
        </w:rPr>
        <w:t>91</w:t>
      </w:r>
      <w:r>
        <w:rPr>
          <w:color w:val="000000"/>
          <w:highlight w:val="white"/>
        </w:rPr>
        <w:t>, 363–376.</w:t>
      </w:r>
    </w:p>
    <w:p w14:paraId="29C2F4BF" w14:textId="65B3C758" w:rsidR="00725909" w:rsidRDefault="00725909" w:rsidP="00725909">
      <w:pPr>
        <w:spacing w:line="480" w:lineRule="auto"/>
        <w:ind w:left="1440" w:hanging="1440"/>
      </w:pPr>
      <w:r>
        <w:rPr>
          <w:color w:val="1C1D1E"/>
        </w:rPr>
        <w:t>Lang, S., W.</w:t>
      </w:r>
      <w:r>
        <w:rPr>
          <w:rFonts w:ascii="Cambria Math" w:eastAsia="Cambria Math" w:hAnsi="Cambria Math" w:cs="Cambria Math"/>
          <w:color w:val="1C1D1E"/>
        </w:rPr>
        <w:t>‐</w:t>
      </w:r>
      <w:r>
        <w:rPr>
          <w:color w:val="1C1D1E"/>
        </w:rPr>
        <w:t>K. Tao, J.</w:t>
      </w:r>
      <w:r>
        <w:rPr>
          <w:rFonts w:ascii="Cambria Math" w:eastAsia="Cambria Math" w:hAnsi="Cambria Math" w:cs="Cambria Math"/>
          <w:color w:val="1C1D1E"/>
        </w:rPr>
        <w:t>‐</w:t>
      </w:r>
      <w:r>
        <w:rPr>
          <w:color w:val="1C1D1E"/>
        </w:rPr>
        <w:t xml:space="preserve">D. Chern, D. Wu, and X. Li, 2014: Benefits of a 4th ice class in the simulated radar reflectivities of convective systems using a bulk microphysics scheme, </w:t>
      </w:r>
      <w:r>
        <w:rPr>
          <w:i/>
          <w:color w:val="1C1D1E"/>
        </w:rPr>
        <w:t xml:space="preserve">J. Atmos. Sci., </w:t>
      </w:r>
      <w:r>
        <w:rPr>
          <w:b/>
          <w:color w:val="1C1D1E"/>
        </w:rPr>
        <w:t>71</w:t>
      </w:r>
      <w:r w:rsidRPr="004A7523">
        <w:rPr>
          <w:bCs/>
          <w:color w:val="1C1D1E"/>
        </w:rPr>
        <w:t>,</w:t>
      </w:r>
      <w:r>
        <w:rPr>
          <w:b/>
          <w:color w:val="1C1D1E"/>
        </w:rPr>
        <w:t xml:space="preserve"> </w:t>
      </w:r>
      <w:r>
        <w:rPr>
          <w:color w:val="1C1D1E"/>
        </w:rPr>
        <w:t>3583-3612.</w:t>
      </w:r>
    </w:p>
    <w:p w14:paraId="7A8DD0B2" w14:textId="77777777" w:rsidR="00AF76E9" w:rsidRDefault="00AF76E9" w:rsidP="00AF76E9">
      <w:pPr>
        <w:spacing w:line="480" w:lineRule="auto"/>
        <w:ind w:left="1440" w:hanging="1440"/>
        <w:rPr>
          <w:color w:val="000000"/>
        </w:rPr>
      </w:pPr>
      <w:r>
        <w:rPr>
          <w:color w:val="000000"/>
        </w:rPr>
        <w:t xml:space="preserve">Thompson, D. 2018: You’ve probably not heard of the Brown Ocean Effect – until now. WeatherOps, </w:t>
      </w:r>
      <w:hyperlink r:id="rId7">
        <w:r>
          <w:rPr>
            <w:color w:val="0000FF"/>
            <w:u w:val="single"/>
          </w:rPr>
          <w:t>https://blog.weatherops.com/youve-probably-not-heard-of-the-brown-ocean-effect-until-now</w:t>
        </w:r>
      </w:hyperlink>
      <w:r>
        <w:rPr>
          <w:color w:val="0000FF"/>
          <w:u w:val="single"/>
        </w:rPr>
        <w:t xml:space="preserve"> </w:t>
      </w:r>
      <w:r>
        <w:rPr>
          <w:color w:val="000000"/>
        </w:rPr>
        <w:t>(Accessed August 12, 2019).</w:t>
      </w:r>
    </w:p>
    <w:p w14:paraId="1FADA3B5" w14:textId="77777777" w:rsidR="00AF76E9" w:rsidRPr="0004094E" w:rsidRDefault="00AF76E9" w:rsidP="00AF76E9">
      <w:pPr>
        <w:spacing w:line="480" w:lineRule="auto"/>
        <w:ind w:left="1440" w:hanging="1440"/>
        <w:rPr>
          <w:color w:val="000000"/>
        </w:rPr>
      </w:pPr>
      <w:r w:rsidRPr="0004094E">
        <w:rPr>
          <w:color w:val="000000"/>
          <w:shd w:val="clear" w:color="auto" w:fill="FFFFFF"/>
        </w:rPr>
        <w:t>Van Weverberg, </w:t>
      </w:r>
      <w:r w:rsidRPr="0004094E">
        <w:rPr>
          <w:color w:val="000000"/>
        </w:rPr>
        <w:t>K.</w:t>
      </w:r>
      <w:r w:rsidRPr="0004094E">
        <w:rPr>
          <w:color w:val="000000"/>
          <w:shd w:val="clear" w:color="auto" w:fill="FFFFFF"/>
        </w:rPr>
        <w:t>, and Coauthors, </w:t>
      </w:r>
      <w:r w:rsidRPr="0004094E">
        <w:rPr>
          <w:color w:val="000000"/>
        </w:rPr>
        <w:t>2013</w:t>
      </w:r>
      <w:r w:rsidRPr="0004094E">
        <w:rPr>
          <w:color w:val="000000"/>
          <w:shd w:val="clear" w:color="auto" w:fill="FFFFFF"/>
        </w:rPr>
        <w:t>: </w:t>
      </w:r>
      <w:r w:rsidRPr="0004094E">
        <w:rPr>
          <w:color w:val="000000"/>
        </w:rPr>
        <w:t>The role of cloud microphysics parameterization in the simulation of mesoscale convective system clouds and precipitation in the tropical western Pacific</w:t>
      </w:r>
      <w:r w:rsidRPr="0004094E">
        <w:rPr>
          <w:color w:val="000000"/>
          <w:shd w:val="clear" w:color="auto" w:fill="FFFFFF"/>
        </w:rPr>
        <w:t>. </w:t>
      </w:r>
      <w:r w:rsidRPr="0004094E">
        <w:rPr>
          <w:i/>
          <w:iCs/>
          <w:color w:val="000000"/>
        </w:rPr>
        <w:t>J. Atmos. Sci.</w:t>
      </w:r>
      <w:r w:rsidRPr="0004094E">
        <w:rPr>
          <w:color w:val="000000"/>
          <w:shd w:val="clear" w:color="auto" w:fill="FFFFFF"/>
        </w:rPr>
        <w:t>, </w:t>
      </w:r>
      <w:r w:rsidRPr="0004094E">
        <w:rPr>
          <w:b/>
          <w:bCs/>
          <w:color w:val="000000"/>
        </w:rPr>
        <w:t>70</w:t>
      </w:r>
      <w:r w:rsidRPr="0004094E">
        <w:rPr>
          <w:color w:val="000000"/>
          <w:shd w:val="clear" w:color="auto" w:fill="FFFFFF"/>
        </w:rPr>
        <w:t>, </w:t>
      </w:r>
      <w:r w:rsidRPr="0004094E">
        <w:rPr>
          <w:color w:val="000000"/>
        </w:rPr>
        <w:t>1104</w:t>
      </w:r>
      <w:r w:rsidRPr="0004094E">
        <w:rPr>
          <w:color w:val="000000"/>
          <w:shd w:val="clear" w:color="auto" w:fill="FFFFFF"/>
        </w:rPr>
        <w:t>–</w:t>
      </w:r>
      <w:r w:rsidRPr="0004094E">
        <w:rPr>
          <w:color w:val="000000"/>
        </w:rPr>
        <w:t>1128</w:t>
      </w:r>
      <w:r w:rsidRPr="0004094E">
        <w:rPr>
          <w:color w:val="000000"/>
          <w:shd w:val="clear" w:color="auto" w:fill="FFFFFF"/>
        </w:rPr>
        <w:t>, doi:</w:t>
      </w:r>
      <w:hyperlink r:id="rId8" w:tgtFrame="_blank" w:tooltip="External link, opens new window" w:history="1">
        <w:r w:rsidRPr="0004094E">
          <w:rPr>
            <w:color w:val="800000"/>
            <w:u w:val="single"/>
          </w:rPr>
          <w:t>https://doi.org/10.1175/JAS-D-12-0104.1</w:t>
        </w:r>
      </w:hyperlink>
      <w:r w:rsidRPr="0004094E">
        <w:rPr>
          <w:color w:val="000000"/>
          <w:shd w:val="clear" w:color="auto" w:fill="FFFFFF"/>
        </w:rPr>
        <w:t>.</w:t>
      </w:r>
    </w:p>
    <w:p w14:paraId="6D1B119E" w14:textId="427FBD27" w:rsidR="00402C5B" w:rsidRDefault="00402C5B" w:rsidP="00402C5B">
      <w:pPr>
        <w:spacing w:line="480" w:lineRule="auto"/>
        <w:ind w:left="1440" w:hanging="1440"/>
      </w:pPr>
      <w:r>
        <w:rPr>
          <w:color w:val="3E3D40"/>
          <w:highlight w:val="white"/>
        </w:rPr>
        <w:t>Xu, G., T. J. Osborn, and A. J. Matthews, 2017: Moisture transport by Atlantic tropical cyclones onto the North American continent. </w:t>
      </w:r>
      <w:r>
        <w:rPr>
          <w:i/>
          <w:color w:val="3E3D40"/>
        </w:rPr>
        <w:t>Clim. Dyn.</w:t>
      </w:r>
      <w:r>
        <w:rPr>
          <w:color w:val="3E3D40"/>
          <w:highlight w:val="white"/>
        </w:rPr>
        <w:t> </w:t>
      </w:r>
      <w:r w:rsidRPr="0004094E">
        <w:rPr>
          <w:b/>
          <w:bCs/>
          <w:color w:val="3E3D40"/>
          <w:highlight w:val="white"/>
        </w:rPr>
        <w:t>48</w:t>
      </w:r>
      <w:r>
        <w:rPr>
          <w:color w:val="3E3D40"/>
          <w:highlight w:val="white"/>
        </w:rPr>
        <w:t>, 3161–3182. doi: 10.1007/s00382-016-3257-6</w:t>
      </w:r>
      <w:r>
        <w:rPr>
          <w:color w:val="3E3D40"/>
        </w:rPr>
        <w:t>.</w:t>
      </w:r>
    </w:p>
    <w:p w14:paraId="47C91C4A" w14:textId="185259B9" w:rsidR="007D2571" w:rsidRDefault="007D2571">
      <w:pPr>
        <w:rPr>
          <w:color w:val="000000"/>
          <w:sz w:val="22"/>
          <w:szCs w:val="22"/>
        </w:rPr>
      </w:pPr>
    </w:p>
    <w:p w14:paraId="2A48CAAD" w14:textId="459418BA" w:rsidR="000C7932" w:rsidRDefault="000C7932">
      <w:pPr>
        <w:rPr>
          <w:color w:val="000000"/>
          <w:sz w:val="22"/>
          <w:szCs w:val="22"/>
        </w:rPr>
      </w:pPr>
    </w:p>
    <w:p w14:paraId="5D857527" w14:textId="63EC5459" w:rsidR="000C7932" w:rsidRDefault="000C7932">
      <w:pPr>
        <w:rPr>
          <w:color w:val="000000"/>
          <w:sz w:val="22"/>
          <w:szCs w:val="22"/>
        </w:rPr>
      </w:pPr>
    </w:p>
    <w:p w14:paraId="7C6CCBD8" w14:textId="74D524C9" w:rsidR="000C7932" w:rsidRDefault="000C7932">
      <w:pPr>
        <w:rPr>
          <w:color w:val="000000"/>
          <w:sz w:val="22"/>
          <w:szCs w:val="22"/>
        </w:rPr>
      </w:pPr>
    </w:p>
    <w:p w14:paraId="2FF13505" w14:textId="538BE059" w:rsidR="000C7932" w:rsidRDefault="000C7932">
      <w:pPr>
        <w:rPr>
          <w:color w:val="000000"/>
          <w:sz w:val="22"/>
          <w:szCs w:val="22"/>
        </w:rPr>
      </w:pPr>
    </w:p>
    <w:p w14:paraId="382AA6E0" w14:textId="5750B278" w:rsidR="000C7932" w:rsidRDefault="000C7932">
      <w:pPr>
        <w:rPr>
          <w:color w:val="000000"/>
          <w:sz w:val="22"/>
          <w:szCs w:val="22"/>
        </w:rPr>
      </w:pPr>
    </w:p>
    <w:p w14:paraId="4DDB904B" w14:textId="7B3B59E5" w:rsidR="000C7932" w:rsidRDefault="000C7932">
      <w:pPr>
        <w:rPr>
          <w:color w:val="000000"/>
          <w:sz w:val="22"/>
          <w:szCs w:val="22"/>
        </w:rPr>
      </w:pPr>
    </w:p>
    <w:p w14:paraId="2EF49F6D" w14:textId="7994EE8A" w:rsidR="000C7932" w:rsidRDefault="000C7932">
      <w:pPr>
        <w:rPr>
          <w:color w:val="000000"/>
          <w:sz w:val="22"/>
          <w:szCs w:val="22"/>
        </w:rPr>
      </w:pPr>
    </w:p>
    <w:p w14:paraId="61900B15" w14:textId="6E0614A5" w:rsidR="000C7932" w:rsidRDefault="000C7932">
      <w:pPr>
        <w:rPr>
          <w:color w:val="000000"/>
          <w:sz w:val="22"/>
          <w:szCs w:val="22"/>
        </w:rPr>
      </w:pPr>
    </w:p>
    <w:p w14:paraId="7A52ECFB" w14:textId="5A5A60E1" w:rsidR="000C7932" w:rsidRDefault="000C7932">
      <w:pPr>
        <w:rPr>
          <w:color w:val="000000"/>
          <w:sz w:val="22"/>
          <w:szCs w:val="22"/>
        </w:rPr>
      </w:pPr>
    </w:p>
    <w:p w14:paraId="58436FC7" w14:textId="2E240F8B" w:rsidR="000C7932" w:rsidRDefault="000C7932">
      <w:pPr>
        <w:rPr>
          <w:color w:val="000000"/>
          <w:sz w:val="22"/>
          <w:szCs w:val="22"/>
        </w:rPr>
      </w:pPr>
    </w:p>
    <w:p w14:paraId="387510B4" w14:textId="7E0E8E9F" w:rsidR="000C7932" w:rsidRDefault="000C7932">
      <w:pPr>
        <w:rPr>
          <w:color w:val="000000"/>
          <w:sz w:val="22"/>
          <w:szCs w:val="22"/>
        </w:rPr>
      </w:pPr>
    </w:p>
    <w:p w14:paraId="5D70EBA5" w14:textId="77777777" w:rsidR="0018596B" w:rsidRDefault="0018596B">
      <w:pPr>
        <w:rPr>
          <w:color w:val="000000"/>
          <w:sz w:val="22"/>
          <w:szCs w:val="22"/>
        </w:rPr>
      </w:pPr>
    </w:p>
    <w:p w14:paraId="1D600218" w14:textId="77777777" w:rsidR="0018596B" w:rsidRDefault="0018596B">
      <w:pPr>
        <w:rPr>
          <w:color w:val="000000"/>
          <w:sz w:val="22"/>
          <w:szCs w:val="22"/>
        </w:rPr>
      </w:pPr>
    </w:p>
    <w:p w14:paraId="4FFA6619" w14:textId="77777777" w:rsidR="0018596B" w:rsidRDefault="0018596B">
      <w:pPr>
        <w:rPr>
          <w:color w:val="000000"/>
          <w:sz w:val="22"/>
          <w:szCs w:val="22"/>
        </w:rPr>
      </w:pPr>
    </w:p>
    <w:p w14:paraId="27E671F9" w14:textId="77777777" w:rsidR="0018596B" w:rsidRDefault="0018596B">
      <w:pPr>
        <w:rPr>
          <w:color w:val="000000"/>
          <w:sz w:val="22"/>
          <w:szCs w:val="22"/>
        </w:rPr>
      </w:pPr>
    </w:p>
    <w:p w14:paraId="760AB965" w14:textId="4EAF138E" w:rsidR="000C7932" w:rsidRDefault="000C7932">
      <w:pPr>
        <w:rPr>
          <w:color w:val="000000"/>
          <w:sz w:val="22"/>
          <w:szCs w:val="22"/>
        </w:rPr>
      </w:pPr>
      <w:r>
        <w:rPr>
          <w:color w:val="000000"/>
          <w:sz w:val="22"/>
          <w:szCs w:val="22"/>
        </w:rPr>
        <w:lastRenderedPageBreak/>
        <w:t>Figures</w:t>
      </w:r>
    </w:p>
    <w:p w14:paraId="404E8B21" w14:textId="203C4FB3" w:rsidR="000C7932" w:rsidRDefault="000C7932">
      <w:pPr>
        <w:rPr>
          <w:color w:val="000000"/>
          <w:sz w:val="22"/>
          <w:szCs w:val="22"/>
        </w:rPr>
      </w:pPr>
    </w:p>
    <w:p w14:paraId="1C0E9C30" w14:textId="77777777" w:rsidR="000C7932" w:rsidRDefault="000C7932" w:rsidP="000C7932">
      <w:pPr>
        <w:jc w:val="center"/>
        <w:rPr>
          <w:sz w:val="22"/>
          <w:szCs w:val="22"/>
        </w:rPr>
      </w:pPr>
      <w:r>
        <w:rPr>
          <w:noProof/>
          <w:sz w:val="22"/>
          <w:szCs w:val="22"/>
          <w:lang w:eastAsia="en-US"/>
        </w:rPr>
        <w:drawing>
          <wp:inline distT="0" distB="0" distL="0" distR="0" wp14:anchorId="66279FE2" wp14:editId="59D36C6E">
            <wp:extent cx="5286375" cy="6078167"/>
            <wp:effectExtent l="0" t="0" r="0" b="5715"/>
            <wp:docPr id="1" name="Picture 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S01.png"/>
                    <pic:cNvPicPr/>
                  </pic:nvPicPr>
                  <pic:blipFill>
                    <a:blip r:embed="rId9">
                      <a:extLst>
                        <a:ext uri="{28A0092B-C50C-407E-A947-70E740481C1C}">
                          <a14:useLocalDpi xmlns:a14="http://schemas.microsoft.com/office/drawing/2010/main" val="0"/>
                        </a:ext>
                      </a:extLst>
                    </a:blip>
                    <a:stretch>
                      <a:fillRect/>
                    </a:stretch>
                  </pic:blipFill>
                  <pic:spPr>
                    <a:xfrm>
                      <a:off x="0" y="0"/>
                      <a:ext cx="5302137" cy="6096290"/>
                    </a:xfrm>
                    <a:prstGeom prst="rect">
                      <a:avLst/>
                    </a:prstGeom>
                  </pic:spPr>
                </pic:pic>
              </a:graphicData>
            </a:graphic>
          </wp:inline>
        </w:drawing>
      </w:r>
    </w:p>
    <w:p w14:paraId="778A9841" w14:textId="77777777" w:rsidR="000C7932" w:rsidRDefault="000C7932" w:rsidP="000C7932">
      <w:pPr>
        <w:pBdr>
          <w:top w:val="nil"/>
          <w:left w:val="nil"/>
          <w:bottom w:val="nil"/>
          <w:right w:val="nil"/>
          <w:between w:val="nil"/>
        </w:pBdr>
        <w:ind w:left="720" w:hanging="720"/>
        <w:rPr>
          <w:color w:val="000000"/>
          <w:sz w:val="22"/>
          <w:szCs w:val="22"/>
        </w:rPr>
      </w:pPr>
    </w:p>
    <w:p w14:paraId="1AFFE602" w14:textId="77777777" w:rsidR="000C7932" w:rsidRDefault="000C7932" w:rsidP="000C7932">
      <w:pPr>
        <w:rPr>
          <w:sz w:val="22"/>
          <w:szCs w:val="22"/>
        </w:rPr>
      </w:pPr>
      <w:r w:rsidRPr="00810AAE">
        <w:rPr>
          <w:b/>
          <w:bCs/>
          <w:color w:val="000000"/>
          <w:sz w:val="22"/>
          <w:szCs w:val="22"/>
        </w:rPr>
        <w:t xml:space="preserve">Figure </w:t>
      </w:r>
      <w:r>
        <w:rPr>
          <w:b/>
          <w:bCs/>
          <w:color w:val="000000"/>
          <w:sz w:val="22"/>
          <w:szCs w:val="22"/>
        </w:rPr>
        <w:t>S</w:t>
      </w:r>
      <w:r w:rsidRPr="00810AAE">
        <w:rPr>
          <w:b/>
          <w:bCs/>
          <w:color w:val="000000"/>
          <w:sz w:val="22"/>
          <w:szCs w:val="22"/>
        </w:rPr>
        <w:t>1</w:t>
      </w:r>
      <w:r>
        <w:rPr>
          <w:color w:val="000000"/>
          <w:sz w:val="22"/>
          <w:szCs w:val="22"/>
        </w:rPr>
        <w:t xml:space="preserve">. a) Maximum wind speed [m/s] of TC Kelvin from IBTrACS, Australian Bureau of Meteorology (BoM), and the CIMSS tropical cyclone intensity consensus (SATCON) by multiple satellites which is shown in (b) (Source: </w:t>
      </w:r>
      <w:hyperlink r:id="rId10">
        <w:r>
          <w:rPr>
            <w:color w:val="0000FF"/>
            <w:sz w:val="22"/>
            <w:szCs w:val="22"/>
            <w:u w:val="single"/>
          </w:rPr>
          <w:t>http://tropic.ssec.wisc.edu/real-time/satcon/archive/2018/201810S.html</w:t>
        </w:r>
      </w:hyperlink>
      <w:r>
        <w:rPr>
          <w:color w:val="000000"/>
          <w:sz w:val="22"/>
          <w:szCs w:val="22"/>
        </w:rPr>
        <w:t>).. Note that missing data in the 3-hourly data in the Australian BoM dataset was filled with the linear interpolation method using the 6 hourly data. Also note that the 3 hourly SATCON 1</w:t>
      </w:r>
      <w:r>
        <w:rPr>
          <w:color w:val="000000"/>
          <w:sz w:val="22"/>
          <w:szCs w:val="22"/>
          <w:vertAlign w:val="superscript"/>
        </w:rPr>
        <w:t>st</w:t>
      </w:r>
      <w:r>
        <w:rPr>
          <w:color w:val="000000"/>
          <w:sz w:val="22"/>
          <w:szCs w:val="22"/>
        </w:rPr>
        <w:t xml:space="preserve"> data in a) was reconstructed using the mean values of the SATCON data in b) while the 3 hourly SATCON 2</w:t>
      </w:r>
      <w:r>
        <w:rPr>
          <w:color w:val="000000"/>
          <w:sz w:val="22"/>
          <w:szCs w:val="22"/>
          <w:vertAlign w:val="superscript"/>
        </w:rPr>
        <w:t>nd</w:t>
      </w:r>
      <w:r>
        <w:rPr>
          <w:color w:val="000000"/>
          <w:sz w:val="22"/>
          <w:szCs w:val="22"/>
        </w:rPr>
        <w:t xml:space="preserve"> data in a) was constructed by interpolating the SATCON history file that was obtained from the SATCON data archive webpage at </w:t>
      </w:r>
      <w:hyperlink r:id="rId11">
        <w:r>
          <w:rPr>
            <w:color w:val="0000FF"/>
            <w:sz w:val="22"/>
            <w:szCs w:val="22"/>
            <w:u w:val="single"/>
          </w:rPr>
          <w:t>http://tropic.ssec.wisc.edu/real-time/satcon/archive/2018/201810S.html</w:t>
        </w:r>
      </w:hyperlink>
      <w:r>
        <w:rPr>
          <w:color w:val="000000"/>
          <w:sz w:val="22"/>
          <w:szCs w:val="22"/>
        </w:rPr>
        <w:t>. Black vertical line in each panel represents the landfall time at February 17 at 21 UTC.</w:t>
      </w:r>
    </w:p>
    <w:p w14:paraId="44CA5048" w14:textId="2076B439" w:rsidR="000C7932" w:rsidRDefault="000C7932">
      <w:pPr>
        <w:rPr>
          <w:color w:val="000000"/>
          <w:sz w:val="22"/>
          <w:szCs w:val="22"/>
        </w:rPr>
      </w:pPr>
    </w:p>
    <w:p w14:paraId="059F4FC4" w14:textId="77777777" w:rsidR="000C7932" w:rsidRDefault="000C7932" w:rsidP="000C7932">
      <w:pPr>
        <w:jc w:val="center"/>
        <w:rPr>
          <w:sz w:val="22"/>
          <w:szCs w:val="22"/>
        </w:rPr>
      </w:pPr>
      <w:r>
        <w:rPr>
          <w:noProof/>
          <w:sz w:val="22"/>
          <w:szCs w:val="22"/>
          <w:lang w:eastAsia="en-US"/>
        </w:rPr>
        <w:drawing>
          <wp:inline distT="0" distB="0" distL="0" distR="0" wp14:anchorId="12E224B3" wp14:editId="08A6A2C0">
            <wp:extent cx="4491790" cy="6369103"/>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e1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80737" cy="6495224"/>
                    </a:xfrm>
                    <a:prstGeom prst="rect">
                      <a:avLst/>
                    </a:prstGeom>
                  </pic:spPr>
                </pic:pic>
              </a:graphicData>
            </a:graphic>
          </wp:inline>
        </w:drawing>
      </w:r>
    </w:p>
    <w:p w14:paraId="4BC3C9A6" w14:textId="77777777" w:rsidR="000C7932" w:rsidRDefault="000C7932" w:rsidP="000C7932">
      <w:pPr>
        <w:rPr>
          <w:color w:val="000000"/>
          <w:sz w:val="22"/>
          <w:szCs w:val="22"/>
        </w:rPr>
      </w:pPr>
    </w:p>
    <w:p w14:paraId="311BCF08" w14:textId="77777777" w:rsidR="000C7932" w:rsidRPr="004620D5" w:rsidRDefault="000C7932" w:rsidP="000C7932">
      <w:pPr>
        <w:rPr>
          <w:color w:val="000000"/>
          <w:sz w:val="22"/>
          <w:szCs w:val="22"/>
          <w:highlight w:val="white"/>
        </w:rPr>
      </w:pPr>
      <w:r w:rsidRPr="00810AAE">
        <w:rPr>
          <w:b/>
          <w:bCs/>
          <w:color w:val="000000"/>
          <w:sz w:val="22"/>
          <w:szCs w:val="22"/>
        </w:rPr>
        <w:t xml:space="preserve">Figure </w:t>
      </w:r>
      <w:r>
        <w:rPr>
          <w:b/>
          <w:bCs/>
          <w:color w:val="000000"/>
          <w:sz w:val="22"/>
          <w:szCs w:val="22"/>
        </w:rPr>
        <w:t>S2</w:t>
      </w:r>
      <w:r>
        <w:rPr>
          <w:color w:val="000000"/>
          <w:sz w:val="22"/>
          <w:szCs w:val="22"/>
        </w:rPr>
        <w:t xml:space="preserve">. 16 km microwave-based Total Precipitable Water (TPW) composite imagery (combining the information from three Advanced Microwave Sounding Units (AMSU) on NOAA satellites and five Spectral Sensor Microwave Imagers (SSMI) on Department of Defense satellites) of TC Kelvin on February 17 at 194735 UTC (top) and February 19 at 104255 UTC (bottom) (image from </w:t>
      </w:r>
      <w:hyperlink r:id="rId13">
        <w:r>
          <w:rPr>
            <w:color w:val="0000FF"/>
            <w:sz w:val="22"/>
            <w:szCs w:val="22"/>
            <w:u w:val="single"/>
          </w:rPr>
          <w:t>http://rammb.cira.colostate.edu/products/tc_realtime/archive.asp?product=16kmtpwp&amp;storm_identifier=SH102018</w:t>
        </w:r>
      </w:hyperlink>
      <w:r>
        <w:rPr>
          <w:color w:val="000000"/>
          <w:sz w:val="22"/>
          <w:szCs w:val="22"/>
        </w:rPr>
        <w:t xml:space="preserve">). </w:t>
      </w:r>
    </w:p>
    <w:p w14:paraId="04ECAEED" w14:textId="06FF60C4" w:rsidR="000C7932" w:rsidRDefault="000C7932">
      <w:pPr>
        <w:rPr>
          <w:color w:val="000000"/>
          <w:sz w:val="22"/>
          <w:szCs w:val="22"/>
        </w:rPr>
      </w:pPr>
    </w:p>
    <w:p w14:paraId="06B43685" w14:textId="77777777" w:rsidR="000C7932" w:rsidRDefault="000C7932" w:rsidP="000C7932">
      <w:pPr>
        <w:jc w:val="center"/>
        <w:rPr>
          <w:sz w:val="22"/>
          <w:szCs w:val="22"/>
        </w:rPr>
      </w:pPr>
      <w:r>
        <w:rPr>
          <w:noProof/>
          <w:sz w:val="22"/>
          <w:szCs w:val="22"/>
          <w:lang w:eastAsia="en-US"/>
        </w:rPr>
        <w:lastRenderedPageBreak/>
        <w:drawing>
          <wp:inline distT="0" distB="0" distL="0" distR="0" wp14:anchorId="2633FDA9" wp14:editId="60441A83">
            <wp:extent cx="4886581" cy="6496050"/>
            <wp:effectExtent l="0" t="0" r="3175" b="0"/>
            <wp:docPr id="3" name="Picture 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S03.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23783" cy="6545505"/>
                    </a:xfrm>
                    <a:prstGeom prst="rect">
                      <a:avLst/>
                    </a:prstGeom>
                  </pic:spPr>
                </pic:pic>
              </a:graphicData>
            </a:graphic>
          </wp:inline>
        </w:drawing>
      </w:r>
    </w:p>
    <w:p w14:paraId="4A9C2FC2" w14:textId="77777777" w:rsidR="000C7932" w:rsidRDefault="000C7932" w:rsidP="000C7932">
      <w:pPr>
        <w:rPr>
          <w:color w:val="000000"/>
          <w:sz w:val="22"/>
          <w:szCs w:val="22"/>
        </w:rPr>
      </w:pPr>
    </w:p>
    <w:p w14:paraId="64E0FC17" w14:textId="77777777" w:rsidR="000C7932" w:rsidRDefault="000C7932" w:rsidP="000C7932">
      <w:pPr>
        <w:rPr>
          <w:color w:val="000000"/>
          <w:sz w:val="22"/>
          <w:szCs w:val="22"/>
        </w:rPr>
      </w:pPr>
      <w:r w:rsidRPr="00810AAE">
        <w:rPr>
          <w:b/>
          <w:bCs/>
          <w:color w:val="000000"/>
          <w:sz w:val="22"/>
          <w:szCs w:val="22"/>
        </w:rPr>
        <w:t xml:space="preserve">Figure </w:t>
      </w:r>
      <w:r>
        <w:rPr>
          <w:b/>
          <w:bCs/>
          <w:color w:val="000000"/>
          <w:sz w:val="22"/>
          <w:szCs w:val="22"/>
        </w:rPr>
        <w:t>S3</w:t>
      </w:r>
      <w:r>
        <w:rPr>
          <w:color w:val="000000"/>
          <w:sz w:val="22"/>
          <w:szCs w:val="22"/>
        </w:rPr>
        <w:t>. a) 6-hourly track analysis composite of TC Kelvin simulations in the physics and BC ensemble study Part I, b) Hourly maximum wind speed analysis composite of TC Kelvin simulations in the physics and BC ensemble study Part I (Refer to Table S1). Labels in legend are consistent with simulation IDs in Table S1. Black line represents the observed track of Kelvin by the Australian Bureau of Meteorology (here, labelled as “Best track”). Storm’s 6-hourly center locations were plotted with filled circles only for the simulation period (February 16-20, 2018).  The initial (final) locations of the simulated storm centers are marked with stars (squares) along with their annotations for the times. Red dots represent the time when the storm moved from ocean to land (i.e., landfall).</w:t>
      </w:r>
    </w:p>
    <w:p w14:paraId="0E2FE831" w14:textId="5EEB60FD" w:rsidR="000C7932" w:rsidRDefault="000C7932">
      <w:pPr>
        <w:rPr>
          <w:color w:val="000000"/>
          <w:sz w:val="22"/>
          <w:szCs w:val="22"/>
        </w:rPr>
      </w:pPr>
    </w:p>
    <w:p w14:paraId="06F4A4CD" w14:textId="72630C9C" w:rsidR="000C7932" w:rsidRDefault="000C7932">
      <w:pPr>
        <w:rPr>
          <w:color w:val="000000"/>
          <w:sz w:val="22"/>
          <w:szCs w:val="22"/>
        </w:rPr>
      </w:pPr>
    </w:p>
    <w:p w14:paraId="5CE7A917" w14:textId="3E4ED144" w:rsidR="000C7932" w:rsidRDefault="000C7932">
      <w:pPr>
        <w:rPr>
          <w:color w:val="000000"/>
          <w:sz w:val="22"/>
          <w:szCs w:val="22"/>
        </w:rPr>
      </w:pPr>
    </w:p>
    <w:p w14:paraId="70BEE57B" w14:textId="6676A055" w:rsidR="000C7932" w:rsidRDefault="000C7932">
      <w:pPr>
        <w:rPr>
          <w:color w:val="000000"/>
          <w:sz w:val="22"/>
          <w:szCs w:val="22"/>
        </w:rPr>
      </w:pPr>
    </w:p>
    <w:p w14:paraId="02D9C7D3" w14:textId="77777777" w:rsidR="000C7932" w:rsidRDefault="000C7932" w:rsidP="000C7932">
      <w:pPr>
        <w:jc w:val="center"/>
        <w:rPr>
          <w:color w:val="000000"/>
          <w:sz w:val="22"/>
          <w:szCs w:val="22"/>
        </w:rPr>
      </w:pPr>
      <w:r>
        <w:rPr>
          <w:noProof/>
          <w:color w:val="000000"/>
          <w:sz w:val="22"/>
          <w:szCs w:val="22"/>
          <w:lang w:eastAsia="en-US"/>
        </w:rPr>
        <w:drawing>
          <wp:inline distT="0" distB="0" distL="0" distR="0" wp14:anchorId="103CF137" wp14:editId="1E761E25">
            <wp:extent cx="4900911" cy="6515100"/>
            <wp:effectExtent l="0" t="0" r="1905" b="0"/>
            <wp:docPr id="2" name="Picture 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S04.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18232" cy="6538126"/>
                    </a:xfrm>
                    <a:prstGeom prst="rect">
                      <a:avLst/>
                    </a:prstGeom>
                  </pic:spPr>
                </pic:pic>
              </a:graphicData>
            </a:graphic>
          </wp:inline>
        </w:drawing>
      </w:r>
    </w:p>
    <w:p w14:paraId="77D3A5BE" w14:textId="77777777" w:rsidR="000C7932" w:rsidRDefault="000C7932" w:rsidP="000C7932">
      <w:pPr>
        <w:rPr>
          <w:color w:val="000000"/>
          <w:sz w:val="22"/>
          <w:szCs w:val="22"/>
        </w:rPr>
      </w:pPr>
    </w:p>
    <w:p w14:paraId="0D8A5DCB" w14:textId="77777777" w:rsidR="000C7932" w:rsidRDefault="000C7932" w:rsidP="000C7932">
      <w:pPr>
        <w:rPr>
          <w:color w:val="000000"/>
          <w:sz w:val="22"/>
          <w:szCs w:val="22"/>
        </w:rPr>
      </w:pPr>
      <w:r w:rsidRPr="00810AAE">
        <w:rPr>
          <w:b/>
          <w:bCs/>
          <w:color w:val="000000"/>
          <w:sz w:val="22"/>
          <w:szCs w:val="22"/>
        </w:rPr>
        <w:t xml:space="preserve">Figure </w:t>
      </w:r>
      <w:r>
        <w:rPr>
          <w:b/>
          <w:bCs/>
          <w:color w:val="000000"/>
          <w:sz w:val="22"/>
          <w:szCs w:val="22"/>
        </w:rPr>
        <w:t>S4</w:t>
      </w:r>
      <w:r>
        <w:rPr>
          <w:color w:val="000000"/>
          <w:sz w:val="22"/>
          <w:szCs w:val="22"/>
        </w:rPr>
        <w:t>. As in Figure S3 but for Part II in the physics and BC ensemble study. Note that the #1 Control case is also plotted for the reference while the #6 Tropical_noLIS is playing the role of the “control” to the other cases in Part II.</w:t>
      </w:r>
    </w:p>
    <w:p w14:paraId="6FF1D86F" w14:textId="2C090852" w:rsidR="000C7932" w:rsidRDefault="000C7932">
      <w:pPr>
        <w:rPr>
          <w:color w:val="000000"/>
          <w:sz w:val="22"/>
          <w:szCs w:val="22"/>
        </w:rPr>
      </w:pPr>
    </w:p>
    <w:p w14:paraId="7190FE23" w14:textId="62728870" w:rsidR="000C7932" w:rsidRDefault="000C7932">
      <w:pPr>
        <w:rPr>
          <w:color w:val="000000"/>
          <w:sz w:val="22"/>
          <w:szCs w:val="22"/>
        </w:rPr>
      </w:pPr>
    </w:p>
    <w:p w14:paraId="5EE9171D" w14:textId="2F2898FD" w:rsidR="000C7932" w:rsidRDefault="000C7932">
      <w:pPr>
        <w:rPr>
          <w:color w:val="000000"/>
          <w:sz w:val="22"/>
          <w:szCs w:val="22"/>
        </w:rPr>
      </w:pPr>
    </w:p>
    <w:p w14:paraId="4381F980" w14:textId="68318CD8" w:rsidR="000C7932" w:rsidRDefault="000C7932">
      <w:pPr>
        <w:rPr>
          <w:color w:val="000000"/>
          <w:sz w:val="22"/>
          <w:szCs w:val="22"/>
        </w:rPr>
      </w:pPr>
      <w:r>
        <w:rPr>
          <w:color w:val="000000"/>
          <w:sz w:val="22"/>
          <w:szCs w:val="22"/>
        </w:rPr>
        <w:lastRenderedPageBreak/>
        <w:t>Tables</w:t>
      </w:r>
    </w:p>
    <w:p w14:paraId="01BA765B" w14:textId="77777777" w:rsidR="000C7932" w:rsidRDefault="000C7932" w:rsidP="000C7932">
      <w:pPr>
        <w:rPr>
          <w:color w:val="000000"/>
          <w:sz w:val="22"/>
          <w:szCs w:val="22"/>
        </w:rPr>
      </w:pPr>
      <w:r>
        <w:rPr>
          <w:color w:val="000000"/>
        </w:rPr>
        <w:t>Table S1.</w:t>
      </w:r>
      <w:r w:rsidRPr="00054EA5">
        <w:rPr>
          <w:color w:val="000000"/>
          <w:sz w:val="22"/>
          <w:szCs w:val="22"/>
        </w:rPr>
        <w:t xml:space="preserve"> </w:t>
      </w:r>
      <w:r>
        <w:rPr>
          <w:color w:val="000000"/>
          <w:sz w:val="22"/>
          <w:szCs w:val="22"/>
        </w:rPr>
        <w:t>NU-WRF model experiment configurations for physics and BC ensemble study (Part I and II) and the land/soil moisture perturbation experiments</w:t>
      </w:r>
    </w:p>
    <w:tbl>
      <w:tblPr>
        <w:tblW w:w="9340" w:type="dxa"/>
        <w:tblLayout w:type="fixed"/>
        <w:tblLook w:val="0400" w:firstRow="0" w:lastRow="0" w:firstColumn="0" w:lastColumn="0" w:noHBand="0" w:noVBand="1"/>
      </w:tblPr>
      <w:tblGrid>
        <w:gridCol w:w="440"/>
        <w:gridCol w:w="1260"/>
        <w:gridCol w:w="1272"/>
        <w:gridCol w:w="742"/>
        <w:gridCol w:w="1315"/>
        <w:gridCol w:w="699"/>
        <w:gridCol w:w="750"/>
        <w:gridCol w:w="768"/>
        <w:gridCol w:w="682"/>
        <w:gridCol w:w="682"/>
        <w:gridCol w:w="730"/>
      </w:tblGrid>
      <w:tr w:rsidR="000C7932" w14:paraId="6B403A56" w14:textId="77777777" w:rsidTr="000A542C">
        <w:trPr>
          <w:trHeight w:val="160"/>
        </w:trPr>
        <w:tc>
          <w:tcPr>
            <w:tcW w:w="9340" w:type="dxa"/>
            <w:gridSpan w:val="11"/>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95B3655" w14:textId="77777777" w:rsidR="000C7932" w:rsidRDefault="000C7932" w:rsidP="000A542C">
            <w:pPr>
              <w:rPr>
                <w:rFonts w:ascii="Calibri" w:eastAsia="Calibri" w:hAnsi="Calibri" w:cs="Calibri"/>
                <w:sz w:val="16"/>
                <w:szCs w:val="16"/>
              </w:rPr>
            </w:pPr>
            <w:r w:rsidRPr="0004094E">
              <w:rPr>
                <w:rFonts w:ascii="Calibri" w:eastAsia="Calibri" w:hAnsi="Calibri" w:cs="Calibri"/>
                <w:b/>
                <w:bCs/>
                <w:sz w:val="16"/>
                <w:szCs w:val="16"/>
              </w:rPr>
              <w:t>Physics and BC ensemble Experiment Part I</w:t>
            </w:r>
            <w:r>
              <w:rPr>
                <w:rFonts w:ascii="Calibri" w:eastAsia="Calibri" w:hAnsi="Calibri" w:cs="Calibri"/>
                <w:sz w:val="16"/>
                <w:szCs w:val="16"/>
              </w:rPr>
              <w:t xml:space="preserve">. </w:t>
            </w:r>
            <w:r w:rsidRPr="0004094E">
              <w:rPr>
                <w:rFonts w:ascii="Calibri" w:eastAsia="Calibri" w:hAnsi="Calibri" w:cs="Calibri"/>
                <w:i/>
                <w:iCs/>
                <w:sz w:val="16"/>
                <w:szCs w:val="16"/>
              </w:rPr>
              <w:t>Comparison of NU-WRF physics vs. default WRF tropical suite: Control vs. Tropical</w:t>
            </w:r>
            <w:r>
              <w:rPr>
                <w:rFonts w:ascii="Calibri" w:eastAsia="Calibri" w:hAnsi="Calibri" w:cs="Calibri"/>
                <w:sz w:val="16"/>
                <w:szCs w:val="16"/>
              </w:rPr>
              <w:t xml:space="preserve"> </w:t>
            </w:r>
          </w:p>
        </w:tc>
      </w:tr>
      <w:tr w:rsidR="000C7932" w14:paraId="4988796A" w14:textId="77777777" w:rsidTr="000A542C">
        <w:trPr>
          <w:trHeight w:val="16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A0AF5D2"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31854771"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 xml:space="preserve">  Simulation ID</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1127ED5"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Simulation Composition Name</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D98A7D8"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IC/BC</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46BC39E"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Spinup (Forcing)</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53C3614"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Physics</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1F36126"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mp</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0E2DE5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radiation</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A79CE1C"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pbl</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DE4DBB8"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sfclay</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FCDE99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surface</w:t>
            </w:r>
          </w:p>
        </w:tc>
      </w:tr>
      <w:tr w:rsidR="000C7932" w14:paraId="15E9E2E7" w14:textId="77777777" w:rsidTr="000A542C">
        <w:trPr>
          <w:trHeight w:val="16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3A6ACB4"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1</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7C3C3D05"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Control</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DFDDB88"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NUWRF(GDAS)-LIS(GDAS)</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EDBCDD7"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GDAS</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1749E5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LIS(GDAS)</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1EBB63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ABB304E"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4ICE</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A38FAA1"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2017</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6F3B83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EF026D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E0F2421"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Noah3.6</w:t>
            </w:r>
          </w:p>
        </w:tc>
      </w:tr>
      <w:tr w:rsidR="000C7932" w14:paraId="7585AF3D" w14:textId="77777777" w:rsidTr="000A542C">
        <w:trPr>
          <w:trHeight w:val="24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8B27463"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2</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0127C3D9"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Tropical</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D91130D"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WRF(GDAS)-LIS(GDAS)</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194D4E7"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GDAS</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5B89EF8"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LIS(GDAS)</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6B79671"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WRF-Tropical</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C133AC1"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WSM6</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8C1BF73"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RRTMG</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BDA879B"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YSU</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990FD35"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MM5 Simil.</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A4EA110"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Noah3.6</w:t>
            </w:r>
          </w:p>
        </w:tc>
      </w:tr>
      <w:tr w:rsidR="000C7932" w14:paraId="6EC479A4" w14:textId="77777777" w:rsidTr="000A542C">
        <w:trPr>
          <w:trHeight w:val="24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4A09B7E"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3</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4079ECA4"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M2</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0782E71"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NUWRF(MERRA2)-LIS(MERRA2)</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D9A56E1"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MERRA2</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503C78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LIS(MERRA2)</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D0BA046"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21089C7"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4ICE</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F8263CB"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2017</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83B4E0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62DDA09"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8123D3E"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Noah3.6</w:t>
            </w:r>
          </w:p>
        </w:tc>
      </w:tr>
      <w:tr w:rsidR="000C7932" w14:paraId="26B841DB" w14:textId="77777777" w:rsidTr="000A542C">
        <w:trPr>
          <w:trHeight w:val="16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27B8E2E"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4</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590A2917"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M2G</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5D741E7"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NUWRF(MERRA2)-LIS(GDAS)</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E0836F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MERRA2</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C32CD0B"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LIS(GDAS)</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3F11B3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3AE6035"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4ICE</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3AD8674"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2017</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30BE8A1"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AE85630"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E3F1FEB"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Noah3.6</w:t>
            </w:r>
          </w:p>
        </w:tc>
      </w:tr>
      <w:tr w:rsidR="000C7932" w14:paraId="54B3B9F9" w14:textId="77777777" w:rsidTr="000A542C">
        <w:trPr>
          <w:trHeight w:val="16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5C32CF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5</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2BA13210"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Control_noLIS</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20A4EF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NUWRF(GDAS)</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084AB61"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GDAS</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CAF8AEB"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N/A</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5713BAE"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40B41AD"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4ICE</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EE35DEB"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2017</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396D292"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C18E87B"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29B8E6C"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Noah3.6</w:t>
            </w:r>
          </w:p>
        </w:tc>
      </w:tr>
      <w:tr w:rsidR="000C7932" w14:paraId="65787D55" w14:textId="77777777" w:rsidTr="000A542C">
        <w:trPr>
          <w:trHeight w:val="24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DF25F4D"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6</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263EB848"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Tropical_noLIS</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F307B8C"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WRF(GDAS)</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2007816"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GDAS</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70BAFB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N/A</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661FE5D"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WRF-Tropical</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86816AC"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WSM6</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C3A72A5"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RRTMG</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94CD33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YSU</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34FFCC9"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MM5 Simil.</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EA18503"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w:t>
            </w:r>
          </w:p>
        </w:tc>
      </w:tr>
      <w:tr w:rsidR="000C7932" w14:paraId="1CE7BA96" w14:textId="77777777" w:rsidTr="000A542C">
        <w:trPr>
          <w:trHeight w:val="16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A6D1D63"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7</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270D544E"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ERAI</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567F90C"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NUWRF(ERA-I)</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0CA0A7D"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ERA-I</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201420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N/A</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54F514D"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EEEBE60"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4ICE</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80A6D0C"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2017</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3064F16"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414BDC8"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AC183BC"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w:t>
            </w:r>
          </w:p>
        </w:tc>
      </w:tr>
      <w:tr w:rsidR="000C7932" w14:paraId="3136C52F" w14:textId="77777777" w:rsidTr="000A542C">
        <w:trPr>
          <w:trHeight w:val="24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0EDC691"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8</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3CE75363"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ERAI_Tropical</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176C4F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WRF(ERA-I)</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46F58C1"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ERA-I</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EACA4DB"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N/A</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03D16A4"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WRF-Tropical</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29A4415"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WSM6</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3329D70"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RRTMG</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7CEBA4B"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YSU</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0CD723D"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MM5 Simil.</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4A46156"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w:t>
            </w:r>
          </w:p>
        </w:tc>
      </w:tr>
      <w:tr w:rsidR="000C7932" w14:paraId="711B618D" w14:textId="77777777" w:rsidTr="000A542C">
        <w:trPr>
          <w:trHeight w:val="160"/>
        </w:trPr>
        <w:tc>
          <w:tcPr>
            <w:tcW w:w="9340" w:type="dxa"/>
            <w:gridSpan w:val="11"/>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D37649B" w14:textId="77777777" w:rsidR="000C7932" w:rsidRDefault="000C7932" w:rsidP="000A542C">
            <w:pPr>
              <w:rPr>
                <w:rFonts w:ascii="Calibri" w:eastAsia="Calibri" w:hAnsi="Calibri" w:cs="Calibri"/>
                <w:sz w:val="16"/>
                <w:szCs w:val="16"/>
              </w:rPr>
            </w:pPr>
            <w:r w:rsidRPr="0004094E">
              <w:rPr>
                <w:rFonts w:ascii="Calibri" w:eastAsia="Calibri" w:hAnsi="Calibri" w:cs="Calibri"/>
                <w:b/>
                <w:bCs/>
                <w:sz w:val="16"/>
                <w:szCs w:val="16"/>
              </w:rPr>
              <w:t>Physics and BC ensemble Experiment Part II</w:t>
            </w:r>
            <w:r>
              <w:rPr>
                <w:rFonts w:ascii="Calibri" w:eastAsia="Calibri" w:hAnsi="Calibri" w:cs="Calibri"/>
                <w:sz w:val="16"/>
                <w:szCs w:val="16"/>
              </w:rPr>
              <w:t xml:space="preserve">.  </w:t>
            </w:r>
            <w:r w:rsidRPr="0004094E">
              <w:rPr>
                <w:rFonts w:ascii="Calibri" w:eastAsia="Calibri" w:hAnsi="Calibri" w:cs="Calibri"/>
                <w:i/>
                <w:iCs/>
                <w:sz w:val="16"/>
                <w:szCs w:val="16"/>
              </w:rPr>
              <w:t>Goddard Physics Option Sensitivity Simulation</w:t>
            </w:r>
          </w:p>
        </w:tc>
      </w:tr>
      <w:tr w:rsidR="000C7932" w14:paraId="1CB46A67" w14:textId="77777777" w:rsidTr="000A542C">
        <w:trPr>
          <w:trHeight w:val="24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27A56DB"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6A62FA7B"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 xml:space="preserve"> Simulation ID</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230223D"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Physics Sensitivity Simulation Composition Name</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B9E6B08"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IC/BC</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77CE8E6"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Spinup (Forcing)</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DFF94F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Physics</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102F0FE"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mp</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8E426A1"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radiation</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3AAA6C3"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pbl</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4CC4A20"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sfclay</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C448BC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surface</w:t>
            </w:r>
          </w:p>
        </w:tc>
      </w:tr>
      <w:tr w:rsidR="000C7932" w14:paraId="03155C39" w14:textId="77777777" w:rsidTr="000A542C">
        <w:trPr>
          <w:trHeight w:val="24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062C1F7"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6</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77B804A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Tropical_noLIS</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9989340"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WRF(GDAS)</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D55EAD3"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GDAS</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41E5BB3"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N/A</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BB09A9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WRF-Tropical</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127BEBD"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WSM6</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CCD4CB9"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RRTMG</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B053CE8"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YSU</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2FE791C"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MM5 Simil.</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778DF25"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w:t>
            </w:r>
          </w:p>
        </w:tc>
      </w:tr>
      <w:tr w:rsidR="000C7932" w14:paraId="63F0FA3B" w14:textId="77777777" w:rsidTr="000A542C">
        <w:trPr>
          <w:trHeight w:val="16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57F98A6"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9</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6B0FFD02"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MP</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F6A2B5D"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WRF(GDAS)_Goddard-4ICE</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70E6F85"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GDAS</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FD907E6"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N/A</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410E070"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hybrid</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67F1962"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4ICE</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4FD7F44"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RRTMG</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C085C86"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YSU</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7D24E3B"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MM5 Simil.</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A100733"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w:t>
            </w:r>
          </w:p>
        </w:tc>
      </w:tr>
      <w:tr w:rsidR="000C7932" w14:paraId="67664E0A" w14:textId="77777777" w:rsidTr="000A542C">
        <w:trPr>
          <w:trHeight w:val="16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EBC86F2"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10</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1191BFC5"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Rad</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F76917B"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WRF(GDAS)_Goddard-2017</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2B7D5E8"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GDAS</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195DDEE"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N/A</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D6FB339"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hybrid</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13B81A6"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WSM6</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2E9B0EC"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2017</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A350BB4"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YSU</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00EB42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MM5 Simil.</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F2346F7"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w:t>
            </w:r>
          </w:p>
        </w:tc>
      </w:tr>
      <w:tr w:rsidR="000C7932" w14:paraId="3836D274" w14:textId="77777777" w:rsidTr="000A542C">
        <w:trPr>
          <w:trHeight w:val="16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ACCCD71"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11</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7DF252E5"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PBLSFC</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4631C24"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WRF(GDAS)_MYNN2</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93B8224"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GDAS</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AFCA2F3"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N/A</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904387E"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hybrid</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1F8091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WSM6</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382D1D0"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RRTMG</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CB7F374"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8036948"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5EAB537"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w:t>
            </w:r>
          </w:p>
        </w:tc>
      </w:tr>
      <w:tr w:rsidR="000C7932" w14:paraId="768A65F6" w14:textId="77777777" w:rsidTr="000A542C">
        <w:trPr>
          <w:trHeight w:val="16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A346CF5"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12</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3844AB0D"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Rad3ICE</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D62E678"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WRF(GDAS)_Goddard-2017/3ICE</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6304DC8"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GDAS</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624B05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N/A</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88F07A0"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hybrid</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2245A2C"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3ICE</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7A403AE"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2017</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A2DFECE"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YSU</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1951873"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MM5 Simil.</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FD7D81B"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w:t>
            </w:r>
          </w:p>
        </w:tc>
      </w:tr>
      <w:tr w:rsidR="000C7932" w14:paraId="0DB055CC" w14:textId="77777777" w:rsidTr="000A542C">
        <w:trPr>
          <w:trHeight w:val="16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6768C9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13</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7CFD8C25"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Rad4ICE</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5F66639"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WRF(GDAS)_Goddard-2017/4ICE</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8BC5911"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GDAS</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CB1E280"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N/A</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F4B361E"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hybrid</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3681337"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4ICE</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AB5D143"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2017</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C29DE97"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YSU</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D4D2C3C"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MM5 Simil.</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4A6CA6C"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w:t>
            </w:r>
          </w:p>
        </w:tc>
      </w:tr>
      <w:tr w:rsidR="000C7932" w14:paraId="40752CD8" w14:textId="77777777" w:rsidTr="000A542C">
        <w:trPr>
          <w:trHeight w:val="160"/>
        </w:trPr>
        <w:tc>
          <w:tcPr>
            <w:tcW w:w="9340" w:type="dxa"/>
            <w:gridSpan w:val="11"/>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0D82E4E" w14:textId="77777777" w:rsidR="000C7932" w:rsidRDefault="000C7932" w:rsidP="000A542C">
            <w:pPr>
              <w:rPr>
                <w:color w:val="000000"/>
                <w:sz w:val="22"/>
                <w:szCs w:val="22"/>
              </w:rPr>
            </w:pPr>
            <w:r w:rsidRPr="0004094E">
              <w:rPr>
                <w:rFonts w:ascii="Calibri" w:eastAsia="Calibri" w:hAnsi="Calibri" w:cs="Calibri"/>
                <w:b/>
                <w:bCs/>
                <w:color w:val="000000"/>
                <w:sz w:val="16"/>
                <w:szCs w:val="16"/>
              </w:rPr>
              <w:t>Land/soil moisture perturbation experiments</w:t>
            </w:r>
            <w:r>
              <w:rPr>
                <w:rFonts w:ascii="Calibri" w:eastAsia="Calibri" w:hAnsi="Calibri" w:cs="Calibri"/>
                <w:color w:val="000000"/>
                <w:sz w:val="16"/>
                <w:szCs w:val="16"/>
              </w:rPr>
              <w:t>.</w:t>
            </w:r>
            <w:r>
              <w:rPr>
                <w:rFonts w:ascii="Calibri" w:eastAsia="Calibri" w:hAnsi="Calibri" w:cs="Calibri"/>
                <w:sz w:val="16"/>
                <w:szCs w:val="16"/>
              </w:rPr>
              <w:t xml:space="preserve"> </w:t>
            </w:r>
            <w:r w:rsidRPr="0004094E">
              <w:rPr>
                <w:rFonts w:ascii="Calibri" w:eastAsia="Calibri" w:hAnsi="Calibri" w:cs="Calibri"/>
                <w:i/>
                <w:iCs/>
                <w:sz w:val="16"/>
                <w:szCs w:val="16"/>
              </w:rPr>
              <w:t>Storm sensitivity to land surface fluxes by soil moisture, soil texture, surface flux settings</w:t>
            </w:r>
            <w:r>
              <w:rPr>
                <w:rFonts w:ascii="Calibri" w:eastAsia="Calibri" w:hAnsi="Calibri" w:cs="Calibri"/>
                <w:sz w:val="16"/>
                <w:szCs w:val="16"/>
              </w:rPr>
              <w:t xml:space="preserve"> </w:t>
            </w:r>
          </w:p>
        </w:tc>
      </w:tr>
      <w:tr w:rsidR="000C7932" w14:paraId="64B67C99" w14:textId="77777777" w:rsidTr="000A542C">
        <w:trPr>
          <w:trHeight w:val="24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A463162"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21E1716B"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 xml:space="preserve"> Simulation ID</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0C8D02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Soil Moisture Sensitivity Simulation Composition Name</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2E6C13D"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IC/BC</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98FFCCE"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Spinup (Forcing)</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3E234C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Physics</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8100DE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mp</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AF380E3"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radiation</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AA45012"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pbl</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CA08094"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sfclay</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47196E5"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surface</w:t>
            </w:r>
          </w:p>
        </w:tc>
      </w:tr>
      <w:tr w:rsidR="000C7932" w14:paraId="3099270A" w14:textId="77777777" w:rsidTr="000A542C">
        <w:trPr>
          <w:trHeight w:val="16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7D6D645"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1</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17E6E2F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Control</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F9F0085"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NUWRF(GDAS)-LIS(GDAS)</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1E3A46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GDAS</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52755E3"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LIS(GDAS)</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116EE70"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7C5F3A9"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4ICE</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0218458"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2017</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0DF0322"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687D6B0"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44405A4"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Noah3.6</w:t>
            </w:r>
          </w:p>
        </w:tc>
      </w:tr>
      <w:tr w:rsidR="000C7932" w14:paraId="12058532" w14:textId="77777777" w:rsidTr="000A542C">
        <w:trPr>
          <w:trHeight w:val="24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E7B88E4"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14</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643F7FF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SMwet</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31E4C80"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NUWRF(GDAS)-LIS(GDAS)-WET</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C69B5CC"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GDAS</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E703125"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Max_Climatology</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11A30C9"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4CE486B"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4ICE</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8BCE997"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2017</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25A32F5"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9618019"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C7C278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Noah3.6</w:t>
            </w:r>
          </w:p>
        </w:tc>
      </w:tr>
      <w:tr w:rsidR="000C7932" w14:paraId="35E6D020" w14:textId="77777777" w:rsidTr="000A542C">
        <w:trPr>
          <w:trHeight w:val="16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8D37B25"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lastRenderedPageBreak/>
              <w:t>15</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64282C2E"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SMdry</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433D6B8"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NUWRF(GDAS)-LIS(GDAS)-DRY</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3C15446"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GDAS</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ACAA59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Min_Climatology</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B409456"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7877D56"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4ICE</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3E01AC4"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2017</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76FB8D5"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4127EE0"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49A1364"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Noah3.6</w:t>
            </w:r>
          </w:p>
        </w:tc>
      </w:tr>
      <w:tr w:rsidR="000C7932" w14:paraId="0D0D836C" w14:textId="77777777" w:rsidTr="000A542C">
        <w:trPr>
          <w:trHeight w:val="24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2CB2B92"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16</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775378F8"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SMsat</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854C8E3"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NUWRF(GDAS)-LIS(GDAS)-Saturated</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7ABA3F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GDAS</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EBE7CCC"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LIS(GDAS)</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CC662D2"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1C9DB6C"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4ICE</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7F37C80"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2017</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2FC122B"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B51C307"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AB3C15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Noah3.6</w:t>
            </w:r>
          </w:p>
        </w:tc>
      </w:tr>
      <w:tr w:rsidR="000C7932" w14:paraId="3619C7DB" w14:textId="77777777" w:rsidTr="000A542C">
        <w:trPr>
          <w:trHeight w:val="16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A778506"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17</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36371943"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SMaqua</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AD0F042"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NUWRF(GDAS)-LIS(GDAS)-aqua</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C9E1AC6"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GDAS</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875EF14"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LIS(GDAS)</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F61A13D"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F738C3B"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4ICE</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ED7A300"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2017</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1952298"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15D1B21"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BE688C5"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Noah3.6</w:t>
            </w:r>
          </w:p>
        </w:tc>
      </w:tr>
      <w:tr w:rsidR="000C7932" w14:paraId="0BCADF1C" w14:textId="77777777" w:rsidTr="000A542C">
        <w:trPr>
          <w:trHeight w:val="24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614F1AE"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18</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3C8860E0"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LHzero</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6F941D9"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NUWRF(GDAS)-LIS(GDAS)-NoLHF</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35FFED2"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GDAS</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4BF81B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LIS(GDAS)</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1E08254"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CF4AE79"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4ICE</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1D64F9E"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2017</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5B93D50"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E71E288"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20C4549"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Noah3.6</w:t>
            </w:r>
          </w:p>
        </w:tc>
      </w:tr>
      <w:tr w:rsidR="000C7932" w14:paraId="68D454A2" w14:textId="77777777" w:rsidTr="000A542C">
        <w:trPr>
          <w:trHeight w:val="24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0DDE3A2"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19</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5B7262A4"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SHFzero</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E3F0E89"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NUWRF(GDAS)-LIS(GDAS)-NoSHF</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41D84B8"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GDAS</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B7976B6"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LIS(GDAS)</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DCC0539"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6F14521"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4ICE</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0F5F2A2"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2017</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669FD35"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B23913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E882A88"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Noah3.6</w:t>
            </w:r>
          </w:p>
        </w:tc>
      </w:tr>
      <w:tr w:rsidR="000C7932" w14:paraId="28EBC7C4" w14:textId="77777777" w:rsidTr="000A542C">
        <w:trPr>
          <w:trHeight w:val="24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4BFB1A7"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20</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390F359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LSHFzero</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78817E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NUWRF(GDAS)-LIS(GDAS)-NoLHF-NoSHF</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B0AEE22"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GDAS</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D5E850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LIS(GDAS)</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E229FA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154C840"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4ICE</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C932A9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2017</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4D6FAC3"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65F0558"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65D0093"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Noah3.6</w:t>
            </w:r>
          </w:p>
        </w:tc>
      </w:tr>
      <w:tr w:rsidR="000C7932" w14:paraId="2C07A3F0" w14:textId="77777777" w:rsidTr="000A542C">
        <w:trPr>
          <w:trHeight w:val="24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85B852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21</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6A1089B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Clay</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7808CF3"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NUWRF(GDAS)-LIS(GDAS)-All_Clay</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9ABFAB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GDAS</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15BE911B"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LIS(GDAS)</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AD182FD"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29AF701"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4ICE</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E02CC0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2017</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C5B4E76"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5DDFE2D"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06CE12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Noah3.6</w:t>
            </w:r>
          </w:p>
        </w:tc>
      </w:tr>
      <w:tr w:rsidR="000C7932" w14:paraId="4BD37B3C" w14:textId="77777777" w:rsidTr="000A542C">
        <w:trPr>
          <w:trHeight w:val="24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C28FC30"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22</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0B5F9AA7"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ISRIC</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DBCAAA5"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NUWRF(GDAS)-LIS(GDAS)-ISRIC_Soil_Texture</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9EB5BB2"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GDAS</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529C143"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LIS(GDAS)</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DE7FC16"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NUWRF</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7BE9C2E"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4ICE</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67A4F6D"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Goddard 2017</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D45E3B7"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D3D9229"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MYNN2</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E1D0EF4"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Noah3.6</w:t>
            </w:r>
          </w:p>
        </w:tc>
      </w:tr>
      <w:tr w:rsidR="000C7932" w14:paraId="1AB532A7" w14:textId="77777777" w:rsidTr="000A542C">
        <w:trPr>
          <w:trHeight w:val="24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B2B8969"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23</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2043481B"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SMwettropic</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031E7CF"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WRF(GDAS)-LIS(GDAS)-WET</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596CC4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GDAS</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527EF6D"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Max_Climatology</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818F973"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WRF-Tropical</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12663E1"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WSM6</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8D283EE"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RRTMG</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F1C2F75"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YSU</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75567DB"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MM5 Simil.</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627E19EB"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Noah3.6</w:t>
            </w:r>
          </w:p>
        </w:tc>
      </w:tr>
      <w:tr w:rsidR="000C7932" w14:paraId="61A1A303" w14:textId="77777777" w:rsidTr="000A542C">
        <w:trPr>
          <w:trHeight w:val="240"/>
        </w:trPr>
        <w:tc>
          <w:tcPr>
            <w:tcW w:w="44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464E1D2"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24</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tcPr>
          <w:p w14:paraId="1D381520"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SMdrytropic</w:t>
            </w:r>
          </w:p>
        </w:tc>
        <w:tc>
          <w:tcPr>
            <w:tcW w:w="127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B8F2C51"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WRF(GDAS)-LIS(GDAS)-DRY</w:t>
            </w:r>
          </w:p>
        </w:tc>
        <w:tc>
          <w:tcPr>
            <w:tcW w:w="74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0EA3E20A"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GDAS</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0235F77"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Min_Climatology</w:t>
            </w:r>
          </w:p>
        </w:tc>
        <w:tc>
          <w:tcPr>
            <w:tcW w:w="699"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28123D29"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WRF-Tropical</w:t>
            </w:r>
          </w:p>
        </w:tc>
        <w:tc>
          <w:tcPr>
            <w:tcW w:w="75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EC11B12"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WSM6</w:t>
            </w:r>
          </w:p>
        </w:tc>
        <w:tc>
          <w:tcPr>
            <w:tcW w:w="768"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31385ED3"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RRTMG</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5A9AA3F6"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YSU</w:t>
            </w:r>
          </w:p>
        </w:tc>
        <w:tc>
          <w:tcPr>
            <w:tcW w:w="682"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7990F000"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MM5 Simil.</w:t>
            </w:r>
          </w:p>
        </w:tc>
        <w:tc>
          <w:tcPr>
            <w:tcW w:w="730" w:type="dxa"/>
            <w:tcBorders>
              <w:top w:val="single" w:sz="8" w:space="0" w:color="000000"/>
              <w:left w:val="single" w:sz="8" w:space="0" w:color="000000"/>
              <w:bottom w:val="single" w:sz="8" w:space="0" w:color="000000"/>
              <w:right w:val="single" w:sz="8" w:space="0" w:color="000000"/>
            </w:tcBorders>
            <w:shd w:val="clear" w:color="auto" w:fill="auto"/>
            <w:tcMar>
              <w:top w:w="44" w:type="dxa"/>
              <w:left w:w="88" w:type="dxa"/>
              <w:bottom w:w="44" w:type="dxa"/>
              <w:right w:w="88" w:type="dxa"/>
            </w:tcMar>
            <w:vAlign w:val="center"/>
          </w:tcPr>
          <w:p w14:paraId="485435D2" w14:textId="77777777" w:rsidR="000C7932" w:rsidRDefault="000C7932" w:rsidP="000A542C">
            <w:pPr>
              <w:rPr>
                <w:rFonts w:ascii="Calibri" w:eastAsia="Calibri" w:hAnsi="Calibri" w:cs="Calibri"/>
                <w:sz w:val="16"/>
                <w:szCs w:val="16"/>
              </w:rPr>
            </w:pPr>
            <w:r>
              <w:rPr>
                <w:rFonts w:ascii="Calibri" w:eastAsia="Calibri" w:hAnsi="Calibri" w:cs="Calibri"/>
                <w:sz w:val="16"/>
                <w:szCs w:val="16"/>
              </w:rPr>
              <w:t>Noah3.6</w:t>
            </w:r>
          </w:p>
        </w:tc>
      </w:tr>
    </w:tbl>
    <w:p w14:paraId="4FF516A1" w14:textId="0872085E" w:rsidR="000C7932" w:rsidRDefault="000C7932">
      <w:pPr>
        <w:rPr>
          <w:color w:val="000000"/>
          <w:sz w:val="22"/>
          <w:szCs w:val="22"/>
        </w:rPr>
      </w:pPr>
    </w:p>
    <w:p w14:paraId="19B7A484" w14:textId="50FF7368" w:rsidR="000C7932" w:rsidRDefault="000C7932">
      <w:pPr>
        <w:rPr>
          <w:color w:val="000000"/>
          <w:sz w:val="22"/>
          <w:szCs w:val="22"/>
        </w:rPr>
      </w:pPr>
    </w:p>
    <w:p w14:paraId="72FB339F" w14:textId="29F8489C" w:rsidR="000C7932" w:rsidRDefault="000C7932">
      <w:pPr>
        <w:rPr>
          <w:color w:val="000000"/>
          <w:sz w:val="22"/>
          <w:szCs w:val="22"/>
        </w:rPr>
      </w:pPr>
    </w:p>
    <w:p w14:paraId="3506473D" w14:textId="77777777" w:rsidR="000C7932" w:rsidRDefault="000C7932">
      <w:pPr>
        <w:rPr>
          <w:color w:val="000000"/>
          <w:sz w:val="22"/>
          <w:szCs w:val="22"/>
        </w:rPr>
      </w:pPr>
    </w:p>
    <w:p w14:paraId="2B23CC4A" w14:textId="77777777" w:rsidR="0018596B" w:rsidRDefault="0018596B" w:rsidP="000C7932">
      <w:pPr>
        <w:rPr>
          <w:b/>
          <w:bCs/>
          <w:color w:val="000000"/>
          <w:sz w:val="22"/>
          <w:szCs w:val="22"/>
        </w:rPr>
      </w:pPr>
    </w:p>
    <w:p w14:paraId="7E43A8A1" w14:textId="77777777" w:rsidR="0018596B" w:rsidRDefault="0018596B" w:rsidP="000C7932">
      <w:pPr>
        <w:rPr>
          <w:b/>
          <w:bCs/>
          <w:color w:val="000000"/>
          <w:sz w:val="22"/>
          <w:szCs w:val="22"/>
        </w:rPr>
      </w:pPr>
    </w:p>
    <w:p w14:paraId="68B03E4A" w14:textId="77777777" w:rsidR="0018596B" w:rsidRDefault="0018596B" w:rsidP="000C7932">
      <w:pPr>
        <w:rPr>
          <w:b/>
          <w:bCs/>
          <w:color w:val="000000"/>
          <w:sz w:val="22"/>
          <w:szCs w:val="22"/>
        </w:rPr>
      </w:pPr>
    </w:p>
    <w:p w14:paraId="160861B2" w14:textId="77777777" w:rsidR="0018596B" w:rsidRDefault="0018596B" w:rsidP="000C7932">
      <w:pPr>
        <w:rPr>
          <w:b/>
          <w:bCs/>
          <w:color w:val="000000"/>
          <w:sz w:val="22"/>
          <w:szCs w:val="22"/>
        </w:rPr>
      </w:pPr>
    </w:p>
    <w:p w14:paraId="2E5802A7" w14:textId="77777777" w:rsidR="0018596B" w:rsidRDefault="0018596B" w:rsidP="000C7932">
      <w:pPr>
        <w:rPr>
          <w:b/>
          <w:bCs/>
          <w:color w:val="000000"/>
          <w:sz w:val="22"/>
          <w:szCs w:val="22"/>
        </w:rPr>
      </w:pPr>
    </w:p>
    <w:p w14:paraId="70AAEAEC" w14:textId="77777777" w:rsidR="0018596B" w:rsidRDefault="0018596B" w:rsidP="000C7932">
      <w:pPr>
        <w:rPr>
          <w:b/>
          <w:bCs/>
          <w:color w:val="000000"/>
          <w:sz w:val="22"/>
          <w:szCs w:val="22"/>
        </w:rPr>
      </w:pPr>
    </w:p>
    <w:p w14:paraId="6464B8D2" w14:textId="77777777" w:rsidR="0018596B" w:rsidRDefault="0018596B" w:rsidP="000C7932">
      <w:pPr>
        <w:rPr>
          <w:b/>
          <w:bCs/>
          <w:color w:val="000000"/>
          <w:sz w:val="22"/>
          <w:szCs w:val="22"/>
        </w:rPr>
      </w:pPr>
    </w:p>
    <w:p w14:paraId="0615DC39" w14:textId="77777777" w:rsidR="0018596B" w:rsidRDefault="0018596B" w:rsidP="000C7932">
      <w:pPr>
        <w:rPr>
          <w:b/>
          <w:bCs/>
          <w:color w:val="000000"/>
          <w:sz w:val="22"/>
          <w:szCs w:val="22"/>
        </w:rPr>
      </w:pPr>
    </w:p>
    <w:p w14:paraId="286CB50C" w14:textId="77777777" w:rsidR="0018596B" w:rsidRDefault="0018596B" w:rsidP="000C7932">
      <w:pPr>
        <w:rPr>
          <w:b/>
          <w:bCs/>
          <w:color w:val="000000"/>
          <w:sz w:val="22"/>
          <w:szCs w:val="22"/>
        </w:rPr>
      </w:pPr>
    </w:p>
    <w:p w14:paraId="25A145BA" w14:textId="77777777" w:rsidR="0018596B" w:rsidRDefault="0018596B" w:rsidP="000C7932">
      <w:pPr>
        <w:rPr>
          <w:b/>
          <w:bCs/>
          <w:color w:val="000000"/>
          <w:sz w:val="22"/>
          <w:szCs w:val="22"/>
        </w:rPr>
      </w:pPr>
    </w:p>
    <w:p w14:paraId="197E005F" w14:textId="77777777" w:rsidR="0018596B" w:rsidRDefault="0018596B" w:rsidP="000C7932">
      <w:pPr>
        <w:rPr>
          <w:b/>
          <w:bCs/>
          <w:color w:val="000000"/>
          <w:sz w:val="22"/>
          <w:szCs w:val="22"/>
        </w:rPr>
      </w:pPr>
    </w:p>
    <w:p w14:paraId="01A21DB3" w14:textId="77777777" w:rsidR="0018596B" w:rsidRDefault="0018596B" w:rsidP="000C7932">
      <w:pPr>
        <w:rPr>
          <w:b/>
          <w:bCs/>
          <w:color w:val="000000"/>
          <w:sz w:val="22"/>
          <w:szCs w:val="22"/>
        </w:rPr>
      </w:pPr>
    </w:p>
    <w:p w14:paraId="73450030" w14:textId="77777777" w:rsidR="0018596B" w:rsidRDefault="0018596B" w:rsidP="000C7932">
      <w:pPr>
        <w:rPr>
          <w:b/>
          <w:bCs/>
          <w:color w:val="000000"/>
          <w:sz w:val="22"/>
          <w:szCs w:val="22"/>
        </w:rPr>
      </w:pPr>
    </w:p>
    <w:p w14:paraId="5E848539" w14:textId="77777777" w:rsidR="0018596B" w:rsidRDefault="0018596B" w:rsidP="000C7932">
      <w:pPr>
        <w:rPr>
          <w:b/>
          <w:bCs/>
          <w:color w:val="000000"/>
          <w:sz w:val="22"/>
          <w:szCs w:val="22"/>
        </w:rPr>
      </w:pPr>
    </w:p>
    <w:p w14:paraId="694107E5" w14:textId="77777777" w:rsidR="0018596B" w:rsidRDefault="0018596B" w:rsidP="000C7932">
      <w:pPr>
        <w:rPr>
          <w:b/>
          <w:bCs/>
          <w:color w:val="000000"/>
          <w:sz w:val="22"/>
          <w:szCs w:val="22"/>
        </w:rPr>
      </w:pPr>
    </w:p>
    <w:p w14:paraId="5EFC5257" w14:textId="77777777" w:rsidR="0018596B" w:rsidRDefault="0018596B" w:rsidP="000C7932">
      <w:pPr>
        <w:rPr>
          <w:b/>
          <w:bCs/>
          <w:color w:val="000000"/>
          <w:sz w:val="22"/>
          <w:szCs w:val="22"/>
        </w:rPr>
      </w:pPr>
    </w:p>
    <w:p w14:paraId="556AC542" w14:textId="77777777" w:rsidR="0018596B" w:rsidRDefault="0018596B" w:rsidP="000C7932">
      <w:pPr>
        <w:rPr>
          <w:b/>
          <w:bCs/>
          <w:color w:val="000000"/>
          <w:sz w:val="22"/>
          <w:szCs w:val="22"/>
        </w:rPr>
      </w:pPr>
    </w:p>
    <w:p w14:paraId="336626B8" w14:textId="77777777" w:rsidR="0018596B" w:rsidRDefault="0018596B" w:rsidP="000C7932">
      <w:pPr>
        <w:rPr>
          <w:b/>
          <w:bCs/>
          <w:color w:val="000000"/>
          <w:sz w:val="22"/>
          <w:szCs w:val="22"/>
        </w:rPr>
      </w:pPr>
    </w:p>
    <w:p w14:paraId="1420CB4A" w14:textId="77777777" w:rsidR="0018596B" w:rsidRDefault="0018596B" w:rsidP="000C7932">
      <w:pPr>
        <w:rPr>
          <w:b/>
          <w:bCs/>
          <w:color w:val="000000"/>
          <w:sz w:val="22"/>
          <w:szCs w:val="22"/>
        </w:rPr>
      </w:pPr>
    </w:p>
    <w:p w14:paraId="74B25092" w14:textId="77777777" w:rsidR="0018596B" w:rsidRDefault="0018596B" w:rsidP="000C7932">
      <w:pPr>
        <w:rPr>
          <w:b/>
          <w:bCs/>
          <w:color w:val="000000"/>
          <w:sz w:val="22"/>
          <w:szCs w:val="22"/>
        </w:rPr>
      </w:pPr>
    </w:p>
    <w:p w14:paraId="19C862CE" w14:textId="77777777" w:rsidR="0018596B" w:rsidRDefault="0018596B" w:rsidP="000C7932">
      <w:pPr>
        <w:rPr>
          <w:b/>
          <w:bCs/>
          <w:color w:val="000000"/>
          <w:sz w:val="22"/>
          <w:szCs w:val="22"/>
        </w:rPr>
      </w:pPr>
    </w:p>
    <w:p w14:paraId="7F3DE03D" w14:textId="77C9F4FC" w:rsidR="000C7932" w:rsidRDefault="000C7932" w:rsidP="000C7932">
      <w:pPr>
        <w:rPr>
          <w:color w:val="000000"/>
          <w:sz w:val="22"/>
          <w:szCs w:val="22"/>
        </w:rPr>
      </w:pPr>
      <w:r w:rsidRPr="00477159">
        <w:rPr>
          <w:b/>
          <w:bCs/>
          <w:color w:val="000000"/>
          <w:sz w:val="22"/>
          <w:szCs w:val="22"/>
        </w:rPr>
        <w:lastRenderedPageBreak/>
        <w:t xml:space="preserve">Table </w:t>
      </w:r>
      <w:r>
        <w:rPr>
          <w:b/>
          <w:bCs/>
          <w:color w:val="000000"/>
          <w:sz w:val="22"/>
          <w:szCs w:val="22"/>
        </w:rPr>
        <w:t>S2</w:t>
      </w:r>
      <w:r>
        <w:rPr>
          <w:color w:val="000000"/>
          <w:sz w:val="22"/>
          <w:szCs w:val="22"/>
        </w:rPr>
        <w:t>. Storm intensity record comparison among the observations by Australia, IBTrACS (USA), and CIMSS TC SATCON</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
        <w:gridCol w:w="879"/>
        <w:gridCol w:w="1097"/>
        <w:gridCol w:w="879"/>
        <w:gridCol w:w="792"/>
        <w:gridCol w:w="792"/>
        <w:gridCol w:w="729"/>
        <w:gridCol w:w="777"/>
        <w:gridCol w:w="777"/>
        <w:gridCol w:w="855"/>
        <w:gridCol w:w="900"/>
      </w:tblGrid>
      <w:tr w:rsidR="000C7932" w14:paraId="4F64DD67" w14:textId="77777777" w:rsidTr="000A542C">
        <w:tc>
          <w:tcPr>
            <w:tcW w:w="878" w:type="dxa"/>
            <w:vAlign w:val="bottom"/>
          </w:tcPr>
          <w:p w14:paraId="03D078C1" w14:textId="77777777" w:rsidR="000C7932" w:rsidRDefault="000C7932" w:rsidP="000A542C">
            <w:pPr>
              <w:jc w:val="center"/>
              <w:rPr>
                <w:rFonts w:ascii="Calibri" w:eastAsia="Calibri" w:hAnsi="Calibri" w:cs="Calibri"/>
                <w:color w:val="000000"/>
                <w:sz w:val="16"/>
                <w:szCs w:val="16"/>
              </w:rPr>
            </w:pPr>
            <w:r>
              <w:rPr>
                <w:rFonts w:ascii="Calibri" w:eastAsia="Calibri" w:hAnsi="Calibri" w:cs="Calibri"/>
                <w:color w:val="000000"/>
                <w:sz w:val="16"/>
                <w:szCs w:val="16"/>
              </w:rPr>
              <w:t>Date Time</w:t>
            </w:r>
          </w:p>
        </w:tc>
        <w:tc>
          <w:tcPr>
            <w:tcW w:w="879" w:type="dxa"/>
            <w:vAlign w:val="bottom"/>
          </w:tcPr>
          <w:p w14:paraId="6FB52980" w14:textId="77777777" w:rsidR="000C7932" w:rsidRDefault="000C7932" w:rsidP="000A542C">
            <w:pPr>
              <w:jc w:val="center"/>
              <w:rPr>
                <w:rFonts w:ascii="Calibri" w:eastAsia="Calibri" w:hAnsi="Calibri" w:cs="Calibri"/>
                <w:color w:val="000000"/>
                <w:sz w:val="16"/>
                <w:szCs w:val="16"/>
              </w:rPr>
            </w:pPr>
            <w:r>
              <w:rPr>
                <w:rFonts w:ascii="Calibri" w:eastAsia="Calibri" w:hAnsi="Calibri" w:cs="Calibri"/>
                <w:color w:val="000000"/>
                <w:sz w:val="16"/>
                <w:szCs w:val="16"/>
              </w:rPr>
              <w:t>Australia</w:t>
            </w:r>
          </w:p>
          <w:p w14:paraId="140605D8" w14:textId="77777777" w:rsidR="000C7932" w:rsidRDefault="000C7932" w:rsidP="000A542C">
            <w:pPr>
              <w:jc w:val="center"/>
              <w:rPr>
                <w:rFonts w:ascii="Calibri" w:eastAsia="Calibri" w:hAnsi="Calibri" w:cs="Calibri"/>
                <w:color w:val="000000"/>
                <w:sz w:val="16"/>
                <w:szCs w:val="16"/>
              </w:rPr>
            </w:pPr>
            <w:r>
              <w:rPr>
                <w:rFonts w:ascii="Calibri" w:eastAsia="Calibri" w:hAnsi="Calibri" w:cs="Calibri"/>
                <w:color w:val="000000"/>
                <w:sz w:val="16"/>
                <w:szCs w:val="16"/>
              </w:rPr>
              <w:t>PRESSURE</w:t>
            </w:r>
          </w:p>
          <w:p w14:paraId="461AEA23" w14:textId="77777777" w:rsidR="000C7932" w:rsidRDefault="000C7932" w:rsidP="000A542C">
            <w:pPr>
              <w:jc w:val="center"/>
              <w:rPr>
                <w:rFonts w:ascii="Calibri" w:eastAsia="Calibri" w:hAnsi="Calibri" w:cs="Calibri"/>
                <w:color w:val="000000"/>
                <w:sz w:val="16"/>
                <w:szCs w:val="16"/>
              </w:rPr>
            </w:pPr>
            <w:r>
              <w:rPr>
                <w:rFonts w:ascii="Calibri" w:eastAsia="Calibri" w:hAnsi="Calibri" w:cs="Calibri"/>
                <w:color w:val="000000"/>
                <w:sz w:val="16"/>
                <w:szCs w:val="16"/>
              </w:rPr>
              <w:t>[mb]</w:t>
            </w:r>
          </w:p>
        </w:tc>
        <w:tc>
          <w:tcPr>
            <w:tcW w:w="1097" w:type="dxa"/>
            <w:vAlign w:val="bottom"/>
          </w:tcPr>
          <w:p w14:paraId="1195232C" w14:textId="77777777" w:rsidR="000C7932" w:rsidRDefault="000C7932" w:rsidP="000A542C">
            <w:pPr>
              <w:jc w:val="center"/>
              <w:rPr>
                <w:rFonts w:ascii="Calibri" w:eastAsia="Calibri" w:hAnsi="Calibri" w:cs="Calibri"/>
                <w:color w:val="000000"/>
                <w:sz w:val="16"/>
                <w:szCs w:val="16"/>
              </w:rPr>
            </w:pPr>
            <w:r>
              <w:rPr>
                <w:rFonts w:ascii="Calibri" w:eastAsia="Calibri" w:hAnsi="Calibri" w:cs="Calibri"/>
                <w:color w:val="000000"/>
                <w:sz w:val="16"/>
                <w:szCs w:val="16"/>
              </w:rPr>
              <w:t>IBTrACS</w:t>
            </w:r>
            <w:r>
              <w:rPr>
                <w:rFonts w:ascii="Arial" w:eastAsia="Arial" w:hAnsi="Arial" w:cs="Arial"/>
                <w:color w:val="000000"/>
                <w:sz w:val="16"/>
                <w:szCs w:val="16"/>
              </w:rPr>
              <w:t xml:space="preserve"> PRESSURE [mb]</w:t>
            </w:r>
          </w:p>
        </w:tc>
        <w:tc>
          <w:tcPr>
            <w:tcW w:w="879" w:type="dxa"/>
            <w:vAlign w:val="bottom"/>
          </w:tcPr>
          <w:p w14:paraId="21731C63" w14:textId="77777777" w:rsidR="000C7932" w:rsidRDefault="000C7932" w:rsidP="000A542C">
            <w:pPr>
              <w:jc w:val="center"/>
              <w:rPr>
                <w:rFonts w:ascii="Calibri" w:eastAsia="Calibri" w:hAnsi="Calibri" w:cs="Calibri"/>
                <w:color w:val="000000"/>
                <w:sz w:val="16"/>
                <w:szCs w:val="16"/>
              </w:rPr>
            </w:pPr>
            <w:r>
              <w:rPr>
                <w:rFonts w:ascii="Calibri" w:eastAsia="Calibri" w:hAnsi="Calibri" w:cs="Calibri"/>
                <w:color w:val="000000"/>
                <w:sz w:val="16"/>
                <w:szCs w:val="16"/>
              </w:rPr>
              <w:t>PRESSURE US/Aus</w:t>
            </w:r>
          </w:p>
          <w:p w14:paraId="5814CDCB" w14:textId="77777777" w:rsidR="000C7932" w:rsidRDefault="000C7932" w:rsidP="000A542C">
            <w:pPr>
              <w:jc w:val="center"/>
              <w:rPr>
                <w:rFonts w:ascii="Calibri" w:eastAsia="Calibri" w:hAnsi="Calibri" w:cs="Calibri"/>
                <w:color w:val="000000"/>
                <w:sz w:val="16"/>
                <w:szCs w:val="16"/>
              </w:rPr>
            </w:pPr>
            <w:r>
              <w:rPr>
                <w:rFonts w:ascii="Calibri" w:eastAsia="Calibri" w:hAnsi="Calibri" w:cs="Calibri"/>
                <w:color w:val="000000"/>
                <w:sz w:val="16"/>
                <w:szCs w:val="16"/>
              </w:rPr>
              <w:t>[%]</w:t>
            </w:r>
          </w:p>
        </w:tc>
        <w:tc>
          <w:tcPr>
            <w:tcW w:w="792" w:type="dxa"/>
            <w:vAlign w:val="bottom"/>
          </w:tcPr>
          <w:p w14:paraId="3127B7B1" w14:textId="77777777" w:rsidR="000C7932" w:rsidRDefault="000C7932" w:rsidP="000A542C">
            <w:pPr>
              <w:jc w:val="center"/>
              <w:rPr>
                <w:rFonts w:ascii="Calibri" w:eastAsia="Calibri" w:hAnsi="Calibri" w:cs="Calibri"/>
                <w:color w:val="000000"/>
                <w:sz w:val="16"/>
                <w:szCs w:val="16"/>
              </w:rPr>
            </w:pPr>
            <w:r>
              <w:rPr>
                <w:rFonts w:ascii="Calibri" w:eastAsia="Calibri" w:hAnsi="Calibri" w:cs="Calibri"/>
                <w:color w:val="000000"/>
                <w:sz w:val="16"/>
                <w:szCs w:val="16"/>
              </w:rPr>
              <w:t>Australia WIND</w:t>
            </w:r>
          </w:p>
          <w:p w14:paraId="5BBEDE10" w14:textId="77777777" w:rsidR="000C7932" w:rsidRDefault="000C7932" w:rsidP="000A542C">
            <w:pPr>
              <w:jc w:val="center"/>
              <w:rPr>
                <w:rFonts w:ascii="Calibri" w:eastAsia="Calibri" w:hAnsi="Calibri" w:cs="Calibri"/>
                <w:color w:val="000000"/>
                <w:sz w:val="16"/>
                <w:szCs w:val="16"/>
              </w:rPr>
            </w:pPr>
            <w:r>
              <w:rPr>
                <w:rFonts w:ascii="Calibri" w:eastAsia="Calibri" w:hAnsi="Calibri" w:cs="Calibri"/>
                <w:color w:val="000000"/>
                <w:sz w:val="16"/>
                <w:szCs w:val="16"/>
              </w:rPr>
              <w:t>[m/s]</w:t>
            </w:r>
          </w:p>
        </w:tc>
        <w:tc>
          <w:tcPr>
            <w:tcW w:w="792" w:type="dxa"/>
            <w:vAlign w:val="bottom"/>
          </w:tcPr>
          <w:p w14:paraId="4459E0B5" w14:textId="77777777" w:rsidR="000C7932" w:rsidRDefault="000C7932" w:rsidP="000A542C">
            <w:pPr>
              <w:jc w:val="center"/>
              <w:rPr>
                <w:rFonts w:ascii="Calibri" w:eastAsia="Calibri" w:hAnsi="Calibri" w:cs="Calibri"/>
                <w:color w:val="000000"/>
                <w:sz w:val="16"/>
                <w:szCs w:val="16"/>
              </w:rPr>
            </w:pPr>
            <w:r>
              <w:rPr>
                <w:rFonts w:ascii="Calibri" w:eastAsia="Calibri" w:hAnsi="Calibri" w:cs="Calibri"/>
                <w:color w:val="000000"/>
                <w:sz w:val="16"/>
                <w:szCs w:val="16"/>
              </w:rPr>
              <w:t>Australia</w:t>
            </w:r>
          </w:p>
          <w:p w14:paraId="470E51E0" w14:textId="77777777" w:rsidR="000C7932" w:rsidRDefault="000C7932" w:rsidP="000A542C">
            <w:pPr>
              <w:jc w:val="center"/>
              <w:rPr>
                <w:rFonts w:ascii="Calibri" w:eastAsia="Calibri" w:hAnsi="Calibri" w:cs="Calibri"/>
                <w:color w:val="000000"/>
                <w:sz w:val="16"/>
                <w:szCs w:val="16"/>
              </w:rPr>
            </w:pPr>
            <w:r>
              <w:rPr>
                <w:rFonts w:ascii="Calibri" w:eastAsia="Calibri" w:hAnsi="Calibri" w:cs="Calibri"/>
                <w:color w:val="000000"/>
                <w:sz w:val="16"/>
                <w:szCs w:val="16"/>
              </w:rPr>
              <w:t>WIND</w:t>
            </w:r>
          </w:p>
          <w:p w14:paraId="0B67DB37" w14:textId="77777777" w:rsidR="000C7932" w:rsidRDefault="000C7932" w:rsidP="000A542C">
            <w:pPr>
              <w:jc w:val="center"/>
              <w:rPr>
                <w:rFonts w:ascii="Calibri" w:eastAsia="Calibri" w:hAnsi="Calibri" w:cs="Calibri"/>
                <w:color w:val="000000"/>
                <w:sz w:val="16"/>
                <w:szCs w:val="16"/>
              </w:rPr>
            </w:pPr>
            <w:r>
              <w:rPr>
                <w:rFonts w:ascii="Calibri" w:eastAsia="Calibri" w:hAnsi="Calibri" w:cs="Calibri"/>
                <w:color w:val="000000"/>
                <w:sz w:val="16"/>
                <w:szCs w:val="16"/>
              </w:rPr>
              <w:t>[kts]</w:t>
            </w:r>
          </w:p>
        </w:tc>
        <w:tc>
          <w:tcPr>
            <w:tcW w:w="729" w:type="dxa"/>
            <w:vAlign w:val="bottom"/>
          </w:tcPr>
          <w:p w14:paraId="2A51827B" w14:textId="77777777" w:rsidR="000C7932" w:rsidRDefault="000C7932" w:rsidP="000A542C">
            <w:pPr>
              <w:jc w:val="center"/>
              <w:rPr>
                <w:rFonts w:ascii="Arial" w:eastAsia="Arial" w:hAnsi="Arial" w:cs="Arial"/>
                <w:color w:val="000000"/>
                <w:sz w:val="16"/>
                <w:szCs w:val="16"/>
              </w:rPr>
            </w:pPr>
            <w:r>
              <w:rPr>
                <w:rFonts w:ascii="Calibri" w:eastAsia="Calibri" w:hAnsi="Calibri" w:cs="Calibri"/>
                <w:color w:val="000000"/>
                <w:sz w:val="16"/>
                <w:szCs w:val="16"/>
              </w:rPr>
              <w:t>IBTrACS</w:t>
            </w:r>
          </w:p>
          <w:p w14:paraId="140776B0" w14:textId="77777777" w:rsidR="000C7932" w:rsidRDefault="000C7932" w:rsidP="000A542C">
            <w:pPr>
              <w:jc w:val="center"/>
              <w:rPr>
                <w:rFonts w:ascii="Arial" w:eastAsia="Arial" w:hAnsi="Arial" w:cs="Arial"/>
                <w:color w:val="000000"/>
                <w:sz w:val="16"/>
                <w:szCs w:val="16"/>
              </w:rPr>
            </w:pPr>
            <w:r>
              <w:rPr>
                <w:rFonts w:ascii="Arial" w:eastAsia="Arial" w:hAnsi="Arial" w:cs="Arial"/>
                <w:color w:val="000000"/>
                <w:sz w:val="16"/>
                <w:szCs w:val="16"/>
              </w:rPr>
              <w:t>WIND</w:t>
            </w:r>
          </w:p>
          <w:p w14:paraId="7D60F4C8" w14:textId="77777777" w:rsidR="000C7932" w:rsidRDefault="000C7932" w:rsidP="000A542C">
            <w:pPr>
              <w:jc w:val="center"/>
              <w:rPr>
                <w:rFonts w:ascii="Calibri" w:eastAsia="Calibri" w:hAnsi="Calibri" w:cs="Calibri"/>
                <w:color w:val="000000"/>
                <w:sz w:val="16"/>
                <w:szCs w:val="16"/>
              </w:rPr>
            </w:pPr>
            <w:r>
              <w:rPr>
                <w:rFonts w:ascii="Arial" w:eastAsia="Arial" w:hAnsi="Arial" w:cs="Arial"/>
                <w:color w:val="000000"/>
                <w:sz w:val="16"/>
                <w:szCs w:val="16"/>
              </w:rPr>
              <w:t>[kts]</w:t>
            </w:r>
          </w:p>
        </w:tc>
        <w:tc>
          <w:tcPr>
            <w:tcW w:w="777" w:type="dxa"/>
            <w:vAlign w:val="bottom"/>
          </w:tcPr>
          <w:p w14:paraId="0B9B9B5D" w14:textId="77777777" w:rsidR="000C7932" w:rsidRDefault="000C7932" w:rsidP="000A542C">
            <w:pPr>
              <w:jc w:val="center"/>
              <w:rPr>
                <w:rFonts w:ascii="Calibri" w:eastAsia="Calibri" w:hAnsi="Calibri" w:cs="Calibri"/>
                <w:color w:val="000000"/>
                <w:sz w:val="16"/>
                <w:szCs w:val="16"/>
              </w:rPr>
            </w:pPr>
            <w:r>
              <w:rPr>
                <w:rFonts w:ascii="Calibri" w:eastAsia="Calibri" w:hAnsi="Calibri" w:cs="Calibri"/>
                <w:color w:val="000000"/>
                <w:sz w:val="16"/>
                <w:szCs w:val="16"/>
              </w:rPr>
              <w:t>WIND</w:t>
            </w:r>
          </w:p>
          <w:p w14:paraId="6BA3F841" w14:textId="77777777" w:rsidR="000C7932" w:rsidRDefault="000C7932" w:rsidP="000A542C">
            <w:pPr>
              <w:jc w:val="center"/>
              <w:rPr>
                <w:rFonts w:ascii="Calibri" w:eastAsia="Calibri" w:hAnsi="Calibri" w:cs="Calibri"/>
                <w:color w:val="000000"/>
                <w:sz w:val="16"/>
                <w:szCs w:val="16"/>
              </w:rPr>
            </w:pPr>
            <w:r>
              <w:rPr>
                <w:rFonts w:ascii="Calibri" w:eastAsia="Calibri" w:hAnsi="Calibri" w:cs="Calibri"/>
                <w:color w:val="000000"/>
                <w:sz w:val="16"/>
                <w:szCs w:val="16"/>
              </w:rPr>
              <w:t>Aus/US</w:t>
            </w:r>
          </w:p>
          <w:p w14:paraId="0C77BBAB" w14:textId="77777777" w:rsidR="000C7932" w:rsidRDefault="000C7932" w:rsidP="000A542C">
            <w:pPr>
              <w:jc w:val="center"/>
              <w:rPr>
                <w:rFonts w:ascii="Calibri" w:eastAsia="Calibri" w:hAnsi="Calibri" w:cs="Calibri"/>
                <w:color w:val="000000"/>
                <w:sz w:val="16"/>
                <w:szCs w:val="16"/>
              </w:rPr>
            </w:pPr>
            <w:r>
              <w:rPr>
                <w:rFonts w:ascii="Calibri" w:eastAsia="Calibri" w:hAnsi="Calibri" w:cs="Calibri"/>
                <w:color w:val="000000"/>
                <w:sz w:val="16"/>
                <w:szCs w:val="16"/>
              </w:rPr>
              <w:t>[%]</w:t>
            </w:r>
          </w:p>
        </w:tc>
        <w:tc>
          <w:tcPr>
            <w:tcW w:w="777" w:type="dxa"/>
            <w:vAlign w:val="bottom"/>
          </w:tcPr>
          <w:p w14:paraId="686751E1" w14:textId="77777777" w:rsidR="000C7932" w:rsidRDefault="000C7932" w:rsidP="000A542C">
            <w:pPr>
              <w:jc w:val="center"/>
              <w:rPr>
                <w:rFonts w:ascii="Calibri" w:eastAsia="Calibri" w:hAnsi="Calibri" w:cs="Calibri"/>
                <w:color w:val="000000"/>
                <w:sz w:val="16"/>
                <w:szCs w:val="16"/>
              </w:rPr>
            </w:pPr>
            <w:r>
              <w:rPr>
                <w:rFonts w:ascii="Calibri" w:eastAsia="Calibri" w:hAnsi="Calibri" w:cs="Calibri"/>
                <w:color w:val="000000"/>
                <w:sz w:val="16"/>
                <w:szCs w:val="16"/>
              </w:rPr>
              <w:t>WIND</w:t>
            </w:r>
          </w:p>
          <w:p w14:paraId="5EBD1EDF" w14:textId="77777777" w:rsidR="000C7932" w:rsidRDefault="000C7932" w:rsidP="000A542C">
            <w:pPr>
              <w:jc w:val="center"/>
              <w:rPr>
                <w:rFonts w:ascii="Calibri" w:eastAsia="Calibri" w:hAnsi="Calibri" w:cs="Calibri"/>
                <w:color w:val="000000"/>
                <w:sz w:val="16"/>
                <w:szCs w:val="16"/>
              </w:rPr>
            </w:pPr>
            <w:r>
              <w:rPr>
                <w:rFonts w:ascii="Calibri" w:eastAsia="Calibri" w:hAnsi="Calibri" w:cs="Calibri"/>
                <w:color w:val="000000"/>
                <w:sz w:val="16"/>
                <w:szCs w:val="16"/>
              </w:rPr>
              <w:t>US/Aus</w:t>
            </w:r>
          </w:p>
          <w:p w14:paraId="18562DB3" w14:textId="77777777" w:rsidR="000C7932" w:rsidRDefault="000C7932" w:rsidP="000A542C">
            <w:pPr>
              <w:jc w:val="center"/>
              <w:rPr>
                <w:rFonts w:ascii="Calibri" w:eastAsia="Calibri" w:hAnsi="Calibri" w:cs="Calibri"/>
                <w:color w:val="000000"/>
                <w:sz w:val="16"/>
                <w:szCs w:val="16"/>
              </w:rPr>
            </w:pPr>
            <w:r>
              <w:rPr>
                <w:rFonts w:ascii="Calibri" w:eastAsia="Calibri" w:hAnsi="Calibri" w:cs="Calibri"/>
                <w:color w:val="000000"/>
                <w:sz w:val="16"/>
                <w:szCs w:val="16"/>
              </w:rPr>
              <w:t>[%]</w:t>
            </w:r>
          </w:p>
        </w:tc>
        <w:tc>
          <w:tcPr>
            <w:tcW w:w="855" w:type="dxa"/>
          </w:tcPr>
          <w:p w14:paraId="3D23F9F4" w14:textId="77777777" w:rsidR="000C7932" w:rsidRDefault="000C7932" w:rsidP="000A542C">
            <w:pPr>
              <w:jc w:val="center"/>
              <w:rPr>
                <w:rFonts w:ascii="Calibri" w:eastAsia="Calibri" w:hAnsi="Calibri" w:cs="Calibri"/>
                <w:color w:val="000000"/>
                <w:sz w:val="16"/>
                <w:szCs w:val="16"/>
              </w:rPr>
            </w:pPr>
            <w:r>
              <w:rPr>
                <w:rFonts w:ascii="Calibri" w:eastAsia="Calibri" w:hAnsi="Calibri" w:cs="Calibri"/>
                <w:color w:val="000000"/>
                <w:sz w:val="16"/>
                <w:szCs w:val="16"/>
              </w:rPr>
              <w:t>CIMSS TC SATCON</w:t>
            </w:r>
          </w:p>
          <w:p w14:paraId="2838DBE3" w14:textId="77777777" w:rsidR="000C7932" w:rsidRDefault="000C7932" w:rsidP="000A542C">
            <w:pPr>
              <w:jc w:val="center"/>
              <w:rPr>
                <w:rFonts w:ascii="Calibri" w:eastAsia="Calibri" w:hAnsi="Calibri" w:cs="Calibri"/>
                <w:color w:val="000000"/>
                <w:sz w:val="16"/>
                <w:szCs w:val="16"/>
              </w:rPr>
            </w:pPr>
            <w:r>
              <w:rPr>
                <w:rFonts w:ascii="Calibri" w:eastAsia="Calibri" w:hAnsi="Calibri" w:cs="Calibri"/>
                <w:color w:val="000000"/>
                <w:sz w:val="16"/>
                <w:szCs w:val="16"/>
              </w:rPr>
              <w:t>Initial</w:t>
            </w:r>
          </w:p>
          <w:p w14:paraId="28584991" w14:textId="77777777" w:rsidR="000C7932" w:rsidRDefault="000C7932" w:rsidP="000A542C">
            <w:pPr>
              <w:jc w:val="center"/>
              <w:rPr>
                <w:rFonts w:ascii="Calibri" w:eastAsia="Calibri" w:hAnsi="Calibri" w:cs="Calibri"/>
                <w:color w:val="000000"/>
                <w:sz w:val="16"/>
                <w:szCs w:val="16"/>
              </w:rPr>
            </w:pPr>
            <w:r>
              <w:rPr>
                <w:rFonts w:ascii="Calibri" w:eastAsia="Calibri" w:hAnsi="Calibri" w:cs="Calibri"/>
                <w:color w:val="000000"/>
                <w:sz w:val="16"/>
                <w:szCs w:val="16"/>
              </w:rPr>
              <w:t>[kts]</w:t>
            </w:r>
          </w:p>
        </w:tc>
        <w:tc>
          <w:tcPr>
            <w:tcW w:w="900" w:type="dxa"/>
          </w:tcPr>
          <w:p w14:paraId="5E0AF8B2" w14:textId="77777777" w:rsidR="000C7932" w:rsidRDefault="000C7932" w:rsidP="000A542C">
            <w:pPr>
              <w:jc w:val="center"/>
              <w:rPr>
                <w:rFonts w:ascii="Calibri" w:eastAsia="Calibri" w:hAnsi="Calibri" w:cs="Calibri"/>
                <w:color w:val="000000"/>
                <w:sz w:val="16"/>
                <w:szCs w:val="16"/>
              </w:rPr>
            </w:pPr>
            <w:r>
              <w:rPr>
                <w:rFonts w:ascii="Calibri" w:eastAsia="Calibri" w:hAnsi="Calibri" w:cs="Calibri"/>
                <w:color w:val="000000"/>
                <w:sz w:val="16"/>
                <w:szCs w:val="16"/>
              </w:rPr>
              <w:t>CIMSS TC SATCON Final</w:t>
            </w:r>
          </w:p>
          <w:p w14:paraId="65F3A745" w14:textId="77777777" w:rsidR="000C7932" w:rsidRDefault="000C7932" w:rsidP="000A542C">
            <w:pPr>
              <w:jc w:val="center"/>
              <w:rPr>
                <w:rFonts w:ascii="Calibri" w:eastAsia="Calibri" w:hAnsi="Calibri" w:cs="Calibri"/>
                <w:color w:val="000000"/>
                <w:sz w:val="16"/>
                <w:szCs w:val="16"/>
              </w:rPr>
            </w:pPr>
            <w:r>
              <w:rPr>
                <w:rFonts w:ascii="Calibri" w:eastAsia="Calibri" w:hAnsi="Calibri" w:cs="Calibri"/>
                <w:color w:val="000000"/>
                <w:sz w:val="16"/>
                <w:szCs w:val="16"/>
              </w:rPr>
              <w:t>[kts]</w:t>
            </w:r>
          </w:p>
        </w:tc>
      </w:tr>
      <w:tr w:rsidR="000C7932" w14:paraId="56A194A7" w14:textId="77777777" w:rsidTr="000A542C">
        <w:tc>
          <w:tcPr>
            <w:tcW w:w="878" w:type="dxa"/>
            <w:vAlign w:val="bottom"/>
          </w:tcPr>
          <w:p w14:paraId="6B8EA25D" w14:textId="77777777" w:rsidR="000C7932" w:rsidRDefault="000C7932" w:rsidP="000A542C">
            <w:pPr>
              <w:rPr>
                <w:rFonts w:ascii="Calibri" w:eastAsia="Calibri" w:hAnsi="Calibri" w:cs="Calibri"/>
                <w:color w:val="000000"/>
                <w:sz w:val="20"/>
                <w:szCs w:val="20"/>
              </w:rPr>
            </w:pPr>
            <w:r>
              <w:rPr>
                <w:rFonts w:ascii="Calibri" w:eastAsia="Calibri" w:hAnsi="Calibri" w:cs="Calibri"/>
                <w:color w:val="000000"/>
                <w:sz w:val="20"/>
                <w:szCs w:val="20"/>
              </w:rPr>
              <w:t>2/16/18 0:00</w:t>
            </w:r>
          </w:p>
        </w:tc>
        <w:tc>
          <w:tcPr>
            <w:tcW w:w="879" w:type="dxa"/>
            <w:vAlign w:val="bottom"/>
          </w:tcPr>
          <w:p w14:paraId="59F7C3D8"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999</w:t>
            </w:r>
          </w:p>
        </w:tc>
        <w:tc>
          <w:tcPr>
            <w:tcW w:w="1097" w:type="dxa"/>
            <w:vAlign w:val="bottom"/>
          </w:tcPr>
          <w:p w14:paraId="11210B44" w14:textId="77777777" w:rsidR="000C7932" w:rsidRDefault="000C7932" w:rsidP="000A542C">
            <w:pPr>
              <w:jc w:val="right"/>
              <w:rPr>
                <w:rFonts w:ascii="Calibri" w:eastAsia="Calibri" w:hAnsi="Calibri" w:cs="Calibri"/>
                <w:color w:val="000000"/>
                <w:sz w:val="20"/>
                <w:szCs w:val="20"/>
              </w:rPr>
            </w:pPr>
          </w:p>
        </w:tc>
        <w:tc>
          <w:tcPr>
            <w:tcW w:w="879" w:type="dxa"/>
            <w:vAlign w:val="bottom"/>
          </w:tcPr>
          <w:p w14:paraId="3BB9E25B" w14:textId="77777777" w:rsidR="000C7932" w:rsidRDefault="000C7932" w:rsidP="000A542C">
            <w:pPr>
              <w:jc w:val="right"/>
              <w:rPr>
                <w:rFonts w:ascii="Calibri" w:eastAsia="Calibri" w:hAnsi="Calibri" w:cs="Calibri"/>
                <w:color w:val="000000"/>
                <w:sz w:val="20"/>
                <w:szCs w:val="20"/>
              </w:rPr>
            </w:pPr>
          </w:p>
        </w:tc>
        <w:tc>
          <w:tcPr>
            <w:tcW w:w="792" w:type="dxa"/>
            <w:vAlign w:val="bottom"/>
          </w:tcPr>
          <w:p w14:paraId="652D8ECE"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12.9</w:t>
            </w:r>
          </w:p>
        </w:tc>
        <w:tc>
          <w:tcPr>
            <w:tcW w:w="792" w:type="dxa"/>
            <w:vAlign w:val="bottom"/>
          </w:tcPr>
          <w:p w14:paraId="1FCC5532"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25.08</w:t>
            </w:r>
          </w:p>
        </w:tc>
        <w:tc>
          <w:tcPr>
            <w:tcW w:w="729" w:type="dxa"/>
            <w:vAlign w:val="bottom"/>
          </w:tcPr>
          <w:p w14:paraId="7CED2944" w14:textId="77777777" w:rsidR="000C7932" w:rsidRDefault="000C7932" w:rsidP="000A542C">
            <w:pPr>
              <w:jc w:val="right"/>
              <w:rPr>
                <w:rFonts w:ascii="Calibri" w:eastAsia="Calibri" w:hAnsi="Calibri" w:cs="Calibri"/>
                <w:color w:val="000000"/>
                <w:sz w:val="20"/>
                <w:szCs w:val="20"/>
              </w:rPr>
            </w:pPr>
          </w:p>
        </w:tc>
        <w:tc>
          <w:tcPr>
            <w:tcW w:w="777" w:type="dxa"/>
            <w:vAlign w:val="bottom"/>
          </w:tcPr>
          <w:p w14:paraId="31550832" w14:textId="77777777" w:rsidR="000C7932" w:rsidRDefault="000C7932" w:rsidP="000A542C">
            <w:pPr>
              <w:jc w:val="right"/>
              <w:rPr>
                <w:rFonts w:ascii="Calibri" w:eastAsia="Calibri" w:hAnsi="Calibri" w:cs="Calibri"/>
                <w:color w:val="000000"/>
                <w:sz w:val="20"/>
                <w:szCs w:val="20"/>
              </w:rPr>
            </w:pPr>
          </w:p>
        </w:tc>
        <w:tc>
          <w:tcPr>
            <w:tcW w:w="777" w:type="dxa"/>
            <w:vAlign w:val="bottom"/>
          </w:tcPr>
          <w:p w14:paraId="26282E9F" w14:textId="77777777" w:rsidR="000C7932" w:rsidRDefault="000C7932" w:rsidP="000A542C">
            <w:pPr>
              <w:jc w:val="right"/>
              <w:rPr>
                <w:rFonts w:ascii="Calibri" w:eastAsia="Calibri" w:hAnsi="Calibri" w:cs="Calibri"/>
                <w:color w:val="000000"/>
                <w:sz w:val="20"/>
                <w:szCs w:val="20"/>
              </w:rPr>
            </w:pPr>
          </w:p>
        </w:tc>
        <w:tc>
          <w:tcPr>
            <w:tcW w:w="855" w:type="dxa"/>
          </w:tcPr>
          <w:p w14:paraId="6E915609" w14:textId="77777777" w:rsidR="000C7932" w:rsidRDefault="000C7932" w:rsidP="000A542C">
            <w:pPr>
              <w:jc w:val="right"/>
              <w:rPr>
                <w:rFonts w:ascii="Calibri" w:eastAsia="Calibri" w:hAnsi="Calibri" w:cs="Calibri"/>
                <w:color w:val="000000"/>
                <w:sz w:val="20"/>
                <w:szCs w:val="20"/>
              </w:rPr>
            </w:pPr>
          </w:p>
        </w:tc>
        <w:tc>
          <w:tcPr>
            <w:tcW w:w="900" w:type="dxa"/>
          </w:tcPr>
          <w:p w14:paraId="589E9406" w14:textId="77777777" w:rsidR="000C7932" w:rsidRDefault="000C7932" w:rsidP="000A542C">
            <w:pPr>
              <w:jc w:val="right"/>
              <w:rPr>
                <w:rFonts w:ascii="Calibri" w:eastAsia="Calibri" w:hAnsi="Calibri" w:cs="Calibri"/>
                <w:color w:val="000000"/>
                <w:sz w:val="20"/>
                <w:szCs w:val="20"/>
              </w:rPr>
            </w:pPr>
          </w:p>
        </w:tc>
      </w:tr>
      <w:tr w:rsidR="000C7932" w14:paraId="5EAFBE21" w14:textId="77777777" w:rsidTr="000A542C">
        <w:tc>
          <w:tcPr>
            <w:tcW w:w="878" w:type="dxa"/>
            <w:vAlign w:val="bottom"/>
          </w:tcPr>
          <w:p w14:paraId="0FD0A8C8" w14:textId="77777777" w:rsidR="000C7932" w:rsidRDefault="000C7932" w:rsidP="000A542C">
            <w:pPr>
              <w:rPr>
                <w:rFonts w:ascii="Calibri" w:eastAsia="Calibri" w:hAnsi="Calibri" w:cs="Calibri"/>
                <w:color w:val="000000"/>
                <w:sz w:val="20"/>
                <w:szCs w:val="20"/>
              </w:rPr>
            </w:pPr>
            <w:r>
              <w:rPr>
                <w:rFonts w:ascii="Calibri" w:eastAsia="Calibri" w:hAnsi="Calibri" w:cs="Calibri"/>
                <w:color w:val="000000"/>
                <w:sz w:val="20"/>
                <w:szCs w:val="20"/>
              </w:rPr>
              <w:t>2/16/18 6:00</w:t>
            </w:r>
          </w:p>
        </w:tc>
        <w:tc>
          <w:tcPr>
            <w:tcW w:w="879" w:type="dxa"/>
            <w:vAlign w:val="bottom"/>
          </w:tcPr>
          <w:p w14:paraId="52E7B987"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998</w:t>
            </w:r>
          </w:p>
        </w:tc>
        <w:tc>
          <w:tcPr>
            <w:tcW w:w="1097" w:type="dxa"/>
            <w:vAlign w:val="bottom"/>
          </w:tcPr>
          <w:p w14:paraId="1EC544B7" w14:textId="77777777" w:rsidR="000C7932" w:rsidRDefault="000C7932" w:rsidP="000A542C">
            <w:pPr>
              <w:jc w:val="right"/>
              <w:rPr>
                <w:rFonts w:ascii="Calibri" w:eastAsia="Calibri" w:hAnsi="Calibri" w:cs="Calibri"/>
                <w:color w:val="000000"/>
                <w:sz w:val="20"/>
                <w:szCs w:val="20"/>
              </w:rPr>
            </w:pPr>
            <w:r>
              <w:rPr>
                <w:rFonts w:ascii="Arial" w:eastAsia="Arial" w:hAnsi="Arial" w:cs="Arial"/>
                <w:color w:val="000000"/>
                <w:sz w:val="20"/>
                <w:szCs w:val="20"/>
              </w:rPr>
              <w:t>1004</w:t>
            </w:r>
          </w:p>
        </w:tc>
        <w:tc>
          <w:tcPr>
            <w:tcW w:w="879" w:type="dxa"/>
            <w:vAlign w:val="bottom"/>
          </w:tcPr>
          <w:p w14:paraId="10E9DDB3"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100.60</w:t>
            </w:r>
          </w:p>
        </w:tc>
        <w:tc>
          <w:tcPr>
            <w:tcW w:w="792" w:type="dxa"/>
            <w:vAlign w:val="bottom"/>
          </w:tcPr>
          <w:p w14:paraId="76EADEDC"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15.4</w:t>
            </w:r>
          </w:p>
        </w:tc>
        <w:tc>
          <w:tcPr>
            <w:tcW w:w="792" w:type="dxa"/>
            <w:vAlign w:val="bottom"/>
          </w:tcPr>
          <w:p w14:paraId="2B749F06"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29.94</w:t>
            </w:r>
          </w:p>
        </w:tc>
        <w:tc>
          <w:tcPr>
            <w:tcW w:w="729" w:type="dxa"/>
            <w:vAlign w:val="bottom"/>
          </w:tcPr>
          <w:p w14:paraId="340581D2" w14:textId="77777777" w:rsidR="000C7932" w:rsidRDefault="000C7932" w:rsidP="000A542C">
            <w:pPr>
              <w:jc w:val="right"/>
              <w:rPr>
                <w:rFonts w:ascii="Calibri" w:eastAsia="Calibri" w:hAnsi="Calibri" w:cs="Calibri"/>
                <w:b/>
                <w:color w:val="000000"/>
                <w:sz w:val="20"/>
                <w:szCs w:val="20"/>
              </w:rPr>
            </w:pPr>
            <w:r>
              <w:rPr>
                <w:rFonts w:ascii="Arial" w:eastAsia="Arial" w:hAnsi="Arial" w:cs="Arial"/>
                <w:b/>
                <w:color w:val="000000"/>
                <w:sz w:val="20"/>
                <w:szCs w:val="20"/>
              </w:rPr>
              <w:t>29</w:t>
            </w:r>
          </w:p>
        </w:tc>
        <w:tc>
          <w:tcPr>
            <w:tcW w:w="777" w:type="dxa"/>
            <w:vAlign w:val="bottom"/>
          </w:tcPr>
          <w:p w14:paraId="52522A8F"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103.22</w:t>
            </w:r>
          </w:p>
        </w:tc>
        <w:tc>
          <w:tcPr>
            <w:tcW w:w="777" w:type="dxa"/>
            <w:vAlign w:val="bottom"/>
          </w:tcPr>
          <w:p w14:paraId="35377E8D"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96.88</w:t>
            </w:r>
          </w:p>
        </w:tc>
        <w:tc>
          <w:tcPr>
            <w:tcW w:w="855" w:type="dxa"/>
          </w:tcPr>
          <w:p w14:paraId="2CFEAF74" w14:textId="77777777" w:rsidR="000C7932" w:rsidRDefault="000C7932" w:rsidP="000A542C">
            <w:pPr>
              <w:jc w:val="right"/>
              <w:rPr>
                <w:rFonts w:ascii="Calibri" w:eastAsia="Calibri" w:hAnsi="Calibri" w:cs="Calibri"/>
                <w:color w:val="000000"/>
                <w:sz w:val="20"/>
                <w:szCs w:val="20"/>
              </w:rPr>
            </w:pPr>
          </w:p>
        </w:tc>
        <w:tc>
          <w:tcPr>
            <w:tcW w:w="900" w:type="dxa"/>
          </w:tcPr>
          <w:p w14:paraId="419DD2E0" w14:textId="77777777" w:rsidR="000C7932" w:rsidRDefault="000C7932" w:rsidP="000A542C">
            <w:pPr>
              <w:jc w:val="right"/>
              <w:rPr>
                <w:rFonts w:ascii="Calibri" w:eastAsia="Calibri" w:hAnsi="Calibri" w:cs="Calibri"/>
                <w:color w:val="000000"/>
                <w:sz w:val="20"/>
                <w:szCs w:val="20"/>
              </w:rPr>
            </w:pPr>
          </w:p>
        </w:tc>
      </w:tr>
      <w:tr w:rsidR="000C7932" w14:paraId="2B5F2512" w14:textId="77777777" w:rsidTr="000A542C">
        <w:tc>
          <w:tcPr>
            <w:tcW w:w="878" w:type="dxa"/>
            <w:vAlign w:val="bottom"/>
          </w:tcPr>
          <w:p w14:paraId="171DE144" w14:textId="77777777" w:rsidR="000C7932" w:rsidRDefault="000C7932" w:rsidP="000A542C">
            <w:pPr>
              <w:rPr>
                <w:rFonts w:ascii="Calibri" w:eastAsia="Calibri" w:hAnsi="Calibri" w:cs="Calibri"/>
                <w:color w:val="000000"/>
                <w:sz w:val="20"/>
                <w:szCs w:val="20"/>
              </w:rPr>
            </w:pPr>
            <w:r>
              <w:rPr>
                <w:rFonts w:ascii="Calibri" w:eastAsia="Calibri" w:hAnsi="Calibri" w:cs="Calibri"/>
                <w:color w:val="000000"/>
                <w:sz w:val="20"/>
                <w:szCs w:val="20"/>
              </w:rPr>
              <w:t>2/16/18 12:00</w:t>
            </w:r>
          </w:p>
        </w:tc>
        <w:tc>
          <w:tcPr>
            <w:tcW w:w="879" w:type="dxa"/>
            <w:vAlign w:val="bottom"/>
          </w:tcPr>
          <w:p w14:paraId="7057A90B"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995</w:t>
            </w:r>
          </w:p>
        </w:tc>
        <w:tc>
          <w:tcPr>
            <w:tcW w:w="1097" w:type="dxa"/>
            <w:vAlign w:val="bottom"/>
          </w:tcPr>
          <w:p w14:paraId="6DFD05CD" w14:textId="77777777" w:rsidR="000C7932" w:rsidRDefault="000C7932" w:rsidP="000A542C">
            <w:pPr>
              <w:jc w:val="right"/>
              <w:rPr>
                <w:rFonts w:ascii="Calibri" w:eastAsia="Calibri" w:hAnsi="Calibri" w:cs="Calibri"/>
                <w:color w:val="000000"/>
                <w:sz w:val="20"/>
                <w:szCs w:val="20"/>
              </w:rPr>
            </w:pPr>
            <w:r>
              <w:rPr>
                <w:rFonts w:ascii="Arial" w:eastAsia="Arial" w:hAnsi="Arial" w:cs="Arial"/>
                <w:color w:val="000000"/>
                <w:sz w:val="20"/>
                <w:szCs w:val="20"/>
              </w:rPr>
              <w:t>1000</w:t>
            </w:r>
          </w:p>
        </w:tc>
        <w:tc>
          <w:tcPr>
            <w:tcW w:w="879" w:type="dxa"/>
            <w:vAlign w:val="bottom"/>
          </w:tcPr>
          <w:p w14:paraId="1ED47E97"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100.50</w:t>
            </w:r>
          </w:p>
        </w:tc>
        <w:tc>
          <w:tcPr>
            <w:tcW w:w="792" w:type="dxa"/>
            <w:vAlign w:val="bottom"/>
          </w:tcPr>
          <w:p w14:paraId="590916BC"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15.4</w:t>
            </w:r>
          </w:p>
        </w:tc>
        <w:tc>
          <w:tcPr>
            <w:tcW w:w="792" w:type="dxa"/>
            <w:vAlign w:val="bottom"/>
          </w:tcPr>
          <w:p w14:paraId="4CBA06C2"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29.94</w:t>
            </w:r>
          </w:p>
        </w:tc>
        <w:tc>
          <w:tcPr>
            <w:tcW w:w="729" w:type="dxa"/>
            <w:vAlign w:val="bottom"/>
          </w:tcPr>
          <w:p w14:paraId="17A21FDD" w14:textId="77777777" w:rsidR="000C7932" w:rsidRDefault="000C7932" w:rsidP="000A542C">
            <w:pPr>
              <w:jc w:val="right"/>
              <w:rPr>
                <w:rFonts w:ascii="Calibri" w:eastAsia="Calibri" w:hAnsi="Calibri" w:cs="Calibri"/>
                <w:b/>
                <w:color w:val="000000"/>
                <w:sz w:val="20"/>
                <w:szCs w:val="20"/>
              </w:rPr>
            </w:pPr>
            <w:r>
              <w:rPr>
                <w:rFonts w:ascii="Arial" w:eastAsia="Arial" w:hAnsi="Arial" w:cs="Arial"/>
                <w:b/>
                <w:color w:val="000000"/>
                <w:sz w:val="20"/>
                <w:szCs w:val="20"/>
              </w:rPr>
              <w:t>35</w:t>
            </w:r>
          </w:p>
        </w:tc>
        <w:tc>
          <w:tcPr>
            <w:tcW w:w="777" w:type="dxa"/>
            <w:vAlign w:val="bottom"/>
          </w:tcPr>
          <w:p w14:paraId="41AD1D87"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85.53</w:t>
            </w:r>
          </w:p>
        </w:tc>
        <w:tc>
          <w:tcPr>
            <w:tcW w:w="777" w:type="dxa"/>
            <w:vAlign w:val="bottom"/>
          </w:tcPr>
          <w:p w14:paraId="29529F62"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116.92</w:t>
            </w:r>
          </w:p>
        </w:tc>
        <w:tc>
          <w:tcPr>
            <w:tcW w:w="855" w:type="dxa"/>
          </w:tcPr>
          <w:p w14:paraId="61B9362F"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44</w:t>
            </w:r>
          </w:p>
        </w:tc>
        <w:tc>
          <w:tcPr>
            <w:tcW w:w="900" w:type="dxa"/>
          </w:tcPr>
          <w:p w14:paraId="1960A323" w14:textId="77777777" w:rsidR="000C7932" w:rsidRDefault="000C7932" w:rsidP="000A542C">
            <w:pPr>
              <w:jc w:val="right"/>
              <w:rPr>
                <w:rFonts w:ascii="Calibri" w:eastAsia="Calibri" w:hAnsi="Calibri" w:cs="Calibri"/>
                <w:b/>
                <w:color w:val="000000"/>
                <w:sz w:val="20"/>
                <w:szCs w:val="20"/>
              </w:rPr>
            </w:pPr>
          </w:p>
        </w:tc>
      </w:tr>
      <w:tr w:rsidR="000C7932" w14:paraId="2AEF2554" w14:textId="77777777" w:rsidTr="000A542C">
        <w:tc>
          <w:tcPr>
            <w:tcW w:w="878" w:type="dxa"/>
            <w:vAlign w:val="bottom"/>
          </w:tcPr>
          <w:p w14:paraId="7C1DF595" w14:textId="77777777" w:rsidR="000C7932" w:rsidRDefault="000C7932" w:rsidP="000A542C">
            <w:pPr>
              <w:rPr>
                <w:rFonts w:ascii="Calibri" w:eastAsia="Calibri" w:hAnsi="Calibri" w:cs="Calibri"/>
                <w:color w:val="000000"/>
                <w:sz w:val="20"/>
                <w:szCs w:val="20"/>
              </w:rPr>
            </w:pPr>
            <w:r>
              <w:rPr>
                <w:rFonts w:ascii="Calibri" w:eastAsia="Calibri" w:hAnsi="Calibri" w:cs="Calibri"/>
                <w:color w:val="000000"/>
                <w:sz w:val="20"/>
                <w:szCs w:val="20"/>
              </w:rPr>
              <w:t>2/16/18 18:00</w:t>
            </w:r>
          </w:p>
        </w:tc>
        <w:tc>
          <w:tcPr>
            <w:tcW w:w="879" w:type="dxa"/>
            <w:vAlign w:val="bottom"/>
          </w:tcPr>
          <w:p w14:paraId="2463515D"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995</w:t>
            </w:r>
          </w:p>
        </w:tc>
        <w:tc>
          <w:tcPr>
            <w:tcW w:w="1097" w:type="dxa"/>
            <w:vAlign w:val="bottom"/>
          </w:tcPr>
          <w:p w14:paraId="1135168F" w14:textId="77777777" w:rsidR="000C7932" w:rsidRDefault="000C7932" w:rsidP="000A542C">
            <w:pPr>
              <w:jc w:val="right"/>
              <w:rPr>
                <w:rFonts w:ascii="Calibri" w:eastAsia="Calibri" w:hAnsi="Calibri" w:cs="Calibri"/>
                <w:color w:val="000000"/>
                <w:sz w:val="20"/>
                <w:szCs w:val="20"/>
              </w:rPr>
            </w:pPr>
            <w:r>
              <w:rPr>
                <w:rFonts w:ascii="Arial" w:eastAsia="Arial" w:hAnsi="Arial" w:cs="Arial"/>
                <w:color w:val="000000"/>
                <w:sz w:val="20"/>
                <w:szCs w:val="20"/>
              </w:rPr>
              <w:t>998</w:t>
            </w:r>
          </w:p>
        </w:tc>
        <w:tc>
          <w:tcPr>
            <w:tcW w:w="879" w:type="dxa"/>
            <w:vAlign w:val="bottom"/>
          </w:tcPr>
          <w:p w14:paraId="3CAF2126"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100.30</w:t>
            </w:r>
          </w:p>
        </w:tc>
        <w:tc>
          <w:tcPr>
            <w:tcW w:w="792" w:type="dxa"/>
            <w:vAlign w:val="bottom"/>
          </w:tcPr>
          <w:p w14:paraId="2597874C"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15.4</w:t>
            </w:r>
          </w:p>
        </w:tc>
        <w:tc>
          <w:tcPr>
            <w:tcW w:w="792" w:type="dxa"/>
            <w:vAlign w:val="bottom"/>
          </w:tcPr>
          <w:p w14:paraId="412E35F1"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29.94</w:t>
            </w:r>
          </w:p>
        </w:tc>
        <w:tc>
          <w:tcPr>
            <w:tcW w:w="729" w:type="dxa"/>
            <w:vAlign w:val="bottom"/>
          </w:tcPr>
          <w:p w14:paraId="24D83565" w14:textId="77777777" w:rsidR="000C7932" w:rsidRDefault="000C7932" w:rsidP="000A542C">
            <w:pPr>
              <w:jc w:val="right"/>
              <w:rPr>
                <w:rFonts w:ascii="Calibri" w:eastAsia="Calibri" w:hAnsi="Calibri" w:cs="Calibri"/>
                <w:b/>
                <w:color w:val="000000"/>
                <w:sz w:val="20"/>
                <w:szCs w:val="20"/>
              </w:rPr>
            </w:pPr>
            <w:r>
              <w:rPr>
                <w:rFonts w:ascii="Arial" w:eastAsia="Arial" w:hAnsi="Arial" w:cs="Arial"/>
                <w:b/>
                <w:color w:val="000000"/>
                <w:sz w:val="20"/>
                <w:szCs w:val="20"/>
              </w:rPr>
              <w:t>35</w:t>
            </w:r>
          </w:p>
        </w:tc>
        <w:tc>
          <w:tcPr>
            <w:tcW w:w="777" w:type="dxa"/>
            <w:vAlign w:val="bottom"/>
          </w:tcPr>
          <w:p w14:paraId="15852B2D"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85.53</w:t>
            </w:r>
          </w:p>
        </w:tc>
        <w:tc>
          <w:tcPr>
            <w:tcW w:w="777" w:type="dxa"/>
            <w:vAlign w:val="bottom"/>
          </w:tcPr>
          <w:p w14:paraId="30D61BC4"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116.92</w:t>
            </w:r>
          </w:p>
        </w:tc>
        <w:tc>
          <w:tcPr>
            <w:tcW w:w="855" w:type="dxa"/>
          </w:tcPr>
          <w:p w14:paraId="20F3ED72"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52</w:t>
            </w:r>
          </w:p>
        </w:tc>
        <w:tc>
          <w:tcPr>
            <w:tcW w:w="900" w:type="dxa"/>
          </w:tcPr>
          <w:p w14:paraId="48E8ED94" w14:textId="77777777" w:rsidR="000C7932" w:rsidRDefault="000C7932" w:rsidP="000A542C">
            <w:pPr>
              <w:jc w:val="right"/>
              <w:rPr>
                <w:rFonts w:ascii="Calibri" w:eastAsia="Calibri" w:hAnsi="Calibri" w:cs="Calibri"/>
                <w:b/>
                <w:color w:val="000000"/>
                <w:sz w:val="20"/>
                <w:szCs w:val="20"/>
              </w:rPr>
            </w:pPr>
          </w:p>
        </w:tc>
      </w:tr>
      <w:tr w:rsidR="000C7932" w14:paraId="6EEAE97F" w14:textId="77777777" w:rsidTr="000A542C">
        <w:tc>
          <w:tcPr>
            <w:tcW w:w="878" w:type="dxa"/>
            <w:vAlign w:val="bottom"/>
          </w:tcPr>
          <w:p w14:paraId="3377C3D6" w14:textId="77777777" w:rsidR="000C7932" w:rsidRDefault="000C7932" w:rsidP="000A542C">
            <w:pPr>
              <w:rPr>
                <w:rFonts w:ascii="Calibri" w:eastAsia="Calibri" w:hAnsi="Calibri" w:cs="Calibri"/>
                <w:color w:val="000000"/>
                <w:sz w:val="20"/>
                <w:szCs w:val="20"/>
              </w:rPr>
            </w:pPr>
            <w:r>
              <w:rPr>
                <w:rFonts w:ascii="Calibri" w:eastAsia="Calibri" w:hAnsi="Calibri" w:cs="Calibri"/>
                <w:color w:val="000000"/>
                <w:sz w:val="20"/>
                <w:szCs w:val="20"/>
              </w:rPr>
              <w:t>2/17/18 0:00</w:t>
            </w:r>
          </w:p>
        </w:tc>
        <w:tc>
          <w:tcPr>
            <w:tcW w:w="879" w:type="dxa"/>
            <w:vAlign w:val="bottom"/>
          </w:tcPr>
          <w:p w14:paraId="14A0A4B0"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994</w:t>
            </w:r>
          </w:p>
        </w:tc>
        <w:tc>
          <w:tcPr>
            <w:tcW w:w="1097" w:type="dxa"/>
            <w:vAlign w:val="bottom"/>
          </w:tcPr>
          <w:p w14:paraId="71DAB366" w14:textId="77777777" w:rsidR="000C7932" w:rsidRDefault="000C7932" w:rsidP="000A542C">
            <w:pPr>
              <w:jc w:val="right"/>
              <w:rPr>
                <w:rFonts w:ascii="Calibri" w:eastAsia="Calibri" w:hAnsi="Calibri" w:cs="Calibri"/>
                <w:color w:val="000000"/>
                <w:sz w:val="20"/>
                <w:szCs w:val="20"/>
              </w:rPr>
            </w:pPr>
            <w:r>
              <w:rPr>
                <w:rFonts w:ascii="Arial" w:eastAsia="Arial" w:hAnsi="Arial" w:cs="Arial"/>
                <w:color w:val="000000"/>
                <w:sz w:val="20"/>
                <w:szCs w:val="20"/>
              </w:rPr>
              <w:t>996</w:t>
            </w:r>
          </w:p>
        </w:tc>
        <w:tc>
          <w:tcPr>
            <w:tcW w:w="879" w:type="dxa"/>
            <w:vAlign w:val="bottom"/>
          </w:tcPr>
          <w:p w14:paraId="6E214A7C"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100.20</w:t>
            </w:r>
          </w:p>
        </w:tc>
        <w:tc>
          <w:tcPr>
            <w:tcW w:w="792" w:type="dxa"/>
            <w:vAlign w:val="bottom"/>
          </w:tcPr>
          <w:p w14:paraId="0E336FC2"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18</w:t>
            </w:r>
          </w:p>
        </w:tc>
        <w:tc>
          <w:tcPr>
            <w:tcW w:w="792" w:type="dxa"/>
            <w:vAlign w:val="bottom"/>
          </w:tcPr>
          <w:p w14:paraId="665330ED"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34.99</w:t>
            </w:r>
          </w:p>
        </w:tc>
        <w:tc>
          <w:tcPr>
            <w:tcW w:w="729" w:type="dxa"/>
            <w:vAlign w:val="bottom"/>
          </w:tcPr>
          <w:p w14:paraId="2088F0EE" w14:textId="77777777" w:rsidR="000C7932" w:rsidRDefault="000C7932" w:rsidP="000A542C">
            <w:pPr>
              <w:jc w:val="right"/>
              <w:rPr>
                <w:rFonts w:ascii="Calibri" w:eastAsia="Calibri" w:hAnsi="Calibri" w:cs="Calibri"/>
                <w:b/>
                <w:color w:val="000000"/>
                <w:sz w:val="20"/>
                <w:szCs w:val="20"/>
              </w:rPr>
            </w:pPr>
            <w:r>
              <w:rPr>
                <w:rFonts w:ascii="Arial" w:eastAsia="Arial" w:hAnsi="Arial" w:cs="Arial"/>
                <w:b/>
                <w:color w:val="000000"/>
                <w:sz w:val="20"/>
                <w:szCs w:val="20"/>
              </w:rPr>
              <w:t>35</w:t>
            </w:r>
          </w:p>
        </w:tc>
        <w:tc>
          <w:tcPr>
            <w:tcW w:w="777" w:type="dxa"/>
            <w:vAlign w:val="bottom"/>
          </w:tcPr>
          <w:p w14:paraId="408FA577"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99.97</w:t>
            </w:r>
          </w:p>
        </w:tc>
        <w:tc>
          <w:tcPr>
            <w:tcW w:w="777" w:type="dxa"/>
            <w:vAlign w:val="bottom"/>
          </w:tcPr>
          <w:p w14:paraId="61CB9940"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100.03</w:t>
            </w:r>
          </w:p>
        </w:tc>
        <w:tc>
          <w:tcPr>
            <w:tcW w:w="855" w:type="dxa"/>
          </w:tcPr>
          <w:p w14:paraId="5AC30FFA"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50</w:t>
            </w:r>
          </w:p>
        </w:tc>
        <w:tc>
          <w:tcPr>
            <w:tcW w:w="900" w:type="dxa"/>
          </w:tcPr>
          <w:p w14:paraId="0848E0F6"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48.67</w:t>
            </w:r>
          </w:p>
        </w:tc>
      </w:tr>
      <w:tr w:rsidR="000C7932" w14:paraId="69782D90" w14:textId="77777777" w:rsidTr="000A542C">
        <w:tc>
          <w:tcPr>
            <w:tcW w:w="878" w:type="dxa"/>
            <w:vAlign w:val="bottom"/>
          </w:tcPr>
          <w:p w14:paraId="450CACD1" w14:textId="77777777" w:rsidR="000C7932" w:rsidRDefault="000C7932" w:rsidP="000A542C">
            <w:pPr>
              <w:rPr>
                <w:rFonts w:ascii="Calibri" w:eastAsia="Calibri" w:hAnsi="Calibri" w:cs="Calibri"/>
                <w:color w:val="000000"/>
                <w:sz w:val="20"/>
                <w:szCs w:val="20"/>
              </w:rPr>
            </w:pPr>
            <w:r>
              <w:rPr>
                <w:rFonts w:ascii="Calibri" w:eastAsia="Calibri" w:hAnsi="Calibri" w:cs="Calibri"/>
                <w:color w:val="000000"/>
                <w:sz w:val="20"/>
                <w:szCs w:val="20"/>
              </w:rPr>
              <w:t>2/17/18 6:00</w:t>
            </w:r>
          </w:p>
        </w:tc>
        <w:tc>
          <w:tcPr>
            <w:tcW w:w="879" w:type="dxa"/>
            <w:vAlign w:val="bottom"/>
          </w:tcPr>
          <w:p w14:paraId="124E9530"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990</w:t>
            </w:r>
          </w:p>
        </w:tc>
        <w:tc>
          <w:tcPr>
            <w:tcW w:w="1097" w:type="dxa"/>
            <w:vAlign w:val="bottom"/>
          </w:tcPr>
          <w:p w14:paraId="6BBDFBF2" w14:textId="77777777" w:rsidR="000C7932" w:rsidRDefault="000C7932" w:rsidP="000A542C">
            <w:pPr>
              <w:jc w:val="right"/>
              <w:rPr>
                <w:rFonts w:ascii="Calibri" w:eastAsia="Calibri" w:hAnsi="Calibri" w:cs="Calibri"/>
                <w:color w:val="000000"/>
                <w:sz w:val="20"/>
                <w:szCs w:val="20"/>
              </w:rPr>
            </w:pPr>
            <w:r>
              <w:rPr>
                <w:rFonts w:ascii="Arial" w:eastAsia="Arial" w:hAnsi="Arial" w:cs="Arial"/>
                <w:color w:val="000000"/>
                <w:sz w:val="20"/>
                <w:szCs w:val="20"/>
              </w:rPr>
              <w:t>994</w:t>
            </w:r>
          </w:p>
        </w:tc>
        <w:tc>
          <w:tcPr>
            <w:tcW w:w="879" w:type="dxa"/>
            <w:vAlign w:val="bottom"/>
          </w:tcPr>
          <w:p w14:paraId="727764E1"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100.40</w:t>
            </w:r>
          </w:p>
        </w:tc>
        <w:tc>
          <w:tcPr>
            <w:tcW w:w="792" w:type="dxa"/>
            <w:vAlign w:val="bottom"/>
          </w:tcPr>
          <w:p w14:paraId="6965F037"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20.6</w:t>
            </w:r>
          </w:p>
        </w:tc>
        <w:tc>
          <w:tcPr>
            <w:tcW w:w="792" w:type="dxa"/>
            <w:vAlign w:val="bottom"/>
          </w:tcPr>
          <w:p w14:paraId="06BD5E27"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40.04</w:t>
            </w:r>
          </w:p>
        </w:tc>
        <w:tc>
          <w:tcPr>
            <w:tcW w:w="729" w:type="dxa"/>
            <w:vAlign w:val="bottom"/>
          </w:tcPr>
          <w:p w14:paraId="29D1AE6C" w14:textId="77777777" w:rsidR="000C7932" w:rsidRDefault="000C7932" w:rsidP="000A542C">
            <w:pPr>
              <w:jc w:val="right"/>
              <w:rPr>
                <w:rFonts w:ascii="Calibri" w:eastAsia="Calibri" w:hAnsi="Calibri" w:cs="Calibri"/>
                <w:b/>
                <w:color w:val="000000"/>
                <w:sz w:val="20"/>
                <w:szCs w:val="20"/>
              </w:rPr>
            </w:pPr>
            <w:r>
              <w:rPr>
                <w:rFonts w:ascii="Arial" w:eastAsia="Arial" w:hAnsi="Arial" w:cs="Arial"/>
                <w:b/>
                <w:color w:val="000000"/>
                <w:sz w:val="20"/>
                <w:szCs w:val="20"/>
              </w:rPr>
              <w:t>39</w:t>
            </w:r>
          </w:p>
        </w:tc>
        <w:tc>
          <w:tcPr>
            <w:tcW w:w="777" w:type="dxa"/>
            <w:vAlign w:val="bottom"/>
          </w:tcPr>
          <w:p w14:paraId="6C1D3E2C"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102.67</w:t>
            </w:r>
          </w:p>
        </w:tc>
        <w:tc>
          <w:tcPr>
            <w:tcW w:w="777" w:type="dxa"/>
            <w:vAlign w:val="bottom"/>
          </w:tcPr>
          <w:p w14:paraId="38E70F20"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97.40</w:t>
            </w:r>
          </w:p>
        </w:tc>
        <w:tc>
          <w:tcPr>
            <w:tcW w:w="855" w:type="dxa"/>
          </w:tcPr>
          <w:p w14:paraId="133C2342"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49</w:t>
            </w:r>
          </w:p>
        </w:tc>
        <w:tc>
          <w:tcPr>
            <w:tcW w:w="900" w:type="dxa"/>
          </w:tcPr>
          <w:p w14:paraId="05214C49"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48.00</w:t>
            </w:r>
          </w:p>
        </w:tc>
      </w:tr>
      <w:tr w:rsidR="000C7932" w14:paraId="78EED399" w14:textId="77777777" w:rsidTr="000A542C">
        <w:tc>
          <w:tcPr>
            <w:tcW w:w="878" w:type="dxa"/>
            <w:vAlign w:val="bottom"/>
          </w:tcPr>
          <w:p w14:paraId="4278CB1F" w14:textId="77777777" w:rsidR="000C7932" w:rsidRDefault="000C7932" w:rsidP="000A542C">
            <w:pPr>
              <w:rPr>
                <w:rFonts w:ascii="Calibri" w:eastAsia="Calibri" w:hAnsi="Calibri" w:cs="Calibri"/>
                <w:color w:val="000000"/>
                <w:sz w:val="20"/>
                <w:szCs w:val="20"/>
              </w:rPr>
            </w:pPr>
            <w:r>
              <w:rPr>
                <w:rFonts w:ascii="Calibri" w:eastAsia="Calibri" w:hAnsi="Calibri" w:cs="Calibri"/>
                <w:color w:val="000000"/>
                <w:sz w:val="20"/>
                <w:szCs w:val="20"/>
              </w:rPr>
              <w:t>2/17/18 12:00</w:t>
            </w:r>
          </w:p>
        </w:tc>
        <w:tc>
          <w:tcPr>
            <w:tcW w:w="879" w:type="dxa"/>
            <w:vAlign w:val="bottom"/>
          </w:tcPr>
          <w:p w14:paraId="2F154DFD"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988</w:t>
            </w:r>
          </w:p>
        </w:tc>
        <w:tc>
          <w:tcPr>
            <w:tcW w:w="1097" w:type="dxa"/>
            <w:vAlign w:val="bottom"/>
          </w:tcPr>
          <w:p w14:paraId="5F5DA1B3" w14:textId="77777777" w:rsidR="000C7932" w:rsidRDefault="000C7932" w:rsidP="000A542C">
            <w:pPr>
              <w:jc w:val="right"/>
              <w:rPr>
                <w:rFonts w:ascii="Calibri" w:eastAsia="Calibri" w:hAnsi="Calibri" w:cs="Calibri"/>
                <w:color w:val="000000"/>
                <w:sz w:val="20"/>
                <w:szCs w:val="20"/>
              </w:rPr>
            </w:pPr>
            <w:r>
              <w:rPr>
                <w:rFonts w:ascii="Arial" w:eastAsia="Arial" w:hAnsi="Arial" w:cs="Arial"/>
                <w:color w:val="000000"/>
                <w:sz w:val="20"/>
                <w:szCs w:val="20"/>
              </w:rPr>
              <w:t>991</w:t>
            </w:r>
          </w:p>
        </w:tc>
        <w:tc>
          <w:tcPr>
            <w:tcW w:w="879" w:type="dxa"/>
            <w:vAlign w:val="bottom"/>
          </w:tcPr>
          <w:p w14:paraId="2611321C"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100.30</w:t>
            </w:r>
          </w:p>
        </w:tc>
        <w:tc>
          <w:tcPr>
            <w:tcW w:w="792" w:type="dxa"/>
            <w:vAlign w:val="bottom"/>
          </w:tcPr>
          <w:p w14:paraId="7CBC2D17"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20.6</w:t>
            </w:r>
          </w:p>
        </w:tc>
        <w:tc>
          <w:tcPr>
            <w:tcW w:w="792" w:type="dxa"/>
            <w:vAlign w:val="bottom"/>
          </w:tcPr>
          <w:p w14:paraId="5A1AD226"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40.04</w:t>
            </w:r>
          </w:p>
        </w:tc>
        <w:tc>
          <w:tcPr>
            <w:tcW w:w="729" w:type="dxa"/>
            <w:vAlign w:val="bottom"/>
          </w:tcPr>
          <w:p w14:paraId="51FCF351" w14:textId="77777777" w:rsidR="000C7932" w:rsidRDefault="000C7932" w:rsidP="000A542C">
            <w:pPr>
              <w:jc w:val="right"/>
              <w:rPr>
                <w:rFonts w:ascii="Calibri" w:eastAsia="Calibri" w:hAnsi="Calibri" w:cs="Calibri"/>
                <w:b/>
                <w:color w:val="000000"/>
                <w:sz w:val="20"/>
                <w:szCs w:val="20"/>
              </w:rPr>
            </w:pPr>
            <w:r>
              <w:rPr>
                <w:rFonts w:ascii="Arial" w:eastAsia="Arial" w:hAnsi="Arial" w:cs="Arial"/>
                <w:b/>
                <w:color w:val="000000"/>
                <w:sz w:val="20"/>
                <w:szCs w:val="20"/>
              </w:rPr>
              <w:t>45</w:t>
            </w:r>
          </w:p>
        </w:tc>
        <w:tc>
          <w:tcPr>
            <w:tcW w:w="777" w:type="dxa"/>
            <w:vAlign w:val="bottom"/>
          </w:tcPr>
          <w:p w14:paraId="700F3966"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88.98</w:t>
            </w:r>
          </w:p>
        </w:tc>
        <w:tc>
          <w:tcPr>
            <w:tcW w:w="777" w:type="dxa"/>
            <w:vAlign w:val="bottom"/>
          </w:tcPr>
          <w:p w14:paraId="1319E921"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112.38</w:t>
            </w:r>
          </w:p>
        </w:tc>
        <w:tc>
          <w:tcPr>
            <w:tcW w:w="855" w:type="dxa"/>
          </w:tcPr>
          <w:p w14:paraId="64116031"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53</w:t>
            </w:r>
          </w:p>
        </w:tc>
        <w:tc>
          <w:tcPr>
            <w:tcW w:w="900" w:type="dxa"/>
          </w:tcPr>
          <w:p w14:paraId="09A42367"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59.00</w:t>
            </w:r>
          </w:p>
        </w:tc>
      </w:tr>
      <w:tr w:rsidR="000C7932" w14:paraId="6A324639" w14:textId="77777777" w:rsidTr="000A542C">
        <w:tc>
          <w:tcPr>
            <w:tcW w:w="878" w:type="dxa"/>
            <w:vAlign w:val="bottom"/>
          </w:tcPr>
          <w:p w14:paraId="7D3882B9" w14:textId="77777777" w:rsidR="000C7932" w:rsidRDefault="000C7932" w:rsidP="000A542C">
            <w:pPr>
              <w:rPr>
                <w:rFonts w:ascii="Calibri" w:eastAsia="Calibri" w:hAnsi="Calibri" w:cs="Calibri"/>
                <w:color w:val="000000"/>
                <w:sz w:val="20"/>
                <w:szCs w:val="20"/>
              </w:rPr>
            </w:pPr>
            <w:r>
              <w:rPr>
                <w:rFonts w:ascii="Calibri" w:eastAsia="Calibri" w:hAnsi="Calibri" w:cs="Calibri"/>
                <w:color w:val="000000"/>
                <w:sz w:val="20"/>
                <w:szCs w:val="20"/>
              </w:rPr>
              <w:t>2/17/18 18:00</w:t>
            </w:r>
          </w:p>
        </w:tc>
        <w:tc>
          <w:tcPr>
            <w:tcW w:w="879" w:type="dxa"/>
            <w:vAlign w:val="bottom"/>
          </w:tcPr>
          <w:p w14:paraId="7BFBF401"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978</w:t>
            </w:r>
          </w:p>
        </w:tc>
        <w:tc>
          <w:tcPr>
            <w:tcW w:w="1097" w:type="dxa"/>
            <w:vAlign w:val="bottom"/>
          </w:tcPr>
          <w:p w14:paraId="0BCCD3DC" w14:textId="77777777" w:rsidR="000C7932" w:rsidRDefault="000C7932" w:rsidP="000A542C">
            <w:pPr>
              <w:jc w:val="right"/>
              <w:rPr>
                <w:rFonts w:ascii="Calibri" w:eastAsia="Calibri" w:hAnsi="Calibri" w:cs="Calibri"/>
                <w:color w:val="000000"/>
                <w:sz w:val="20"/>
                <w:szCs w:val="20"/>
              </w:rPr>
            </w:pPr>
            <w:r>
              <w:rPr>
                <w:rFonts w:ascii="Arial" w:eastAsia="Arial" w:hAnsi="Arial" w:cs="Arial"/>
                <w:color w:val="000000"/>
                <w:sz w:val="20"/>
                <w:szCs w:val="20"/>
              </w:rPr>
              <w:t>990</w:t>
            </w:r>
          </w:p>
        </w:tc>
        <w:tc>
          <w:tcPr>
            <w:tcW w:w="879" w:type="dxa"/>
            <w:vAlign w:val="bottom"/>
          </w:tcPr>
          <w:p w14:paraId="4BE85E63"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101.23</w:t>
            </w:r>
          </w:p>
        </w:tc>
        <w:tc>
          <w:tcPr>
            <w:tcW w:w="792" w:type="dxa"/>
            <w:vAlign w:val="bottom"/>
          </w:tcPr>
          <w:p w14:paraId="2C79D009"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25.7</w:t>
            </w:r>
          </w:p>
        </w:tc>
        <w:tc>
          <w:tcPr>
            <w:tcW w:w="792" w:type="dxa"/>
            <w:vAlign w:val="bottom"/>
          </w:tcPr>
          <w:p w14:paraId="582EBB77"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49.96</w:t>
            </w:r>
          </w:p>
        </w:tc>
        <w:tc>
          <w:tcPr>
            <w:tcW w:w="729" w:type="dxa"/>
            <w:vAlign w:val="bottom"/>
          </w:tcPr>
          <w:p w14:paraId="13DAA80A" w14:textId="77777777" w:rsidR="000C7932" w:rsidRDefault="000C7932" w:rsidP="000A542C">
            <w:pPr>
              <w:jc w:val="right"/>
              <w:rPr>
                <w:rFonts w:ascii="Calibri" w:eastAsia="Calibri" w:hAnsi="Calibri" w:cs="Calibri"/>
                <w:b/>
                <w:color w:val="000000"/>
                <w:sz w:val="20"/>
                <w:szCs w:val="20"/>
              </w:rPr>
            </w:pPr>
            <w:r>
              <w:rPr>
                <w:rFonts w:ascii="Arial" w:eastAsia="Arial" w:hAnsi="Arial" w:cs="Arial"/>
                <w:b/>
                <w:color w:val="000000"/>
                <w:sz w:val="20"/>
                <w:szCs w:val="20"/>
              </w:rPr>
              <w:t>45</w:t>
            </w:r>
          </w:p>
        </w:tc>
        <w:tc>
          <w:tcPr>
            <w:tcW w:w="777" w:type="dxa"/>
            <w:vAlign w:val="bottom"/>
          </w:tcPr>
          <w:p w14:paraId="466D3903" w14:textId="77777777" w:rsidR="000C7932" w:rsidRPr="006449AB" w:rsidRDefault="000C7932" w:rsidP="000A542C">
            <w:pPr>
              <w:jc w:val="right"/>
              <w:rPr>
                <w:rFonts w:ascii="Calibri" w:eastAsia="Calibri" w:hAnsi="Calibri" w:cs="Calibri"/>
                <w:b/>
                <w:i/>
                <w:iCs/>
                <w:color w:val="000000" w:themeColor="text1"/>
                <w:sz w:val="20"/>
                <w:szCs w:val="20"/>
              </w:rPr>
            </w:pPr>
            <w:r w:rsidRPr="006449AB">
              <w:rPr>
                <w:rFonts w:ascii="Calibri" w:eastAsia="Calibri" w:hAnsi="Calibri" w:cs="Calibri"/>
                <w:b/>
                <w:i/>
                <w:iCs/>
                <w:color w:val="000000" w:themeColor="text1"/>
                <w:sz w:val="20"/>
                <w:szCs w:val="20"/>
              </w:rPr>
              <w:t>111.01</w:t>
            </w:r>
          </w:p>
        </w:tc>
        <w:tc>
          <w:tcPr>
            <w:tcW w:w="777" w:type="dxa"/>
            <w:vAlign w:val="bottom"/>
          </w:tcPr>
          <w:p w14:paraId="6730F676" w14:textId="77777777" w:rsidR="000C7932" w:rsidRPr="006449AB" w:rsidRDefault="000C7932" w:rsidP="000A542C">
            <w:pPr>
              <w:jc w:val="right"/>
              <w:rPr>
                <w:rFonts w:ascii="Calibri" w:eastAsia="Calibri" w:hAnsi="Calibri" w:cs="Calibri"/>
                <w:b/>
                <w:i/>
                <w:iCs/>
                <w:color w:val="000000" w:themeColor="text1"/>
                <w:sz w:val="20"/>
                <w:szCs w:val="20"/>
              </w:rPr>
            </w:pPr>
            <w:r w:rsidRPr="006449AB">
              <w:rPr>
                <w:rFonts w:ascii="Calibri" w:eastAsia="Calibri" w:hAnsi="Calibri" w:cs="Calibri"/>
                <w:b/>
                <w:i/>
                <w:iCs/>
                <w:color w:val="000000" w:themeColor="text1"/>
                <w:sz w:val="20"/>
                <w:szCs w:val="20"/>
              </w:rPr>
              <w:t>90.08</w:t>
            </w:r>
          </w:p>
        </w:tc>
        <w:tc>
          <w:tcPr>
            <w:tcW w:w="855" w:type="dxa"/>
          </w:tcPr>
          <w:p w14:paraId="5C6C0CEB"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72</w:t>
            </w:r>
          </w:p>
        </w:tc>
        <w:tc>
          <w:tcPr>
            <w:tcW w:w="900" w:type="dxa"/>
          </w:tcPr>
          <w:p w14:paraId="38387D78"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73.50</w:t>
            </w:r>
          </w:p>
        </w:tc>
      </w:tr>
      <w:tr w:rsidR="000C7932" w14:paraId="37E8DEAE" w14:textId="77777777" w:rsidTr="000A542C">
        <w:tc>
          <w:tcPr>
            <w:tcW w:w="878" w:type="dxa"/>
            <w:vAlign w:val="bottom"/>
          </w:tcPr>
          <w:p w14:paraId="25BCEC8C" w14:textId="77777777" w:rsidR="000C7932" w:rsidRDefault="000C7932" w:rsidP="000A542C">
            <w:pPr>
              <w:rPr>
                <w:rFonts w:ascii="Calibri" w:eastAsia="Calibri" w:hAnsi="Calibri" w:cs="Calibri"/>
                <w:color w:val="000000"/>
                <w:sz w:val="20"/>
                <w:szCs w:val="20"/>
              </w:rPr>
            </w:pPr>
            <w:r>
              <w:rPr>
                <w:rFonts w:ascii="Calibri" w:eastAsia="Calibri" w:hAnsi="Calibri" w:cs="Calibri"/>
                <w:color w:val="000000"/>
                <w:sz w:val="20"/>
                <w:szCs w:val="20"/>
              </w:rPr>
              <w:t>2/18/18 0:00</w:t>
            </w:r>
          </w:p>
        </w:tc>
        <w:tc>
          <w:tcPr>
            <w:tcW w:w="879" w:type="dxa"/>
            <w:vAlign w:val="bottom"/>
          </w:tcPr>
          <w:p w14:paraId="5BCB89A7"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975</w:t>
            </w:r>
          </w:p>
        </w:tc>
        <w:tc>
          <w:tcPr>
            <w:tcW w:w="1097" w:type="dxa"/>
            <w:vAlign w:val="bottom"/>
          </w:tcPr>
          <w:p w14:paraId="2A6CC0DC" w14:textId="77777777" w:rsidR="000C7932" w:rsidRDefault="000C7932" w:rsidP="000A542C">
            <w:pPr>
              <w:jc w:val="right"/>
              <w:rPr>
                <w:rFonts w:ascii="Calibri" w:eastAsia="Calibri" w:hAnsi="Calibri" w:cs="Calibri"/>
                <w:color w:val="000000"/>
                <w:sz w:val="20"/>
                <w:szCs w:val="20"/>
              </w:rPr>
            </w:pPr>
            <w:r>
              <w:rPr>
                <w:rFonts w:ascii="Arial" w:eastAsia="Arial" w:hAnsi="Arial" w:cs="Arial"/>
                <w:color w:val="000000"/>
                <w:sz w:val="20"/>
                <w:szCs w:val="20"/>
              </w:rPr>
              <w:t>970</w:t>
            </w:r>
          </w:p>
        </w:tc>
        <w:tc>
          <w:tcPr>
            <w:tcW w:w="879" w:type="dxa"/>
            <w:vAlign w:val="bottom"/>
          </w:tcPr>
          <w:p w14:paraId="292F6EB2"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99.49</w:t>
            </w:r>
          </w:p>
        </w:tc>
        <w:tc>
          <w:tcPr>
            <w:tcW w:w="792" w:type="dxa"/>
            <w:vAlign w:val="bottom"/>
          </w:tcPr>
          <w:p w14:paraId="1BB6740A"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30.9</w:t>
            </w:r>
          </w:p>
        </w:tc>
        <w:tc>
          <w:tcPr>
            <w:tcW w:w="792" w:type="dxa"/>
            <w:vAlign w:val="bottom"/>
          </w:tcPr>
          <w:p w14:paraId="418E6126"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60.06</w:t>
            </w:r>
          </w:p>
        </w:tc>
        <w:tc>
          <w:tcPr>
            <w:tcW w:w="729" w:type="dxa"/>
            <w:vAlign w:val="bottom"/>
          </w:tcPr>
          <w:p w14:paraId="0E31CD84" w14:textId="77777777" w:rsidR="000C7932" w:rsidRDefault="000C7932" w:rsidP="000A542C">
            <w:pPr>
              <w:jc w:val="right"/>
              <w:rPr>
                <w:rFonts w:ascii="Calibri" w:eastAsia="Calibri" w:hAnsi="Calibri" w:cs="Calibri"/>
                <w:b/>
                <w:color w:val="000000"/>
                <w:sz w:val="20"/>
                <w:szCs w:val="20"/>
              </w:rPr>
            </w:pPr>
            <w:r>
              <w:rPr>
                <w:rFonts w:ascii="Arial" w:eastAsia="Arial" w:hAnsi="Arial" w:cs="Arial"/>
                <w:b/>
                <w:color w:val="000000"/>
                <w:sz w:val="20"/>
                <w:szCs w:val="20"/>
              </w:rPr>
              <w:t>80</w:t>
            </w:r>
          </w:p>
        </w:tc>
        <w:tc>
          <w:tcPr>
            <w:tcW w:w="777" w:type="dxa"/>
            <w:vAlign w:val="bottom"/>
          </w:tcPr>
          <w:p w14:paraId="27A60B35" w14:textId="77777777" w:rsidR="000C7932" w:rsidRPr="006449AB" w:rsidRDefault="000C7932" w:rsidP="000A542C">
            <w:pPr>
              <w:jc w:val="right"/>
              <w:rPr>
                <w:rFonts w:ascii="Calibri" w:eastAsia="Calibri" w:hAnsi="Calibri" w:cs="Calibri"/>
                <w:b/>
                <w:i/>
                <w:iCs/>
                <w:color w:val="000000" w:themeColor="text1"/>
                <w:sz w:val="20"/>
                <w:szCs w:val="20"/>
              </w:rPr>
            </w:pPr>
            <w:r w:rsidRPr="006449AB">
              <w:rPr>
                <w:rFonts w:ascii="Calibri" w:eastAsia="Calibri" w:hAnsi="Calibri" w:cs="Calibri"/>
                <w:b/>
                <w:i/>
                <w:iCs/>
                <w:color w:val="000000" w:themeColor="text1"/>
                <w:sz w:val="20"/>
                <w:szCs w:val="20"/>
              </w:rPr>
              <w:t>75.08</w:t>
            </w:r>
          </w:p>
        </w:tc>
        <w:tc>
          <w:tcPr>
            <w:tcW w:w="777" w:type="dxa"/>
            <w:vAlign w:val="bottom"/>
          </w:tcPr>
          <w:p w14:paraId="2808CA52" w14:textId="77777777" w:rsidR="000C7932" w:rsidRPr="006449AB" w:rsidRDefault="000C7932" w:rsidP="000A542C">
            <w:pPr>
              <w:jc w:val="right"/>
              <w:rPr>
                <w:rFonts w:ascii="Calibri" w:eastAsia="Calibri" w:hAnsi="Calibri" w:cs="Calibri"/>
                <w:b/>
                <w:i/>
                <w:iCs/>
                <w:color w:val="000000" w:themeColor="text1"/>
                <w:sz w:val="20"/>
                <w:szCs w:val="20"/>
              </w:rPr>
            </w:pPr>
            <w:r w:rsidRPr="006449AB">
              <w:rPr>
                <w:rFonts w:ascii="Calibri" w:eastAsia="Calibri" w:hAnsi="Calibri" w:cs="Calibri"/>
                <w:b/>
                <w:i/>
                <w:iCs/>
                <w:color w:val="000000" w:themeColor="text1"/>
                <w:sz w:val="20"/>
                <w:szCs w:val="20"/>
              </w:rPr>
              <w:t>133.19</w:t>
            </w:r>
          </w:p>
        </w:tc>
        <w:tc>
          <w:tcPr>
            <w:tcW w:w="855" w:type="dxa"/>
          </w:tcPr>
          <w:p w14:paraId="74466C00"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76</w:t>
            </w:r>
          </w:p>
        </w:tc>
        <w:tc>
          <w:tcPr>
            <w:tcW w:w="900" w:type="dxa"/>
          </w:tcPr>
          <w:p w14:paraId="4CAA2F64" w14:textId="77777777" w:rsidR="000C7932" w:rsidRDefault="000C7932" w:rsidP="000A542C">
            <w:pPr>
              <w:jc w:val="right"/>
              <w:rPr>
                <w:rFonts w:ascii="Calibri" w:eastAsia="Calibri" w:hAnsi="Calibri" w:cs="Calibri"/>
                <w:b/>
                <w:color w:val="000000"/>
                <w:sz w:val="20"/>
                <w:szCs w:val="20"/>
              </w:rPr>
            </w:pPr>
          </w:p>
        </w:tc>
      </w:tr>
      <w:tr w:rsidR="000C7932" w14:paraId="39EF1DB2" w14:textId="77777777" w:rsidTr="000A542C">
        <w:tc>
          <w:tcPr>
            <w:tcW w:w="878" w:type="dxa"/>
            <w:vAlign w:val="bottom"/>
          </w:tcPr>
          <w:p w14:paraId="7BB37A65" w14:textId="77777777" w:rsidR="000C7932" w:rsidRDefault="000C7932" w:rsidP="000A542C">
            <w:pPr>
              <w:rPr>
                <w:rFonts w:ascii="Calibri" w:eastAsia="Calibri" w:hAnsi="Calibri" w:cs="Calibri"/>
                <w:color w:val="000000"/>
                <w:sz w:val="20"/>
                <w:szCs w:val="20"/>
              </w:rPr>
            </w:pPr>
            <w:r>
              <w:rPr>
                <w:rFonts w:ascii="Calibri" w:eastAsia="Calibri" w:hAnsi="Calibri" w:cs="Calibri"/>
                <w:color w:val="000000"/>
                <w:sz w:val="20"/>
                <w:szCs w:val="20"/>
              </w:rPr>
              <w:t>2/18/18 6:00</w:t>
            </w:r>
          </w:p>
        </w:tc>
        <w:tc>
          <w:tcPr>
            <w:tcW w:w="879" w:type="dxa"/>
            <w:vAlign w:val="bottom"/>
          </w:tcPr>
          <w:p w14:paraId="2F6B75F2"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975</w:t>
            </w:r>
          </w:p>
        </w:tc>
        <w:tc>
          <w:tcPr>
            <w:tcW w:w="1097" w:type="dxa"/>
            <w:vAlign w:val="bottom"/>
          </w:tcPr>
          <w:p w14:paraId="48988521" w14:textId="77777777" w:rsidR="000C7932" w:rsidRDefault="000C7932" w:rsidP="000A542C">
            <w:pPr>
              <w:jc w:val="right"/>
              <w:rPr>
                <w:rFonts w:ascii="Calibri" w:eastAsia="Calibri" w:hAnsi="Calibri" w:cs="Calibri"/>
                <w:color w:val="000000"/>
                <w:sz w:val="20"/>
                <w:szCs w:val="20"/>
              </w:rPr>
            </w:pPr>
          </w:p>
        </w:tc>
        <w:tc>
          <w:tcPr>
            <w:tcW w:w="879" w:type="dxa"/>
            <w:vAlign w:val="bottom"/>
          </w:tcPr>
          <w:p w14:paraId="1E381004" w14:textId="77777777" w:rsidR="000C7932" w:rsidRDefault="000C7932" w:rsidP="000A542C">
            <w:pPr>
              <w:jc w:val="right"/>
              <w:rPr>
                <w:rFonts w:ascii="Calibri" w:eastAsia="Calibri" w:hAnsi="Calibri" w:cs="Calibri"/>
                <w:color w:val="000000"/>
                <w:sz w:val="20"/>
                <w:szCs w:val="20"/>
              </w:rPr>
            </w:pPr>
          </w:p>
        </w:tc>
        <w:tc>
          <w:tcPr>
            <w:tcW w:w="792" w:type="dxa"/>
            <w:vAlign w:val="bottom"/>
          </w:tcPr>
          <w:p w14:paraId="67CB38CD"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30.9</w:t>
            </w:r>
          </w:p>
        </w:tc>
        <w:tc>
          <w:tcPr>
            <w:tcW w:w="792" w:type="dxa"/>
            <w:vAlign w:val="bottom"/>
          </w:tcPr>
          <w:p w14:paraId="7A4EF805"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60.06</w:t>
            </w:r>
          </w:p>
        </w:tc>
        <w:tc>
          <w:tcPr>
            <w:tcW w:w="729" w:type="dxa"/>
            <w:vAlign w:val="bottom"/>
          </w:tcPr>
          <w:p w14:paraId="428DD911" w14:textId="77777777" w:rsidR="000C7932" w:rsidRDefault="000C7932" w:rsidP="000A542C">
            <w:pPr>
              <w:jc w:val="right"/>
              <w:rPr>
                <w:rFonts w:ascii="Calibri" w:eastAsia="Calibri" w:hAnsi="Calibri" w:cs="Calibri"/>
                <w:color w:val="000000"/>
                <w:sz w:val="20"/>
                <w:szCs w:val="20"/>
              </w:rPr>
            </w:pPr>
          </w:p>
        </w:tc>
        <w:tc>
          <w:tcPr>
            <w:tcW w:w="777" w:type="dxa"/>
            <w:vAlign w:val="bottom"/>
          </w:tcPr>
          <w:p w14:paraId="56CD47C0" w14:textId="77777777" w:rsidR="000C7932" w:rsidRDefault="000C7932" w:rsidP="000A542C">
            <w:pPr>
              <w:jc w:val="right"/>
              <w:rPr>
                <w:rFonts w:ascii="Calibri" w:eastAsia="Calibri" w:hAnsi="Calibri" w:cs="Calibri"/>
                <w:color w:val="000000"/>
                <w:sz w:val="20"/>
                <w:szCs w:val="20"/>
              </w:rPr>
            </w:pPr>
          </w:p>
        </w:tc>
        <w:tc>
          <w:tcPr>
            <w:tcW w:w="777" w:type="dxa"/>
            <w:vAlign w:val="bottom"/>
          </w:tcPr>
          <w:p w14:paraId="1C468424" w14:textId="77777777" w:rsidR="000C7932" w:rsidRDefault="000C7932" w:rsidP="000A542C">
            <w:pPr>
              <w:jc w:val="right"/>
              <w:rPr>
                <w:rFonts w:ascii="Calibri" w:eastAsia="Calibri" w:hAnsi="Calibri" w:cs="Calibri"/>
                <w:color w:val="000000"/>
                <w:sz w:val="20"/>
                <w:szCs w:val="20"/>
              </w:rPr>
            </w:pPr>
          </w:p>
        </w:tc>
        <w:tc>
          <w:tcPr>
            <w:tcW w:w="855" w:type="dxa"/>
          </w:tcPr>
          <w:p w14:paraId="5848286D"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88</w:t>
            </w:r>
          </w:p>
        </w:tc>
        <w:tc>
          <w:tcPr>
            <w:tcW w:w="900" w:type="dxa"/>
          </w:tcPr>
          <w:p w14:paraId="6343C526" w14:textId="77777777" w:rsidR="000C7932" w:rsidRDefault="000C7932" w:rsidP="000A542C">
            <w:pPr>
              <w:jc w:val="right"/>
              <w:rPr>
                <w:rFonts w:ascii="Calibri" w:eastAsia="Calibri" w:hAnsi="Calibri" w:cs="Calibri"/>
                <w:b/>
                <w:color w:val="000000"/>
                <w:sz w:val="20"/>
                <w:szCs w:val="20"/>
              </w:rPr>
            </w:pPr>
          </w:p>
        </w:tc>
      </w:tr>
      <w:tr w:rsidR="000C7932" w14:paraId="05E55892" w14:textId="77777777" w:rsidTr="000A542C">
        <w:tc>
          <w:tcPr>
            <w:tcW w:w="878" w:type="dxa"/>
            <w:vAlign w:val="bottom"/>
          </w:tcPr>
          <w:p w14:paraId="2552F5CE" w14:textId="77777777" w:rsidR="000C7932" w:rsidRDefault="000C7932" w:rsidP="000A542C">
            <w:pPr>
              <w:rPr>
                <w:rFonts w:ascii="Calibri" w:eastAsia="Calibri" w:hAnsi="Calibri" w:cs="Calibri"/>
                <w:color w:val="000000"/>
                <w:sz w:val="20"/>
                <w:szCs w:val="20"/>
              </w:rPr>
            </w:pPr>
            <w:r>
              <w:rPr>
                <w:rFonts w:ascii="Calibri" w:eastAsia="Calibri" w:hAnsi="Calibri" w:cs="Calibri"/>
                <w:color w:val="000000"/>
                <w:sz w:val="20"/>
                <w:szCs w:val="20"/>
              </w:rPr>
              <w:t>2/18/18 12:00</w:t>
            </w:r>
          </w:p>
        </w:tc>
        <w:tc>
          <w:tcPr>
            <w:tcW w:w="879" w:type="dxa"/>
            <w:vAlign w:val="bottom"/>
          </w:tcPr>
          <w:p w14:paraId="7AACA5E4"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977</w:t>
            </w:r>
          </w:p>
        </w:tc>
        <w:tc>
          <w:tcPr>
            <w:tcW w:w="1097" w:type="dxa"/>
            <w:vAlign w:val="bottom"/>
          </w:tcPr>
          <w:p w14:paraId="4C6515A9" w14:textId="77777777" w:rsidR="000C7932" w:rsidRDefault="000C7932" w:rsidP="000A542C">
            <w:pPr>
              <w:jc w:val="right"/>
              <w:rPr>
                <w:rFonts w:ascii="Calibri" w:eastAsia="Calibri" w:hAnsi="Calibri" w:cs="Calibri"/>
                <w:color w:val="000000"/>
                <w:sz w:val="20"/>
                <w:szCs w:val="20"/>
              </w:rPr>
            </w:pPr>
          </w:p>
        </w:tc>
        <w:tc>
          <w:tcPr>
            <w:tcW w:w="879" w:type="dxa"/>
            <w:vAlign w:val="bottom"/>
          </w:tcPr>
          <w:p w14:paraId="5CFCDBB8" w14:textId="77777777" w:rsidR="000C7932" w:rsidRDefault="000C7932" w:rsidP="000A542C">
            <w:pPr>
              <w:jc w:val="right"/>
              <w:rPr>
                <w:rFonts w:ascii="Calibri" w:eastAsia="Calibri" w:hAnsi="Calibri" w:cs="Calibri"/>
                <w:color w:val="000000"/>
                <w:sz w:val="20"/>
                <w:szCs w:val="20"/>
              </w:rPr>
            </w:pPr>
          </w:p>
        </w:tc>
        <w:tc>
          <w:tcPr>
            <w:tcW w:w="792" w:type="dxa"/>
            <w:vAlign w:val="bottom"/>
          </w:tcPr>
          <w:p w14:paraId="6B860E30"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28.3</w:t>
            </w:r>
          </w:p>
        </w:tc>
        <w:tc>
          <w:tcPr>
            <w:tcW w:w="792" w:type="dxa"/>
            <w:vAlign w:val="bottom"/>
          </w:tcPr>
          <w:p w14:paraId="10DB3A4E"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55.01</w:t>
            </w:r>
          </w:p>
        </w:tc>
        <w:tc>
          <w:tcPr>
            <w:tcW w:w="729" w:type="dxa"/>
            <w:vAlign w:val="bottom"/>
          </w:tcPr>
          <w:p w14:paraId="45588758" w14:textId="77777777" w:rsidR="000C7932" w:rsidRDefault="000C7932" w:rsidP="000A542C">
            <w:pPr>
              <w:jc w:val="right"/>
              <w:rPr>
                <w:rFonts w:ascii="Calibri" w:eastAsia="Calibri" w:hAnsi="Calibri" w:cs="Calibri"/>
                <w:color w:val="000000"/>
                <w:sz w:val="20"/>
                <w:szCs w:val="20"/>
              </w:rPr>
            </w:pPr>
          </w:p>
        </w:tc>
        <w:tc>
          <w:tcPr>
            <w:tcW w:w="777" w:type="dxa"/>
            <w:vAlign w:val="bottom"/>
          </w:tcPr>
          <w:p w14:paraId="704D1FF8" w14:textId="77777777" w:rsidR="000C7932" w:rsidRDefault="000C7932" w:rsidP="000A542C">
            <w:pPr>
              <w:jc w:val="right"/>
              <w:rPr>
                <w:rFonts w:ascii="Calibri" w:eastAsia="Calibri" w:hAnsi="Calibri" w:cs="Calibri"/>
                <w:color w:val="000000"/>
                <w:sz w:val="20"/>
                <w:szCs w:val="20"/>
              </w:rPr>
            </w:pPr>
          </w:p>
        </w:tc>
        <w:tc>
          <w:tcPr>
            <w:tcW w:w="777" w:type="dxa"/>
            <w:vAlign w:val="bottom"/>
          </w:tcPr>
          <w:p w14:paraId="59D0679A" w14:textId="77777777" w:rsidR="000C7932" w:rsidRDefault="000C7932" w:rsidP="000A542C">
            <w:pPr>
              <w:jc w:val="right"/>
              <w:rPr>
                <w:rFonts w:ascii="Calibri" w:eastAsia="Calibri" w:hAnsi="Calibri" w:cs="Calibri"/>
                <w:color w:val="000000"/>
                <w:sz w:val="20"/>
                <w:szCs w:val="20"/>
              </w:rPr>
            </w:pPr>
          </w:p>
        </w:tc>
        <w:tc>
          <w:tcPr>
            <w:tcW w:w="855" w:type="dxa"/>
          </w:tcPr>
          <w:p w14:paraId="2B235830"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89</w:t>
            </w:r>
          </w:p>
        </w:tc>
        <w:tc>
          <w:tcPr>
            <w:tcW w:w="900" w:type="dxa"/>
          </w:tcPr>
          <w:p w14:paraId="05FAE9BB" w14:textId="77777777" w:rsidR="000C7932" w:rsidRDefault="000C7932" w:rsidP="000A542C">
            <w:pPr>
              <w:jc w:val="right"/>
              <w:rPr>
                <w:rFonts w:ascii="Calibri" w:eastAsia="Calibri" w:hAnsi="Calibri" w:cs="Calibri"/>
                <w:b/>
                <w:color w:val="000000"/>
                <w:sz w:val="20"/>
                <w:szCs w:val="20"/>
              </w:rPr>
            </w:pPr>
          </w:p>
        </w:tc>
      </w:tr>
      <w:tr w:rsidR="000C7932" w14:paraId="5E25FD8F" w14:textId="77777777" w:rsidTr="000A542C">
        <w:tc>
          <w:tcPr>
            <w:tcW w:w="878" w:type="dxa"/>
            <w:vAlign w:val="bottom"/>
          </w:tcPr>
          <w:p w14:paraId="4A837DE7" w14:textId="77777777" w:rsidR="000C7932" w:rsidRDefault="000C7932" w:rsidP="000A542C">
            <w:pPr>
              <w:rPr>
                <w:rFonts w:ascii="Calibri" w:eastAsia="Calibri" w:hAnsi="Calibri" w:cs="Calibri"/>
                <w:color w:val="000000"/>
                <w:sz w:val="20"/>
                <w:szCs w:val="20"/>
              </w:rPr>
            </w:pPr>
            <w:r>
              <w:rPr>
                <w:rFonts w:ascii="Calibri" w:eastAsia="Calibri" w:hAnsi="Calibri" w:cs="Calibri"/>
                <w:color w:val="000000"/>
                <w:sz w:val="20"/>
                <w:szCs w:val="20"/>
              </w:rPr>
              <w:t>2/18/18 18:00</w:t>
            </w:r>
          </w:p>
        </w:tc>
        <w:tc>
          <w:tcPr>
            <w:tcW w:w="879" w:type="dxa"/>
            <w:vAlign w:val="bottom"/>
          </w:tcPr>
          <w:p w14:paraId="3181EED8"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983</w:t>
            </w:r>
          </w:p>
        </w:tc>
        <w:tc>
          <w:tcPr>
            <w:tcW w:w="1097" w:type="dxa"/>
            <w:vAlign w:val="bottom"/>
          </w:tcPr>
          <w:p w14:paraId="60B4ABD5" w14:textId="77777777" w:rsidR="000C7932" w:rsidRDefault="000C7932" w:rsidP="000A542C">
            <w:pPr>
              <w:jc w:val="right"/>
              <w:rPr>
                <w:rFonts w:ascii="Calibri" w:eastAsia="Calibri" w:hAnsi="Calibri" w:cs="Calibri"/>
                <w:color w:val="000000"/>
                <w:sz w:val="20"/>
                <w:szCs w:val="20"/>
              </w:rPr>
            </w:pPr>
          </w:p>
        </w:tc>
        <w:tc>
          <w:tcPr>
            <w:tcW w:w="879" w:type="dxa"/>
            <w:vAlign w:val="bottom"/>
          </w:tcPr>
          <w:p w14:paraId="0E3102A4" w14:textId="77777777" w:rsidR="000C7932" w:rsidRDefault="000C7932" w:rsidP="000A542C">
            <w:pPr>
              <w:jc w:val="right"/>
              <w:rPr>
                <w:rFonts w:ascii="Calibri" w:eastAsia="Calibri" w:hAnsi="Calibri" w:cs="Calibri"/>
                <w:color w:val="000000"/>
                <w:sz w:val="20"/>
                <w:szCs w:val="20"/>
              </w:rPr>
            </w:pPr>
          </w:p>
        </w:tc>
        <w:tc>
          <w:tcPr>
            <w:tcW w:w="792" w:type="dxa"/>
            <w:vAlign w:val="bottom"/>
          </w:tcPr>
          <w:p w14:paraId="093F1583"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23.2</w:t>
            </w:r>
          </w:p>
        </w:tc>
        <w:tc>
          <w:tcPr>
            <w:tcW w:w="792" w:type="dxa"/>
            <w:vAlign w:val="bottom"/>
          </w:tcPr>
          <w:p w14:paraId="54290473"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45.10</w:t>
            </w:r>
          </w:p>
        </w:tc>
        <w:tc>
          <w:tcPr>
            <w:tcW w:w="729" w:type="dxa"/>
            <w:vAlign w:val="bottom"/>
          </w:tcPr>
          <w:p w14:paraId="449CA304" w14:textId="77777777" w:rsidR="000C7932" w:rsidRDefault="000C7932" w:rsidP="000A542C">
            <w:pPr>
              <w:jc w:val="right"/>
              <w:rPr>
                <w:rFonts w:ascii="Calibri" w:eastAsia="Calibri" w:hAnsi="Calibri" w:cs="Calibri"/>
                <w:color w:val="000000"/>
                <w:sz w:val="20"/>
                <w:szCs w:val="20"/>
              </w:rPr>
            </w:pPr>
          </w:p>
        </w:tc>
        <w:tc>
          <w:tcPr>
            <w:tcW w:w="777" w:type="dxa"/>
            <w:vAlign w:val="bottom"/>
          </w:tcPr>
          <w:p w14:paraId="4826B83B" w14:textId="77777777" w:rsidR="000C7932" w:rsidRDefault="000C7932" w:rsidP="000A542C">
            <w:pPr>
              <w:jc w:val="right"/>
              <w:rPr>
                <w:rFonts w:ascii="Calibri" w:eastAsia="Calibri" w:hAnsi="Calibri" w:cs="Calibri"/>
                <w:color w:val="000000"/>
                <w:sz w:val="20"/>
                <w:szCs w:val="20"/>
              </w:rPr>
            </w:pPr>
          </w:p>
        </w:tc>
        <w:tc>
          <w:tcPr>
            <w:tcW w:w="777" w:type="dxa"/>
            <w:vAlign w:val="bottom"/>
          </w:tcPr>
          <w:p w14:paraId="107678DE" w14:textId="77777777" w:rsidR="000C7932" w:rsidRDefault="000C7932" w:rsidP="000A542C">
            <w:pPr>
              <w:jc w:val="right"/>
              <w:rPr>
                <w:rFonts w:ascii="Calibri" w:eastAsia="Calibri" w:hAnsi="Calibri" w:cs="Calibri"/>
                <w:color w:val="000000"/>
                <w:sz w:val="20"/>
                <w:szCs w:val="20"/>
              </w:rPr>
            </w:pPr>
          </w:p>
        </w:tc>
        <w:tc>
          <w:tcPr>
            <w:tcW w:w="855" w:type="dxa"/>
          </w:tcPr>
          <w:p w14:paraId="2C07906D"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73</w:t>
            </w:r>
          </w:p>
        </w:tc>
        <w:tc>
          <w:tcPr>
            <w:tcW w:w="900" w:type="dxa"/>
          </w:tcPr>
          <w:p w14:paraId="393C6CC8" w14:textId="77777777" w:rsidR="000C7932" w:rsidRDefault="000C7932" w:rsidP="000A542C">
            <w:pPr>
              <w:jc w:val="right"/>
              <w:rPr>
                <w:rFonts w:ascii="Calibri" w:eastAsia="Calibri" w:hAnsi="Calibri" w:cs="Calibri"/>
                <w:b/>
                <w:color w:val="000000"/>
                <w:sz w:val="20"/>
                <w:szCs w:val="20"/>
              </w:rPr>
            </w:pPr>
          </w:p>
        </w:tc>
      </w:tr>
      <w:tr w:rsidR="000C7932" w14:paraId="40067586" w14:textId="77777777" w:rsidTr="000A542C">
        <w:tc>
          <w:tcPr>
            <w:tcW w:w="878" w:type="dxa"/>
            <w:vAlign w:val="bottom"/>
          </w:tcPr>
          <w:p w14:paraId="727D4D09" w14:textId="77777777" w:rsidR="000C7932" w:rsidRDefault="000C7932" w:rsidP="000A542C">
            <w:pPr>
              <w:rPr>
                <w:rFonts w:ascii="Calibri" w:eastAsia="Calibri" w:hAnsi="Calibri" w:cs="Calibri"/>
                <w:color w:val="000000"/>
                <w:sz w:val="20"/>
                <w:szCs w:val="20"/>
              </w:rPr>
            </w:pPr>
            <w:r>
              <w:rPr>
                <w:rFonts w:ascii="Calibri" w:eastAsia="Calibri" w:hAnsi="Calibri" w:cs="Calibri"/>
                <w:color w:val="000000"/>
                <w:sz w:val="20"/>
                <w:szCs w:val="20"/>
              </w:rPr>
              <w:t>2/19/18 0:00</w:t>
            </w:r>
          </w:p>
        </w:tc>
        <w:tc>
          <w:tcPr>
            <w:tcW w:w="879" w:type="dxa"/>
            <w:vAlign w:val="bottom"/>
          </w:tcPr>
          <w:p w14:paraId="4C01364C"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990</w:t>
            </w:r>
          </w:p>
        </w:tc>
        <w:tc>
          <w:tcPr>
            <w:tcW w:w="1097" w:type="dxa"/>
            <w:vAlign w:val="bottom"/>
          </w:tcPr>
          <w:p w14:paraId="658CEE54" w14:textId="77777777" w:rsidR="000C7932" w:rsidRDefault="000C7932" w:rsidP="000A542C">
            <w:pPr>
              <w:jc w:val="right"/>
              <w:rPr>
                <w:rFonts w:ascii="Calibri" w:eastAsia="Calibri" w:hAnsi="Calibri" w:cs="Calibri"/>
                <w:color w:val="000000"/>
                <w:sz w:val="20"/>
                <w:szCs w:val="20"/>
              </w:rPr>
            </w:pPr>
          </w:p>
        </w:tc>
        <w:tc>
          <w:tcPr>
            <w:tcW w:w="879" w:type="dxa"/>
            <w:vAlign w:val="bottom"/>
          </w:tcPr>
          <w:p w14:paraId="6A9FFBDB" w14:textId="77777777" w:rsidR="000C7932" w:rsidRDefault="000C7932" w:rsidP="000A542C">
            <w:pPr>
              <w:jc w:val="right"/>
              <w:rPr>
                <w:rFonts w:ascii="Calibri" w:eastAsia="Calibri" w:hAnsi="Calibri" w:cs="Calibri"/>
                <w:color w:val="000000"/>
                <w:sz w:val="20"/>
                <w:szCs w:val="20"/>
              </w:rPr>
            </w:pPr>
          </w:p>
        </w:tc>
        <w:tc>
          <w:tcPr>
            <w:tcW w:w="792" w:type="dxa"/>
            <w:vAlign w:val="bottom"/>
          </w:tcPr>
          <w:p w14:paraId="168DFD9E"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18</w:t>
            </w:r>
          </w:p>
        </w:tc>
        <w:tc>
          <w:tcPr>
            <w:tcW w:w="792" w:type="dxa"/>
            <w:vAlign w:val="bottom"/>
          </w:tcPr>
          <w:p w14:paraId="60474FF1"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34.99</w:t>
            </w:r>
          </w:p>
        </w:tc>
        <w:tc>
          <w:tcPr>
            <w:tcW w:w="729" w:type="dxa"/>
            <w:vAlign w:val="bottom"/>
          </w:tcPr>
          <w:p w14:paraId="2AD2BD93" w14:textId="77777777" w:rsidR="000C7932" w:rsidRDefault="000C7932" w:rsidP="000A542C">
            <w:pPr>
              <w:jc w:val="right"/>
              <w:rPr>
                <w:rFonts w:ascii="Calibri" w:eastAsia="Calibri" w:hAnsi="Calibri" w:cs="Calibri"/>
                <w:color w:val="000000"/>
                <w:sz w:val="20"/>
                <w:szCs w:val="20"/>
              </w:rPr>
            </w:pPr>
          </w:p>
        </w:tc>
        <w:tc>
          <w:tcPr>
            <w:tcW w:w="777" w:type="dxa"/>
            <w:vAlign w:val="bottom"/>
          </w:tcPr>
          <w:p w14:paraId="71BF6EE4" w14:textId="77777777" w:rsidR="000C7932" w:rsidRDefault="000C7932" w:rsidP="000A542C">
            <w:pPr>
              <w:jc w:val="right"/>
              <w:rPr>
                <w:rFonts w:ascii="Calibri" w:eastAsia="Calibri" w:hAnsi="Calibri" w:cs="Calibri"/>
                <w:color w:val="000000"/>
                <w:sz w:val="20"/>
                <w:szCs w:val="20"/>
              </w:rPr>
            </w:pPr>
          </w:p>
        </w:tc>
        <w:tc>
          <w:tcPr>
            <w:tcW w:w="777" w:type="dxa"/>
            <w:vAlign w:val="bottom"/>
          </w:tcPr>
          <w:p w14:paraId="580E0D66" w14:textId="77777777" w:rsidR="000C7932" w:rsidRDefault="000C7932" w:rsidP="000A542C">
            <w:pPr>
              <w:jc w:val="right"/>
              <w:rPr>
                <w:rFonts w:ascii="Calibri" w:eastAsia="Calibri" w:hAnsi="Calibri" w:cs="Calibri"/>
                <w:color w:val="000000"/>
                <w:sz w:val="20"/>
                <w:szCs w:val="20"/>
              </w:rPr>
            </w:pPr>
          </w:p>
        </w:tc>
        <w:tc>
          <w:tcPr>
            <w:tcW w:w="855" w:type="dxa"/>
          </w:tcPr>
          <w:p w14:paraId="2E24E38A" w14:textId="77777777" w:rsidR="000C7932" w:rsidRDefault="000C7932" w:rsidP="000A542C">
            <w:pPr>
              <w:jc w:val="right"/>
              <w:rPr>
                <w:rFonts w:ascii="Calibri" w:eastAsia="Calibri" w:hAnsi="Calibri" w:cs="Calibri"/>
                <w:color w:val="000000"/>
                <w:sz w:val="20"/>
                <w:szCs w:val="20"/>
              </w:rPr>
            </w:pPr>
          </w:p>
        </w:tc>
        <w:tc>
          <w:tcPr>
            <w:tcW w:w="900" w:type="dxa"/>
          </w:tcPr>
          <w:p w14:paraId="5839E4AC" w14:textId="77777777" w:rsidR="000C7932" w:rsidRDefault="000C7932" w:rsidP="000A542C">
            <w:pPr>
              <w:jc w:val="right"/>
              <w:rPr>
                <w:rFonts w:ascii="Calibri" w:eastAsia="Calibri" w:hAnsi="Calibri" w:cs="Calibri"/>
                <w:color w:val="000000"/>
                <w:sz w:val="20"/>
                <w:szCs w:val="20"/>
              </w:rPr>
            </w:pPr>
          </w:p>
        </w:tc>
      </w:tr>
      <w:tr w:rsidR="000C7932" w14:paraId="138461C4" w14:textId="77777777" w:rsidTr="000A542C">
        <w:tc>
          <w:tcPr>
            <w:tcW w:w="878" w:type="dxa"/>
            <w:vAlign w:val="bottom"/>
          </w:tcPr>
          <w:p w14:paraId="52D763C1" w14:textId="77777777" w:rsidR="000C7932" w:rsidRDefault="000C7932" w:rsidP="000A542C">
            <w:pPr>
              <w:rPr>
                <w:rFonts w:ascii="Calibri" w:eastAsia="Calibri" w:hAnsi="Calibri" w:cs="Calibri"/>
                <w:color w:val="000000"/>
                <w:sz w:val="20"/>
                <w:szCs w:val="20"/>
              </w:rPr>
            </w:pPr>
            <w:r>
              <w:rPr>
                <w:rFonts w:ascii="Calibri" w:eastAsia="Calibri" w:hAnsi="Calibri" w:cs="Calibri"/>
                <w:color w:val="000000"/>
                <w:sz w:val="20"/>
                <w:szCs w:val="20"/>
              </w:rPr>
              <w:t>2/19/18 6:00</w:t>
            </w:r>
          </w:p>
        </w:tc>
        <w:tc>
          <w:tcPr>
            <w:tcW w:w="879" w:type="dxa"/>
            <w:vAlign w:val="bottom"/>
          </w:tcPr>
          <w:p w14:paraId="2C1AC74B"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990</w:t>
            </w:r>
          </w:p>
        </w:tc>
        <w:tc>
          <w:tcPr>
            <w:tcW w:w="1097" w:type="dxa"/>
            <w:vAlign w:val="bottom"/>
          </w:tcPr>
          <w:p w14:paraId="1A5C5C78" w14:textId="77777777" w:rsidR="000C7932" w:rsidRDefault="000C7932" w:rsidP="000A542C">
            <w:pPr>
              <w:jc w:val="right"/>
              <w:rPr>
                <w:rFonts w:ascii="Calibri" w:eastAsia="Calibri" w:hAnsi="Calibri" w:cs="Calibri"/>
                <w:color w:val="000000"/>
                <w:sz w:val="20"/>
                <w:szCs w:val="20"/>
              </w:rPr>
            </w:pPr>
          </w:p>
        </w:tc>
        <w:tc>
          <w:tcPr>
            <w:tcW w:w="879" w:type="dxa"/>
            <w:vAlign w:val="bottom"/>
          </w:tcPr>
          <w:p w14:paraId="6454215D" w14:textId="77777777" w:rsidR="000C7932" w:rsidRDefault="000C7932" w:rsidP="000A542C">
            <w:pPr>
              <w:jc w:val="right"/>
              <w:rPr>
                <w:rFonts w:ascii="Calibri" w:eastAsia="Calibri" w:hAnsi="Calibri" w:cs="Calibri"/>
                <w:color w:val="000000"/>
                <w:sz w:val="20"/>
                <w:szCs w:val="20"/>
              </w:rPr>
            </w:pPr>
          </w:p>
        </w:tc>
        <w:tc>
          <w:tcPr>
            <w:tcW w:w="792" w:type="dxa"/>
            <w:vAlign w:val="bottom"/>
          </w:tcPr>
          <w:p w14:paraId="0A90C85A"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18</w:t>
            </w:r>
          </w:p>
        </w:tc>
        <w:tc>
          <w:tcPr>
            <w:tcW w:w="792" w:type="dxa"/>
            <w:vAlign w:val="bottom"/>
          </w:tcPr>
          <w:p w14:paraId="6F62D6D2"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34.99</w:t>
            </w:r>
          </w:p>
        </w:tc>
        <w:tc>
          <w:tcPr>
            <w:tcW w:w="729" w:type="dxa"/>
            <w:vAlign w:val="bottom"/>
          </w:tcPr>
          <w:p w14:paraId="3DD823FC" w14:textId="77777777" w:rsidR="000C7932" w:rsidRDefault="000C7932" w:rsidP="000A542C">
            <w:pPr>
              <w:jc w:val="right"/>
              <w:rPr>
                <w:rFonts w:ascii="Calibri" w:eastAsia="Calibri" w:hAnsi="Calibri" w:cs="Calibri"/>
                <w:color w:val="000000"/>
                <w:sz w:val="20"/>
                <w:szCs w:val="20"/>
              </w:rPr>
            </w:pPr>
          </w:p>
        </w:tc>
        <w:tc>
          <w:tcPr>
            <w:tcW w:w="777" w:type="dxa"/>
            <w:vAlign w:val="bottom"/>
          </w:tcPr>
          <w:p w14:paraId="27E95164" w14:textId="77777777" w:rsidR="000C7932" w:rsidRDefault="000C7932" w:rsidP="000A542C">
            <w:pPr>
              <w:jc w:val="right"/>
              <w:rPr>
                <w:rFonts w:ascii="Calibri" w:eastAsia="Calibri" w:hAnsi="Calibri" w:cs="Calibri"/>
                <w:color w:val="000000"/>
                <w:sz w:val="20"/>
                <w:szCs w:val="20"/>
              </w:rPr>
            </w:pPr>
          </w:p>
        </w:tc>
        <w:tc>
          <w:tcPr>
            <w:tcW w:w="777" w:type="dxa"/>
            <w:vAlign w:val="bottom"/>
          </w:tcPr>
          <w:p w14:paraId="3CE430CF" w14:textId="77777777" w:rsidR="000C7932" w:rsidRDefault="000C7932" w:rsidP="000A542C">
            <w:pPr>
              <w:jc w:val="right"/>
              <w:rPr>
                <w:rFonts w:ascii="Calibri" w:eastAsia="Calibri" w:hAnsi="Calibri" w:cs="Calibri"/>
                <w:color w:val="000000"/>
                <w:sz w:val="20"/>
                <w:szCs w:val="20"/>
              </w:rPr>
            </w:pPr>
          </w:p>
        </w:tc>
        <w:tc>
          <w:tcPr>
            <w:tcW w:w="855" w:type="dxa"/>
          </w:tcPr>
          <w:p w14:paraId="193159FB" w14:textId="77777777" w:rsidR="000C7932" w:rsidRDefault="000C7932" w:rsidP="000A542C">
            <w:pPr>
              <w:jc w:val="right"/>
              <w:rPr>
                <w:rFonts w:ascii="Calibri" w:eastAsia="Calibri" w:hAnsi="Calibri" w:cs="Calibri"/>
                <w:color w:val="000000"/>
                <w:sz w:val="20"/>
                <w:szCs w:val="20"/>
              </w:rPr>
            </w:pPr>
          </w:p>
        </w:tc>
        <w:tc>
          <w:tcPr>
            <w:tcW w:w="900" w:type="dxa"/>
          </w:tcPr>
          <w:p w14:paraId="1555B16D" w14:textId="77777777" w:rsidR="000C7932" w:rsidRDefault="000C7932" w:rsidP="000A542C">
            <w:pPr>
              <w:jc w:val="right"/>
              <w:rPr>
                <w:rFonts w:ascii="Calibri" w:eastAsia="Calibri" w:hAnsi="Calibri" w:cs="Calibri"/>
                <w:color w:val="000000"/>
                <w:sz w:val="20"/>
                <w:szCs w:val="20"/>
              </w:rPr>
            </w:pPr>
          </w:p>
        </w:tc>
      </w:tr>
      <w:tr w:rsidR="000C7932" w14:paraId="2E81404E" w14:textId="77777777" w:rsidTr="000A542C">
        <w:tc>
          <w:tcPr>
            <w:tcW w:w="878" w:type="dxa"/>
            <w:vAlign w:val="bottom"/>
          </w:tcPr>
          <w:p w14:paraId="58A75466" w14:textId="77777777" w:rsidR="000C7932" w:rsidRDefault="000C7932" w:rsidP="000A542C">
            <w:pPr>
              <w:rPr>
                <w:rFonts w:ascii="Calibri" w:eastAsia="Calibri" w:hAnsi="Calibri" w:cs="Calibri"/>
                <w:color w:val="000000"/>
                <w:sz w:val="20"/>
                <w:szCs w:val="20"/>
              </w:rPr>
            </w:pPr>
            <w:r>
              <w:rPr>
                <w:rFonts w:ascii="Calibri" w:eastAsia="Calibri" w:hAnsi="Calibri" w:cs="Calibri"/>
                <w:color w:val="000000"/>
                <w:sz w:val="20"/>
                <w:szCs w:val="20"/>
              </w:rPr>
              <w:t>2/19/18 12:00</w:t>
            </w:r>
          </w:p>
        </w:tc>
        <w:tc>
          <w:tcPr>
            <w:tcW w:w="879" w:type="dxa"/>
            <w:vAlign w:val="bottom"/>
          </w:tcPr>
          <w:p w14:paraId="265DAFBD"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995</w:t>
            </w:r>
          </w:p>
        </w:tc>
        <w:tc>
          <w:tcPr>
            <w:tcW w:w="1097" w:type="dxa"/>
            <w:vAlign w:val="bottom"/>
          </w:tcPr>
          <w:p w14:paraId="732BA19A" w14:textId="77777777" w:rsidR="000C7932" w:rsidRDefault="000C7932" w:rsidP="000A542C">
            <w:pPr>
              <w:jc w:val="right"/>
              <w:rPr>
                <w:rFonts w:ascii="Calibri" w:eastAsia="Calibri" w:hAnsi="Calibri" w:cs="Calibri"/>
                <w:color w:val="000000"/>
                <w:sz w:val="20"/>
                <w:szCs w:val="20"/>
              </w:rPr>
            </w:pPr>
          </w:p>
        </w:tc>
        <w:tc>
          <w:tcPr>
            <w:tcW w:w="879" w:type="dxa"/>
            <w:vAlign w:val="bottom"/>
          </w:tcPr>
          <w:p w14:paraId="6BE376C5" w14:textId="77777777" w:rsidR="000C7932" w:rsidRDefault="000C7932" w:rsidP="000A542C">
            <w:pPr>
              <w:jc w:val="right"/>
              <w:rPr>
                <w:rFonts w:ascii="Calibri" w:eastAsia="Calibri" w:hAnsi="Calibri" w:cs="Calibri"/>
                <w:color w:val="000000"/>
                <w:sz w:val="20"/>
                <w:szCs w:val="20"/>
              </w:rPr>
            </w:pPr>
          </w:p>
        </w:tc>
        <w:tc>
          <w:tcPr>
            <w:tcW w:w="792" w:type="dxa"/>
            <w:vAlign w:val="bottom"/>
          </w:tcPr>
          <w:p w14:paraId="10505E14"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15.4</w:t>
            </w:r>
          </w:p>
        </w:tc>
        <w:tc>
          <w:tcPr>
            <w:tcW w:w="792" w:type="dxa"/>
            <w:vAlign w:val="bottom"/>
          </w:tcPr>
          <w:p w14:paraId="7635D824"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29.94</w:t>
            </w:r>
          </w:p>
        </w:tc>
        <w:tc>
          <w:tcPr>
            <w:tcW w:w="729" w:type="dxa"/>
            <w:vAlign w:val="bottom"/>
          </w:tcPr>
          <w:p w14:paraId="0AB1C3BC" w14:textId="77777777" w:rsidR="000C7932" w:rsidRDefault="000C7932" w:rsidP="000A542C">
            <w:pPr>
              <w:jc w:val="right"/>
              <w:rPr>
                <w:rFonts w:ascii="Calibri" w:eastAsia="Calibri" w:hAnsi="Calibri" w:cs="Calibri"/>
                <w:color w:val="000000"/>
                <w:sz w:val="20"/>
                <w:szCs w:val="20"/>
              </w:rPr>
            </w:pPr>
          </w:p>
        </w:tc>
        <w:tc>
          <w:tcPr>
            <w:tcW w:w="777" w:type="dxa"/>
            <w:vAlign w:val="bottom"/>
          </w:tcPr>
          <w:p w14:paraId="60AEB114" w14:textId="77777777" w:rsidR="000C7932" w:rsidRDefault="000C7932" w:rsidP="000A542C">
            <w:pPr>
              <w:jc w:val="right"/>
              <w:rPr>
                <w:rFonts w:ascii="Calibri" w:eastAsia="Calibri" w:hAnsi="Calibri" w:cs="Calibri"/>
                <w:color w:val="000000"/>
                <w:sz w:val="20"/>
                <w:szCs w:val="20"/>
              </w:rPr>
            </w:pPr>
          </w:p>
        </w:tc>
        <w:tc>
          <w:tcPr>
            <w:tcW w:w="777" w:type="dxa"/>
            <w:vAlign w:val="bottom"/>
          </w:tcPr>
          <w:p w14:paraId="28CC256F" w14:textId="77777777" w:rsidR="000C7932" w:rsidRDefault="000C7932" w:rsidP="000A542C">
            <w:pPr>
              <w:jc w:val="right"/>
              <w:rPr>
                <w:rFonts w:ascii="Calibri" w:eastAsia="Calibri" w:hAnsi="Calibri" w:cs="Calibri"/>
                <w:color w:val="000000"/>
                <w:sz w:val="20"/>
                <w:szCs w:val="20"/>
              </w:rPr>
            </w:pPr>
          </w:p>
        </w:tc>
        <w:tc>
          <w:tcPr>
            <w:tcW w:w="855" w:type="dxa"/>
          </w:tcPr>
          <w:p w14:paraId="3AC4CCA5" w14:textId="77777777" w:rsidR="000C7932" w:rsidRDefault="000C7932" w:rsidP="000A542C">
            <w:pPr>
              <w:jc w:val="right"/>
              <w:rPr>
                <w:rFonts w:ascii="Calibri" w:eastAsia="Calibri" w:hAnsi="Calibri" w:cs="Calibri"/>
                <w:color w:val="000000"/>
                <w:sz w:val="20"/>
                <w:szCs w:val="20"/>
              </w:rPr>
            </w:pPr>
          </w:p>
        </w:tc>
        <w:tc>
          <w:tcPr>
            <w:tcW w:w="900" w:type="dxa"/>
          </w:tcPr>
          <w:p w14:paraId="2AEBAE0F" w14:textId="77777777" w:rsidR="000C7932" w:rsidRDefault="000C7932" w:rsidP="000A542C">
            <w:pPr>
              <w:jc w:val="right"/>
              <w:rPr>
                <w:rFonts w:ascii="Calibri" w:eastAsia="Calibri" w:hAnsi="Calibri" w:cs="Calibri"/>
                <w:color w:val="000000"/>
                <w:sz w:val="20"/>
                <w:szCs w:val="20"/>
              </w:rPr>
            </w:pPr>
          </w:p>
        </w:tc>
      </w:tr>
      <w:tr w:rsidR="000C7932" w14:paraId="56623257" w14:textId="77777777" w:rsidTr="000A542C">
        <w:tc>
          <w:tcPr>
            <w:tcW w:w="878" w:type="dxa"/>
            <w:vAlign w:val="bottom"/>
          </w:tcPr>
          <w:p w14:paraId="2F8CB56C" w14:textId="77777777" w:rsidR="000C7932" w:rsidRDefault="000C7932" w:rsidP="000A542C">
            <w:pPr>
              <w:rPr>
                <w:rFonts w:ascii="Calibri" w:eastAsia="Calibri" w:hAnsi="Calibri" w:cs="Calibri"/>
                <w:color w:val="000000"/>
                <w:sz w:val="20"/>
                <w:szCs w:val="20"/>
              </w:rPr>
            </w:pPr>
            <w:r>
              <w:rPr>
                <w:rFonts w:ascii="Calibri" w:eastAsia="Calibri" w:hAnsi="Calibri" w:cs="Calibri"/>
                <w:color w:val="000000"/>
                <w:sz w:val="20"/>
                <w:szCs w:val="20"/>
              </w:rPr>
              <w:t>2/19/18 18:00</w:t>
            </w:r>
          </w:p>
        </w:tc>
        <w:tc>
          <w:tcPr>
            <w:tcW w:w="879" w:type="dxa"/>
            <w:vAlign w:val="bottom"/>
          </w:tcPr>
          <w:p w14:paraId="4418B5D8"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996</w:t>
            </w:r>
          </w:p>
        </w:tc>
        <w:tc>
          <w:tcPr>
            <w:tcW w:w="1097" w:type="dxa"/>
            <w:vAlign w:val="bottom"/>
          </w:tcPr>
          <w:p w14:paraId="0304EF7F" w14:textId="77777777" w:rsidR="000C7932" w:rsidRDefault="000C7932" w:rsidP="000A542C">
            <w:pPr>
              <w:jc w:val="right"/>
              <w:rPr>
                <w:rFonts w:ascii="Calibri" w:eastAsia="Calibri" w:hAnsi="Calibri" w:cs="Calibri"/>
                <w:color w:val="000000"/>
                <w:sz w:val="20"/>
                <w:szCs w:val="20"/>
              </w:rPr>
            </w:pPr>
          </w:p>
        </w:tc>
        <w:tc>
          <w:tcPr>
            <w:tcW w:w="879" w:type="dxa"/>
            <w:vAlign w:val="bottom"/>
          </w:tcPr>
          <w:p w14:paraId="6F648E4F" w14:textId="77777777" w:rsidR="000C7932" w:rsidRDefault="000C7932" w:rsidP="000A542C">
            <w:pPr>
              <w:jc w:val="right"/>
              <w:rPr>
                <w:rFonts w:ascii="Calibri" w:eastAsia="Calibri" w:hAnsi="Calibri" w:cs="Calibri"/>
                <w:color w:val="000000"/>
                <w:sz w:val="20"/>
                <w:szCs w:val="20"/>
              </w:rPr>
            </w:pPr>
          </w:p>
        </w:tc>
        <w:tc>
          <w:tcPr>
            <w:tcW w:w="792" w:type="dxa"/>
            <w:vAlign w:val="bottom"/>
          </w:tcPr>
          <w:p w14:paraId="7FB46F39"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15.4</w:t>
            </w:r>
          </w:p>
        </w:tc>
        <w:tc>
          <w:tcPr>
            <w:tcW w:w="792" w:type="dxa"/>
            <w:vAlign w:val="bottom"/>
          </w:tcPr>
          <w:p w14:paraId="481BDEA9"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29.94</w:t>
            </w:r>
          </w:p>
        </w:tc>
        <w:tc>
          <w:tcPr>
            <w:tcW w:w="729" w:type="dxa"/>
            <w:vAlign w:val="bottom"/>
          </w:tcPr>
          <w:p w14:paraId="7039C418" w14:textId="77777777" w:rsidR="000C7932" w:rsidRDefault="000C7932" w:rsidP="000A542C">
            <w:pPr>
              <w:jc w:val="right"/>
              <w:rPr>
                <w:rFonts w:ascii="Calibri" w:eastAsia="Calibri" w:hAnsi="Calibri" w:cs="Calibri"/>
                <w:color w:val="000000"/>
                <w:sz w:val="20"/>
                <w:szCs w:val="20"/>
              </w:rPr>
            </w:pPr>
          </w:p>
        </w:tc>
        <w:tc>
          <w:tcPr>
            <w:tcW w:w="777" w:type="dxa"/>
            <w:vAlign w:val="bottom"/>
          </w:tcPr>
          <w:p w14:paraId="7324D097" w14:textId="77777777" w:rsidR="000C7932" w:rsidRDefault="000C7932" w:rsidP="000A542C">
            <w:pPr>
              <w:jc w:val="right"/>
              <w:rPr>
                <w:rFonts w:ascii="Calibri" w:eastAsia="Calibri" w:hAnsi="Calibri" w:cs="Calibri"/>
                <w:color w:val="000000"/>
                <w:sz w:val="20"/>
                <w:szCs w:val="20"/>
              </w:rPr>
            </w:pPr>
          </w:p>
        </w:tc>
        <w:tc>
          <w:tcPr>
            <w:tcW w:w="777" w:type="dxa"/>
            <w:vAlign w:val="bottom"/>
          </w:tcPr>
          <w:p w14:paraId="66632511" w14:textId="77777777" w:rsidR="000C7932" w:rsidRDefault="000C7932" w:rsidP="000A542C">
            <w:pPr>
              <w:jc w:val="right"/>
              <w:rPr>
                <w:rFonts w:ascii="Calibri" w:eastAsia="Calibri" w:hAnsi="Calibri" w:cs="Calibri"/>
                <w:color w:val="000000"/>
                <w:sz w:val="20"/>
                <w:szCs w:val="20"/>
              </w:rPr>
            </w:pPr>
          </w:p>
        </w:tc>
        <w:tc>
          <w:tcPr>
            <w:tcW w:w="855" w:type="dxa"/>
          </w:tcPr>
          <w:p w14:paraId="0491F2E4" w14:textId="77777777" w:rsidR="000C7932" w:rsidRDefault="000C7932" w:rsidP="000A542C">
            <w:pPr>
              <w:jc w:val="right"/>
              <w:rPr>
                <w:rFonts w:ascii="Calibri" w:eastAsia="Calibri" w:hAnsi="Calibri" w:cs="Calibri"/>
                <w:color w:val="000000"/>
                <w:sz w:val="20"/>
                <w:szCs w:val="20"/>
              </w:rPr>
            </w:pPr>
          </w:p>
        </w:tc>
        <w:tc>
          <w:tcPr>
            <w:tcW w:w="900" w:type="dxa"/>
          </w:tcPr>
          <w:p w14:paraId="6E1FD603" w14:textId="77777777" w:rsidR="000C7932" w:rsidRDefault="000C7932" w:rsidP="000A542C">
            <w:pPr>
              <w:jc w:val="right"/>
              <w:rPr>
                <w:rFonts w:ascii="Calibri" w:eastAsia="Calibri" w:hAnsi="Calibri" w:cs="Calibri"/>
                <w:color w:val="000000"/>
                <w:sz w:val="20"/>
                <w:szCs w:val="20"/>
              </w:rPr>
            </w:pPr>
          </w:p>
        </w:tc>
      </w:tr>
      <w:tr w:rsidR="000C7932" w14:paraId="465DBDBE" w14:textId="77777777" w:rsidTr="000A542C">
        <w:tc>
          <w:tcPr>
            <w:tcW w:w="878" w:type="dxa"/>
            <w:vAlign w:val="bottom"/>
          </w:tcPr>
          <w:p w14:paraId="10321A2F" w14:textId="77777777" w:rsidR="000C7932" w:rsidRDefault="000C7932" w:rsidP="000A542C">
            <w:pPr>
              <w:rPr>
                <w:rFonts w:ascii="Calibri" w:eastAsia="Calibri" w:hAnsi="Calibri" w:cs="Calibri"/>
                <w:color w:val="000000"/>
                <w:sz w:val="20"/>
                <w:szCs w:val="20"/>
              </w:rPr>
            </w:pPr>
            <w:r>
              <w:rPr>
                <w:rFonts w:ascii="Calibri" w:eastAsia="Calibri" w:hAnsi="Calibri" w:cs="Calibri"/>
                <w:color w:val="000000"/>
                <w:sz w:val="20"/>
                <w:szCs w:val="20"/>
              </w:rPr>
              <w:t>2/20/18 0:00</w:t>
            </w:r>
          </w:p>
        </w:tc>
        <w:tc>
          <w:tcPr>
            <w:tcW w:w="879" w:type="dxa"/>
            <w:vAlign w:val="bottom"/>
          </w:tcPr>
          <w:p w14:paraId="6D234A19"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996</w:t>
            </w:r>
          </w:p>
        </w:tc>
        <w:tc>
          <w:tcPr>
            <w:tcW w:w="1097" w:type="dxa"/>
            <w:vAlign w:val="bottom"/>
          </w:tcPr>
          <w:p w14:paraId="7DDE96CA" w14:textId="77777777" w:rsidR="000C7932" w:rsidRDefault="000C7932" w:rsidP="000A542C">
            <w:pPr>
              <w:jc w:val="right"/>
              <w:rPr>
                <w:rFonts w:ascii="Calibri" w:eastAsia="Calibri" w:hAnsi="Calibri" w:cs="Calibri"/>
                <w:color w:val="000000"/>
                <w:sz w:val="20"/>
                <w:szCs w:val="20"/>
              </w:rPr>
            </w:pPr>
          </w:p>
        </w:tc>
        <w:tc>
          <w:tcPr>
            <w:tcW w:w="879" w:type="dxa"/>
            <w:vAlign w:val="bottom"/>
          </w:tcPr>
          <w:p w14:paraId="5F4BD15F" w14:textId="77777777" w:rsidR="000C7932" w:rsidRDefault="000C7932" w:rsidP="000A542C">
            <w:pPr>
              <w:jc w:val="right"/>
              <w:rPr>
                <w:rFonts w:ascii="Calibri" w:eastAsia="Calibri" w:hAnsi="Calibri" w:cs="Calibri"/>
                <w:color w:val="000000"/>
                <w:sz w:val="20"/>
                <w:szCs w:val="20"/>
              </w:rPr>
            </w:pPr>
          </w:p>
        </w:tc>
        <w:tc>
          <w:tcPr>
            <w:tcW w:w="792" w:type="dxa"/>
            <w:vAlign w:val="bottom"/>
          </w:tcPr>
          <w:p w14:paraId="7AAC0B71" w14:textId="77777777" w:rsidR="000C7932" w:rsidRDefault="000C7932" w:rsidP="000A542C">
            <w:pPr>
              <w:jc w:val="right"/>
              <w:rPr>
                <w:rFonts w:ascii="Calibri" w:eastAsia="Calibri" w:hAnsi="Calibri" w:cs="Calibri"/>
                <w:color w:val="000000"/>
                <w:sz w:val="20"/>
                <w:szCs w:val="20"/>
              </w:rPr>
            </w:pPr>
            <w:r>
              <w:rPr>
                <w:rFonts w:ascii="Calibri" w:eastAsia="Calibri" w:hAnsi="Calibri" w:cs="Calibri"/>
                <w:color w:val="000000"/>
                <w:sz w:val="20"/>
                <w:szCs w:val="20"/>
              </w:rPr>
              <w:t>15.4</w:t>
            </w:r>
          </w:p>
        </w:tc>
        <w:tc>
          <w:tcPr>
            <w:tcW w:w="792" w:type="dxa"/>
            <w:vAlign w:val="bottom"/>
          </w:tcPr>
          <w:p w14:paraId="353FD767" w14:textId="77777777" w:rsidR="000C7932" w:rsidRDefault="000C7932" w:rsidP="000A542C">
            <w:pPr>
              <w:jc w:val="right"/>
              <w:rPr>
                <w:rFonts w:ascii="Calibri" w:eastAsia="Calibri" w:hAnsi="Calibri" w:cs="Calibri"/>
                <w:b/>
                <w:color w:val="000000"/>
                <w:sz w:val="20"/>
                <w:szCs w:val="20"/>
              </w:rPr>
            </w:pPr>
            <w:r>
              <w:rPr>
                <w:rFonts w:ascii="Calibri" w:eastAsia="Calibri" w:hAnsi="Calibri" w:cs="Calibri"/>
                <w:b/>
                <w:color w:val="000000"/>
                <w:sz w:val="20"/>
                <w:szCs w:val="20"/>
              </w:rPr>
              <w:t>29.94</w:t>
            </w:r>
          </w:p>
        </w:tc>
        <w:tc>
          <w:tcPr>
            <w:tcW w:w="729" w:type="dxa"/>
            <w:vAlign w:val="bottom"/>
          </w:tcPr>
          <w:p w14:paraId="6D374CE0" w14:textId="77777777" w:rsidR="000C7932" w:rsidRDefault="000C7932" w:rsidP="000A542C">
            <w:pPr>
              <w:jc w:val="right"/>
              <w:rPr>
                <w:rFonts w:ascii="Calibri" w:eastAsia="Calibri" w:hAnsi="Calibri" w:cs="Calibri"/>
                <w:color w:val="000000"/>
                <w:sz w:val="20"/>
                <w:szCs w:val="20"/>
              </w:rPr>
            </w:pPr>
          </w:p>
        </w:tc>
        <w:tc>
          <w:tcPr>
            <w:tcW w:w="777" w:type="dxa"/>
            <w:vAlign w:val="bottom"/>
          </w:tcPr>
          <w:p w14:paraId="7D8D31FF" w14:textId="77777777" w:rsidR="000C7932" w:rsidRDefault="000C7932" w:rsidP="000A542C">
            <w:pPr>
              <w:jc w:val="right"/>
              <w:rPr>
                <w:rFonts w:ascii="Calibri" w:eastAsia="Calibri" w:hAnsi="Calibri" w:cs="Calibri"/>
                <w:color w:val="000000"/>
                <w:sz w:val="20"/>
                <w:szCs w:val="20"/>
              </w:rPr>
            </w:pPr>
          </w:p>
        </w:tc>
        <w:tc>
          <w:tcPr>
            <w:tcW w:w="777" w:type="dxa"/>
            <w:vAlign w:val="bottom"/>
          </w:tcPr>
          <w:p w14:paraId="2CC3F0F5" w14:textId="77777777" w:rsidR="000C7932" w:rsidRDefault="000C7932" w:rsidP="000A542C">
            <w:pPr>
              <w:jc w:val="right"/>
              <w:rPr>
                <w:rFonts w:ascii="Calibri" w:eastAsia="Calibri" w:hAnsi="Calibri" w:cs="Calibri"/>
                <w:color w:val="000000"/>
                <w:sz w:val="20"/>
                <w:szCs w:val="20"/>
              </w:rPr>
            </w:pPr>
          </w:p>
        </w:tc>
        <w:tc>
          <w:tcPr>
            <w:tcW w:w="855" w:type="dxa"/>
          </w:tcPr>
          <w:p w14:paraId="73FFC171" w14:textId="77777777" w:rsidR="000C7932" w:rsidRDefault="000C7932" w:rsidP="000A542C">
            <w:pPr>
              <w:jc w:val="right"/>
              <w:rPr>
                <w:rFonts w:ascii="Calibri" w:eastAsia="Calibri" w:hAnsi="Calibri" w:cs="Calibri"/>
                <w:color w:val="000000"/>
                <w:sz w:val="20"/>
                <w:szCs w:val="20"/>
              </w:rPr>
            </w:pPr>
          </w:p>
        </w:tc>
        <w:tc>
          <w:tcPr>
            <w:tcW w:w="900" w:type="dxa"/>
          </w:tcPr>
          <w:p w14:paraId="35ACEF1B" w14:textId="77777777" w:rsidR="000C7932" w:rsidRDefault="000C7932" w:rsidP="000A542C">
            <w:pPr>
              <w:jc w:val="right"/>
              <w:rPr>
                <w:rFonts w:ascii="Calibri" w:eastAsia="Calibri" w:hAnsi="Calibri" w:cs="Calibri"/>
                <w:color w:val="000000"/>
                <w:sz w:val="20"/>
                <w:szCs w:val="20"/>
              </w:rPr>
            </w:pPr>
          </w:p>
        </w:tc>
      </w:tr>
      <w:tr w:rsidR="000C7932" w14:paraId="23265B19" w14:textId="77777777" w:rsidTr="000A542C">
        <w:tc>
          <w:tcPr>
            <w:tcW w:w="878" w:type="dxa"/>
            <w:vAlign w:val="bottom"/>
          </w:tcPr>
          <w:p w14:paraId="1545012F" w14:textId="77777777" w:rsidR="000C7932" w:rsidRDefault="000C7932" w:rsidP="000A542C">
            <w:pPr>
              <w:rPr>
                <w:rFonts w:ascii="Calibri" w:eastAsia="Calibri" w:hAnsi="Calibri" w:cs="Calibri"/>
                <w:color w:val="000000"/>
                <w:sz w:val="20"/>
                <w:szCs w:val="20"/>
              </w:rPr>
            </w:pPr>
          </w:p>
        </w:tc>
        <w:tc>
          <w:tcPr>
            <w:tcW w:w="879" w:type="dxa"/>
            <w:vAlign w:val="bottom"/>
          </w:tcPr>
          <w:p w14:paraId="134B35C7" w14:textId="77777777" w:rsidR="000C7932" w:rsidRDefault="000C7932" w:rsidP="000A542C">
            <w:pPr>
              <w:jc w:val="right"/>
              <w:rPr>
                <w:rFonts w:ascii="Calibri" w:eastAsia="Calibri" w:hAnsi="Calibri" w:cs="Calibri"/>
                <w:color w:val="000000"/>
                <w:sz w:val="20"/>
                <w:szCs w:val="20"/>
              </w:rPr>
            </w:pPr>
          </w:p>
        </w:tc>
        <w:tc>
          <w:tcPr>
            <w:tcW w:w="1097" w:type="dxa"/>
            <w:vAlign w:val="bottom"/>
          </w:tcPr>
          <w:p w14:paraId="475AD4A1" w14:textId="77777777" w:rsidR="000C7932" w:rsidRDefault="000C7932" w:rsidP="000A542C">
            <w:pPr>
              <w:jc w:val="right"/>
              <w:rPr>
                <w:rFonts w:ascii="Calibri" w:eastAsia="Calibri" w:hAnsi="Calibri" w:cs="Calibri"/>
                <w:color w:val="000000"/>
                <w:sz w:val="20"/>
                <w:szCs w:val="20"/>
              </w:rPr>
            </w:pPr>
          </w:p>
        </w:tc>
        <w:tc>
          <w:tcPr>
            <w:tcW w:w="879" w:type="dxa"/>
            <w:vAlign w:val="bottom"/>
          </w:tcPr>
          <w:p w14:paraId="029C0D51" w14:textId="77777777" w:rsidR="000C7932" w:rsidRDefault="000C7932" w:rsidP="000A542C">
            <w:pPr>
              <w:jc w:val="right"/>
              <w:rPr>
                <w:rFonts w:ascii="Calibri" w:eastAsia="Calibri" w:hAnsi="Calibri" w:cs="Calibri"/>
                <w:color w:val="000000"/>
                <w:sz w:val="20"/>
                <w:szCs w:val="20"/>
              </w:rPr>
            </w:pPr>
          </w:p>
        </w:tc>
        <w:tc>
          <w:tcPr>
            <w:tcW w:w="792" w:type="dxa"/>
            <w:vAlign w:val="bottom"/>
          </w:tcPr>
          <w:p w14:paraId="37B79453" w14:textId="77777777" w:rsidR="000C7932" w:rsidRDefault="000C7932" w:rsidP="000A542C">
            <w:pPr>
              <w:jc w:val="right"/>
              <w:rPr>
                <w:rFonts w:ascii="Calibri" w:eastAsia="Calibri" w:hAnsi="Calibri" w:cs="Calibri"/>
                <w:color w:val="000000"/>
                <w:sz w:val="20"/>
                <w:szCs w:val="20"/>
              </w:rPr>
            </w:pPr>
          </w:p>
        </w:tc>
        <w:tc>
          <w:tcPr>
            <w:tcW w:w="792" w:type="dxa"/>
            <w:vAlign w:val="bottom"/>
          </w:tcPr>
          <w:p w14:paraId="18C1FAF7" w14:textId="77777777" w:rsidR="000C7932" w:rsidRDefault="000C7932" w:rsidP="000A542C">
            <w:pPr>
              <w:jc w:val="right"/>
              <w:rPr>
                <w:rFonts w:ascii="Calibri" w:eastAsia="Calibri" w:hAnsi="Calibri" w:cs="Calibri"/>
                <w:color w:val="000000"/>
                <w:sz w:val="20"/>
                <w:szCs w:val="20"/>
              </w:rPr>
            </w:pPr>
          </w:p>
        </w:tc>
        <w:tc>
          <w:tcPr>
            <w:tcW w:w="729" w:type="dxa"/>
            <w:vAlign w:val="bottom"/>
          </w:tcPr>
          <w:p w14:paraId="64C592CC" w14:textId="77777777" w:rsidR="000C7932" w:rsidRDefault="000C7932" w:rsidP="000A542C">
            <w:pPr>
              <w:jc w:val="right"/>
              <w:rPr>
                <w:rFonts w:ascii="Calibri" w:eastAsia="Calibri" w:hAnsi="Calibri" w:cs="Calibri"/>
                <w:color w:val="000000"/>
                <w:sz w:val="20"/>
                <w:szCs w:val="20"/>
              </w:rPr>
            </w:pPr>
          </w:p>
        </w:tc>
        <w:tc>
          <w:tcPr>
            <w:tcW w:w="777" w:type="dxa"/>
            <w:vAlign w:val="bottom"/>
          </w:tcPr>
          <w:p w14:paraId="0A9D7760" w14:textId="77777777" w:rsidR="000C7932" w:rsidRDefault="000C7932" w:rsidP="000A542C">
            <w:pPr>
              <w:jc w:val="right"/>
              <w:rPr>
                <w:rFonts w:ascii="Calibri" w:eastAsia="Calibri" w:hAnsi="Calibri" w:cs="Calibri"/>
                <w:color w:val="000000"/>
                <w:sz w:val="20"/>
                <w:szCs w:val="20"/>
              </w:rPr>
            </w:pPr>
          </w:p>
        </w:tc>
        <w:tc>
          <w:tcPr>
            <w:tcW w:w="777" w:type="dxa"/>
            <w:vAlign w:val="bottom"/>
          </w:tcPr>
          <w:p w14:paraId="55F95A7E" w14:textId="77777777" w:rsidR="000C7932" w:rsidRDefault="000C7932" w:rsidP="000A542C">
            <w:pPr>
              <w:jc w:val="right"/>
              <w:rPr>
                <w:rFonts w:ascii="Calibri" w:eastAsia="Calibri" w:hAnsi="Calibri" w:cs="Calibri"/>
                <w:color w:val="000000"/>
                <w:sz w:val="20"/>
                <w:szCs w:val="20"/>
              </w:rPr>
            </w:pPr>
          </w:p>
        </w:tc>
        <w:tc>
          <w:tcPr>
            <w:tcW w:w="855" w:type="dxa"/>
          </w:tcPr>
          <w:p w14:paraId="5A116B97" w14:textId="77777777" w:rsidR="000C7932" w:rsidRDefault="000C7932" w:rsidP="000A542C">
            <w:pPr>
              <w:jc w:val="right"/>
              <w:rPr>
                <w:rFonts w:ascii="Calibri" w:eastAsia="Calibri" w:hAnsi="Calibri" w:cs="Calibri"/>
                <w:color w:val="000000"/>
                <w:sz w:val="20"/>
                <w:szCs w:val="20"/>
              </w:rPr>
            </w:pPr>
          </w:p>
        </w:tc>
        <w:tc>
          <w:tcPr>
            <w:tcW w:w="900" w:type="dxa"/>
          </w:tcPr>
          <w:p w14:paraId="69595532" w14:textId="77777777" w:rsidR="000C7932" w:rsidRDefault="000C7932" w:rsidP="000A542C">
            <w:pPr>
              <w:jc w:val="right"/>
              <w:rPr>
                <w:rFonts w:ascii="Calibri" w:eastAsia="Calibri" w:hAnsi="Calibri" w:cs="Calibri"/>
                <w:color w:val="000000"/>
                <w:sz w:val="20"/>
                <w:szCs w:val="20"/>
              </w:rPr>
            </w:pPr>
          </w:p>
        </w:tc>
      </w:tr>
    </w:tbl>
    <w:p w14:paraId="696FC0A1" w14:textId="77777777" w:rsidR="000C7932" w:rsidRPr="00820604" w:rsidRDefault="000C7932">
      <w:pPr>
        <w:rPr>
          <w:color w:val="000000"/>
          <w:sz w:val="22"/>
          <w:szCs w:val="22"/>
        </w:rPr>
      </w:pPr>
    </w:p>
    <w:sectPr w:rsidR="000C7932" w:rsidRPr="00820604" w:rsidSect="00BD55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BC05E6"/>
    <w:multiLevelType w:val="multilevel"/>
    <w:tmpl w:val="F5AA1D4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251272E"/>
    <w:multiLevelType w:val="multilevel"/>
    <w:tmpl w:val="B33466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E7C76EF"/>
    <w:multiLevelType w:val="hybridMultilevel"/>
    <w:tmpl w:val="590222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CC63B5"/>
    <w:multiLevelType w:val="multilevel"/>
    <w:tmpl w:val="B76653F4"/>
    <w:lvl w:ilvl="0">
      <w:start w:val="4"/>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52BF2195"/>
    <w:multiLevelType w:val="multilevel"/>
    <w:tmpl w:val="3620BAC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57D1292B"/>
    <w:multiLevelType w:val="hybridMultilevel"/>
    <w:tmpl w:val="2CB464B2"/>
    <w:lvl w:ilvl="0" w:tplc="028619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255485"/>
    <w:multiLevelType w:val="multilevel"/>
    <w:tmpl w:val="5AC483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3"/>
  </w:num>
  <w:num w:numId="3">
    <w:abstractNumId w:val="0"/>
  </w:num>
  <w:num w:numId="4">
    <w:abstractNumId w:val="6"/>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75E"/>
    <w:rsid w:val="00054EA5"/>
    <w:rsid w:val="000A77FE"/>
    <w:rsid w:val="000C7932"/>
    <w:rsid w:val="000E7D0E"/>
    <w:rsid w:val="00137B32"/>
    <w:rsid w:val="0018596B"/>
    <w:rsid w:val="001C44DA"/>
    <w:rsid w:val="001D0481"/>
    <w:rsid w:val="0028117D"/>
    <w:rsid w:val="00313403"/>
    <w:rsid w:val="003229BD"/>
    <w:rsid w:val="003622E0"/>
    <w:rsid w:val="003A3288"/>
    <w:rsid w:val="003C29EA"/>
    <w:rsid w:val="003F7F81"/>
    <w:rsid w:val="00402C5B"/>
    <w:rsid w:val="004923B4"/>
    <w:rsid w:val="004C6A7B"/>
    <w:rsid w:val="00511085"/>
    <w:rsid w:val="005E54A0"/>
    <w:rsid w:val="0063633F"/>
    <w:rsid w:val="006B1D9B"/>
    <w:rsid w:val="006C2FC5"/>
    <w:rsid w:val="00725909"/>
    <w:rsid w:val="00734030"/>
    <w:rsid w:val="0075105A"/>
    <w:rsid w:val="00757AF9"/>
    <w:rsid w:val="007D2571"/>
    <w:rsid w:val="007E5145"/>
    <w:rsid w:val="00820604"/>
    <w:rsid w:val="008308D8"/>
    <w:rsid w:val="00893D8C"/>
    <w:rsid w:val="00953D49"/>
    <w:rsid w:val="00966DB2"/>
    <w:rsid w:val="00A20D69"/>
    <w:rsid w:val="00AF0AE0"/>
    <w:rsid w:val="00AF76E9"/>
    <w:rsid w:val="00B433CA"/>
    <w:rsid w:val="00B66B5B"/>
    <w:rsid w:val="00B67EC4"/>
    <w:rsid w:val="00B80E22"/>
    <w:rsid w:val="00BA634E"/>
    <w:rsid w:val="00BD554A"/>
    <w:rsid w:val="00BF2273"/>
    <w:rsid w:val="00C01769"/>
    <w:rsid w:val="00CC4A36"/>
    <w:rsid w:val="00CD218E"/>
    <w:rsid w:val="00D0614E"/>
    <w:rsid w:val="00D4775E"/>
    <w:rsid w:val="00E65C83"/>
    <w:rsid w:val="00EB2C44"/>
    <w:rsid w:val="00F04D9E"/>
    <w:rsid w:val="00FE32BB"/>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14:docId w14:val="6B02DB96"/>
  <w15:chartTrackingRefBased/>
  <w15:docId w15:val="{689C7640-9649-6A47-92CC-9A3141568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775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775E"/>
    <w:pPr>
      <w:ind w:left="720"/>
      <w:contextualSpacing/>
    </w:pPr>
    <w:rPr>
      <w:rFonts w:asciiTheme="minorHAnsi" w:eastAsiaTheme="minorEastAsia" w:hAnsiTheme="minorHAnsi" w:cstheme="minorBidi"/>
    </w:rPr>
  </w:style>
  <w:style w:type="paragraph" w:styleId="BalloonText">
    <w:name w:val="Balloon Text"/>
    <w:basedOn w:val="Normal"/>
    <w:link w:val="BalloonTextChar"/>
    <w:uiPriority w:val="99"/>
    <w:semiHidden/>
    <w:unhideWhenUsed/>
    <w:rsid w:val="00CD218E"/>
    <w:rPr>
      <w:sz w:val="18"/>
      <w:szCs w:val="18"/>
    </w:rPr>
  </w:style>
  <w:style w:type="character" w:customStyle="1" w:styleId="BalloonTextChar">
    <w:name w:val="Balloon Text Char"/>
    <w:basedOn w:val="DefaultParagraphFont"/>
    <w:link w:val="BalloonText"/>
    <w:uiPriority w:val="99"/>
    <w:semiHidden/>
    <w:rsid w:val="00CD218E"/>
    <w:rPr>
      <w:rFonts w:ascii="Times New Roman" w:eastAsia="Times New Roman" w:hAnsi="Times New Roman" w:cs="Times New Roman"/>
      <w:sz w:val="18"/>
      <w:szCs w:val="18"/>
    </w:rPr>
  </w:style>
  <w:style w:type="character" w:styleId="CommentReference">
    <w:name w:val="annotation reference"/>
    <w:basedOn w:val="DefaultParagraphFont"/>
    <w:uiPriority w:val="99"/>
    <w:semiHidden/>
    <w:unhideWhenUsed/>
    <w:rsid w:val="00CD218E"/>
    <w:rPr>
      <w:sz w:val="16"/>
      <w:szCs w:val="16"/>
    </w:rPr>
  </w:style>
  <w:style w:type="paragraph" w:styleId="CommentText">
    <w:name w:val="annotation text"/>
    <w:basedOn w:val="Normal"/>
    <w:link w:val="CommentTextChar"/>
    <w:uiPriority w:val="99"/>
    <w:semiHidden/>
    <w:unhideWhenUsed/>
    <w:rsid w:val="00CD218E"/>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semiHidden/>
    <w:rsid w:val="00CD218E"/>
    <w:rPr>
      <w:sz w:val="20"/>
      <w:szCs w:val="20"/>
    </w:rPr>
  </w:style>
  <w:style w:type="character" w:customStyle="1" w:styleId="apple-converted-space">
    <w:name w:val="apple-converted-space"/>
    <w:basedOn w:val="DefaultParagraphFont"/>
    <w:rsid w:val="000A77FE"/>
  </w:style>
  <w:style w:type="character" w:styleId="Hyperlink">
    <w:name w:val="Hyperlink"/>
    <w:basedOn w:val="DefaultParagraphFont"/>
    <w:uiPriority w:val="99"/>
    <w:unhideWhenUsed/>
    <w:rsid w:val="000A77FE"/>
    <w:rPr>
      <w:color w:val="0000FF"/>
      <w:u w:val="single"/>
    </w:rPr>
  </w:style>
  <w:style w:type="character" w:customStyle="1" w:styleId="nlmgiven-names">
    <w:name w:val="nlm_given-names"/>
    <w:basedOn w:val="DefaultParagraphFont"/>
    <w:rsid w:val="000A77FE"/>
  </w:style>
  <w:style w:type="character" w:customStyle="1" w:styleId="nlmyear">
    <w:name w:val="nlm_year"/>
    <w:basedOn w:val="DefaultParagraphFont"/>
    <w:rsid w:val="000A77FE"/>
  </w:style>
  <w:style w:type="character" w:customStyle="1" w:styleId="nlmarticle-title">
    <w:name w:val="nlm_article-title"/>
    <w:basedOn w:val="DefaultParagraphFont"/>
    <w:rsid w:val="000A77FE"/>
  </w:style>
  <w:style w:type="character" w:customStyle="1" w:styleId="nlmfpage">
    <w:name w:val="nlm_fpage"/>
    <w:basedOn w:val="DefaultParagraphFont"/>
    <w:rsid w:val="000A77FE"/>
  </w:style>
  <w:style w:type="character" w:customStyle="1" w:styleId="nlmstring-name">
    <w:name w:val="nlm_string-name"/>
    <w:basedOn w:val="DefaultParagraphFont"/>
    <w:rsid w:val="000A77FE"/>
  </w:style>
  <w:style w:type="paragraph" w:styleId="CommentSubject">
    <w:name w:val="annotation subject"/>
    <w:basedOn w:val="CommentText"/>
    <w:next w:val="CommentText"/>
    <w:link w:val="CommentSubjectChar"/>
    <w:uiPriority w:val="99"/>
    <w:semiHidden/>
    <w:unhideWhenUsed/>
    <w:rsid w:val="00953D49"/>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953D49"/>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86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5%2FJAS-D-12-0104.1" TargetMode="External"/><Relationship Id="rId13" Type="http://schemas.openxmlformats.org/officeDocument/2006/relationships/hyperlink" Target="http://rammb.cira.colostate.edu/products/tc_realtime/archive.asp?product=16kmtpwp&amp;storm_identifier=SH102018" TargetMode="External"/><Relationship Id="rId3" Type="http://schemas.openxmlformats.org/officeDocument/2006/relationships/settings" Target="settings.xml"/><Relationship Id="rId7" Type="http://schemas.openxmlformats.org/officeDocument/2006/relationships/hyperlink" Target="https://blog.weatherops.com/youve-probably-not-heard-of-the-brown-ocean-effect-until-now" TargetMode="Externa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doi.org/10.1029/2002JD003296" TargetMode="External"/><Relationship Id="rId11" Type="http://schemas.openxmlformats.org/officeDocument/2006/relationships/hyperlink" Target="http://tropic.ssec.wisc.edu/real-time/satcon/archive/2018/201810S.html" TargetMode="External"/><Relationship Id="rId5" Type="http://schemas.openxmlformats.org/officeDocument/2006/relationships/hyperlink" Target="http://tropic.ssec.wisc.edu/real-time/satcon/archive/2018/201810S.html" TargetMode="External"/><Relationship Id="rId15" Type="http://schemas.openxmlformats.org/officeDocument/2006/relationships/image" Target="media/image4.png"/><Relationship Id="rId10" Type="http://schemas.openxmlformats.org/officeDocument/2006/relationships/hyperlink" Target="http://tropic.ssec.wisc.edu/real-time/satcon/archive/2018/201810S.html"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4302</Words>
  <Characters>24528</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Yoo, Jinwoong (GSFC-617.0)[UNIVERSITY OF MARYLAND]</dc:creator>
  <cp:keywords/>
  <dc:description/>
  <cp:lastModifiedBy>Regul, Kathleen J. (GSFC-617.0)[ASRC FEDERAL SYSTEM SOLUTIONS]</cp:lastModifiedBy>
  <cp:revision>2</cp:revision>
  <dcterms:created xsi:type="dcterms:W3CDTF">2020-11-24T13:50:00Z</dcterms:created>
  <dcterms:modified xsi:type="dcterms:W3CDTF">2020-11-24T13:50:00Z</dcterms:modified>
</cp:coreProperties>
</file>