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73203E" w14:textId="2E1C903B" w:rsidR="00F43DF5" w:rsidRPr="00F43DF5" w:rsidRDefault="00474502" w:rsidP="00F43DF5">
      <w:pPr>
        <w:spacing w:line="240" w:lineRule="atLeast"/>
        <w:jc w:val="both"/>
        <w:rPr>
          <w:sz w:val="20"/>
        </w:rPr>
      </w:pPr>
      <w:r>
        <w:rPr>
          <w:b/>
          <w:sz w:val="20"/>
        </w:rPr>
        <w:t>RECOVERY RATE IS AN IMPROVED METRIC FOR MONITORING BIOBURDEN IN CLEANROOMS</w:t>
      </w:r>
      <w:r w:rsidR="00C22CA2">
        <w:rPr>
          <w:sz w:val="20"/>
        </w:rPr>
        <w:t xml:space="preserve">  </w:t>
      </w:r>
      <w:r w:rsidR="00F43DF5" w:rsidRPr="00F43DF5">
        <w:rPr>
          <w:sz w:val="20"/>
        </w:rPr>
        <w:t>A. B.</w:t>
      </w:r>
      <w:r w:rsidR="00F43DF5">
        <w:rPr>
          <w:sz w:val="20"/>
        </w:rPr>
        <w:t xml:space="preserve"> </w:t>
      </w:r>
      <w:r w:rsidR="00F43DF5" w:rsidRPr="00F43DF5">
        <w:rPr>
          <w:sz w:val="20"/>
        </w:rPr>
        <w:t>Regberg</w:t>
      </w:r>
      <w:r w:rsidR="00F43DF5">
        <w:rPr>
          <w:sz w:val="20"/>
          <w:vertAlign w:val="superscript"/>
        </w:rPr>
        <w:t xml:space="preserve">1 </w:t>
      </w:r>
      <w:r w:rsidR="00F43DF5" w:rsidRPr="00F43DF5">
        <w:rPr>
          <w:sz w:val="20"/>
        </w:rPr>
        <w:t>, C. L. Castro</w:t>
      </w:r>
      <w:r w:rsidR="00F43DF5" w:rsidRPr="00F43DF5">
        <w:rPr>
          <w:sz w:val="20"/>
          <w:vertAlign w:val="superscript"/>
        </w:rPr>
        <w:t>2</w:t>
      </w:r>
      <w:r w:rsidR="00F43DF5">
        <w:rPr>
          <w:sz w:val="20"/>
        </w:rPr>
        <w:t xml:space="preserve">, </w:t>
      </w:r>
      <w:r w:rsidR="00F43DF5">
        <w:rPr>
          <w:sz w:val="20"/>
          <w:vertAlign w:val="superscript"/>
        </w:rPr>
        <w:t xml:space="preserve"> </w:t>
      </w:r>
      <w:r w:rsidR="00F43DF5" w:rsidRPr="00F43DF5">
        <w:rPr>
          <w:sz w:val="20"/>
        </w:rPr>
        <w:t>R. E. Davis</w:t>
      </w:r>
      <w:r w:rsidR="00F43DF5" w:rsidRPr="00F43DF5">
        <w:rPr>
          <w:sz w:val="20"/>
          <w:vertAlign w:val="superscript"/>
        </w:rPr>
        <w:t>1</w:t>
      </w:r>
      <w:r w:rsidR="00F43DF5">
        <w:rPr>
          <w:sz w:val="20"/>
        </w:rPr>
        <w:t>, and, F. M. McCubbin</w:t>
      </w:r>
      <w:r w:rsidR="00F43DF5">
        <w:rPr>
          <w:sz w:val="20"/>
          <w:vertAlign w:val="superscript"/>
        </w:rPr>
        <w:t>1</w:t>
      </w:r>
      <w:r w:rsidR="00F43DF5">
        <w:rPr>
          <w:sz w:val="20"/>
        </w:rPr>
        <w:t xml:space="preserve"> </w:t>
      </w:r>
      <w:r w:rsidR="00F43DF5">
        <w:rPr>
          <w:sz w:val="20"/>
          <w:vertAlign w:val="superscript"/>
        </w:rPr>
        <w:t>1</w:t>
      </w:r>
      <w:r w:rsidR="00F43DF5" w:rsidRPr="00F43DF5">
        <w:rPr>
          <w:sz w:val="20"/>
        </w:rPr>
        <w:t>Astromaterials Research and Exploration Science Division, NASA Johnson Space Center, 2101 NASA Parkway, Houston TX, 77058</w:t>
      </w:r>
      <w:r w:rsidR="00F43DF5">
        <w:rPr>
          <w:sz w:val="20"/>
          <w:vertAlign w:val="superscript"/>
        </w:rPr>
        <w:t xml:space="preserve"> 2</w:t>
      </w:r>
      <w:r w:rsidR="00F43DF5" w:rsidRPr="00F43DF5">
        <w:rPr>
          <w:sz w:val="20"/>
          <w:vertAlign w:val="superscript"/>
        </w:rPr>
        <w:t xml:space="preserve"> </w:t>
      </w:r>
      <w:r w:rsidR="00F43DF5" w:rsidRPr="00F43DF5">
        <w:rPr>
          <w:sz w:val="20"/>
        </w:rPr>
        <w:t xml:space="preserve">Jacobs, JETS Contract, NASA Johnson Space Center, 2101 NASA Parkway, Houston TX 77058, </w:t>
      </w:r>
      <w:r w:rsidR="00F43DF5">
        <w:rPr>
          <w:sz w:val="20"/>
          <w:vertAlign w:val="superscript"/>
        </w:rPr>
        <w:t>3</w:t>
      </w:r>
      <w:r w:rsidR="00F43DF5" w:rsidRPr="00F43DF5">
        <w:rPr>
          <w:sz w:val="20"/>
        </w:rPr>
        <w:t xml:space="preserve"> KBRwyle, NASA Johnson Space Center, 2400 E NASA Pkway, Houston TX 77058, </w:t>
      </w:r>
    </w:p>
    <w:p w14:paraId="70A8AB69" w14:textId="77777777" w:rsidR="00C22CA2" w:rsidRDefault="00C22CA2" w:rsidP="00C22CA2">
      <w:pPr>
        <w:spacing w:line="240" w:lineRule="atLeast"/>
        <w:jc w:val="both"/>
        <w:rPr>
          <w:sz w:val="20"/>
        </w:rPr>
      </w:pPr>
    </w:p>
    <w:p w14:paraId="11C4C087" w14:textId="77777777" w:rsidR="00C22CA2" w:rsidRDefault="00C22CA2" w:rsidP="00C22CA2">
      <w:pPr>
        <w:spacing w:line="240" w:lineRule="atLeast"/>
        <w:ind w:firstLine="288"/>
        <w:jc w:val="both"/>
        <w:rPr>
          <w:sz w:val="20"/>
        </w:rPr>
      </w:pPr>
    </w:p>
    <w:p w14:paraId="441AA561" w14:textId="77777777" w:rsidR="00C22CA2" w:rsidRDefault="00C22CA2" w:rsidP="00C22CA2">
      <w:pPr>
        <w:spacing w:line="240" w:lineRule="atLeast"/>
        <w:ind w:firstLine="288"/>
        <w:jc w:val="both"/>
        <w:rPr>
          <w:sz w:val="20"/>
        </w:rPr>
        <w:sectPr w:rsidR="00C22CA2" w:rsidSect="008176B0">
          <w:headerReference w:type="even" r:id="rId10"/>
          <w:footerReference w:type="even" r:id="rId11"/>
          <w:pgSz w:w="12240" w:h="15840"/>
          <w:pgMar w:top="1440" w:right="1440" w:bottom="1440" w:left="1440" w:header="720" w:footer="720" w:gutter="0"/>
          <w:cols w:space="720"/>
          <w:docGrid w:linePitch="360"/>
        </w:sectPr>
      </w:pPr>
    </w:p>
    <w:p w14:paraId="4D4745C4" w14:textId="41FA8DB6" w:rsidR="00F721A8" w:rsidRDefault="00C22CA2" w:rsidP="00F721A8">
      <w:pPr>
        <w:spacing w:line="240" w:lineRule="atLeast"/>
        <w:ind w:firstLine="288"/>
        <w:jc w:val="both"/>
        <w:rPr>
          <w:sz w:val="20"/>
        </w:rPr>
      </w:pPr>
      <w:bookmarkStart w:id="0" w:name="_GoBack"/>
      <w:bookmarkEnd w:id="0"/>
      <w:r w:rsidRPr="00C22CA2">
        <w:rPr>
          <w:b/>
          <w:sz w:val="20"/>
        </w:rPr>
        <w:t>Introduction:</w:t>
      </w:r>
      <w:r w:rsidRPr="00C22CA2">
        <w:rPr>
          <w:sz w:val="20"/>
        </w:rPr>
        <w:t xml:space="preserve"> </w:t>
      </w:r>
      <w:r w:rsidR="00935769">
        <w:rPr>
          <w:sz w:val="20"/>
        </w:rPr>
        <w:t>The A</w:t>
      </w:r>
      <w:r w:rsidR="00544614">
        <w:rPr>
          <w:sz w:val="20"/>
        </w:rPr>
        <w:t>stromaterials</w:t>
      </w:r>
      <w:r w:rsidR="00935769">
        <w:rPr>
          <w:sz w:val="20"/>
        </w:rPr>
        <w:t xml:space="preserve"> A</w:t>
      </w:r>
      <w:r w:rsidR="005457C2">
        <w:rPr>
          <w:sz w:val="20"/>
        </w:rPr>
        <w:t>cquisition and</w:t>
      </w:r>
      <w:r w:rsidR="00544614">
        <w:rPr>
          <w:sz w:val="20"/>
        </w:rPr>
        <w:t xml:space="preserve"> </w:t>
      </w:r>
      <w:r w:rsidR="00935769">
        <w:rPr>
          <w:sz w:val="20"/>
        </w:rPr>
        <w:t>Curation O</w:t>
      </w:r>
      <w:r w:rsidR="00544614">
        <w:rPr>
          <w:sz w:val="20"/>
        </w:rPr>
        <w:t>ffice maintains s</w:t>
      </w:r>
      <w:r w:rsidR="002E5C9F">
        <w:rPr>
          <w:sz w:val="20"/>
        </w:rPr>
        <w:t xml:space="preserve">even cleanrooms </w:t>
      </w:r>
      <w:r w:rsidR="006A286A">
        <w:rPr>
          <w:sz w:val="20"/>
        </w:rPr>
        <w:t>for</w:t>
      </w:r>
      <w:r w:rsidR="00544614">
        <w:rPr>
          <w:sz w:val="20"/>
        </w:rPr>
        <w:t xml:space="preserve"> curating extraterrestrial samples from a variety of sample return missions. These cleanrooms are monitored for inorganic and particulate contamination</w:t>
      </w:r>
      <w:r w:rsidR="00935769">
        <w:rPr>
          <w:sz w:val="20"/>
        </w:rPr>
        <w:t xml:space="preserve"> and are maintained at</w:t>
      </w:r>
      <w:r w:rsidR="008210CA">
        <w:rPr>
          <w:sz w:val="20"/>
        </w:rPr>
        <w:t xml:space="preserve"> ISO 7 to ISO 4 equivalent standards</w:t>
      </w:r>
      <w:r w:rsidR="005457C2">
        <w:rPr>
          <w:sz w:val="20"/>
        </w:rPr>
        <w:t xml:space="preserve"> as dictated by collection requirements</w:t>
      </w:r>
      <w:r w:rsidR="00544614">
        <w:rPr>
          <w:sz w:val="20"/>
        </w:rPr>
        <w:t>.</w:t>
      </w:r>
      <w:r w:rsidR="00D7431F">
        <w:rPr>
          <w:sz w:val="20"/>
        </w:rPr>
        <w:t xml:space="preserve"> </w:t>
      </w:r>
      <w:r w:rsidR="00544614">
        <w:rPr>
          <w:sz w:val="20"/>
        </w:rPr>
        <w:t>As part of the advanced curation effo</w:t>
      </w:r>
      <w:r w:rsidR="00D7431F">
        <w:rPr>
          <w:sz w:val="20"/>
        </w:rPr>
        <w:t>r</w:t>
      </w:r>
      <w:r w:rsidR="008176B0">
        <w:rPr>
          <w:sz w:val="20"/>
        </w:rPr>
        <w:t>t</w:t>
      </w:r>
      <w:r w:rsidR="00544614">
        <w:rPr>
          <w:sz w:val="20"/>
        </w:rPr>
        <w:t xml:space="preserve"> and to prepare for future sample collections from carbonaceous asteroids and eventually Mars we have begun monitoring the microbiology of these cleanrooms.</w:t>
      </w:r>
      <w:r w:rsidR="00F721A8">
        <w:rPr>
          <w:sz w:val="20"/>
        </w:rPr>
        <w:t xml:space="preserve"> </w:t>
      </w:r>
      <w:r w:rsidR="00D7431F">
        <w:rPr>
          <w:sz w:val="20"/>
        </w:rPr>
        <w:t xml:space="preserve">Insights gained from monitoring these labs can be applied to improving planetary protection efforts. </w:t>
      </w:r>
    </w:p>
    <w:p w14:paraId="424C4DA4" w14:textId="665ED5A0" w:rsidR="00F721A8" w:rsidRPr="007F4C55" w:rsidRDefault="00F721A8" w:rsidP="00F721A8">
      <w:pPr>
        <w:spacing w:line="240" w:lineRule="atLeast"/>
        <w:ind w:firstLine="288"/>
        <w:jc w:val="both"/>
        <w:rPr>
          <w:sz w:val="20"/>
        </w:rPr>
      </w:pPr>
      <w:r>
        <w:rPr>
          <w:sz w:val="20"/>
        </w:rPr>
        <w:t>Bioburden in NASA cleanrooms is commonly monitored to meet planetary protection requirements</w:t>
      </w:r>
      <w:r w:rsidR="001D437C">
        <w:rPr>
          <w:sz w:val="20"/>
        </w:rPr>
        <w:t xml:space="preserve"> using culture-based techniques</w:t>
      </w:r>
      <w:r>
        <w:rPr>
          <w:sz w:val="20"/>
        </w:rPr>
        <w:t>.</w:t>
      </w:r>
      <w:r w:rsidR="00E372D0">
        <w:rPr>
          <w:sz w:val="20"/>
        </w:rPr>
        <w:t xml:space="preserve"> While it is important to expand our monitoring efforts beyond the NASA standard spore assay we may be able to use existing planetary protection data more effectively. </w:t>
      </w:r>
      <w:r>
        <w:rPr>
          <w:sz w:val="20"/>
        </w:rPr>
        <w:t xml:space="preserve">Planetary </w:t>
      </w:r>
      <w:r w:rsidR="00E372D0">
        <w:rPr>
          <w:sz w:val="20"/>
        </w:rPr>
        <w:t>p</w:t>
      </w:r>
      <w:r>
        <w:rPr>
          <w:sz w:val="20"/>
        </w:rPr>
        <w:t>rotection requirements often specify a maximum number of CFU (colony forming units)</w:t>
      </w:r>
      <w:r w:rsidR="007F4C55">
        <w:rPr>
          <w:sz w:val="20"/>
        </w:rPr>
        <w:t xml:space="preserve"> per unit surface area. </w:t>
      </w:r>
      <w:r w:rsidR="0033166B">
        <w:rPr>
          <w:sz w:val="20"/>
        </w:rPr>
        <w:t xml:space="preserve">The pharmaceutical industry also maintains cleanrooms and monitors them for bioburden. However, the USP (United States Pharmacopeial Convention) does not recommend reporting results in terms of CFU. </w:t>
      </w:r>
      <w:r w:rsidR="004E6004">
        <w:rPr>
          <w:sz w:val="20"/>
        </w:rPr>
        <w:t>Instead,</w:t>
      </w:r>
      <w:r w:rsidR="00C51B2B">
        <w:rPr>
          <w:sz w:val="20"/>
        </w:rPr>
        <w:t xml:space="preserve"> the USP</w:t>
      </w:r>
      <w:r w:rsidR="0033166B">
        <w:rPr>
          <w:sz w:val="20"/>
        </w:rPr>
        <w:t xml:space="preserve"> suggest</w:t>
      </w:r>
      <w:r w:rsidR="00C51B2B">
        <w:rPr>
          <w:sz w:val="20"/>
        </w:rPr>
        <w:t xml:space="preserve">s </w:t>
      </w:r>
      <w:r w:rsidR="00E372D0">
        <w:rPr>
          <w:sz w:val="20"/>
        </w:rPr>
        <w:t>using</w:t>
      </w:r>
      <w:r w:rsidR="0033166B">
        <w:rPr>
          <w:sz w:val="20"/>
        </w:rPr>
        <w:t xml:space="preserve"> a statistic called recovery rate. Recovery Rate is defined as: </w:t>
      </w:r>
      <m:oMath>
        <m:f>
          <m:fPr>
            <m:ctrlPr>
              <w:rPr>
                <w:rFonts w:ascii="Cambria Math" w:hAnsi="Cambria Math"/>
                <w:i/>
                <w:sz w:val="20"/>
              </w:rPr>
            </m:ctrlPr>
          </m:fPr>
          <m:num>
            <m:r>
              <m:rPr>
                <m:nor/>
              </m:rPr>
              <w:rPr>
                <w:rFonts w:ascii="Cambria Math" w:hAnsi="Cambria Math"/>
                <w:sz w:val="20"/>
              </w:rPr>
              <m:t># of samples with &gt;0 CFU</m:t>
            </m:r>
          </m:num>
          <m:den>
            <m:r>
              <m:rPr>
                <m:nor/>
              </m:rPr>
              <w:rPr>
                <w:rFonts w:ascii="Cambria Math" w:hAnsi="Cambria Math"/>
                <w:sz w:val="20"/>
              </w:rPr>
              <m:t>total # of samples collected during a sampling event</m:t>
            </m:r>
          </m:den>
        </m:f>
      </m:oMath>
      <w:r w:rsidR="0033166B">
        <w:rPr>
          <w:sz w:val="20"/>
        </w:rPr>
        <w:t>. Cleanrooms maintained to ISO 7 standards can h</w:t>
      </w:r>
      <w:r w:rsidR="00E372D0">
        <w:rPr>
          <w:sz w:val="20"/>
        </w:rPr>
        <w:t>ave recovery rates &lt; 0.05</w:t>
      </w:r>
      <w:r w:rsidR="0033166B">
        <w:rPr>
          <w:sz w:val="20"/>
        </w:rPr>
        <w:t xml:space="preserve"> when </w:t>
      </w:r>
      <w:r w:rsidR="00BF73C9">
        <w:rPr>
          <w:sz w:val="20"/>
        </w:rPr>
        <w:t xml:space="preserve">proper microbiological controls are implemented. Our monitoring data demonstrates that recovery rate is a more descriptive statistic than counting </w:t>
      </w:r>
      <w:r w:rsidR="006A286A">
        <w:rPr>
          <w:sz w:val="20"/>
        </w:rPr>
        <w:t>colony-forming</w:t>
      </w:r>
      <w:r w:rsidR="00BF73C9">
        <w:rPr>
          <w:sz w:val="20"/>
        </w:rPr>
        <w:t xml:space="preserve"> units alone.</w:t>
      </w:r>
    </w:p>
    <w:p w14:paraId="044B5377" w14:textId="1ACA37F1" w:rsidR="00F721A8" w:rsidRDefault="00F721A8" w:rsidP="00F721A8">
      <w:pPr>
        <w:spacing w:line="240" w:lineRule="atLeast"/>
        <w:ind w:firstLine="288"/>
        <w:jc w:val="both"/>
        <w:rPr>
          <w:sz w:val="20"/>
        </w:rPr>
      </w:pPr>
      <w:r>
        <w:rPr>
          <w:b/>
          <w:sz w:val="20"/>
        </w:rPr>
        <w:t xml:space="preserve">Methods: </w:t>
      </w:r>
      <w:r w:rsidR="00C51B2B">
        <w:rPr>
          <w:sz w:val="20"/>
        </w:rPr>
        <w:t xml:space="preserve">We are monitoring the curation labs using methods that are similar to those required by NASA and ESA planetary protection requirements. </w:t>
      </w:r>
      <w:r w:rsidR="00E372D0">
        <w:rPr>
          <w:sz w:val="20"/>
        </w:rPr>
        <w:t>We use</w:t>
      </w:r>
      <w:r w:rsidR="00FB298C">
        <w:rPr>
          <w:sz w:val="20"/>
        </w:rPr>
        <w:t xml:space="preserve"> dry swabs to collect samples from high</w:t>
      </w:r>
      <w:r w:rsidR="00E372D0">
        <w:rPr>
          <w:sz w:val="20"/>
        </w:rPr>
        <w:t xml:space="preserve"> </w:t>
      </w:r>
      <w:r w:rsidR="00FB298C">
        <w:rPr>
          <w:sz w:val="20"/>
        </w:rPr>
        <w:t>traffic</w:t>
      </w:r>
      <w:r w:rsidR="00C51B2B">
        <w:rPr>
          <w:sz w:val="20"/>
        </w:rPr>
        <w:t xml:space="preserve"> areas and</w:t>
      </w:r>
      <w:r w:rsidR="004F7290">
        <w:rPr>
          <w:sz w:val="20"/>
        </w:rPr>
        <w:t xml:space="preserve"> low traffic</w:t>
      </w:r>
      <w:r w:rsidR="00FB298C">
        <w:rPr>
          <w:sz w:val="20"/>
        </w:rPr>
        <w:t xml:space="preserve"> locations that come into direct contact with </w:t>
      </w:r>
      <w:r w:rsidR="00C51B2B">
        <w:rPr>
          <w:sz w:val="20"/>
        </w:rPr>
        <w:t>astromaterials samples</w:t>
      </w:r>
      <w:r w:rsidR="00FB298C">
        <w:rPr>
          <w:sz w:val="20"/>
        </w:rPr>
        <w:t xml:space="preserve">. </w:t>
      </w:r>
      <w:r w:rsidR="004F7290">
        <w:rPr>
          <w:sz w:val="20"/>
        </w:rPr>
        <w:t>After sampling</w:t>
      </w:r>
      <w:r w:rsidR="00FF785E">
        <w:rPr>
          <w:sz w:val="20"/>
        </w:rPr>
        <w:t>,</w:t>
      </w:r>
      <w:r w:rsidR="00C51B2B">
        <w:rPr>
          <w:sz w:val="20"/>
        </w:rPr>
        <w:t xml:space="preserve"> the swabs are</w:t>
      </w:r>
      <w:r w:rsidR="004F7290">
        <w:rPr>
          <w:sz w:val="20"/>
        </w:rPr>
        <w:t xml:space="preserve"> placed in sterile 50 ml centrifuge tubes</w:t>
      </w:r>
      <w:r w:rsidR="00E372D0">
        <w:rPr>
          <w:sz w:val="20"/>
        </w:rPr>
        <w:t xml:space="preserve"> with</w:t>
      </w:r>
      <w:r w:rsidR="004F7290">
        <w:rPr>
          <w:sz w:val="20"/>
        </w:rPr>
        <w:t xml:space="preserve"> 15 ml of</w:t>
      </w:r>
      <w:r w:rsidR="003A3386">
        <w:rPr>
          <w:sz w:val="20"/>
        </w:rPr>
        <w:t xml:space="preserve"> PBS</w:t>
      </w:r>
      <w:r w:rsidR="004F7290">
        <w:rPr>
          <w:sz w:val="20"/>
        </w:rPr>
        <w:t xml:space="preserve"> </w:t>
      </w:r>
      <w:r w:rsidR="003A3386">
        <w:rPr>
          <w:sz w:val="20"/>
        </w:rPr>
        <w:t>(</w:t>
      </w:r>
      <w:r w:rsidR="004F7290">
        <w:rPr>
          <w:sz w:val="20"/>
        </w:rPr>
        <w:t>phosphate buffered saline</w:t>
      </w:r>
      <w:r w:rsidR="003A3386">
        <w:rPr>
          <w:sz w:val="20"/>
        </w:rPr>
        <w:t>)</w:t>
      </w:r>
      <w:r w:rsidR="00BB36E4">
        <w:rPr>
          <w:sz w:val="20"/>
        </w:rPr>
        <w:t xml:space="preserve"> and vortexed to transfer</w:t>
      </w:r>
      <w:r w:rsidR="004F7290">
        <w:rPr>
          <w:sz w:val="20"/>
        </w:rPr>
        <w:t xml:space="preserve"> cells into solution. </w:t>
      </w:r>
      <w:r w:rsidR="00C51B2B">
        <w:rPr>
          <w:sz w:val="20"/>
        </w:rPr>
        <w:t xml:space="preserve">Aliquots of </w:t>
      </w:r>
      <w:r w:rsidR="00E372D0">
        <w:rPr>
          <w:sz w:val="20"/>
        </w:rPr>
        <w:t xml:space="preserve">the PBS </w:t>
      </w:r>
      <w:r w:rsidR="00C51B2B">
        <w:rPr>
          <w:sz w:val="20"/>
        </w:rPr>
        <w:t>are used to inoculate</w:t>
      </w:r>
      <w:r w:rsidR="003A3386">
        <w:rPr>
          <w:sz w:val="20"/>
        </w:rPr>
        <w:t xml:space="preserve"> petri dishes </w:t>
      </w:r>
      <w:r w:rsidR="004E6004">
        <w:rPr>
          <w:sz w:val="20"/>
        </w:rPr>
        <w:t>containing</w:t>
      </w:r>
      <w:r w:rsidR="00BB36E4">
        <w:rPr>
          <w:sz w:val="20"/>
        </w:rPr>
        <w:t xml:space="preserve"> </w:t>
      </w:r>
      <w:r w:rsidR="00DE19BA">
        <w:rPr>
          <w:sz w:val="20"/>
        </w:rPr>
        <w:t>TSA</w:t>
      </w:r>
      <w:r w:rsidR="004F7290">
        <w:rPr>
          <w:sz w:val="20"/>
        </w:rPr>
        <w:t xml:space="preserve"> </w:t>
      </w:r>
      <w:r w:rsidR="00DE19BA">
        <w:rPr>
          <w:sz w:val="20"/>
        </w:rPr>
        <w:t>(</w:t>
      </w:r>
      <w:r w:rsidR="004F7290">
        <w:rPr>
          <w:sz w:val="20"/>
        </w:rPr>
        <w:t>tryptic soy agar</w:t>
      </w:r>
      <w:r w:rsidR="00DE19BA">
        <w:rPr>
          <w:sz w:val="20"/>
        </w:rPr>
        <w:t>)</w:t>
      </w:r>
      <w:r w:rsidR="004F7290">
        <w:rPr>
          <w:sz w:val="20"/>
        </w:rPr>
        <w:t xml:space="preserve">, </w:t>
      </w:r>
      <w:r w:rsidR="00DE19BA">
        <w:rPr>
          <w:sz w:val="20"/>
        </w:rPr>
        <w:t>BA (</w:t>
      </w:r>
      <w:r w:rsidR="004F7290">
        <w:rPr>
          <w:sz w:val="20"/>
        </w:rPr>
        <w:t>blood agar</w:t>
      </w:r>
      <w:r w:rsidR="00DE19BA">
        <w:rPr>
          <w:sz w:val="20"/>
        </w:rPr>
        <w:t>)</w:t>
      </w:r>
      <w:r w:rsidR="003A3386">
        <w:rPr>
          <w:sz w:val="20"/>
        </w:rPr>
        <w:t>,</w:t>
      </w:r>
      <w:r w:rsidR="004F7290">
        <w:rPr>
          <w:sz w:val="20"/>
        </w:rPr>
        <w:t xml:space="preserve"> </w:t>
      </w:r>
      <w:r w:rsidR="00DE19BA">
        <w:rPr>
          <w:sz w:val="20"/>
        </w:rPr>
        <w:t>R2A (</w:t>
      </w:r>
      <w:r w:rsidR="004F7290">
        <w:rPr>
          <w:sz w:val="20"/>
        </w:rPr>
        <w:t>Reasoners 2 agar</w:t>
      </w:r>
      <w:r w:rsidR="00DE19BA">
        <w:rPr>
          <w:sz w:val="20"/>
        </w:rPr>
        <w:t>)</w:t>
      </w:r>
      <w:r w:rsidR="003A3386">
        <w:rPr>
          <w:sz w:val="20"/>
        </w:rPr>
        <w:t>,</w:t>
      </w:r>
      <w:r w:rsidR="004F7290">
        <w:rPr>
          <w:sz w:val="20"/>
        </w:rPr>
        <w:t xml:space="preserve"> Potato Dextrose Agar</w:t>
      </w:r>
      <w:r w:rsidR="003A3386">
        <w:rPr>
          <w:sz w:val="20"/>
        </w:rPr>
        <w:t>,</w:t>
      </w:r>
      <w:r w:rsidR="004F7290">
        <w:rPr>
          <w:sz w:val="20"/>
        </w:rPr>
        <w:t xml:space="preserve"> </w:t>
      </w:r>
      <w:r w:rsidR="00E372D0">
        <w:rPr>
          <w:sz w:val="20"/>
        </w:rPr>
        <w:t>Saboraud Dextrose Agar,</w:t>
      </w:r>
      <w:r w:rsidR="004F7290">
        <w:rPr>
          <w:sz w:val="20"/>
        </w:rPr>
        <w:t xml:space="preserve"> and Saboraud Dextrose Agar with 0.1 mg/ ml chloramphenicol</w:t>
      </w:r>
      <w:r w:rsidR="00DE19BA">
        <w:rPr>
          <w:sz w:val="20"/>
        </w:rPr>
        <w:t xml:space="preserve">. The TSA, and BA plates </w:t>
      </w:r>
      <w:r w:rsidR="003A3386">
        <w:rPr>
          <w:sz w:val="20"/>
        </w:rPr>
        <w:t>are</w:t>
      </w:r>
      <w:r w:rsidR="00A1291E">
        <w:rPr>
          <w:sz w:val="20"/>
        </w:rPr>
        <w:t xml:space="preserve"> incubated for two days at 35℃ and 37</w:t>
      </w:r>
      <w:r w:rsidR="00DE19BA">
        <w:rPr>
          <w:sz w:val="20"/>
        </w:rPr>
        <w:t xml:space="preserve">℃ </w:t>
      </w:r>
      <w:r w:rsidR="003A3386">
        <w:rPr>
          <w:sz w:val="20"/>
        </w:rPr>
        <w:t>respectively. R2A is</w:t>
      </w:r>
      <w:r w:rsidR="00A1291E">
        <w:rPr>
          <w:sz w:val="20"/>
        </w:rPr>
        <w:t xml:space="preserve"> incubated at 2</w:t>
      </w:r>
      <w:r w:rsidR="00DE19BA">
        <w:rPr>
          <w:sz w:val="20"/>
        </w:rPr>
        <w:t xml:space="preserve">5℃ for seven days. The remaining plates </w:t>
      </w:r>
      <w:r w:rsidR="003A3386">
        <w:rPr>
          <w:sz w:val="20"/>
        </w:rPr>
        <w:t>are</w:t>
      </w:r>
      <w:r w:rsidR="00DE19BA">
        <w:rPr>
          <w:sz w:val="20"/>
        </w:rPr>
        <w:t xml:space="preserve"> incubated at 30℃ for seven days. Microbial isolates </w:t>
      </w:r>
      <w:r w:rsidR="003A3386">
        <w:rPr>
          <w:sz w:val="20"/>
        </w:rPr>
        <w:t xml:space="preserve">are </w:t>
      </w:r>
      <w:r w:rsidR="00DE19BA">
        <w:rPr>
          <w:sz w:val="20"/>
        </w:rPr>
        <w:t xml:space="preserve">counted and transferred to new plates for identification. Isolates </w:t>
      </w:r>
      <w:r w:rsidR="003A3386">
        <w:rPr>
          <w:sz w:val="20"/>
        </w:rPr>
        <w:t>are</w:t>
      </w:r>
      <w:r w:rsidR="00DE19BA">
        <w:rPr>
          <w:sz w:val="20"/>
        </w:rPr>
        <w:t xml:space="preserve"> identified using the VITEK2 automated system or by sequencing the 16S rRNA gene for bacteria and the small subunit gene for fungi</w:t>
      </w:r>
      <w:r w:rsidR="00D86FF2">
        <w:rPr>
          <w:sz w:val="20"/>
        </w:rPr>
        <w:t xml:space="preserve"> on an ABI 3500 Sanger sequencer</w:t>
      </w:r>
      <w:r w:rsidR="00BB36E4">
        <w:rPr>
          <w:sz w:val="20"/>
        </w:rPr>
        <w:t>. When possible</w:t>
      </w:r>
      <w:r w:rsidR="00FF785E">
        <w:rPr>
          <w:sz w:val="20"/>
        </w:rPr>
        <w:t>,</w:t>
      </w:r>
      <w:r w:rsidR="00E372D0">
        <w:rPr>
          <w:sz w:val="20"/>
        </w:rPr>
        <w:t xml:space="preserve"> fungi are</w:t>
      </w:r>
      <w:r w:rsidR="00DE19BA">
        <w:rPr>
          <w:sz w:val="20"/>
        </w:rPr>
        <w:t xml:space="preserve"> also ident</w:t>
      </w:r>
      <w:r w:rsidR="00E372D0">
        <w:rPr>
          <w:sz w:val="20"/>
        </w:rPr>
        <w:t>ified</w:t>
      </w:r>
      <w:r w:rsidR="00DE19BA">
        <w:rPr>
          <w:sz w:val="20"/>
        </w:rPr>
        <w:t xml:space="preserve"> by their morphology. </w:t>
      </w:r>
      <w:r w:rsidR="003A3386">
        <w:rPr>
          <w:sz w:val="20"/>
        </w:rPr>
        <w:t xml:space="preserve">The remaining </w:t>
      </w:r>
      <w:r w:rsidR="00E372D0">
        <w:rPr>
          <w:sz w:val="20"/>
        </w:rPr>
        <w:t>PBS is</w:t>
      </w:r>
      <w:r w:rsidR="004B5389">
        <w:rPr>
          <w:sz w:val="20"/>
        </w:rPr>
        <w:t xml:space="preserve"> </w:t>
      </w:r>
      <w:r w:rsidR="003A3386">
        <w:rPr>
          <w:sz w:val="20"/>
        </w:rPr>
        <w:t>frozen at -80</w:t>
      </w:r>
      <w:r w:rsidR="00507325">
        <w:rPr>
          <w:sz w:val="20"/>
        </w:rPr>
        <w:t>℃</w:t>
      </w:r>
      <w:r w:rsidR="003A3386">
        <w:rPr>
          <w:sz w:val="20"/>
        </w:rPr>
        <w:t xml:space="preserve"> for tag sequencing and or shotgun metagenomics. </w:t>
      </w:r>
    </w:p>
    <w:p w14:paraId="58CDA943" w14:textId="24AFF611" w:rsidR="0018243D" w:rsidRDefault="00D86FF2" w:rsidP="00F721A8">
      <w:pPr>
        <w:spacing w:line="240" w:lineRule="atLeast"/>
        <w:ind w:firstLine="288"/>
        <w:jc w:val="both"/>
        <w:rPr>
          <w:sz w:val="20"/>
        </w:rPr>
      </w:pPr>
      <w:r>
        <w:rPr>
          <w:b/>
          <w:sz w:val="20"/>
        </w:rPr>
        <w:t xml:space="preserve">Results: </w:t>
      </w:r>
      <w:r w:rsidR="003A3386">
        <w:rPr>
          <w:sz w:val="20"/>
        </w:rPr>
        <w:t xml:space="preserve">We have over two years of monthly sampling data for the </w:t>
      </w:r>
      <w:r w:rsidR="004E6004">
        <w:rPr>
          <w:sz w:val="20"/>
        </w:rPr>
        <w:t>meteorite-processing</w:t>
      </w:r>
      <w:r w:rsidR="003A3386">
        <w:rPr>
          <w:sz w:val="20"/>
        </w:rPr>
        <w:t xml:space="preserve"> </w:t>
      </w:r>
      <w:r w:rsidR="004E6004">
        <w:rPr>
          <w:sz w:val="20"/>
        </w:rPr>
        <w:t>lab, which</w:t>
      </w:r>
      <w:r w:rsidR="003A3386">
        <w:rPr>
          <w:sz w:val="20"/>
        </w:rPr>
        <w:t xml:space="preserve"> is maintained to ISO 7 equivalent standards. </w:t>
      </w:r>
      <w:r w:rsidR="0030790D">
        <w:rPr>
          <w:sz w:val="20"/>
        </w:rPr>
        <w:t>The mean</w:t>
      </w:r>
      <w:r w:rsidR="00DD5C2D">
        <w:rPr>
          <w:sz w:val="20"/>
        </w:rPr>
        <w:t xml:space="preserve"> recovery rate for the meteorite lab </w:t>
      </w:r>
      <w:r w:rsidR="0030790D">
        <w:rPr>
          <w:sz w:val="20"/>
        </w:rPr>
        <w:t>is 0.35</w:t>
      </w:r>
      <w:r w:rsidR="003A3386">
        <w:rPr>
          <w:sz w:val="20"/>
        </w:rPr>
        <w:t xml:space="preserve"> ± 0.12</w:t>
      </w:r>
      <w:r w:rsidR="00DD5C2D">
        <w:rPr>
          <w:sz w:val="20"/>
        </w:rPr>
        <w:t>.</w:t>
      </w:r>
      <w:r w:rsidR="003A3386">
        <w:rPr>
          <w:sz w:val="20"/>
        </w:rPr>
        <w:t xml:space="preserve"> </w:t>
      </w:r>
      <w:r w:rsidR="00DD5C2D">
        <w:rPr>
          <w:sz w:val="20"/>
        </w:rPr>
        <w:t xml:space="preserve"> </w:t>
      </w:r>
      <w:r w:rsidR="0030790D">
        <w:rPr>
          <w:sz w:val="20"/>
        </w:rPr>
        <w:t>The mean CFU count is 1.3 ± 10.8 CFU/ 25cm</w:t>
      </w:r>
      <w:r w:rsidR="0030790D">
        <w:rPr>
          <w:sz w:val="20"/>
          <w:vertAlign w:val="superscript"/>
        </w:rPr>
        <w:t>2</w:t>
      </w:r>
      <w:r w:rsidR="0030790D" w:rsidRPr="0030790D">
        <w:rPr>
          <w:sz w:val="20"/>
        </w:rPr>
        <w:t>.</w:t>
      </w:r>
      <w:r w:rsidR="0030790D">
        <w:rPr>
          <w:sz w:val="20"/>
          <w:vertAlign w:val="superscript"/>
        </w:rPr>
        <w:t xml:space="preserve"> </w:t>
      </w:r>
      <w:r w:rsidR="0030790D">
        <w:rPr>
          <w:sz w:val="20"/>
        </w:rPr>
        <w:t xml:space="preserve"> </w:t>
      </w:r>
      <w:r w:rsidR="00E22EB0">
        <w:rPr>
          <w:sz w:val="20"/>
        </w:rPr>
        <w:t>In addition to recovery rate showing less sample to sample variability than CFU t</w:t>
      </w:r>
      <w:r w:rsidR="001D437C">
        <w:rPr>
          <w:sz w:val="20"/>
        </w:rPr>
        <w:t xml:space="preserve">here are two months when </w:t>
      </w:r>
      <w:r w:rsidR="0030790D">
        <w:rPr>
          <w:sz w:val="20"/>
        </w:rPr>
        <w:t>recovery rate</w:t>
      </w:r>
      <w:r w:rsidR="001D437C">
        <w:rPr>
          <w:sz w:val="20"/>
        </w:rPr>
        <w:t xml:space="preserve"> is repeatedly greater than one standard deviation above the mean</w:t>
      </w:r>
      <w:r w:rsidR="00E22EB0">
        <w:rPr>
          <w:sz w:val="20"/>
        </w:rPr>
        <w:t xml:space="preserve"> (August of  2018 and 2019 and in October of 2017 and 2018)</w:t>
      </w:r>
      <w:r w:rsidR="001D437C">
        <w:rPr>
          <w:sz w:val="20"/>
        </w:rPr>
        <w:t>.</w:t>
      </w:r>
      <w:r w:rsidR="0030790D">
        <w:rPr>
          <w:sz w:val="20"/>
        </w:rPr>
        <w:t xml:space="preserve"> </w:t>
      </w:r>
      <w:r w:rsidR="0018243D">
        <w:rPr>
          <w:sz w:val="20"/>
        </w:rPr>
        <w:t xml:space="preserve">These trends are not </w:t>
      </w:r>
      <w:r w:rsidR="00BB36E4">
        <w:rPr>
          <w:sz w:val="20"/>
        </w:rPr>
        <w:t>visible</w:t>
      </w:r>
      <w:r w:rsidR="0018243D">
        <w:rPr>
          <w:sz w:val="20"/>
        </w:rPr>
        <w:t xml:space="preserve"> in plots o</w:t>
      </w:r>
      <w:r w:rsidR="00C51B2B">
        <w:rPr>
          <w:sz w:val="20"/>
        </w:rPr>
        <w:t>f CFU vs. sampling date</w:t>
      </w:r>
      <w:r w:rsidR="0018243D">
        <w:rPr>
          <w:sz w:val="20"/>
        </w:rPr>
        <w:t xml:space="preserve">. </w:t>
      </w:r>
    </w:p>
    <w:p w14:paraId="710A3AE2" w14:textId="1B10D947" w:rsidR="005738C2" w:rsidRDefault="006A286A" w:rsidP="00F721A8">
      <w:pPr>
        <w:spacing w:line="240" w:lineRule="atLeast"/>
        <w:ind w:firstLine="288"/>
        <w:jc w:val="both"/>
        <w:rPr>
          <w:sz w:val="20"/>
        </w:rPr>
      </w:pPr>
      <w:r>
        <w:rPr>
          <w:b/>
          <w:sz w:val="20"/>
        </w:rPr>
        <w:t>Discussion</w:t>
      </w:r>
      <w:r w:rsidR="00556552">
        <w:rPr>
          <w:b/>
          <w:sz w:val="20"/>
        </w:rPr>
        <w:t>:</w:t>
      </w:r>
      <w:r w:rsidR="00556552">
        <w:rPr>
          <w:sz w:val="20"/>
        </w:rPr>
        <w:t xml:space="preserve"> After two years of routine sampling</w:t>
      </w:r>
      <w:r w:rsidR="00FF785E">
        <w:rPr>
          <w:sz w:val="20"/>
        </w:rPr>
        <w:t>,</w:t>
      </w:r>
      <w:r w:rsidR="00556552">
        <w:rPr>
          <w:sz w:val="20"/>
        </w:rPr>
        <w:t xml:space="preserve"> the recovery rate statistic displays seasonal trends that are not apparent when viewing the number of CFU counted for each sampling event. Recovery rate appears to increase in the late summer and early fall (August to October)</w:t>
      </w:r>
      <w:r w:rsidR="001D437C">
        <w:rPr>
          <w:sz w:val="20"/>
        </w:rPr>
        <w:t xml:space="preserve"> and decrease in the winter</w:t>
      </w:r>
      <w:r w:rsidR="00556552">
        <w:rPr>
          <w:sz w:val="20"/>
        </w:rPr>
        <w:t xml:space="preserve">. The increase in recovery rate correlates to an increase in the relative abundance of fungal </w:t>
      </w:r>
      <w:r w:rsidR="00FF785E">
        <w:rPr>
          <w:sz w:val="20"/>
        </w:rPr>
        <w:t xml:space="preserve">colonies. </w:t>
      </w:r>
      <w:r w:rsidR="00556552">
        <w:rPr>
          <w:sz w:val="20"/>
        </w:rPr>
        <w:t>In each instance where the recovery rate is more than one sta</w:t>
      </w:r>
      <w:r w:rsidR="001D437C">
        <w:rPr>
          <w:sz w:val="20"/>
        </w:rPr>
        <w:t>ndard deviation about the mean</w:t>
      </w:r>
      <w:r w:rsidR="00556552">
        <w:rPr>
          <w:sz w:val="20"/>
        </w:rPr>
        <w:t xml:space="preserve"> value</w:t>
      </w:r>
      <w:r w:rsidR="00FF785E">
        <w:rPr>
          <w:sz w:val="20"/>
        </w:rPr>
        <w:t>,</w:t>
      </w:r>
      <w:r w:rsidR="00556552">
        <w:rPr>
          <w:sz w:val="20"/>
        </w:rPr>
        <w:t xml:space="preserve"> the relative abundance of fungal CFU is ≥70%. </w:t>
      </w:r>
      <w:r w:rsidR="00240AD9" w:rsidRPr="006F5D4B">
        <w:rPr>
          <w:i/>
          <w:sz w:val="20"/>
        </w:rPr>
        <w:t>Penicillium sp</w:t>
      </w:r>
      <w:r>
        <w:rPr>
          <w:i/>
          <w:sz w:val="20"/>
        </w:rPr>
        <w:t>.</w:t>
      </w:r>
      <w:r w:rsidR="00240AD9">
        <w:rPr>
          <w:i/>
          <w:sz w:val="20"/>
        </w:rPr>
        <w:t xml:space="preserve"> </w:t>
      </w:r>
      <w:r w:rsidR="00240AD9">
        <w:rPr>
          <w:sz w:val="20"/>
        </w:rPr>
        <w:t xml:space="preserve">is the dominant fungal species during these occurrences in 2017 and 2018. In </w:t>
      </w:r>
      <w:r>
        <w:rPr>
          <w:sz w:val="20"/>
        </w:rPr>
        <w:t>2019,</w:t>
      </w:r>
      <w:r w:rsidR="00240AD9">
        <w:rPr>
          <w:sz w:val="20"/>
        </w:rPr>
        <w:t xml:space="preserve"> </w:t>
      </w:r>
      <w:r w:rsidR="00240AD9" w:rsidRPr="00331AB1">
        <w:rPr>
          <w:i/>
          <w:sz w:val="20"/>
        </w:rPr>
        <w:t>Aspergillus niger</w:t>
      </w:r>
      <w:r w:rsidR="00240AD9">
        <w:rPr>
          <w:i/>
          <w:sz w:val="20"/>
        </w:rPr>
        <w:t xml:space="preserve"> </w:t>
      </w:r>
      <w:r w:rsidR="00240AD9">
        <w:rPr>
          <w:sz w:val="20"/>
        </w:rPr>
        <w:t xml:space="preserve">was the dominant species. </w:t>
      </w:r>
      <w:r w:rsidR="005738C2">
        <w:rPr>
          <w:sz w:val="20"/>
        </w:rPr>
        <w:t>The recovery rate statistic should be widely adopted and used as an addi</w:t>
      </w:r>
      <w:r w:rsidR="00694CA1">
        <w:rPr>
          <w:sz w:val="20"/>
        </w:rPr>
        <w:t>tional parameter to monitor</w:t>
      </w:r>
      <w:r w:rsidR="005738C2">
        <w:rPr>
          <w:sz w:val="20"/>
        </w:rPr>
        <w:t xml:space="preserve"> cleanrooms for microbial contamination.</w:t>
      </w:r>
      <w:r w:rsidR="001D437C">
        <w:rPr>
          <w:sz w:val="20"/>
        </w:rPr>
        <w:t xml:space="preserve"> It does not require additional measurements or data collection and can be retroactively applied to existing datasets. Identifying seasonal trends in cleanroom bioburden may allow us to manufacture cleaner spacecraft in the future. </w:t>
      </w:r>
    </w:p>
    <w:sectPr w:rsidR="005738C2" w:rsidSect="008176B0">
      <w:type w:val="continuous"/>
      <w:pgSz w:w="12240" w:h="15840"/>
      <w:pgMar w:top="1440" w:right="1440" w:bottom="1440" w:left="1440" w:header="720" w:footer="720" w:gutter="0"/>
      <w:cols w:space="47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5F026C" w14:textId="77777777" w:rsidR="00420940" w:rsidRDefault="00420940">
      <w:r>
        <w:separator/>
      </w:r>
    </w:p>
  </w:endnote>
  <w:endnote w:type="continuationSeparator" w:id="0">
    <w:p w14:paraId="2AC5446C" w14:textId="77777777" w:rsidR="00420940" w:rsidRDefault="00420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48164" w14:textId="77777777" w:rsidR="006A128D" w:rsidRDefault="006A128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E77DC2" w14:textId="77777777" w:rsidR="00420940" w:rsidRDefault="00420940">
      <w:r>
        <w:separator/>
      </w:r>
    </w:p>
  </w:footnote>
  <w:footnote w:type="continuationSeparator" w:id="0">
    <w:p w14:paraId="09BF1D9A" w14:textId="77777777" w:rsidR="00420940" w:rsidRDefault="004209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DFE83" w14:textId="77777777" w:rsidR="006A128D" w:rsidRDefault="006A128D">
    <w:pPr>
      <w:pStyle w:val="Header"/>
      <w:jc w:val="center"/>
    </w:pPr>
    <w:r>
      <w:t>SHORT TITLE HERE:  A. B. Author and C. D. Author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CA2"/>
    <w:rsid w:val="000275A9"/>
    <w:rsid w:val="000A76A6"/>
    <w:rsid w:val="000C2F9A"/>
    <w:rsid w:val="001510C6"/>
    <w:rsid w:val="0018243D"/>
    <w:rsid w:val="0019099E"/>
    <w:rsid w:val="001C6380"/>
    <w:rsid w:val="001D437C"/>
    <w:rsid w:val="001E1AF0"/>
    <w:rsid w:val="00240AD9"/>
    <w:rsid w:val="002412FE"/>
    <w:rsid w:val="00251CA5"/>
    <w:rsid w:val="00266950"/>
    <w:rsid w:val="002A33F1"/>
    <w:rsid w:val="002B751C"/>
    <w:rsid w:val="002E5C9F"/>
    <w:rsid w:val="00306345"/>
    <w:rsid w:val="0030790D"/>
    <w:rsid w:val="0033166B"/>
    <w:rsid w:val="00331AB1"/>
    <w:rsid w:val="00393D80"/>
    <w:rsid w:val="003A3386"/>
    <w:rsid w:val="003A58C1"/>
    <w:rsid w:val="003B07C0"/>
    <w:rsid w:val="00420940"/>
    <w:rsid w:val="0047348C"/>
    <w:rsid w:val="00474502"/>
    <w:rsid w:val="004B5389"/>
    <w:rsid w:val="004E6004"/>
    <w:rsid w:val="004F7290"/>
    <w:rsid w:val="00507325"/>
    <w:rsid w:val="005111E8"/>
    <w:rsid w:val="00544614"/>
    <w:rsid w:val="005457C2"/>
    <w:rsid w:val="00556552"/>
    <w:rsid w:val="005738C2"/>
    <w:rsid w:val="00610F83"/>
    <w:rsid w:val="00622526"/>
    <w:rsid w:val="0062798C"/>
    <w:rsid w:val="006824D5"/>
    <w:rsid w:val="00694CA1"/>
    <w:rsid w:val="006A128D"/>
    <w:rsid w:val="006A286A"/>
    <w:rsid w:val="006F5D4B"/>
    <w:rsid w:val="00750599"/>
    <w:rsid w:val="007625D0"/>
    <w:rsid w:val="007666A2"/>
    <w:rsid w:val="00792E20"/>
    <w:rsid w:val="007B5FDB"/>
    <w:rsid w:val="007F4C55"/>
    <w:rsid w:val="008176B0"/>
    <w:rsid w:val="008210CA"/>
    <w:rsid w:val="00935769"/>
    <w:rsid w:val="00981C90"/>
    <w:rsid w:val="00A1291E"/>
    <w:rsid w:val="00A35664"/>
    <w:rsid w:val="00A365A6"/>
    <w:rsid w:val="00A4519B"/>
    <w:rsid w:val="00AA4466"/>
    <w:rsid w:val="00AB69BF"/>
    <w:rsid w:val="00AC5C33"/>
    <w:rsid w:val="00B26AF6"/>
    <w:rsid w:val="00B4653B"/>
    <w:rsid w:val="00B72461"/>
    <w:rsid w:val="00B81EE3"/>
    <w:rsid w:val="00BB11C1"/>
    <w:rsid w:val="00BB36E4"/>
    <w:rsid w:val="00BF73C9"/>
    <w:rsid w:val="00C22CA2"/>
    <w:rsid w:val="00C51B2B"/>
    <w:rsid w:val="00CD437B"/>
    <w:rsid w:val="00CE15F3"/>
    <w:rsid w:val="00D0572F"/>
    <w:rsid w:val="00D525E5"/>
    <w:rsid w:val="00D7431F"/>
    <w:rsid w:val="00D86FF2"/>
    <w:rsid w:val="00DD5C2D"/>
    <w:rsid w:val="00DE19BA"/>
    <w:rsid w:val="00E22EB0"/>
    <w:rsid w:val="00E372D0"/>
    <w:rsid w:val="00E43065"/>
    <w:rsid w:val="00EC3001"/>
    <w:rsid w:val="00F0047B"/>
    <w:rsid w:val="00F43DF5"/>
    <w:rsid w:val="00F721A8"/>
    <w:rsid w:val="00FB298C"/>
    <w:rsid w:val="00FF7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3FCD3A33"/>
  <w14:defaultImageDpi w14:val="96"/>
  <w15:docId w15:val="{265F17DB-641F-413D-82F7-EA6C782CD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2CA2"/>
    <w:rPr>
      <w:rFonts w:ascii="Times New Roman" w:hAnsi="Times New Roman" w:cs="Times New Roman"/>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43065"/>
    <w:rPr>
      <w:rFonts w:asciiTheme="minorHAnsi" w:hAnsiTheme="minorHAnsi" w:cs="Times New Roman"/>
      <w:color w:val="0000FF"/>
      <w:u w:val="single"/>
    </w:rPr>
  </w:style>
  <w:style w:type="paragraph" w:styleId="NoSpacing">
    <w:name w:val="No Spacing"/>
    <w:uiPriority w:val="1"/>
    <w:qFormat/>
    <w:rsid w:val="003A58C1"/>
    <w:rPr>
      <w:rFonts w:eastAsiaTheme="minorEastAsia" w:cs="Times New Roman"/>
    </w:rPr>
  </w:style>
  <w:style w:type="table" w:customStyle="1" w:styleId="Style1">
    <w:name w:val="Style1"/>
    <w:basedOn w:val="TableNormal"/>
    <w:uiPriority w:val="99"/>
    <w:rsid w:val="002412FE"/>
    <w:rPr>
      <w:rFonts w:eastAsiaTheme="minorEastAsia" w:cs="Times New Roman"/>
      <w:color w:val="000000" w:themeColor="text1"/>
    </w:r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FFFFFF" w:themeFill="background1"/>
    </w:tcPr>
    <w:tblStylePr w:type="firstRow">
      <w:rPr>
        <w:rFonts w:cs="Times New Roman"/>
        <w:b/>
        <w:color w:val="FFFFFF" w:themeColor="background1"/>
      </w:rPr>
      <w:tblPr/>
      <w:tcPr>
        <w:shd w:val="clear" w:color="auto" w:fill="31849B" w:themeFill="accent5" w:themeFillShade="BF"/>
      </w:tcPr>
    </w:tblStylePr>
    <w:tblStylePr w:type="band1Horz">
      <w:rPr>
        <w:rFonts w:cs="Times New Roman"/>
      </w:rPr>
      <w:tblPr/>
      <w:tcPr>
        <w:shd w:val="clear" w:color="auto" w:fill="DAEEF3" w:themeFill="accent5" w:themeFillTint="33"/>
      </w:tcPr>
    </w:tblStylePr>
  </w:style>
  <w:style w:type="table" w:styleId="GridTable4-Accent6">
    <w:name w:val="Grid Table 4 Accent 6"/>
    <w:basedOn w:val="TableNormal"/>
    <w:uiPriority w:val="49"/>
    <w:rsid w:val="00CE15F3"/>
    <w:rPr>
      <w:rFonts w:eastAsiaTheme="minorEastAsia" w:cs="Times New Roman"/>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rFonts w:cs="Times New Roman"/>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rFonts w:cs="Times New Roman"/>
        <w:b/>
        <w:bCs/>
      </w:rPr>
      <w:tblPr/>
      <w:tcPr>
        <w:tcBorders>
          <w:top w:val="double" w:sz="4" w:space="0" w:color="F79646" w:themeColor="accent6"/>
        </w:tcBorders>
      </w:tcPr>
    </w:tblStylePr>
    <w:tblStylePr w:type="firstCol">
      <w:rPr>
        <w:rFonts w:cs="Times New Roman"/>
        <w:b w:val="0"/>
        <w:bCs/>
      </w:rPr>
    </w:tblStylePr>
    <w:tblStylePr w:type="lastCol">
      <w:rPr>
        <w:rFonts w:cs="Times New Roman"/>
        <w:b/>
        <w:bCs/>
      </w:rPr>
    </w:tblStylePr>
    <w:tblStylePr w:type="band1Vert">
      <w:rPr>
        <w:rFonts w:cs="Times New Roman"/>
      </w:rPr>
      <w:tblPr/>
      <w:tcPr>
        <w:shd w:val="clear" w:color="auto" w:fill="FDE9D9" w:themeFill="accent6" w:themeFillTint="33"/>
      </w:tcPr>
    </w:tblStylePr>
    <w:tblStylePr w:type="band1Horz">
      <w:rPr>
        <w:rFonts w:cs="Times New Roman"/>
      </w:rPr>
      <w:tblPr/>
      <w:tcPr>
        <w:shd w:val="clear" w:color="auto" w:fill="FDE9D9" w:themeFill="accent6" w:themeFillTint="33"/>
      </w:tcPr>
    </w:tblStylePr>
  </w:style>
  <w:style w:type="paragraph" w:styleId="Footer">
    <w:name w:val="footer"/>
    <w:basedOn w:val="Normal"/>
    <w:link w:val="FooterChar"/>
    <w:uiPriority w:val="99"/>
    <w:rsid w:val="00C22CA2"/>
    <w:pPr>
      <w:tabs>
        <w:tab w:val="center" w:pos="4320"/>
        <w:tab w:val="right" w:pos="8640"/>
      </w:tabs>
    </w:pPr>
  </w:style>
  <w:style w:type="character" w:customStyle="1" w:styleId="FooterChar">
    <w:name w:val="Footer Char"/>
    <w:basedOn w:val="DefaultParagraphFont"/>
    <w:link w:val="Footer"/>
    <w:uiPriority w:val="99"/>
    <w:locked/>
    <w:rsid w:val="00C22CA2"/>
    <w:rPr>
      <w:rFonts w:ascii="Times New Roman" w:hAnsi="Times New Roman" w:cs="Times New Roman"/>
      <w:sz w:val="20"/>
      <w:szCs w:val="20"/>
    </w:rPr>
  </w:style>
  <w:style w:type="paragraph" w:styleId="Header">
    <w:name w:val="header"/>
    <w:basedOn w:val="Normal"/>
    <w:link w:val="HeaderChar"/>
    <w:uiPriority w:val="99"/>
    <w:rsid w:val="00C22CA2"/>
    <w:pPr>
      <w:tabs>
        <w:tab w:val="center" w:pos="4320"/>
        <w:tab w:val="right" w:pos="8640"/>
      </w:tabs>
    </w:pPr>
  </w:style>
  <w:style w:type="character" w:customStyle="1" w:styleId="HeaderChar">
    <w:name w:val="Header Char"/>
    <w:basedOn w:val="DefaultParagraphFont"/>
    <w:link w:val="Header"/>
    <w:uiPriority w:val="99"/>
    <w:locked/>
    <w:rsid w:val="00C22CA2"/>
    <w:rPr>
      <w:rFonts w:ascii="Times New Roman" w:hAnsi="Times New Roman" w:cs="Times New Roman"/>
      <w:sz w:val="20"/>
      <w:szCs w:val="20"/>
    </w:rPr>
  </w:style>
  <w:style w:type="paragraph" w:styleId="NormalWeb">
    <w:name w:val="Normal (Web)"/>
    <w:basedOn w:val="Normal"/>
    <w:uiPriority w:val="99"/>
    <w:unhideWhenUsed/>
    <w:rsid w:val="00C22CA2"/>
    <w:pPr>
      <w:spacing w:before="100" w:beforeAutospacing="1" w:after="100" w:afterAutospacing="1"/>
    </w:pPr>
    <w:rPr>
      <w:rFonts w:ascii="Calibri" w:hAnsi="Calibri" w:cs="Calibri"/>
      <w:sz w:val="24"/>
      <w:szCs w:val="24"/>
    </w:rPr>
  </w:style>
  <w:style w:type="character" w:styleId="Strong">
    <w:name w:val="Strong"/>
    <w:basedOn w:val="DefaultParagraphFont"/>
    <w:uiPriority w:val="22"/>
    <w:qFormat/>
    <w:rsid w:val="00C22CA2"/>
    <w:rPr>
      <w:b/>
    </w:rPr>
  </w:style>
  <w:style w:type="character" w:styleId="Emphasis">
    <w:name w:val="Emphasis"/>
    <w:basedOn w:val="DefaultParagraphFont"/>
    <w:uiPriority w:val="20"/>
    <w:qFormat/>
    <w:rsid w:val="00C22CA2"/>
    <w:rPr>
      <w:i/>
    </w:rPr>
  </w:style>
  <w:style w:type="character" w:styleId="PlaceholderText">
    <w:name w:val="Placeholder Text"/>
    <w:basedOn w:val="DefaultParagraphFont"/>
    <w:uiPriority w:val="99"/>
    <w:semiHidden/>
    <w:rsid w:val="0033166B"/>
    <w:rPr>
      <w:color w:val="808080"/>
    </w:rPr>
  </w:style>
  <w:style w:type="paragraph" w:styleId="BalloonText">
    <w:name w:val="Balloon Text"/>
    <w:basedOn w:val="Normal"/>
    <w:link w:val="BalloonTextChar"/>
    <w:uiPriority w:val="99"/>
    <w:semiHidden/>
    <w:unhideWhenUsed/>
    <w:rsid w:val="00FF785E"/>
    <w:rPr>
      <w:rFonts w:ascii="Segoe UI" w:hAnsi="Segoe UI" w:cs="Segoe UI"/>
      <w:szCs w:val="18"/>
    </w:rPr>
  </w:style>
  <w:style w:type="character" w:customStyle="1" w:styleId="BalloonTextChar">
    <w:name w:val="Balloon Text Char"/>
    <w:basedOn w:val="DefaultParagraphFont"/>
    <w:link w:val="BalloonText"/>
    <w:uiPriority w:val="99"/>
    <w:semiHidden/>
    <w:rsid w:val="00FF78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739F1CB2FA344389136699D59AC7BD" ma:contentTypeVersion="11" ma:contentTypeDescription="Create a new document." ma:contentTypeScope="" ma:versionID="ce687eb1bb37fe52e66907946fa6625b">
  <xsd:schema xmlns:xsd="http://www.w3.org/2001/XMLSchema" xmlns:xs="http://www.w3.org/2001/XMLSchema" xmlns:p="http://schemas.microsoft.com/office/2006/metadata/properties" xmlns:ns3="df54972e-07dd-4eb6-b877-72869d8f4ab0" xmlns:ns4="a59c3368-fa6d-441d-901e-be154c2ac1a7" targetNamespace="http://schemas.microsoft.com/office/2006/metadata/properties" ma:root="true" ma:fieldsID="1e905c4900a45547c17dc08cbc452cb0" ns3:_="" ns4:_="">
    <xsd:import namespace="df54972e-07dd-4eb6-b877-72869d8f4ab0"/>
    <xsd:import namespace="a59c3368-fa6d-441d-901e-be154c2ac1a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54972e-07dd-4eb6-b877-72869d8f4a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9c3368-fa6d-441d-901e-be154c2ac1a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C9BF9-33AD-4165-BA6F-9D5D6405BC1A}">
  <ds:schemaRefs>
    <ds:schemaRef ds:uri="http://schemas.microsoft.com/sharepoint/v3/contenttype/forms"/>
  </ds:schemaRefs>
</ds:datastoreItem>
</file>

<file path=customXml/itemProps2.xml><?xml version="1.0" encoding="utf-8"?>
<ds:datastoreItem xmlns:ds="http://schemas.openxmlformats.org/officeDocument/2006/customXml" ds:itemID="{9D14F1B9-9341-41C1-BECA-E37E5B6F7AA9}">
  <ds:schemaRefs>
    <ds:schemaRef ds:uri="http://purl.org/dc/elements/1.1/"/>
    <ds:schemaRef ds:uri="a59c3368-fa6d-441d-901e-be154c2ac1a7"/>
    <ds:schemaRef ds:uri="http://purl.org/dc/terms/"/>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http://purl.org/dc/dcmitype/"/>
    <ds:schemaRef ds:uri="df54972e-07dd-4eb6-b877-72869d8f4ab0"/>
    <ds:schemaRef ds:uri="http://schemas.microsoft.com/office/2006/metadata/properties"/>
  </ds:schemaRefs>
</ds:datastoreItem>
</file>

<file path=customXml/itemProps3.xml><?xml version="1.0" encoding="utf-8"?>
<ds:datastoreItem xmlns:ds="http://schemas.openxmlformats.org/officeDocument/2006/customXml" ds:itemID="{A83EB9B5-0D53-4076-8C47-15EC30690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54972e-07dd-4eb6-b877-72869d8f4ab0"/>
    <ds:schemaRef ds:uri="a59c3368-fa6d-441d-901e-be154c2ac1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3B47F3-F5B5-4A13-9119-CFC39FAD6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Pages>
  <Words>727</Words>
  <Characters>4285</Characters>
  <Application>Microsoft Office Word</Application>
  <DocSecurity>0</DocSecurity>
  <Lines>93</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Linda</dc:creator>
  <cp:keywords/>
  <dc:description/>
  <cp:lastModifiedBy>Regberg, Aaron B. (JSC-XI211)</cp:lastModifiedBy>
  <cp:revision>10</cp:revision>
  <dcterms:created xsi:type="dcterms:W3CDTF">2020-02-11T00:11:00Z</dcterms:created>
  <dcterms:modified xsi:type="dcterms:W3CDTF">2020-02-20T23:41:00Z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bc65ff32-3371-3c5a-8377-b77ff6b05387</vt:lpwstr>
  </property>
  <property fmtid="{D5CDD505-2E9C-101B-9397-08002B2CF9AE}" pid="4" name="Mendeley Citation Style_1">
    <vt:lpwstr>http://csl.mendeley.com/styles/476929501/nature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http://www.zotero.org/styles/applied-and-environmental-microbiology</vt:lpwstr>
  </property>
  <property fmtid="{D5CDD505-2E9C-101B-9397-08002B2CF9AE}" pid="14" name="Mendeley Recent Style Name 4_1">
    <vt:lpwstr>Applied and Environmental Microbiology</vt:lpwstr>
  </property>
  <property fmtid="{D5CDD505-2E9C-101B-9397-08002B2CF9AE}" pid="15" name="Mendeley Recent Style Id 5_1">
    <vt:lpwstr>http://www.zotero.org/styles/frontiers-in-microbiology</vt:lpwstr>
  </property>
  <property fmtid="{D5CDD505-2E9C-101B-9397-08002B2CF9AE}" pid="16" name="Mendeley Recent Style Name 5_1">
    <vt:lpwstr>Frontiers in Microbiology</vt:lpwstr>
  </property>
  <property fmtid="{D5CDD505-2E9C-101B-9397-08002B2CF9AE}" pid="17" name="Mendeley Recent Style Id 6_1">
    <vt:lpwstr>http://www.zotero.org/styles/nature</vt:lpwstr>
  </property>
  <property fmtid="{D5CDD505-2E9C-101B-9397-08002B2CF9AE}" pid="18" name="Mendeley Recent Style Name 6_1">
    <vt:lpwstr>Nature</vt:lpwstr>
  </property>
  <property fmtid="{D5CDD505-2E9C-101B-9397-08002B2CF9AE}" pid="19" name="Mendeley Recent Style Id 7_1">
    <vt:lpwstr>http://csl.mendeley.com/styles/476929501/nature</vt:lpwstr>
  </property>
  <property fmtid="{D5CDD505-2E9C-101B-9397-08002B2CF9AE}" pid="20" name="Mendeley Recent Style Name 7_1">
    <vt:lpwstr>Nature - Aaron Regberg, PhD/ Geoscience and Biogeochemistry</vt:lpwstr>
  </property>
  <property fmtid="{D5CDD505-2E9C-101B-9397-08002B2CF9AE}" pid="21" name="Mendeley Recent Style Id 8_1">
    <vt:lpwstr>http://www.zotero.org/styles/royal-society-of-chemistry</vt:lpwstr>
  </property>
  <property fmtid="{D5CDD505-2E9C-101B-9397-08002B2CF9AE}" pid="22" name="Mendeley Recent Style Name 8_1">
    <vt:lpwstr>Royal Society of Chemistry</vt:lpwstr>
  </property>
  <property fmtid="{D5CDD505-2E9C-101B-9397-08002B2CF9AE}" pid="23" name="Mendeley Recent Style Id 9_1">
    <vt:lpwstr>http://csl.mendeley.com/styles/476929501/royal-society-of-chemistry-2</vt:lpwstr>
  </property>
  <property fmtid="{D5CDD505-2E9C-101B-9397-08002B2CF9AE}" pid="24" name="Mendeley Recent Style Name 9_1">
    <vt:lpwstr>Royal Society of Chemistry - Aaron Regberg, PhD/ Geoscience and Biogeochemistry</vt:lpwstr>
  </property>
  <property fmtid="{D5CDD505-2E9C-101B-9397-08002B2CF9AE}" pid="25" name="ContentTypeId">
    <vt:lpwstr>0x0101003D739F1CB2FA344389136699D59AC7BD</vt:lpwstr>
  </property>
</Properties>
</file>