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8FFD1" w14:textId="1F252B65" w:rsidR="00C22CA2" w:rsidRDefault="008D7C0C" w:rsidP="00300CD5">
      <w:pPr>
        <w:spacing w:line="240" w:lineRule="atLeast"/>
        <w:jc w:val="both"/>
        <w:rPr>
          <w:sz w:val="20"/>
        </w:rPr>
      </w:pPr>
      <w:r>
        <w:rPr>
          <w:b/>
          <w:sz w:val="20"/>
        </w:rPr>
        <w:t xml:space="preserve">A METHOD TO </w:t>
      </w:r>
      <w:r w:rsidR="005F2E0D">
        <w:rPr>
          <w:b/>
          <w:sz w:val="20"/>
        </w:rPr>
        <w:t xml:space="preserve">REDUCE BIOBURDEN IN ASTROMATERIALS CURATION FACILITIES </w:t>
      </w:r>
      <w:r w:rsidR="00555F96">
        <w:rPr>
          <w:b/>
          <w:sz w:val="20"/>
        </w:rPr>
        <w:t xml:space="preserve">WITHOUT INTRODUCING </w:t>
      </w:r>
      <w:r w:rsidR="003E5528">
        <w:rPr>
          <w:b/>
          <w:sz w:val="20"/>
        </w:rPr>
        <w:t>UNWANTED CONTAMINATION</w:t>
      </w:r>
      <w:r w:rsidR="00300CD5" w:rsidRPr="00300CD5">
        <w:rPr>
          <w:sz w:val="20"/>
        </w:rPr>
        <w:t xml:space="preserve"> </w:t>
      </w:r>
      <w:r w:rsidR="00300CD5" w:rsidRPr="00F43DF5">
        <w:rPr>
          <w:sz w:val="20"/>
        </w:rPr>
        <w:t>A. B.</w:t>
      </w:r>
      <w:r w:rsidR="00300CD5">
        <w:rPr>
          <w:sz w:val="20"/>
        </w:rPr>
        <w:t xml:space="preserve"> </w:t>
      </w:r>
      <w:r w:rsidR="00300CD5" w:rsidRPr="00F43DF5">
        <w:rPr>
          <w:sz w:val="20"/>
        </w:rPr>
        <w:t>Regberg</w:t>
      </w:r>
      <w:r w:rsidR="00300CD5">
        <w:rPr>
          <w:sz w:val="20"/>
          <w:vertAlign w:val="superscript"/>
        </w:rPr>
        <w:t xml:space="preserve">1 </w:t>
      </w:r>
      <w:r w:rsidR="00300CD5" w:rsidRPr="00F43DF5">
        <w:rPr>
          <w:sz w:val="20"/>
        </w:rPr>
        <w:t>,</w:t>
      </w:r>
      <w:r w:rsidR="00800F7E">
        <w:rPr>
          <w:sz w:val="20"/>
        </w:rPr>
        <w:t xml:space="preserve"> C.L. Amick</w:t>
      </w:r>
      <w:r w:rsidR="00800F7E">
        <w:rPr>
          <w:sz w:val="20"/>
          <w:vertAlign w:val="superscript"/>
        </w:rPr>
        <w:t>2</w:t>
      </w:r>
      <w:r w:rsidR="00800F7E">
        <w:rPr>
          <w:sz w:val="20"/>
        </w:rPr>
        <w:t>,</w:t>
      </w:r>
      <w:r w:rsidR="00300CD5" w:rsidRPr="00F43DF5">
        <w:rPr>
          <w:sz w:val="20"/>
        </w:rPr>
        <w:t xml:space="preserve"> R. E. Davis</w:t>
      </w:r>
      <w:r w:rsidR="006D6B08">
        <w:rPr>
          <w:sz w:val="20"/>
          <w:vertAlign w:val="superscript"/>
        </w:rPr>
        <w:t>2</w:t>
      </w:r>
      <w:r w:rsidR="00300CD5">
        <w:rPr>
          <w:sz w:val="20"/>
        </w:rPr>
        <w:t xml:space="preserve">, </w:t>
      </w:r>
      <w:r w:rsidR="00830B64">
        <w:rPr>
          <w:sz w:val="20"/>
        </w:rPr>
        <w:t>E.K. Lewis</w:t>
      </w:r>
      <w:r w:rsidR="00830B64">
        <w:rPr>
          <w:sz w:val="20"/>
          <w:vertAlign w:val="superscript"/>
        </w:rPr>
        <w:t>2</w:t>
      </w:r>
      <w:r w:rsidR="00830B64">
        <w:rPr>
          <w:sz w:val="20"/>
        </w:rPr>
        <w:t xml:space="preserve">, </w:t>
      </w:r>
      <w:r w:rsidR="006D6B08">
        <w:rPr>
          <w:sz w:val="20"/>
        </w:rPr>
        <w:t>F Mazhari</w:t>
      </w:r>
      <w:r w:rsidR="006D6B08">
        <w:rPr>
          <w:sz w:val="20"/>
          <w:vertAlign w:val="superscript"/>
        </w:rPr>
        <w:t>2</w:t>
      </w:r>
      <w:r w:rsidR="006E66C5">
        <w:rPr>
          <w:sz w:val="20"/>
          <w:vertAlign w:val="superscript"/>
        </w:rPr>
        <w:t>,</w:t>
      </w:r>
      <w:r w:rsidR="00300CD5">
        <w:rPr>
          <w:sz w:val="20"/>
        </w:rPr>
        <w:t xml:space="preserve"> </w:t>
      </w:r>
      <w:r w:rsidR="00EE6CD9">
        <w:rPr>
          <w:sz w:val="20"/>
        </w:rPr>
        <w:t>J.L. Mitchell</w:t>
      </w:r>
      <w:r w:rsidR="0041439E">
        <w:rPr>
          <w:sz w:val="20"/>
          <w:vertAlign w:val="superscript"/>
        </w:rPr>
        <w:t>1</w:t>
      </w:r>
      <w:r w:rsidR="006E66C5">
        <w:rPr>
          <w:sz w:val="20"/>
        </w:rPr>
        <w:t>,</w:t>
      </w:r>
      <w:r w:rsidR="00463146">
        <w:rPr>
          <w:sz w:val="20"/>
        </w:rPr>
        <w:t xml:space="preserve"> D.L. Owens</w:t>
      </w:r>
      <w:r w:rsidR="00463146">
        <w:rPr>
          <w:sz w:val="20"/>
          <w:vertAlign w:val="superscript"/>
        </w:rPr>
        <w:t>2</w:t>
      </w:r>
      <w:bookmarkStart w:id="0" w:name="_GoBack"/>
      <w:bookmarkEnd w:id="0"/>
      <w:r w:rsidR="00463146">
        <w:rPr>
          <w:sz w:val="20"/>
        </w:rPr>
        <w:t xml:space="preserve"> </w:t>
      </w:r>
      <w:r w:rsidR="00300CD5">
        <w:rPr>
          <w:sz w:val="20"/>
        </w:rPr>
        <w:t>and, F. M. McCubbin</w:t>
      </w:r>
      <w:r w:rsidR="00300CD5">
        <w:rPr>
          <w:sz w:val="20"/>
          <w:vertAlign w:val="superscript"/>
        </w:rPr>
        <w:t>1</w:t>
      </w:r>
      <w:r w:rsidR="00300CD5">
        <w:rPr>
          <w:sz w:val="20"/>
        </w:rPr>
        <w:t xml:space="preserve"> </w:t>
      </w:r>
      <w:r w:rsidR="00300CD5">
        <w:rPr>
          <w:sz w:val="20"/>
          <w:vertAlign w:val="superscript"/>
        </w:rPr>
        <w:t>1</w:t>
      </w:r>
      <w:r w:rsidR="00300CD5" w:rsidRPr="00F43DF5">
        <w:rPr>
          <w:sz w:val="20"/>
        </w:rPr>
        <w:t>Astromaterials Research and Exploration Science Division, NASA Johnson Space Center, 2101 NASA Parkway, Houston TX, 77058</w:t>
      </w:r>
      <w:r w:rsidR="00300CD5">
        <w:rPr>
          <w:sz w:val="20"/>
          <w:vertAlign w:val="superscript"/>
        </w:rPr>
        <w:t xml:space="preserve"> 2</w:t>
      </w:r>
      <w:r w:rsidR="00300CD5" w:rsidRPr="00F43DF5">
        <w:rPr>
          <w:sz w:val="20"/>
          <w:vertAlign w:val="superscript"/>
        </w:rPr>
        <w:t xml:space="preserve"> </w:t>
      </w:r>
      <w:r w:rsidR="00300CD5" w:rsidRPr="00F43DF5">
        <w:rPr>
          <w:sz w:val="20"/>
        </w:rPr>
        <w:t xml:space="preserve">Jacobs, JETS Contract, NASA Johnson Space Center, 2101 NASA Parkway, Houston TX 77058, </w:t>
      </w:r>
    </w:p>
    <w:p w14:paraId="7928FFD2" w14:textId="77777777" w:rsidR="00C22CA2" w:rsidRDefault="00C22CA2" w:rsidP="00C22CA2">
      <w:pPr>
        <w:spacing w:line="240" w:lineRule="atLeast"/>
        <w:ind w:firstLine="288"/>
        <w:jc w:val="both"/>
        <w:rPr>
          <w:sz w:val="20"/>
        </w:rPr>
      </w:pPr>
    </w:p>
    <w:p w14:paraId="7928FFD3" w14:textId="77777777" w:rsidR="00C22CA2" w:rsidRDefault="00C22CA2" w:rsidP="00C22CA2">
      <w:pPr>
        <w:spacing w:line="240" w:lineRule="atLeast"/>
        <w:ind w:firstLine="288"/>
        <w:jc w:val="both"/>
        <w:rPr>
          <w:sz w:val="20"/>
        </w:rPr>
        <w:sectPr w:rsidR="00C22CA2">
          <w:headerReference w:type="even" r:id="rId10"/>
          <w:footerReference w:type="even" r:id="rId11"/>
          <w:pgSz w:w="12240" w:h="15840"/>
          <w:pgMar w:top="1440" w:right="1440" w:bottom="1440" w:left="1440" w:header="720" w:footer="720" w:gutter="0"/>
          <w:cols w:space="720"/>
          <w:docGrid w:linePitch="360"/>
        </w:sectPr>
      </w:pPr>
    </w:p>
    <w:p w14:paraId="6539433E" w14:textId="4C47FEB9" w:rsidR="00465501" w:rsidRDefault="00C22CA2" w:rsidP="00465501">
      <w:pPr>
        <w:widowControl w:val="0"/>
        <w:autoSpaceDE w:val="0"/>
        <w:autoSpaceDN w:val="0"/>
        <w:adjustRightInd w:val="0"/>
        <w:spacing w:line="240" w:lineRule="atLeast"/>
        <w:rPr>
          <w:sz w:val="20"/>
        </w:rPr>
      </w:pPr>
      <w:r w:rsidRPr="00C22CA2">
        <w:rPr>
          <w:b/>
          <w:sz w:val="20"/>
        </w:rPr>
        <w:t>Introduction:</w:t>
      </w:r>
      <w:r w:rsidRPr="00C22CA2">
        <w:rPr>
          <w:sz w:val="20"/>
        </w:rPr>
        <w:t xml:space="preserve"> </w:t>
      </w:r>
      <w:r w:rsidR="005D2CF8">
        <w:rPr>
          <w:sz w:val="20"/>
        </w:rPr>
        <w:t xml:space="preserve">NASA curates its Astromaterials collections </w:t>
      </w:r>
      <w:r w:rsidR="00806FF9">
        <w:rPr>
          <w:sz w:val="20"/>
        </w:rPr>
        <w:t xml:space="preserve">in cleanrooms that are carefully monitored </w:t>
      </w:r>
      <w:r w:rsidR="0006347A">
        <w:rPr>
          <w:sz w:val="20"/>
        </w:rPr>
        <w:t>for particulate</w:t>
      </w:r>
      <w:r w:rsidR="00972A43">
        <w:rPr>
          <w:sz w:val="20"/>
        </w:rPr>
        <w:t xml:space="preserve">, inorganic and trace metal contamination. </w:t>
      </w:r>
      <w:r w:rsidR="0099723B">
        <w:rPr>
          <w:sz w:val="20"/>
        </w:rPr>
        <w:t>Current sample collections are not particularly susceptible to organic contamination or biological alteration. However</w:t>
      </w:r>
      <w:r w:rsidR="00682E6A">
        <w:rPr>
          <w:sz w:val="20"/>
        </w:rPr>
        <w:t xml:space="preserve">, new collections like those from the OSIRIS-REx and Hayabusa2 missions </w:t>
      </w:r>
      <w:r w:rsidR="00245658">
        <w:rPr>
          <w:sz w:val="20"/>
        </w:rPr>
        <w:t xml:space="preserve">will have organic contamination requirements and are </w:t>
      </w:r>
      <w:r w:rsidR="00E10FBB">
        <w:rPr>
          <w:sz w:val="20"/>
        </w:rPr>
        <w:t>susceptible to biodegradation.</w:t>
      </w:r>
      <w:r w:rsidR="006F5812">
        <w:rPr>
          <w:sz w:val="20"/>
        </w:rPr>
        <w:t xml:space="preserve"> It will be necessary </w:t>
      </w:r>
      <w:r w:rsidR="00371A94">
        <w:rPr>
          <w:sz w:val="20"/>
        </w:rPr>
        <w:t xml:space="preserve">sterilize or at least disinfect </w:t>
      </w:r>
      <w:r w:rsidR="00F26A65">
        <w:rPr>
          <w:sz w:val="20"/>
        </w:rPr>
        <w:t xml:space="preserve">curation labs, as well as tools and equipment in a manner that does not introduce </w:t>
      </w:r>
      <w:r w:rsidR="00005A00">
        <w:rPr>
          <w:sz w:val="20"/>
        </w:rPr>
        <w:t xml:space="preserve">additional contamination and does not </w:t>
      </w:r>
      <w:r w:rsidR="00903272">
        <w:rPr>
          <w:sz w:val="20"/>
        </w:rPr>
        <w:t xml:space="preserve">affect the samples </w:t>
      </w:r>
      <w:r w:rsidR="004949D9">
        <w:rPr>
          <w:sz w:val="20"/>
        </w:rPr>
        <w:fldChar w:fldCharType="begin" w:fldLock="1"/>
      </w:r>
      <w:r w:rsidR="004949D9">
        <w:rPr>
          <w:sz w:val="20"/>
        </w:rPr>
        <w:instrText>ADDIN CSL_CITATION {"citationItems":[{"id":"ITEM-1","itemData":{"DOI":"10.1007/s11214-019-0615-9","ISSN":"0038-6308","author":[{"dropping-particle":"","family":"Mccubbin","given":"Francis M","non-dropping-particle":"","parse-names":false,"suffix":""},{"dropping-particle":"","family":"Herd","given":"Christopher D K","non-dropping-particle":"","parse-names":false,"suffix":""},{"dropping-particle":"","family":"Yada","given":"Toru","non-dropping-particle":"","parse-names":false,"suffix":""},{"dropping-particle":"","family":"Hutzler","given":"Aurore","non-dropping-particle":"","parse-names":false,"suffix":""},{"dropping-particle":"","family":"Calaway","given":"Michael J","non-dropping-particle":"","parse-names":false,"suffix":""},{"dropping-particle":"","family":"Allton","given":"Judith H","non-dropping-particle":"","parse-names":false,"suffix":""},{"dropping-particle":"","family":"Corrigan","given":"Cari M","non-dropping-particle":"","parse-names":false,"suffix":""},{"dropping-particle":"","family":"Fries","given":"Marc D","non-dropping-particle":"","parse-names":false,"suffix":""},{"dropping-particle":"","family":"Harrington","given":"Andrea D","non-dropping-particle":"","parse-names":false,"suffix":""},{"dropping-particle":"","family":"Mccoy","given":"Timothy J","non-dropping-particle":"","parse-names":false,"suffix":""},{"dropping-particle":"","family":"Mitchell","given":"Julie L","non-dropping-particle":"","parse-names":false,"suffix":""},{"dropping-particle":"","family":"Regberg","given":"Aaron B","non-dropping-particle":"","parse-names":false,"suffix":""},{"dropping-particle":"","family":"Righter","given":"Kevin","non-dropping-particle":"","parse-names":false,"suffix":""},{"dropping-particle":"","family":"Snead","given":"Christopher J","non-dropping-particle":"","parse-names":false,"suffix":""},{"dropping-particle":"","family":"Tait","given":"Kimberly T","non-dropping-particle":"","parse-names":false,"suffix":""},{"dropping-particle":"","family":"Zolensky","given":"Michael E","non-dropping-particle":"","parse-names":false,"suffix":""},{"dropping-particle":"","family":"Zeigler","given":"Ryan A","non-dropping-particle":"","parse-names":false,"suffix":""}],"container-title":"Space Sci Rev","id":"ITEM-1","issued":{"date-parts":[["2019"]]},"publisher":"The Author(s)","title":"Advanced Curation of Astromaterials for Planetary Science","type":"article-journal"},"uris":["http://www.mendeley.com/documents/?uuid=254da8f2-d9d4-424b-ba96-302ffc2839d0"]}],"mendeley":{"formattedCitation":"&lt;sup&gt;1&lt;/sup&gt;","plainTextFormattedCitation":"1","previouslyFormattedCitation":"&lt;sup&gt;1&lt;/sup&gt;"},"properties":{"noteIndex":0},"schema":"https://github.com/citation-style-language/schema/raw/master/csl-citation.json"}</w:instrText>
      </w:r>
      <w:r w:rsidR="004949D9">
        <w:rPr>
          <w:sz w:val="20"/>
        </w:rPr>
        <w:fldChar w:fldCharType="separate"/>
      </w:r>
      <w:r w:rsidR="004949D9" w:rsidRPr="004949D9">
        <w:rPr>
          <w:noProof/>
          <w:sz w:val="20"/>
          <w:vertAlign w:val="superscript"/>
        </w:rPr>
        <w:t>1</w:t>
      </w:r>
      <w:r w:rsidR="004949D9">
        <w:rPr>
          <w:sz w:val="20"/>
        </w:rPr>
        <w:fldChar w:fldCharType="end"/>
      </w:r>
      <w:r w:rsidR="004E709C">
        <w:rPr>
          <w:sz w:val="20"/>
        </w:rPr>
        <w:t>.</w:t>
      </w:r>
      <w:r w:rsidR="00903E7C">
        <w:rPr>
          <w:sz w:val="20"/>
        </w:rPr>
        <w:t xml:space="preserve"> Current </w:t>
      </w:r>
      <w:r w:rsidR="00503E82">
        <w:rPr>
          <w:sz w:val="20"/>
        </w:rPr>
        <w:t xml:space="preserve">curation cleaning procedures utilize isopropyl alcohol which offers some bioburden reduction, but is not effective against spore-forming bacteria or fungal spores </w:t>
      </w:r>
      <w:r w:rsidR="00503E82">
        <w:rPr>
          <w:sz w:val="20"/>
        </w:rPr>
        <w:fldChar w:fldCharType="begin" w:fldLock="1"/>
      </w:r>
      <w:r w:rsidR="00234D14">
        <w:rPr>
          <w:sz w:val="20"/>
        </w:rPr>
        <w:instrText>ADDIN CSL_CITATION {"citationItems":[{"id":"ITEM-1","itemData":{"DOI":"10.1089/ast.2017.1814","abstract":"Abstract Spacecraft assembly facilities are oligotrophic and low-humidity environments, which are routinely cleaned using alcohol wipes for benchtops and spacecraft materials, and alkaline detergents for floors. Despite these cleaning protocols, spacecraft assembly facilities possess a persistent, diverse, dynamic, and low abundant core microbiome, where the Acinetobacter are among the dominant members of the community. In this report, we show that several spacecraft-associated Acinetobacter metabolize or biodegrade the spacecraft cleaning reagents of ethanol (ethyl alcohol), 2-propanol (isopropyl alcohol), and Kleenol 30 (floor detergent) under ultraminimal conditions. Using cultivation and stable isotope labeling studies, we show that ethanol is a sole carbon source when cultivating in 0.2 × M9 minimal medium containing 26 μM Fe(NH4)2(SO4)2. Although cultures expectedly did not grow solely on 2-propanol, cultivations on mixtures of ethanol and 2-propanol exhibited enhanced plate counts at mole ratios of...","author":[{"dropping-particle":"","family":"Mogul","given":"Rakesh","non-dropping-particle":"","parse-names":false,"suffix":""},{"dropping-particle":"","family":"Barding","given":"Gregory A.","non-dropping-particle":"","parse-names":false,"suffix":""},{"dropping-particle":"","family":"Lalla","given":"Sidharth","non-dropping-particle":"","parse-names":false,"suffix":""},{"dropping-particle":"","family":"Lee","given":"Sooji","non-dropping-particle":"","parse-names":false,"suffix":""},{"dropping-particle":"","family":"Madrid","given":"Steve","non-dropping-particle":"","parse-names":false,"suffix":""},{"dropping-particle":"","family":"Baki","given":"Ryan","non-dropping-particle":"","parse-names":false,"suffix":""},{"dropping-particle":"","family":"Ahmed","given":"Mahjabeen","non-dropping-particle":"","parse-names":false,"suffix":""},{"dropping-particle":"","family":"Brasali","given":"Hania","non-dropping-particle":"","parse-names":false,"suffix":""},{"dropping-particle":"","family":"Cepeda","given":"Ivonne","non-dropping-particle":"","parse-names":false,"suffix":""},{"dropping-particle":"","family":"Gornick","given":"Trevor","non-dropping-particle":"","parse-names":false,"suffix":""},{"dropping-particle":"","family":"Gunadi","given":"Shawn","non-dropping-particle":"","parse-names":false,"suffix":""},{"dropping-particle":"","family":"Hearn","given":"Nicole","non-dropping-particle":"","parse-names":false,"suffix":""},{"dropping-particle":"","family":"Jain","given":"Chirag","non-dropping-particle":"","parse-names":false,"suffix":""},{"dropping-particle":"","family":"Kim","given":"Eun Jin","non-dropping-particle":"","parse-names":false,"suffix":""},{"dropping-particle":"","family":"Nguyen","given":"Thi","non-dropping-particle":"","parse-names":false,"suffix":""},{"dropping-particle":"","family":"Nguyen","given":"Vinh Bao","non-dropping-particle":"","parse-names":false,"suffix":""},{"dropping-particle":"","family":"Oei","given":"Alex","non-dropping-particle":"","parse-names":false,"suffix":""},{"dropping-particle":"","family":"Perkins","given":"Nicole","non-dropping-particle":"","parse-names":false,"suffix":""},{"dropping-particle":"","family":"Rodriguez","given":"Joseph","non-dropping-particle":"","parse-names":false,"suffix":""},{"dropping-particle":"","family":"Rodriguez","given":"Veronica","non-dropping-particle":"","parse-names":false,"suffix":""},{"dropping-particle":"","family":"Savla","given":"Gautam","non-dropping-particle":"","parse-names":false,"suffix":""},{"dropping-particle":"","family":"Schmitz","given":"Megan","non-dropping-particle":"","parse-names":false,"suffix":""},{"dropping-particle":"","family":"Tedjakesuma","given":"Nicholas","non-dropping-particle":"","parse-names":false,"suffix":""},{"dropping-particle":"","family":"Walker","given":"Jillian","non-dropping-particle":"","parse-names":false,"suffix":""}],"container-title":"Astrobiology","id":"ITEM-1","issue":"11","issued":{"date-parts":[["2018"]]},"page":"ast.2017.1814","title":"Metabolism and Biodegradation of Spacecraft Cleaning Reagents by Strains of Spacecraft-Associated Acinetobacter","type":"article-journal","volume":"18"},"uris":["http://www.mendeley.com/documents/?uuid=c6ed5234-4b88-41a1-b600-226224314f66"]}],"mendeley":{"formattedCitation":"&lt;sup&gt;2&lt;/sup&gt;","plainTextFormattedCitation":"2","previouslyFormattedCitation":"&lt;sup&gt;2&lt;/sup&gt;"},"properties":{"noteIndex":0},"schema":"https://github.com/citation-style-language/schema/raw/master/csl-citation.json"}</w:instrText>
      </w:r>
      <w:r w:rsidR="00503E82">
        <w:rPr>
          <w:sz w:val="20"/>
        </w:rPr>
        <w:fldChar w:fldCharType="separate"/>
      </w:r>
      <w:r w:rsidR="00503E82" w:rsidRPr="00503E82">
        <w:rPr>
          <w:noProof/>
          <w:sz w:val="20"/>
          <w:vertAlign w:val="superscript"/>
        </w:rPr>
        <w:t>2</w:t>
      </w:r>
      <w:r w:rsidR="00503E82">
        <w:rPr>
          <w:sz w:val="20"/>
        </w:rPr>
        <w:fldChar w:fldCharType="end"/>
      </w:r>
      <w:r w:rsidR="0044720E">
        <w:rPr>
          <w:sz w:val="20"/>
        </w:rPr>
        <w:t xml:space="preserve">. </w:t>
      </w:r>
      <w:r w:rsidR="007745E7">
        <w:rPr>
          <w:sz w:val="20"/>
        </w:rPr>
        <w:t xml:space="preserve">We present a modified disinfection method that uses </w:t>
      </w:r>
      <w:r w:rsidR="00F53B65">
        <w:rPr>
          <w:sz w:val="20"/>
        </w:rPr>
        <w:t xml:space="preserve">ultrapure hydrogen peroxide to reduce bioburden </w:t>
      </w:r>
      <w:r w:rsidR="00266118">
        <w:rPr>
          <w:sz w:val="20"/>
        </w:rPr>
        <w:t>inside curation labs and glove boxe</w:t>
      </w:r>
      <w:r w:rsidR="00F272C6">
        <w:rPr>
          <w:sz w:val="20"/>
        </w:rPr>
        <w:t xml:space="preserve">s without introducing </w:t>
      </w:r>
      <w:r w:rsidR="001A4B6F">
        <w:rPr>
          <w:sz w:val="20"/>
        </w:rPr>
        <w:t xml:space="preserve">contamination or damaging </w:t>
      </w:r>
      <w:r w:rsidR="00A230F1">
        <w:rPr>
          <w:sz w:val="20"/>
        </w:rPr>
        <w:t>curation equipment.</w:t>
      </w:r>
      <w:r w:rsidR="00661E79">
        <w:rPr>
          <w:sz w:val="20"/>
        </w:rPr>
        <w:t xml:space="preserve"> We tested this method </w:t>
      </w:r>
      <w:r w:rsidR="00683CF3">
        <w:rPr>
          <w:sz w:val="20"/>
        </w:rPr>
        <w:t>in the meteorite processing lab as well as on a glovebox being cleaned for u</w:t>
      </w:r>
      <w:r w:rsidR="000D6B3A">
        <w:rPr>
          <w:sz w:val="20"/>
        </w:rPr>
        <w:t>se in processing ANGSA (Apollo Next Generation Sample Analysis) samples</w:t>
      </w:r>
      <w:r w:rsidR="0044720E">
        <w:rPr>
          <w:sz w:val="20"/>
        </w:rPr>
        <w:t xml:space="preserve"> and present the results of those tests</w:t>
      </w:r>
      <w:r w:rsidR="000D6B3A">
        <w:rPr>
          <w:sz w:val="20"/>
        </w:rPr>
        <w:t xml:space="preserve">. </w:t>
      </w:r>
      <w:r w:rsidR="003163FB">
        <w:rPr>
          <w:sz w:val="20"/>
        </w:rPr>
        <w:t xml:space="preserve">We discuss the limitations of this method </w:t>
      </w:r>
      <w:r w:rsidR="00BA287A">
        <w:rPr>
          <w:sz w:val="20"/>
        </w:rPr>
        <w:t xml:space="preserve">and describe potential situations in which it will </w:t>
      </w:r>
      <w:r w:rsidR="00683533">
        <w:rPr>
          <w:sz w:val="20"/>
        </w:rPr>
        <w:t xml:space="preserve">not be applicable. </w:t>
      </w:r>
    </w:p>
    <w:p w14:paraId="3C6B8846" w14:textId="52933640" w:rsidR="00C62F55" w:rsidRDefault="00FE4796" w:rsidP="004336B0">
      <w:pPr>
        <w:spacing w:line="240" w:lineRule="atLeast"/>
        <w:ind w:firstLine="288"/>
        <w:jc w:val="both"/>
        <w:rPr>
          <w:sz w:val="20"/>
        </w:rPr>
      </w:pPr>
      <w:r>
        <w:rPr>
          <w:sz w:val="20"/>
        </w:rPr>
        <w:t>The CDC guidelines for dis</w:t>
      </w:r>
      <w:r w:rsidR="000B6BDB">
        <w:rPr>
          <w:sz w:val="20"/>
        </w:rPr>
        <w:t xml:space="preserve">infection and sterilization in healthcare facilities </w:t>
      </w:r>
      <w:r w:rsidR="001A355A">
        <w:rPr>
          <w:sz w:val="20"/>
        </w:rPr>
        <w:t>discusses</w:t>
      </w:r>
      <w:r w:rsidR="000B6BDB">
        <w:rPr>
          <w:sz w:val="20"/>
        </w:rPr>
        <w:t xml:space="preserve"> </w:t>
      </w:r>
      <w:r w:rsidR="001A355A">
        <w:rPr>
          <w:sz w:val="20"/>
        </w:rPr>
        <w:t xml:space="preserve">over 15 different </w:t>
      </w:r>
      <w:r w:rsidR="00D248A8">
        <w:rPr>
          <w:sz w:val="20"/>
        </w:rPr>
        <w:t xml:space="preserve">methods for reducing bioburden </w:t>
      </w:r>
      <w:r w:rsidR="00FA50C8">
        <w:rPr>
          <w:sz w:val="20"/>
        </w:rPr>
        <w:t xml:space="preserve">in hospital settings </w:t>
      </w:r>
      <w:r w:rsidR="00FA50C8">
        <w:rPr>
          <w:sz w:val="20"/>
        </w:rPr>
        <w:fldChar w:fldCharType="begin" w:fldLock="1"/>
      </w:r>
      <w:r w:rsidR="00234D14">
        <w:rPr>
          <w:sz w:val="20"/>
        </w:rPr>
        <w:instrText>ADDIN CSL_CITATION {"citationItems":[{"id":"ITEM-1","itemData":{"abstract":"The Guideline for Disinfection and Sterilization in Healthcare Facilities, 2008, presents evidencebased\r\nrecommendations on the preferred methods for cleaning, disinfection and sterilization of patientcare\r\nmedical devices and for cleaning and disinfecting the healthcare environment. This document\r\nsupercedes the relevant sections contained in the 1985 Centers for Disease Control (CDC) Guideline for\r\nHandwashing and Environmental Control. 1 Because maximum effectiveness from disinfection and\r\nsterilization results from first cleaning and removing organic and inorganic materials, this document also\r\nreviews cleaning methods. The chemical disinfectants discussed for patient-care equipment include\r\nalcohols, glutaraldehyde, formaldehyde, hydrogen peroxide, iodophors, ortho-phthalaldehyde, peracetic\r\nacid, phenolics, quaternary ammonium compounds, and chlorine. The choice of disinfectant,\r\nconcentration, and exposure time is based on the risk for infection associated with use of the equipment\r\nand other factors discussed in this guideline. The sterilization methods discussed include steam\r\nsterilization, ethylene oxide (ETO), hydrogen peroxide gas plasma, and liquid peracetic acid. When\r\nproperly used, these cleaning, disinfection, and sterilization processes can reduce the risk for infection\r\nassociated with use of invasive and noninvasive medical and surgical devices. However, for these\r\nprocesses to be effective, health-care workers should adhere strictly to the cleaning, disinfection, and\r\nsterilization recommendations in this document and to instructions on product labels.\r\nIn addition to updated recommendations, new topics addressed in this guideline include\r\n1. inactivation of antibiotic-resistant bacteria, bioterrorist agents, emerging pathogens, and\r\nbloodborne pathogens;\r\n2. toxicologic, environmental, and occupational concerns associated with disinfection and\r\nsterilization practices;\r\n3. disinfection of patient-care equipment used in ambulatory settings and home care;\r\n4. new sterilization processes, such as hydrogen peroxide gas plasma and liquid peracetic acid; and\r\n5. disinfection of complex medical instruments (e.g., endoscopes).","author":[{"dropping-particle":"","family":"Rutala","given":"William A","non-dropping-particle":"","parse-names":false,"suffix":""},{"dropping-particle":"","family":"Weber","given":"David J","non-dropping-particle":"","parse-names":false,"suffix":""}],"id":"ITEM-1","issued":{"date-parts":[["0"]]},"title":"Guideline for Disinfection and Sterilization in Healthcare Facilities, 2008","type":"report"},"uris":["http://www.mendeley.com/documents/?uuid=1755f583-02bf-3ae3-91e8-e68ea8be593f"]}],"mendeley":{"formattedCitation":"&lt;sup&gt;3&lt;/sup&gt;","plainTextFormattedCitation":"3","previouslyFormattedCitation":"&lt;sup&gt;3&lt;/sup&gt;"},"properties":{"noteIndex":0},"schema":"https://github.com/citation-style-language/schema/raw/master/csl-citation.json"}</w:instrText>
      </w:r>
      <w:r w:rsidR="00FA50C8">
        <w:rPr>
          <w:sz w:val="20"/>
        </w:rPr>
        <w:fldChar w:fldCharType="separate"/>
      </w:r>
      <w:r w:rsidR="00503E82" w:rsidRPr="00503E82">
        <w:rPr>
          <w:noProof/>
          <w:sz w:val="20"/>
          <w:vertAlign w:val="superscript"/>
        </w:rPr>
        <w:t>3</w:t>
      </w:r>
      <w:r w:rsidR="00FA50C8">
        <w:rPr>
          <w:sz w:val="20"/>
        </w:rPr>
        <w:fldChar w:fldCharType="end"/>
      </w:r>
      <w:r w:rsidR="00904F10">
        <w:rPr>
          <w:sz w:val="20"/>
        </w:rPr>
        <w:t xml:space="preserve">. </w:t>
      </w:r>
      <w:r w:rsidR="005A6CF1">
        <w:rPr>
          <w:sz w:val="20"/>
        </w:rPr>
        <w:t xml:space="preserve">The most common method, </w:t>
      </w:r>
      <w:r w:rsidR="00F007C5">
        <w:rPr>
          <w:sz w:val="20"/>
        </w:rPr>
        <w:t>steam sterilization</w:t>
      </w:r>
      <w:r w:rsidR="00CC0556">
        <w:rPr>
          <w:sz w:val="20"/>
        </w:rPr>
        <w:t xml:space="preserve">, is well suited to sterilizing curation processing tools </w:t>
      </w:r>
      <w:r w:rsidR="00574AC7">
        <w:rPr>
          <w:sz w:val="20"/>
        </w:rPr>
        <w:t xml:space="preserve">but cannot easily be used to sterilize cleanroom surfaces </w:t>
      </w:r>
      <w:r w:rsidR="003B2D4D">
        <w:rPr>
          <w:sz w:val="20"/>
        </w:rPr>
        <w:t xml:space="preserve">or large equipment like gloveboxes. </w:t>
      </w:r>
      <w:r w:rsidR="00ED3E79">
        <w:rPr>
          <w:sz w:val="20"/>
        </w:rPr>
        <w:t>Chemical sterilization with bleach</w:t>
      </w:r>
      <w:r w:rsidR="00F738D9">
        <w:rPr>
          <w:sz w:val="20"/>
        </w:rPr>
        <w:t xml:space="preserve"> (Na</w:t>
      </w:r>
      <w:r w:rsidR="00FA0BF1">
        <w:rPr>
          <w:sz w:val="20"/>
        </w:rPr>
        <w:t>OCl</w:t>
      </w:r>
      <w:r w:rsidR="00C962C4">
        <w:rPr>
          <w:sz w:val="20"/>
        </w:rPr>
        <w:t>)</w:t>
      </w:r>
      <w:r w:rsidR="00C476F8">
        <w:rPr>
          <w:sz w:val="20"/>
        </w:rPr>
        <w:t xml:space="preserve"> </w:t>
      </w:r>
      <w:r w:rsidR="00862432">
        <w:rPr>
          <w:sz w:val="20"/>
        </w:rPr>
        <w:t>is also a common strategy</w:t>
      </w:r>
      <w:r w:rsidR="00C962C4">
        <w:rPr>
          <w:sz w:val="20"/>
        </w:rPr>
        <w:t xml:space="preserve"> in healthcare and pharmaceutical settings</w:t>
      </w:r>
      <w:r w:rsidR="00862432">
        <w:rPr>
          <w:sz w:val="20"/>
        </w:rPr>
        <w:t xml:space="preserve"> that presents</w:t>
      </w:r>
      <w:r w:rsidR="00C409C1">
        <w:rPr>
          <w:sz w:val="20"/>
        </w:rPr>
        <w:t xml:space="preserve"> material compatibility issues as well as</w:t>
      </w:r>
      <w:r w:rsidR="00862432">
        <w:rPr>
          <w:sz w:val="20"/>
        </w:rPr>
        <w:t xml:space="preserve"> </w:t>
      </w:r>
      <w:r w:rsidR="00E86D02">
        <w:rPr>
          <w:sz w:val="20"/>
        </w:rPr>
        <w:t xml:space="preserve">serious </w:t>
      </w:r>
      <w:r w:rsidR="004336B0">
        <w:rPr>
          <w:sz w:val="20"/>
        </w:rPr>
        <w:t xml:space="preserve">inorganic </w:t>
      </w:r>
      <w:r w:rsidR="00E86D02">
        <w:rPr>
          <w:sz w:val="20"/>
        </w:rPr>
        <w:t xml:space="preserve">contamination concerns for curation facilities. </w:t>
      </w:r>
      <w:r w:rsidR="002151C0">
        <w:rPr>
          <w:sz w:val="20"/>
        </w:rPr>
        <w:t xml:space="preserve">Introducing a new source of Na and Cl </w:t>
      </w:r>
      <w:r w:rsidR="00F738D9">
        <w:rPr>
          <w:sz w:val="20"/>
        </w:rPr>
        <w:t xml:space="preserve">into curation labs is not acceptable. </w:t>
      </w:r>
      <w:r w:rsidR="00880A84">
        <w:rPr>
          <w:sz w:val="20"/>
        </w:rPr>
        <w:t xml:space="preserve">Other chemical methods </w:t>
      </w:r>
      <w:r w:rsidR="004336B0">
        <w:rPr>
          <w:sz w:val="20"/>
        </w:rPr>
        <w:t>like ethylene oxide, formaldehyde,</w:t>
      </w:r>
      <w:r w:rsidR="00A81EFA">
        <w:rPr>
          <w:sz w:val="20"/>
        </w:rPr>
        <w:t xml:space="preserve"> iodophors</w:t>
      </w:r>
      <w:r w:rsidR="00707C52">
        <w:rPr>
          <w:sz w:val="20"/>
        </w:rPr>
        <w:t xml:space="preserve"> and quaternary ammonium compounds </w:t>
      </w:r>
      <w:r w:rsidR="00A378E5">
        <w:rPr>
          <w:sz w:val="20"/>
        </w:rPr>
        <w:t xml:space="preserve">could introduce organic and inorganic contamination. We chose to focus on hydrogen peroxide </w:t>
      </w:r>
      <w:r w:rsidR="000875B2">
        <w:rPr>
          <w:sz w:val="20"/>
        </w:rPr>
        <w:t xml:space="preserve">because it is </w:t>
      </w:r>
      <w:r w:rsidR="00F0243E">
        <w:rPr>
          <w:sz w:val="20"/>
        </w:rPr>
        <w:t xml:space="preserve">generally compatible with commonly used curation materials like </w:t>
      </w:r>
      <w:r w:rsidR="00CE243E">
        <w:rPr>
          <w:sz w:val="20"/>
        </w:rPr>
        <w:t xml:space="preserve">stainless steel, aluminum and Teflon and because </w:t>
      </w:r>
      <w:r w:rsidR="006A1923">
        <w:rPr>
          <w:sz w:val="20"/>
        </w:rPr>
        <w:t xml:space="preserve">it decomposes </w:t>
      </w:r>
      <w:r w:rsidR="002358C3">
        <w:rPr>
          <w:sz w:val="20"/>
        </w:rPr>
        <w:t xml:space="preserve">to oxygen and water. </w:t>
      </w:r>
      <w:r w:rsidR="008F1117">
        <w:rPr>
          <w:sz w:val="20"/>
        </w:rPr>
        <w:t xml:space="preserve">The CDC </w:t>
      </w:r>
      <w:r w:rsidR="00DE48D8">
        <w:rPr>
          <w:sz w:val="20"/>
        </w:rPr>
        <w:t xml:space="preserve">guidelines for hydrogen peroxide specify using a 7.5 </w:t>
      </w:r>
      <w:r w:rsidR="00DE48D8">
        <w:rPr>
          <w:sz w:val="20"/>
        </w:rPr>
        <w:t>wt% solution</w:t>
      </w:r>
      <w:r w:rsidR="00910791">
        <w:rPr>
          <w:sz w:val="20"/>
        </w:rPr>
        <w:t xml:space="preserve"> at 25˚C</w:t>
      </w:r>
      <w:r w:rsidR="00DE48D8">
        <w:rPr>
          <w:sz w:val="20"/>
        </w:rPr>
        <w:t xml:space="preserve"> with a contact time of</w:t>
      </w:r>
      <w:r w:rsidR="00832041">
        <w:rPr>
          <w:sz w:val="20"/>
        </w:rPr>
        <w:t xml:space="preserve"> 30 minutes for high level disinfection and</w:t>
      </w:r>
      <w:r w:rsidR="00DE48D8">
        <w:rPr>
          <w:sz w:val="20"/>
        </w:rPr>
        <w:t xml:space="preserve"> 6 hours for sterilization</w:t>
      </w:r>
      <w:r w:rsidR="00832041">
        <w:rPr>
          <w:sz w:val="20"/>
        </w:rPr>
        <w:t xml:space="preserve">. </w:t>
      </w:r>
      <w:r w:rsidR="007548E8">
        <w:rPr>
          <w:sz w:val="20"/>
        </w:rPr>
        <w:t xml:space="preserve">High level disinfection is defined as </w:t>
      </w:r>
      <w:r w:rsidR="00234D14">
        <w:rPr>
          <w:sz w:val="20"/>
        </w:rPr>
        <w:t xml:space="preserve">a technique that will kill all microorganisms except large numbers of bacterial spores </w:t>
      </w:r>
      <w:r w:rsidR="00234D14">
        <w:rPr>
          <w:sz w:val="20"/>
        </w:rPr>
        <w:fldChar w:fldCharType="begin" w:fldLock="1"/>
      </w:r>
      <w:r w:rsidR="00C5440F">
        <w:rPr>
          <w:sz w:val="20"/>
        </w:rPr>
        <w:instrText>ADDIN CSL_CITATION {"citationItems":[{"id":"ITEM-1","itemData":{"abstract":"The Guideline for Disinfection and Sterilization in Healthcare Facilities, 2008, presents evidencebased\r\nrecommendations on the preferred methods for cleaning, disinfection and sterilization of patientcare\r\nmedical devices and for cleaning and disinfecting the healthcare environment. This document\r\nsupercedes the relevant sections contained in the 1985 Centers for Disease Control (CDC) Guideline for\r\nHandwashing and Environmental Control. 1 Because maximum effectiveness from disinfection and\r\nsterilization results from first cleaning and removing organic and inorganic materials, this document also\r\nreviews cleaning methods. The chemical disinfectants discussed for patient-care equipment include\r\nalcohols, glutaraldehyde, formaldehyde, hydrogen peroxide, iodophors, ortho-phthalaldehyde, peracetic\r\nacid, phenolics, quaternary ammonium compounds, and chlorine. The choice of disinfectant,\r\nconcentration, and exposure time is based on the risk for infection associated with use of the equipment\r\nand other factors discussed in this guideline. The sterilization methods discussed include steam\r\nsterilization, ethylene oxide (ETO), hydrogen peroxide gas plasma, and liquid peracetic acid. When\r\nproperly used, these cleaning, disinfection, and sterilization processes can reduce the risk for infection\r\nassociated with use of invasive and noninvasive medical and surgical devices. However, for these\r\nprocesses to be effective, health-care workers should adhere strictly to the cleaning, disinfection, and\r\nsterilization recommendations in this document and to instructions on product labels.\r\nIn addition to updated recommendations, new topics addressed in this guideline include\r\n1. inactivation of antibiotic-resistant bacteria, bioterrorist agents, emerging pathogens, and\r\nbloodborne pathogens;\r\n2. toxicologic, environmental, and occupational concerns associated with disinfection and\r\nsterilization practices;\r\n3. disinfection of patient-care equipment used in ambulatory settings and home care;\r\n4. new sterilization processes, such as hydrogen peroxide gas plasma and liquid peracetic acid; and\r\n5. disinfection of complex medical instruments (e.g., endoscopes).","author":[{"dropping-particle":"","family":"Rutala","given":"William A","non-dropping-particle":"","parse-names":false,"suffix":""},{"dropping-particle":"","family":"Weber","given":"David J","non-dropping-particle":"","parse-names":false,"suffix":""}],"id":"ITEM-1","issued":{"date-parts":[["0"]]},"title":"Guideline for Disinfection and Sterilization in Healthcare Facilities, 2008","type":"report"},"uris":["http://www.mendeley.com/documents/?uuid=1755f583-02bf-3ae3-91e8-e68ea8be593f"]}],"mendeley":{"formattedCitation":"&lt;sup&gt;3&lt;/sup&gt;","plainTextFormattedCitation":"3","previouslyFormattedCitation":"&lt;sup&gt;3&lt;/sup&gt;"},"properties":{"noteIndex":0},"schema":"https://github.com/citation-style-language/schema/raw/master/csl-citation.json"}</w:instrText>
      </w:r>
      <w:r w:rsidR="00234D14">
        <w:rPr>
          <w:sz w:val="20"/>
        </w:rPr>
        <w:fldChar w:fldCharType="separate"/>
      </w:r>
      <w:r w:rsidR="00234D14" w:rsidRPr="00234D14">
        <w:rPr>
          <w:noProof/>
          <w:sz w:val="20"/>
          <w:vertAlign w:val="superscript"/>
        </w:rPr>
        <w:t>3</w:t>
      </w:r>
      <w:r w:rsidR="00234D14">
        <w:rPr>
          <w:sz w:val="20"/>
        </w:rPr>
        <w:fldChar w:fldCharType="end"/>
      </w:r>
      <w:r w:rsidR="0006597F">
        <w:rPr>
          <w:sz w:val="20"/>
        </w:rPr>
        <w:t xml:space="preserve">. </w:t>
      </w:r>
    </w:p>
    <w:p w14:paraId="50A32CD4" w14:textId="1F2B828C" w:rsidR="0006597F" w:rsidRDefault="0006597F" w:rsidP="0006597F">
      <w:pPr>
        <w:spacing w:line="240" w:lineRule="atLeast"/>
        <w:jc w:val="both"/>
        <w:rPr>
          <w:sz w:val="20"/>
        </w:rPr>
      </w:pPr>
      <w:r>
        <w:rPr>
          <w:b/>
          <w:sz w:val="20"/>
        </w:rPr>
        <w:t>Methods</w:t>
      </w:r>
      <w:r w:rsidRPr="00C22CA2">
        <w:rPr>
          <w:b/>
          <w:sz w:val="20"/>
        </w:rPr>
        <w:t>:</w:t>
      </w:r>
      <w:r>
        <w:rPr>
          <w:b/>
          <w:sz w:val="20"/>
        </w:rPr>
        <w:t xml:space="preserve"> </w:t>
      </w:r>
      <w:r w:rsidR="007B0517">
        <w:rPr>
          <w:bCs/>
          <w:sz w:val="20"/>
        </w:rPr>
        <w:t xml:space="preserve">We prepared a solution of 7.5 wt% hydrogen peroxide from a stock </w:t>
      </w:r>
      <w:r w:rsidR="005926A7">
        <w:rPr>
          <w:bCs/>
          <w:sz w:val="20"/>
        </w:rPr>
        <w:t>solution</w:t>
      </w:r>
      <w:r w:rsidR="007B0517">
        <w:rPr>
          <w:bCs/>
          <w:sz w:val="20"/>
        </w:rPr>
        <w:t xml:space="preserve"> of</w:t>
      </w:r>
      <w:r w:rsidR="005926A7">
        <w:rPr>
          <w:bCs/>
          <w:sz w:val="20"/>
        </w:rPr>
        <w:t xml:space="preserve"> ultrapure </w:t>
      </w:r>
      <w:r w:rsidR="007B0517">
        <w:rPr>
          <w:bCs/>
          <w:sz w:val="20"/>
        </w:rPr>
        <w:t>30 wt</w:t>
      </w:r>
      <w:r w:rsidR="005926A7">
        <w:rPr>
          <w:bCs/>
          <w:sz w:val="20"/>
        </w:rPr>
        <w:t>% peroxide</w:t>
      </w:r>
      <w:r w:rsidR="001343DC">
        <w:rPr>
          <w:bCs/>
          <w:sz w:val="20"/>
        </w:rPr>
        <w:t xml:space="preserve"> (JT Baker)</w:t>
      </w:r>
      <w:r w:rsidR="00931999">
        <w:rPr>
          <w:bCs/>
          <w:sz w:val="20"/>
        </w:rPr>
        <w:t xml:space="preserve"> and curation grade ultrapure water. This ultrapure water is already used in curation cleaning procedures and</w:t>
      </w:r>
      <w:r w:rsidR="00DE789D">
        <w:rPr>
          <w:bCs/>
          <w:sz w:val="20"/>
        </w:rPr>
        <w:t xml:space="preserve"> thus</w:t>
      </w:r>
      <w:r w:rsidR="00931999">
        <w:rPr>
          <w:bCs/>
          <w:sz w:val="20"/>
        </w:rPr>
        <w:t xml:space="preserve"> </w:t>
      </w:r>
      <w:r w:rsidR="00DE789D">
        <w:rPr>
          <w:bCs/>
          <w:sz w:val="20"/>
        </w:rPr>
        <w:t>is not considered and additional source of contamination.</w:t>
      </w:r>
      <w:r w:rsidR="005C1D2B">
        <w:rPr>
          <w:bCs/>
          <w:sz w:val="20"/>
        </w:rPr>
        <w:t xml:space="preserve"> We conducted a materials compatibility test by exposing </w:t>
      </w:r>
      <w:r w:rsidR="002334A7">
        <w:rPr>
          <w:bCs/>
          <w:sz w:val="20"/>
        </w:rPr>
        <w:t xml:space="preserve">unanodized and anodized </w:t>
      </w:r>
      <w:r w:rsidR="00010CE7">
        <w:rPr>
          <w:bCs/>
          <w:sz w:val="20"/>
        </w:rPr>
        <w:t>6061</w:t>
      </w:r>
      <w:r w:rsidR="008749CF">
        <w:rPr>
          <w:bCs/>
          <w:sz w:val="20"/>
        </w:rPr>
        <w:t xml:space="preserve"> T6</w:t>
      </w:r>
      <w:r w:rsidR="00010CE7">
        <w:rPr>
          <w:bCs/>
          <w:sz w:val="20"/>
        </w:rPr>
        <w:t xml:space="preserve"> Al alloy to the peroxide solution for up to six hours</w:t>
      </w:r>
      <w:r w:rsidR="005D17C4">
        <w:rPr>
          <w:bCs/>
          <w:sz w:val="20"/>
        </w:rPr>
        <w:t xml:space="preserve"> and periodically inspecting the surfaces for visible defects.</w:t>
      </w:r>
      <w:r w:rsidR="00DE789D">
        <w:rPr>
          <w:bCs/>
          <w:sz w:val="20"/>
        </w:rPr>
        <w:t xml:space="preserve"> </w:t>
      </w:r>
      <w:r w:rsidR="00434C82">
        <w:rPr>
          <w:bCs/>
          <w:sz w:val="20"/>
        </w:rPr>
        <w:t xml:space="preserve">We used this peroxide to disinfect the floor of the meteorite processing </w:t>
      </w:r>
      <w:r w:rsidR="002C0593">
        <w:rPr>
          <w:bCs/>
          <w:sz w:val="20"/>
        </w:rPr>
        <w:t xml:space="preserve">lab </w:t>
      </w:r>
      <w:r w:rsidR="005C1D2B">
        <w:rPr>
          <w:bCs/>
          <w:sz w:val="20"/>
        </w:rPr>
        <w:t>and the interior of a curation glovebox by exposing these surfaces</w:t>
      </w:r>
      <w:r w:rsidR="00DE789D">
        <w:rPr>
          <w:bCs/>
          <w:sz w:val="20"/>
        </w:rPr>
        <w:t xml:space="preserve"> </w:t>
      </w:r>
      <w:r w:rsidR="005D17C4">
        <w:rPr>
          <w:bCs/>
          <w:sz w:val="20"/>
        </w:rPr>
        <w:t xml:space="preserve">to the peroxide solution for 30 min. </w:t>
      </w:r>
      <w:r w:rsidR="00F353F7">
        <w:rPr>
          <w:bCs/>
          <w:sz w:val="20"/>
        </w:rPr>
        <w:t>The surfaces were swabbed</w:t>
      </w:r>
      <w:r w:rsidR="0032245A">
        <w:rPr>
          <w:bCs/>
          <w:sz w:val="20"/>
        </w:rPr>
        <w:t xml:space="preserve"> with a dry </w:t>
      </w:r>
      <w:r w:rsidR="00517219">
        <w:rPr>
          <w:bCs/>
          <w:sz w:val="20"/>
        </w:rPr>
        <w:t>macrofoam swab</w:t>
      </w:r>
      <w:r w:rsidR="00F353F7">
        <w:rPr>
          <w:bCs/>
          <w:sz w:val="20"/>
        </w:rPr>
        <w:t xml:space="preserve"> before</w:t>
      </w:r>
      <w:r w:rsidR="00C572AA">
        <w:rPr>
          <w:bCs/>
          <w:sz w:val="20"/>
        </w:rPr>
        <w:t xml:space="preserve"> </w:t>
      </w:r>
      <w:r w:rsidR="00C572AA">
        <w:rPr>
          <w:sz w:val="20"/>
        </w:rPr>
        <w:t xml:space="preserve">(Puritan Brand 2518051PFRNDFD) </w:t>
      </w:r>
      <w:r w:rsidR="00F353F7">
        <w:rPr>
          <w:bCs/>
          <w:sz w:val="20"/>
        </w:rPr>
        <w:t xml:space="preserve">and after peroxide treatment </w:t>
      </w:r>
      <w:r w:rsidR="00517219">
        <w:rPr>
          <w:bCs/>
          <w:sz w:val="20"/>
        </w:rPr>
        <w:t xml:space="preserve">to collect microbes present on the surfaces. </w:t>
      </w:r>
      <w:r w:rsidR="004824DB">
        <w:rPr>
          <w:bCs/>
          <w:sz w:val="20"/>
        </w:rPr>
        <w:t>Microbes were extracted</w:t>
      </w:r>
      <w:r w:rsidR="00CC0D55">
        <w:rPr>
          <w:bCs/>
          <w:sz w:val="20"/>
        </w:rPr>
        <w:t xml:space="preserve"> </w:t>
      </w:r>
      <w:r w:rsidR="008973D0">
        <w:rPr>
          <w:bCs/>
          <w:sz w:val="20"/>
        </w:rPr>
        <w:t xml:space="preserve">by sonication </w:t>
      </w:r>
      <w:r w:rsidR="00CC0D55">
        <w:rPr>
          <w:bCs/>
          <w:sz w:val="20"/>
        </w:rPr>
        <w:t xml:space="preserve">from the swab into 15 ml of </w:t>
      </w:r>
      <w:r w:rsidR="00041639">
        <w:rPr>
          <w:bCs/>
          <w:sz w:val="20"/>
        </w:rPr>
        <w:t>PBS (</w:t>
      </w:r>
      <w:r w:rsidR="00CC0D55">
        <w:rPr>
          <w:bCs/>
          <w:sz w:val="20"/>
        </w:rPr>
        <w:t>phosphate buffered saline</w:t>
      </w:r>
      <w:r w:rsidR="00041639">
        <w:rPr>
          <w:bCs/>
          <w:sz w:val="20"/>
        </w:rPr>
        <w:t>)</w:t>
      </w:r>
      <w:r w:rsidR="00CC0D55">
        <w:rPr>
          <w:bCs/>
          <w:sz w:val="20"/>
        </w:rPr>
        <w:t xml:space="preserve"> </w:t>
      </w:r>
      <w:r w:rsidR="00FD72B9">
        <w:rPr>
          <w:bCs/>
          <w:sz w:val="20"/>
        </w:rPr>
        <w:t xml:space="preserve">and </w:t>
      </w:r>
      <w:r w:rsidR="006132F7">
        <w:rPr>
          <w:bCs/>
          <w:sz w:val="20"/>
        </w:rPr>
        <w:t>inoculated</w:t>
      </w:r>
      <w:r w:rsidR="00FD72B9">
        <w:rPr>
          <w:bCs/>
          <w:sz w:val="20"/>
        </w:rPr>
        <w:t xml:space="preserve"> onto</w:t>
      </w:r>
      <w:r w:rsidR="004824DB">
        <w:rPr>
          <w:bCs/>
          <w:sz w:val="20"/>
        </w:rPr>
        <w:t xml:space="preserve"> </w:t>
      </w:r>
      <w:r w:rsidR="008973D0">
        <w:rPr>
          <w:bCs/>
          <w:sz w:val="20"/>
        </w:rPr>
        <w:t xml:space="preserve">the following media: </w:t>
      </w:r>
      <w:r w:rsidR="008973D0">
        <w:rPr>
          <w:sz w:val="20"/>
        </w:rPr>
        <w:t>TSA (tryptic soy agar) BA (blood agar), R2A (Reasoners 2 agar), Potato Dextrose Agar, Saboraud Dextrose Agar and Saboraud Dextrose Agar with 0.1 mg/ ml chloramphenicol.</w:t>
      </w:r>
      <w:r w:rsidR="008A56E7">
        <w:rPr>
          <w:sz w:val="20"/>
        </w:rPr>
        <w:t xml:space="preserve"> </w:t>
      </w:r>
      <w:r w:rsidR="00D8167D">
        <w:rPr>
          <w:sz w:val="20"/>
        </w:rPr>
        <w:t>Four TSA plates</w:t>
      </w:r>
      <w:r w:rsidR="00C17DBE">
        <w:rPr>
          <w:sz w:val="20"/>
        </w:rPr>
        <w:t xml:space="preserve"> and two BA plates</w:t>
      </w:r>
      <w:r w:rsidR="00D8167D">
        <w:rPr>
          <w:sz w:val="20"/>
        </w:rPr>
        <w:t xml:space="preserve"> were inoculated with 0.1 ml </w:t>
      </w:r>
      <w:r w:rsidR="00041639">
        <w:rPr>
          <w:sz w:val="20"/>
        </w:rPr>
        <w:t xml:space="preserve">of PBS </w:t>
      </w:r>
      <w:r w:rsidR="00D8167D">
        <w:rPr>
          <w:sz w:val="20"/>
        </w:rPr>
        <w:t xml:space="preserve">each and incubated </w:t>
      </w:r>
      <w:r w:rsidR="00271E11">
        <w:rPr>
          <w:sz w:val="20"/>
        </w:rPr>
        <w:t xml:space="preserve">at </w:t>
      </w:r>
      <w:r w:rsidR="00C17DBE">
        <w:rPr>
          <w:sz w:val="20"/>
        </w:rPr>
        <w:t xml:space="preserve">35℃ and 37℃ for 48 hours. </w:t>
      </w:r>
      <w:r w:rsidR="0044525D">
        <w:rPr>
          <w:sz w:val="20"/>
        </w:rPr>
        <w:t>Two R2A plates (0.1 ml</w:t>
      </w:r>
      <w:r w:rsidR="00536C0F">
        <w:rPr>
          <w:sz w:val="20"/>
        </w:rPr>
        <w:t xml:space="preserve"> of PBS</w:t>
      </w:r>
      <w:r w:rsidR="0044525D">
        <w:rPr>
          <w:sz w:val="20"/>
        </w:rPr>
        <w:t xml:space="preserve"> each) were incubated at 25℃. The remaining plates were </w:t>
      </w:r>
      <w:r w:rsidR="00A829D7">
        <w:rPr>
          <w:sz w:val="20"/>
        </w:rPr>
        <w:t>inoculated with 0.2ml</w:t>
      </w:r>
      <w:r w:rsidR="00536C0F">
        <w:rPr>
          <w:sz w:val="20"/>
        </w:rPr>
        <w:t xml:space="preserve"> of PBS</w:t>
      </w:r>
      <w:r w:rsidR="00A829D7">
        <w:rPr>
          <w:sz w:val="20"/>
        </w:rPr>
        <w:t xml:space="preserve"> and incubated at 30˚C for seven days. </w:t>
      </w:r>
      <w:r w:rsidR="00373344">
        <w:rPr>
          <w:sz w:val="20"/>
        </w:rPr>
        <w:t>After incubation bacterial and fungal isolates were counted and transferred to new plates for identification</w:t>
      </w:r>
      <w:r w:rsidR="00104103">
        <w:rPr>
          <w:sz w:val="20"/>
        </w:rPr>
        <w:t xml:space="preserve"> using the VITEK2</w:t>
      </w:r>
      <w:r w:rsidR="00C5440F">
        <w:rPr>
          <w:sz w:val="20"/>
        </w:rPr>
        <w:fldChar w:fldCharType="begin" w:fldLock="1"/>
      </w:r>
      <w:r w:rsidR="00C5440F">
        <w:rPr>
          <w:sz w:val="20"/>
        </w:rPr>
        <w:instrText>ADDIN CSL_CITATION {"citationItems":[{"id":"ITEM-1","itemData":{"abstract":"OBJECTIVE This chapter describes the VITEK 2 automated microbiology system and its application in the identification of microorganisms. PRINCIPLES The VITEK 2 is an automated microbiology system utilizing growth-based technology. The system is available in three formats (VITEK 2 compact, VITEK 2, and VITEK 2 XL) that differ in increasing levels of capacity and automation. Figure 1 shows the VITEK 2 compact system. All three systems accommodate the same colorimetric reagent cards that are incubated and interpreted automatically. www.pda.org/bookstore 2 Encyclopedia of Rapid Microbiological Methods Figure 1. VITEK 2 Compact Instrument and Workstation. VITEK 2 Compact This format focuses on the industrial microbiology-testing environment while also having application for low to middle volume clinical laboratories. Features specifically developed for industrial microbiology include 21 CFR Part 11 compliance (for electronic records and signatures) and a colorimetric reagent card (BCL) used to identify the spore-forming Gram-positive bacilli (i.e., Bacillus and related genera). The other colorimetric reagent cards (GN, GP, YST) apply to all system formats for both industrial and clinical laboratories.","author":[{"dropping-particle":"","family":"Pincus","given":"David H","non-dropping-particle":"","parse-names":false,"suffix":""}],"container-title":"Encyclopedia of Rapid Microbiological Methods","id":"ITEM-1","issued":{"date-parts":[["2005"]]},"title":"MICROBIAL IDENTIFICATION USING THE BIOMÉRIEUX VITEK ® 2 SYSTEM VITEK 2 and VITEK 2 XL","type":"chapter"},"uris":["http://www.mendeley.com/documents/?uuid=c675061f-b4bb-3dc6-ac79-60c0dfa606b6"]}],"mendeley":{"formattedCitation":"&lt;sup&gt;4&lt;/sup&gt;","plainTextFormattedCitation":"4"},"properties":{"noteIndex":0},"schema":"https://github.com/citation-style-language/schema/raw/master/csl-citation.json"}</w:instrText>
      </w:r>
      <w:r w:rsidR="00C5440F">
        <w:rPr>
          <w:sz w:val="20"/>
        </w:rPr>
        <w:fldChar w:fldCharType="separate"/>
      </w:r>
      <w:r w:rsidR="00C5440F" w:rsidRPr="00C5440F">
        <w:rPr>
          <w:noProof/>
          <w:sz w:val="20"/>
          <w:vertAlign w:val="superscript"/>
        </w:rPr>
        <w:t>4</w:t>
      </w:r>
      <w:r w:rsidR="00C5440F">
        <w:rPr>
          <w:sz w:val="20"/>
        </w:rPr>
        <w:fldChar w:fldCharType="end"/>
      </w:r>
      <w:r w:rsidR="00104103">
        <w:rPr>
          <w:sz w:val="20"/>
        </w:rPr>
        <w:t xml:space="preserve"> automated system or by sequencing </w:t>
      </w:r>
      <w:r w:rsidR="003126E5">
        <w:rPr>
          <w:sz w:val="20"/>
        </w:rPr>
        <w:t>a portion of the barcode gene (16S rRNA for bacteria</w:t>
      </w:r>
      <w:r w:rsidR="00B02130">
        <w:rPr>
          <w:sz w:val="20"/>
        </w:rPr>
        <w:t xml:space="preserve">, small subunit gene for fungi) on an ABI 3500 Sanger sequencer. </w:t>
      </w:r>
      <w:r w:rsidR="008034C2">
        <w:rPr>
          <w:sz w:val="20"/>
        </w:rPr>
        <w:t>Negative controls</w:t>
      </w:r>
      <w:r w:rsidR="00652E32">
        <w:rPr>
          <w:sz w:val="20"/>
        </w:rPr>
        <w:t xml:space="preserve"> consisted of swabs that were opened in the sampling environment </w:t>
      </w:r>
      <w:r w:rsidR="008034C2">
        <w:rPr>
          <w:sz w:val="20"/>
        </w:rPr>
        <w:t xml:space="preserve">and analyzed </w:t>
      </w:r>
      <w:r w:rsidR="00546968">
        <w:rPr>
          <w:sz w:val="20"/>
        </w:rPr>
        <w:t>alongside the experimental samples.</w:t>
      </w:r>
    </w:p>
    <w:p w14:paraId="222211D4" w14:textId="384A50EC" w:rsidR="00546968" w:rsidRPr="00922CE4" w:rsidRDefault="00546968" w:rsidP="0006597F">
      <w:pPr>
        <w:spacing w:line="240" w:lineRule="atLeast"/>
        <w:jc w:val="both"/>
        <w:rPr>
          <w:sz w:val="20"/>
        </w:rPr>
      </w:pPr>
      <w:r>
        <w:rPr>
          <w:b/>
          <w:bCs/>
          <w:sz w:val="20"/>
        </w:rPr>
        <w:t>Results:</w:t>
      </w:r>
      <w:r w:rsidR="00922CE4">
        <w:rPr>
          <w:b/>
          <w:bCs/>
          <w:sz w:val="20"/>
        </w:rPr>
        <w:t xml:space="preserve"> </w:t>
      </w:r>
      <w:r w:rsidR="004D0556">
        <w:rPr>
          <w:sz w:val="20"/>
        </w:rPr>
        <w:t xml:space="preserve">A </w:t>
      </w:r>
      <w:r w:rsidR="00922CE4">
        <w:rPr>
          <w:sz w:val="20"/>
        </w:rPr>
        <w:t>6 hour</w:t>
      </w:r>
      <w:r w:rsidR="004D0556">
        <w:rPr>
          <w:sz w:val="20"/>
        </w:rPr>
        <w:t xml:space="preserve"> exposure to hydrogen peroxide</w:t>
      </w:r>
      <w:r w:rsidR="00922CE4">
        <w:rPr>
          <w:sz w:val="20"/>
        </w:rPr>
        <w:t xml:space="preserve"> resulted in visible pitting </w:t>
      </w:r>
      <w:r w:rsidR="006C65ED">
        <w:rPr>
          <w:sz w:val="20"/>
        </w:rPr>
        <w:t>on</w:t>
      </w:r>
      <w:r w:rsidR="004D0556">
        <w:rPr>
          <w:sz w:val="20"/>
        </w:rPr>
        <w:t xml:space="preserve"> </w:t>
      </w:r>
      <w:r w:rsidR="00924501">
        <w:rPr>
          <w:sz w:val="20"/>
        </w:rPr>
        <w:t>un-anodized 6061 Al</w:t>
      </w:r>
      <w:r w:rsidR="00536C0F">
        <w:rPr>
          <w:sz w:val="20"/>
        </w:rPr>
        <w:t>,</w:t>
      </w:r>
      <w:r w:rsidR="00924501">
        <w:rPr>
          <w:sz w:val="20"/>
        </w:rPr>
        <w:t xml:space="preserve"> but not on anodized surfaces.</w:t>
      </w:r>
      <w:r w:rsidR="006C65ED">
        <w:rPr>
          <w:sz w:val="20"/>
        </w:rPr>
        <w:t xml:space="preserve"> No</w:t>
      </w:r>
      <w:r w:rsidR="00A077C2">
        <w:rPr>
          <w:sz w:val="20"/>
        </w:rPr>
        <w:t xml:space="preserve"> visible pitting occurred after a 30 minute exposure. </w:t>
      </w:r>
      <w:r w:rsidR="00924501">
        <w:rPr>
          <w:sz w:val="20"/>
        </w:rPr>
        <w:t xml:space="preserve">Therefore, we </w:t>
      </w:r>
      <w:r w:rsidR="0094761E">
        <w:rPr>
          <w:sz w:val="20"/>
        </w:rPr>
        <w:t xml:space="preserve">decided to limit our experimental tests to 30 min. exposures. </w:t>
      </w:r>
      <w:r w:rsidR="00FD5444">
        <w:rPr>
          <w:sz w:val="20"/>
        </w:rPr>
        <w:t>1</w:t>
      </w:r>
      <w:r w:rsidR="003A1BDC">
        <w:rPr>
          <w:sz w:val="20"/>
        </w:rPr>
        <w:t>7</w:t>
      </w:r>
      <w:r w:rsidR="00FD5444">
        <w:rPr>
          <w:sz w:val="20"/>
        </w:rPr>
        <w:t xml:space="preserve"> </w:t>
      </w:r>
      <w:r w:rsidR="003A1BDC">
        <w:rPr>
          <w:sz w:val="20"/>
        </w:rPr>
        <w:t xml:space="preserve">bacterial </w:t>
      </w:r>
      <w:r w:rsidR="00FD5444">
        <w:rPr>
          <w:sz w:val="20"/>
        </w:rPr>
        <w:t xml:space="preserve">CFU </w:t>
      </w:r>
      <w:r w:rsidR="003A1BDC">
        <w:rPr>
          <w:sz w:val="20"/>
        </w:rPr>
        <w:t>(colony forming units)</w:t>
      </w:r>
      <w:r w:rsidR="00531510">
        <w:rPr>
          <w:sz w:val="20"/>
        </w:rPr>
        <w:t xml:space="preserve"> representing 4 distinct organisms</w:t>
      </w:r>
      <w:r w:rsidR="003A1BDC">
        <w:rPr>
          <w:sz w:val="20"/>
        </w:rPr>
        <w:t xml:space="preserve"> were isolated from</w:t>
      </w:r>
      <w:r w:rsidR="00531510">
        <w:rPr>
          <w:sz w:val="20"/>
        </w:rPr>
        <w:t xml:space="preserve"> the meteorite </w:t>
      </w:r>
      <w:r w:rsidR="00531510">
        <w:rPr>
          <w:sz w:val="20"/>
        </w:rPr>
        <w:lastRenderedPageBreak/>
        <w:t>processing lab floor prior to hydrogen peroxide treatment</w:t>
      </w:r>
      <w:r w:rsidR="001B1D83">
        <w:rPr>
          <w:sz w:val="20"/>
        </w:rPr>
        <w:t xml:space="preserve">. We were unable </w:t>
      </w:r>
      <w:r w:rsidR="004E307F">
        <w:rPr>
          <w:sz w:val="20"/>
        </w:rPr>
        <w:t xml:space="preserve">culture any organisms after peroxide treatment. </w:t>
      </w:r>
      <w:r w:rsidR="003766C1">
        <w:rPr>
          <w:sz w:val="20"/>
        </w:rPr>
        <w:t>In the glovebox</w:t>
      </w:r>
      <w:r w:rsidR="00403FDA">
        <w:rPr>
          <w:sz w:val="20"/>
        </w:rPr>
        <w:t xml:space="preserve"> we were able to culture </w:t>
      </w:r>
      <w:r w:rsidR="008F2347">
        <w:rPr>
          <w:sz w:val="20"/>
        </w:rPr>
        <w:t>three bacterial</w:t>
      </w:r>
      <w:r w:rsidR="00403FDA">
        <w:rPr>
          <w:sz w:val="20"/>
        </w:rPr>
        <w:t xml:space="preserve"> CFU </w:t>
      </w:r>
      <w:r w:rsidR="008F2347">
        <w:rPr>
          <w:sz w:val="20"/>
        </w:rPr>
        <w:t>representing three distinct species</w:t>
      </w:r>
      <w:r w:rsidR="001A0566">
        <w:rPr>
          <w:sz w:val="20"/>
        </w:rPr>
        <w:t>, including a spore forming bacteri</w:t>
      </w:r>
      <w:r w:rsidR="00D34C10">
        <w:rPr>
          <w:sz w:val="20"/>
        </w:rPr>
        <w:t>um</w:t>
      </w:r>
      <w:r w:rsidR="008F2347">
        <w:rPr>
          <w:sz w:val="20"/>
        </w:rPr>
        <w:t xml:space="preserve"> prior to disinfection with peroxide. After the peroxide treatment we were unable to culture any </w:t>
      </w:r>
      <w:r w:rsidR="00EA5277">
        <w:rPr>
          <w:sz w:val="20"/>
        </w:rPr>
        <w:t>organisms</w:t>
      </w:r>
      <w:r w:rsidR="008F2347">
        <w:rPr>
          <w:sz w:val="20"/>
        </w:rPr>
        <w:t xml:space="preserve">. </w:t>
      </w:r>
      <w:r w:rsidR="00FC2899">
        <w:rPr>
          <w:sz w:val="20"/>
        </w:rPr>
        <w:t xml:space="preserve">Routine monitoring of the meteorite processing lab and the glovebox did not indicate any increase </w:t>
      </w:r>
      <w:r w:rsidR="00186288">
        <w:rPr>
          <w:sz w:val="20"/>
        </w:rPr>
        <w:t xml:space="preserve">in unwanted inorganic contamination after these peroxide treatments. </w:t>
      </w:r>
    </w:p>
    <w:p w14:paraId="35CA464F" w14:textId="0893BA6A" w:rsidR="00C62F55" w:rsidRPr="00713CB0" w:rsidRDefault="00EA5277" w:rsidP="00EA5277">
      <w:pPr>
        <w:spacing w:line="240" w:lineRule="atLeast"/>
        <w:jc w:val="both"/>
        <w:rPr>
          <w:sz w:val="20"/>
        </w:rPr>
      </w:pPr>
      <w:r>
        <w:rPr>
          <w:b/>
          <w:bCs/>
          <w:sz w:val="20"/>
        </w:rPr>
        <w:t xml:space="preserve">Discussion: </w:t>
      </w:r>
      <w:r w:rsidR="00713CB0">
        <w:rPr>
          <w:sz w:val="20"/>
        </w:rPr>
        <w:t>A 30 minute treatment with 7.5</w:t>
      </w:r>
      <w:r w:rsidR="00FE7E50">
        <w:rPr>
          <w:sz w:val="20"/>
        </w:rPr>
        <w:t xml:space="preserve"> </w:t>
      </w:r>
      <w:r w:rsidR="00713CB0">
        <w:rPr>
          <w:sz w:val="20"/>
        </w:rPr>
        <w:t xml:space="preserve">wt% peroxide </w:t>
      </w:r>
      <w:r w:rsidR="00AD67F7">
        <w:rPr>
          <w:sz w:val="20"/>
        </w:rPr>
        <w:t xml:space="preserve">appears to be an effective method for reducing bioburden on typical </w:t>
      </w:r>
      <w:r w:rsidR="00D26FCD">
        <w:rPr>
          <w:sz w:val="20"/>
        </w:rPr>
        <w:t xml:space="preserve">cleanroom surfaces. </w:t>
      </w:r>
      <w:r w:rsidR="002661E6">
        <w:rPr>
          <w:sz w:val="20"/>
        </w:rPr>
        <w:t>The m</w:t>
      </w:r>
      <w:r w:rsidR="00FE7E50">
        <w:rPr>
          <w:sz w:val="20"/>
        </w:rPr>
        <w:t>ethod</w:t>
      </w:r>
      <w:r w:rsidR="00E6147F">
        <w:rPr>
          <w:sz w:val="20"/>
        </w:rPr>
        <w:t xml:space="preserve"> does not introduce unwanted organic or inorganic contamination and is compatible </w:t>
      </w:r>
      <w:r w:rsidR="00C638D5">
        <w:rPr>
          <w:sz w:val="20"/>
        </w:rPr>
        <w:t>with commonly used curation materials like stainless steel, Teflon and anodized aluminum alloys. Special care should be taken</w:t>
      </w:r>
      <w:r w:rsidR="005212A3">
        <w:rPr>
          <w:sz w:val="20"/>
        </w:rPr>
        <w:t xml:space="preserve"> with un-anodized aluminum</w:t>
      </w:r>
      <w:r w:rsidR="0032025B">
        <w:rPr>
          <w:sz w:val="20"/>
        </w:rPr>
        <w:t xml:space="preserve">. Prolonged exposure to hydrogen peroxide can cause pitting on </w:t>
      </w:r>
      <w:r w:rsidR="00E535C2">
        <w:rPr>
          <w:sz w:val="20"/>
        </w:rPr>
        <w:t xml:space="preserve">this material. </w:t>
      </w:r>
      <w:r w:rsidR="000D3C2E">
        <w:rPr>
          <w:sz w:val="20"/>
        </w:rPr>
        <w:t>We recommend using this method to disin</w:t>
      </w:r>
      <w:r w:rsidR="00A77E65">
        <w:rPr>
          <w:sz w:val="20"/>
        </w:rPr>
        <w:t xml:space="preserve">fect curation labs and equipment when biological alteration </w:t>
      </w:r>
      <w:r w:rsidR="00ED2CAE">
        <w:rPr>
          <w:sz w:val="20"/>
        </w:rPr>
        <w:t xml:space="preserve">is a concern. This method </w:t>
      </w:r>
      <w:r w:rsidR="003D4E92">
        <w:rPr>
          <w:sz w:val="20"/>
        </w:rPr>
        <w:t xml:space="preserve">is effective at room temperature and cannot be </w:t>
      </w:r>
      <w:r w:rsidR="004E1AD5">
        <w:rPr>
          <w:sz w:val="20"/>
        </w:rPr>
        <w:t>used to disinfect labs and equipment where the ambient tem</w:t>
      </w:r>
      <w:r w:rsidR="00BD47CB">
        <w:rPr>
          <w:sz w:val="20"/>
        </w:rPr>
        <w:t xml:space="preserve">perature is &lt; 0˚C. </w:t>
      </w:r>
      <w:r w:rsidR="00B607B8">
        <w:rPr>
          <w:sz w:val="20"/>
        </w:rPr>
        <w:t xml:space="preserve">Astromaterials samples should be removed </w:t>
      </w:r>
      <w:r w:rsidR="004D2CEB">
        <w:rPr>
          <w:sz w:val="20"/>
        </w:rPr>
        <w:t xml:space="preserve">from </w:t>
      </w:r>
      <w:r w:rsidR="00957AB9">
        <w:rPr>
          <w:sz w:val="20"/>
        </w:rPr>
        <w:t xml:space="preserve">the area where disinfection is to occur. </w:t>
      </w:r>
      <w:r w:rsidR="005948D5">
        <w:rPr>
          <w:sz w:val="20"/>
        </w:rPr>
        <w:t>Hydrogen peroxide is a powerful oxidizing agent and will react wit</w:t>
      </w:r>
      <w:r w:rsidR="00C72545">
        <w:rPr>
          <w:sz w:val="20"/>
        </w:rPr>
        <w:t xml:space="preserve">h any organic carbon present in the sample. </w:t>
      </w:r>
    </w:p>
    <w:p w14:paraId="62B8602E" w14:textId="229F5AD0" w:rsidR="00C5440F" w:rsidRPr="001E54C3" w:rsidRDefault="00C22CA2" w:rsidP="002675A7">
      <w:pPr>
        <w:widowControl w:val="0"/>
        <w:autoSpaceDE w:val="0"/>
        <w:autoSpaceDN w:val="0"/>
        <w:adjustRightInd w:val="0"/>
        <w:spacing w:line="240" w:lineRule="atLeast"/>
        <w:rPr>
          <w:bCs/>
          <w:noProof/>
          <w:sz w:val="20"/>
        </w:rPr>
      </w:pPr>
      <w:r w:rsidRPr="00C22CA2">
        <w:rPr>
          <w:b/>
          <w:sz w:val="20"/>
        </w:rPr>
        <w:t>References</w:t>
      </w:r>
      <w:r w:rsidRPr="001E54C3">
        <w:rPr>
          <w:bCs/>
          <w:sz w:val="20"/>
        </w:rPr>
        <w:t xml:space="preserve">: </w:t>
      </w:r>
      <w:r w:rsidR="005066D6" w:rsidRPr="00542D50">
        <w:rPr>
          <w:b/>
          <w:sz w:val="20"/>
        </w:rPr>
        <w:t>[</w:t>
      </w:r>
      <w:r w:rsidR="004949D9" w:rsidRPr="001E54C3">
        <w:rPr>
          <w:bCs/>
          <w:sz w:val="20"/>
        </w:rPr>
        <w:fldChar w:fldCharType="begin" w:fldLock="1"/>
      </w:r>
      <w:r w:rsidR="004949D9" w:rsidRPr="001E54C3">
        <w:rPr>
          <w:bCs/>
          <w:sz w:val="20"/>
        </w:rPr>
        <w:instrText xml:space="preserve">ADDIN Mendeley Bibliography CSL_BIBLIOGRAPHY </w:instrText>
      </w:r>
      <w:r w:rsidR="004949D9" w:rsidRPr="001E54C3">
        <w:rPr>
          <w:bCs/>
          <w:sz w:val="20"/>
        </w:rPr>
        <w:fldChar w:fldCharType="separate"/>
      </w:r>
      <w:r w:rsidR="00C5440F" w:rsidRPr="00542D50">
        <w:rPr>
          <w:b/>
          <w:noProof/>
          <w:sz w:val="20"/>
          <w:szCs w:val="24"/>
        </w:rPr>
        <w:t>1.</w:t>
      </w:r>
      <w:r w:rsidR="005066D6" w:rsidRPr="00542D50">
        <w:rPr>
          <w:b/>
          <w:noProof/>
          <w:sz w:val="20"/>
          <w:szCs w:val="24"/>
        </w:rPr>
        <w:t>]</w:t>
      </w:r>
      <w:r w:rsidR="001E54C3">
        <w:rPr>
          <w:bCs/>
          <w:noProof/>
          <w:sz w:val="20"/>
          <w:szCs w:val="24"/>
        </w:rPr>
        <w:t xml:space="preserve"> </w:t>
      </w:r>
      <w:r w:rsidR="00C5440F" w:rsidRPr="001E54C3">
        <w:rPr>
          <w:bCs/>
          <w:noProof/>
          <w:sz w:val="20"/>
          <w:szCs w:val="24"/>
        </w:rPr>
        <w:t xml:space="preserve">Mccubbin, F. M. </w:t>
      </w:r>
      <w:r w:rsidR="00C5440F" w:rsidRPr="001E54C3">
        <w:rPr>
          <w:bCs/>
          <w:i/>
          <w:iCs/>
          <w:noProof/>
          <w:sz w:val="20"/>
          <w:szCs w:val="24"/>
        </w:rPr>
        <w:t>et al.</w:t>
      </w:r>
      <w:r w:rsidR="00C5440F" w:rsidRPr="001E54C3">
        <w:rPr>
          <w:bCs/>
          <w:noProof/>
          <w:sz w:val="20"/>
          <w:szCs w:val="24"/>
        </w:rPr>
        <w:t xml:space="preserve"> </w:t>
      </w:r>
      <w:r w:rsidR="00C5440F" w:rsidRPr="001E54C3">
        <w:rPr>
          <w:bCs/>
          <w:i/>
          <w:iCs/>
          <w:noProof/>
          <w:sz w:val="20"/>
          <w:szCs w:val="24"/>
        </w:rPr>
        <w:t>Sp. Sci Rev</w:t>
      </w:r>
      <w:r w:rsidR="00C5440F" w:rsidRPr="001E54C3">
        <w:rPr>
          <w:bCs/>
          <w:noProof/>
          <w:sz w:val="20"/>
          <w:szCs w:val="24"/>
        </w:rPr>
        <w:t xml:space="preserve"> (2019) doi:10.1007/s11214-019-0615-9.</w:t>
      </w:r>
      <w:r w:rsidR="00542D50">
        <w:rPr>
          <w:bCs/>
          <w:noProof/>
          <w:sz w:val="20"/>
          <w:szCs w:val="24"/>
        </w:rPr>
        <w:t xml:space="preserve"> </w:t>
      </w:r>
      <w:r w:rsidR="002675A7" w:rsidRPr="00542D50">
        <w:rPr>
          <w:b/>
          <w:noProof/>
          <w:sz w:val="20"/>
          <w:szCs w:val="24"/>
        </w:rPr>
        <w:t>[</w:t>
      </w:r>
      <w:r w:rsidR="00C5440F" w:rsidRPr="00542D50">
        <w:rPr>
          <w:b/>
          <w:noProof/>
          <w:sz w:val="20"/>
          <w:szCs w:val="24"/>
        </w:rPr>
        <w:t>2.</w:t>
      </w:r>
      <w:r w:rsidR="002675A7" w:rsidRPr="00542D50">
        <w:rPr>
          <w:b/>
          <w:noProof/>
          <w:sz w:val="20"/>
          <w:szCs w:val="24"/>
        </w:rPr>
        <w:t>]</w:t>
      </w:r>
      <w:r w:rsidR="002675A7" w:rsidRPr="001E54C3">
        <w:rPr>
          <w:bCs/>
          <w:noProof/>
          <w:sz w:val="20"/>
          <w:szCs w:val="24"/>
        </w:rPr>
        <w:t xml:space="preserve"> </w:t>
      </w:r>
      <w:r w:rsidR="00C5440F" w:rsidRPr="001E54C3">
        <w:rPr>
          <w:bCs/>
          <w:noProof/>
          <w:sz w:val="20"/>
          <w:szCs w:val="24"/>
        </w:rPr>
        <w:t xml:space="preserve">Mogul, R. </w:t>
      </w:r>
      <w:r w:rsidR="00C5440F" w:rsidRPr="001E54C3">
        <w:rPr>
          <w:bCs/>
          <w:i/>
          <w:iCs/>
          <w:noProof/>
          <w:sz w:val="20"/>
          <w:szCs w:val="24"/>
        </w:rPr>
        <w:t>et al.</w:t>
      </w:r>
      <w:r w:rsidR="00C5440F" w:rsidRPr="001E54C3">
        <w:rPr>
          <w:bCs/>
          <w:noProof/>
          <w:sz w:val="20"/>
          <w:szCs w:val="24"/>
        </w:rPr>
        <w:t xml:space="preserve"> </w:t>
      </w:r>
      <w:r w:rsidR="00C5440F" w:rsidRPr="001E54C3">
        <w:rPr>
          <w:bCs/>
          <w:i/>
          <w:iCs/>
          <w:noProof/>
          <w:sz w:val="20"/>
          <w:szCs w:val="24"/>
        </w:rPr>
        <w:t>Astrobiology</w:t>
      </w:r>
      <w:r w:rsidR="00C5440F" w:rsidRPr="001E54C3">
        <w:rPr>
          <w:bCs/>
          <w:noProof/>
          <w:sz w:val="20"/>
          <w:szCs w:val="24"/>
        </w:rPr>
        <w:t xml:space="preserve"> 18, ast.2017.1814 (2018).</w:t>
      </w:r>
      <w:r w:rsidR="00385490">
        <w:rPr>
          <w:bCs/>
          <w:noProof/>
          <w:sz w:val="20"/>
          <w:szCs w:val="24"/>
        </w:rPr>
        <w:t xml:space="preserve"> </w:t>
      </w:r>
      <w:r w:rsidR="002675A7" w:rsidRPr="00385490">
        <w:rPr>
          <w:b/>
          <w:noProof/>
          <w:sz w:val="20"/>
          <w:szCs w:val="24"/>
        </w:rPr>
        <w:t>[</w:t>
      </w:r>
      <w:r w:rsidR="00C5440F" w:rsidRPr="00385490">
        <w:rPr>
          <w:b/>
          <w:noProof/>
          <w:sz w:val="20"/>
          <w:szCs w:val="24"/>
        </w:rPr>
        <w:t>3.</w:t>
      </w:r>
      <w:r w:rsidR="002675A7" w:rsidRPr="00385490">
        <w:rPr>
          <w:b/>
          <w:noProof/>
          <w:sz w:val="20"/>
          <w:szCs w:val="24"/>
        </w:rPr>
        <w:t>]</w:t>
      </w:r>
      <w:r w:rsidR="002675A7" w:rsidRPr="001E54C3">
        <w:rPr>
          <w:bCs/>
          <w:noProof/>
          <w:sz w:val="20"/>
          <w:szCs w:val="24"/>
        </w:rPr>
        <w:t xml:space="preserve"> </w:t>
      </w:r>
      <w:r w:rsidR="00C5440F" w:rsidRPr="001E54C3">
        <w:rPr>
          <w:bCs/>
          <w:noProof/>
          <w:sz w:val="20"/>
          <w:szCs w:val="24"/>
        </w:rPr>
        <w:t xml:space="preserve">Rutala, W. A. &amp; Weber, D. J. </w:t>
      </w:r>
      <w:r w:rsidR="00C5440F" w:rsidRPr="001E54C3">
        <w:rPr>
          <w:bCs/>
          <w:i/>
          <w:iCs/>
          <w:noProof/>
          <w:sz w:val="20"/>
          <w:szCs w:val="24"/>
        </w:rPr>
        <w:t>Guideline for</w:t>
      </w:r>
      <w:r w:rsidR="002675A7" w:rsidRPr="001E54C3">
        <w:rPr>
          <w:bCs/>
          <w:i/>
          <w:iCs/>
          <w:noProof/>
          <w:sz w:val="20"/>
          <w:szCs w:val="24"/>
        </w:rPr>
        <w:t xml:space="preserve"> </w:t>
      </w:r>
      <w:r w:rsidR="00C5440F" w:rsidRPr="001E54C3">
        <w:rPr>
          <w:bCs/>
          <w:i/>
          <w:iCs/>
          <w:noProof/>
          <w:sz w:val="20"/>
          <w:szCs w:val="24"/>
        </w:rPr>
        <w:t>Disinfection and Sterilization in Healthcare Facilities, 2008</w:t>
      </w:r>
      <w:r w:rsidR="00C5440F" w:rsidRPr="001E54C3">
        <w:rPr>
          <w:bCs/>
          <w:noProof/>
          <w:sz w:val="20"/>
          <w:szCs w:val="24"/>
        </w:rPr>
        <w:t xml:space="preserve">. </w:t>
      </w:r>
      <w:r w:rsidR="001E54C3" w:rsidRPr="00385490">
        <w:rPr>
          <w:b/>
          <w:noProof/>
          <w:sz w:val="20"/>
          <w:szCs w:val="24"/>
        </w:rPr>
        <w:t>[</w:t>
      </w:r>
      <w:r w:rsidR="00C5440F" w:rsidRPr="00385490">
        <w:rPr>
          <w:b/>
          <w:noProof/>
          <w:sz w:val="20"/>
          <w:szCs w:val="24"/>
        </w:rPr>
        <w:t>4.</w:t>
      </w:r>
      <w:r w:rsidR="001E54C3" w:rsidRPr="00385490">
        <w:rPr>
          <w:b/>
          <w:noProof/>
          <w:sz w:val="20"/>
          <w:szCs w:val="24"/>
        </w:rPr>
        <w:t>]</w:t>
      </w:r>
      <w:r w:rsidR="001E54C3" w:rsidRPr="001E54C3">
        <w:rPr>
          <w:bCs/>
          <w:noProof/>
          <w:sz w:val="20"/>
          <w:szCs w:val="24"/>
        </w:rPr>
        <w:t xml:space="preserve"> </w:t>
      </w:r>
      <w:r w:rsidR="00C5440F" w:rsidRPr="001E54C3">
        <w:rPr>
          <w:bCs/>
          <w:noProof/>
          <w:sz w:val="20"/>
          <w:szCs w:val="24"/>
        </w:rPr>
        <w:t xml:space="preserve">Pincus, D. H. in </w:t>
      </w:r>
      <w:r w:rsidR="00C5440F" w:rsidRPr="001E54C3">
        <w:rPr>
          <w:bCs/>
          <w:i/>
          <w:iCs/>
          <w:noProof/>
          <w:sz w:val="20"/>
          <w:szCs w:val="24"/>
        </w:rPr>
        <w:t>Encyclopedia of Rapid Microbiological Methods</w:t>
      </w:r>
      <w:r w:rsidR="00C5440F" w:rsidRPr="001E54C3">
        <w:rPr>
          <w:bCs/>
          <w:noProof/>
          <w:sz w:val="20"/>
          <w:szCs w:val="24"/>
        </w:rPr>
        <w:t xml:space="preserve"> (2005).</w:t>
      </w:r>
    </w:p>
    <w:p w14:paraId="7928FFDF" w14:textId="7AB56BC2" w:rsidR="00C22CA2" w:rsidRPr="00C22CA2" w:rsidRDefault="004949D9" w:rsidP="00505203">
      <w:pPr>
        <w:spacing w:line="240" w:lineRule="atLeast"/>
        <w:ind w:firstLine="288"/>
        <w:jc w:val="both"/>
        <w:rPr>
          <w:sz w:val="20"/>
        </w:rPr>
      </w:pPr>
      <w:r w:rsidRPr="001E54C3">
        <w:rPr>
          <w:bCs/>
          <w:sz w:val="20"/>
        </w:rPr>
        <w:fldChar w:fldCharType="end"/>
      </w:r>
    </w:p>
    <w:sectPr w:rsidR="00C22CA2" w:rsidRPr="00C22CA2" w:rsidSect="00C22CA2">
      <w:type w:val="continuous"/>
      <w:pgSz w:w="12240" w:h="15840"/>
      <w:pgMar w:top="1440" w:right="1440" w:bottom="1440" w:left="1440" w:header="720" w:footer="720" w:gutter="0"/>
      <w:cols w:num="2" w:space="47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E8379" w14:textId="77777777" w:rsidR="006342FD" w:rsidRDefault="006342FD">
      <w:r>
        <w:separator/>
      </w:r>
    </w:p>
  </w:endnote>
  <w:endnote w:type="continuationSeparator" w:id="0">
    <w:p w14:paraId="6112EC6F" w14:textId="77777777" w:rsidR="006342FD" w:rsidRDefault="0063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FFE6" w14:textId="77777777" w:rsidR="006A128D" w:rsidRDefault="006A128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B7F6C" w14:textId="77777777" w:rsidR="006342FD" w:rsidRDefault="006342FD">
      <w:r>
        <w:separator/>
      </w:r>
    </w:p>
  </w:footnote>
  <w:footnote w:type="continuationSeparator" w:id="0">
    <w:p w14:paraId="6F796E97" w14:textId="77777777" w:rsidR="006342FD" w:rsidRDefault="0063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FFE5" w14:textId="77777777" w:rsidR="006A128D" w:rsidRDefault="006A128D">
    <w:pPr>
      <w:pStyle w:val="Header"/>
      <w:jc w:val="center"/>
    </w:pPr>
    <w:r>
      <w:t>SHORT TITLE HERE:  A. B. Author and C. D. Author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22CA2"/>
    <w:rsid w:val="00005A00"/>
    <w:rsid w:val="00010CE7"/>
    <w:rsid w:val="000275A9"/>
    <w:rsid w:val="00041639"/>
    <w:rsid w:val="0006347A"/>
    <w:rsid w:val="0006597F"/>
    <w:rsid w:val="000875B2"/>
    <w:rsid w:val="000A76A6"/>
    <w:rsid w:val="000B6BDB"/>
    <w:rsid w:val="000D3C2E"/>
    <w:rsid w:val="000D6B3A"/>
    <w:rsid w:val="00104103"/>
    <w:rsid w:val="001343DC"/>
    <w:rsid w:val="001510C6"/>
    <w:rsid w:val="00186288"/>
    <w:rsid w:val="001A0566"/>
    <w:rsid w:val="001A355A"/>
    <w:rsid w:val="001A4B6F"/>
    <w:rsid w:val="001B1D83"/>
    <w:rsid w:val="001C6380"/>
    <w:rsid w:val="001E54C3"/>
    <w:rsid w:val="002151C0"/>
    <w:rsid w:val="00226AC2"/>
    <w:rsid w:val="002334A7"/>
    <w:rsid w:val="00234D14"/>
    <w:rsid w:val="002358C3"/>
    <w:rsid w:val="002360C9"/>
    <w:rsid w:val="002412FE"/>
    <w:rsid w:val="00245658"/>
    <w:rsid w:val="00266118"/>
    <w:rsid w:val="002661E6"/>
    <w:rsid w:val="00266950"/>
    <w:rsid w:val="002675A7"/>
    <w:rsid w:val="00271E11"/>
    <w:rsid w:val="002C0593"/>
    <w:rsid w:val="002E6018"/>
    <w:rsid w:val="00300CD5"/>
    <w:rsid w:val="003126E5"/>
    <w:rsid w:val="003163FB"/>
    <w:rsid w:val="0032025B"/>
    <w:rsid w:val="0032245A"/>
    <w:rsid w:val="00371A94"/>
    <w:rsid w:val="00373344"/>
    <w:rsid w:val="003766C1"/>
    <w:rsid w:val="00385490"/>
    <w:rsid w:val="00393D80"/>
    <w:rsid w:val="003A1BDC"/>
    <w:rsid w:val="003A58C1"/>
    <w:rsid w:val="003B07C0"/>
    <w:rsid w:val="003B2D4D"/>
    <w:rsid w:val="003D4E92"/>
    <w:rsid w:val="003E5528"/>
    <w:rsid w:val="00403FDA"/>
    <w:rsid w:val="0041439E"/>
    <w:rsid w:val="004336B0"/>
    <w:rsid w:val="00434C82"/>
    <w:rsid w:val="0044525D"/>
    <w:rsid w:val="0044720E"/>
    <w:rsid w:val="00463146"/>
    <w:rsid w:val="00465501"/>
    <w:rsid w:val="004824DB"/>
    <w:rsid w:val="004949D9"/>
    <w:rsid w:val="004D0556"/>
    <w:rsid w:val="004D2CEB"/>
    <w:rsid w:val="004E1AD5"/>
    <w:rsid w:val="004E307F"/>
    <w:rsid w:val="004E709C"/>
    <w:rsid w:val="00503E82"/>
    <w:rsid w:val="00505203"/>
    <w:rsid w:val="005066D6"/>
    <w:rsid w:val="00517219"/>
    <w:rsid w:val="005212A3"/>
    <w:rsid w:val="00531510"/>
    <w:rsid w:val="00536C0F"/>
    <w:rsid w:val="00542D50"/>
    <w:rsid w:val="00546968"/>
    <w:rsid w:val="00555F96"/>
    <w:rsid w:val="00574AC7"/>
    <w:rsid w:val="005926A7"/>
    <w:rsid w:val="005948D5"/>
    <w:rsid w:val="005A6CF1"/>
    <w:rsid w:val="005C1D2B"/>
    <w:rsid w:val="005D17C4"/>
    <w:rsid w:val="005D2CF8"/>
    <w:rsid w:val="005F2E0D"/>
    <w:rsid w:val="006132F7"/>
    <w:rsid w:val="00622526"/>
    <w:rsid w:val="006342FD"/>
    <w:rsid w:val="00652E32"/>
    <w:rsid w:val="00661E79"/>
    <w:rsid w:val="006824D5"/>
    <w:rsid w:val="00682E6A"/>
    <w:rsid w:val="00683533"/>
    <w:rsid w:val="00683CF3"/>
    <w:rsid w:val="006A128D"/>
    <w:rsid w:val="006A1923"/>
    <w:rsid w:val="006C1B48"/>
    <w:rsid w:val="006C65ED"/>
    <w:rsid w:val="006D6B08"/>
    <w:rsid w:val="006E66C5"/>
    <w:rsid w:val="006F5812"/>
    <w:rsid w:val="00707C52"/>
    <w:rsid w:val="00713CB0"/>
    <w:rsid w:val="007355F0"/>
    <w:rsid w:val="007548E8"/>
    <w:rsid w:val="007568CE"/>
    <w:rsid w:val="007666A2"/>
    <w:rsid w:val="007745E7"/>
    <w:rsid w:val="00792E20"/>
    <w:rsid w:val="007B0517"/>
    <w:rsid w:val="007B5FDB"/>
    <w:rsid w:val="00800F7E"/>
    <w:rsid w:val="008034C2"/>
    <w:rsid w:val="00806FF9"/>
    <w:rsid w:val="00824B65"/>
    <w:rsid w:val="00830B64"/>
    <w:rsid w:val="00832041"/>
    <w:rsid w:val="00862432"/>
    <w:rsid w:val="008749CF"/>
    <w:rsid w:val="00880A84"/>
    <w:rsid w:val="008973D0"/>
    <w:rsid w:val="008A56E7"/>
    <w:rsid w:val="008D7C0C"/>
    <w:rsid w:val="008F1117"/>
    <w:rsid w:val="008F2347"/>
    <w:rsid w:val="00903272"/>
    <w:rsid w:val="00903E7C"/>
    <w:rsid w:val="00904F10"/>
    <w:rsid w:val="00910791"/>
    <w:rsid w:val="009150CC"/>
    <w:rsid w:val="00922CE4"/>
    <w:rsid w:val="00924501"/>
    <w:rsid w:val="00931999"/>
    <w:rsid w:val="0094761E"/>
    <w:rsid w:val="00957AB9"/>
    <w:rsid w:val="00972A43"/>
    <w:rsid w:val="0099723B"/>
    <w:rsid w:val="00A057EF"/>
    <w:rsid w:val="00A077C2"/>
    <w:rsid w:val="00A230F1"/>
    <w:rsid w:val="00A35664"/>
    <w:rsid w:val="00A365A6"/>
    <w:rsid w:val="00A378E5"/>
    <w:rsid w:val="00A4519B"/>
    <w:rsid w:val="00A67D56"/>
    <w:rsid w:val="00A77E65"/>
    <w:rsid w:val="00A81EFA"/>
    <w:rsid w:val="00A829D7"/>
    <w:rsid w:val="00AB69BF"/>
    <w:rsid w:val="00AC5C33"/>
    <w:rsid w:val="00AD67F7"/>
    <w:rsid w:val="00B02130"/>
    <w:rsid w:val="00B26AF6"/>
    <w:rsid w:val="00B607B8"/>
    <w:rsid w:val="00B81EE3"/>
    <w:rsid w:val="00BA287A"/>
    <w:rsid w:val="00BB11C1"/>
    <w:rsid w:val="00BD47CB"/>
    <w:rsid w:val="00C17DBE"/>
    <w:rsid w:val="00C22CA2"/>
    <w:rsid w:val="00C409C1"/>
    <w:rsid w:val="00C476F8"/>
    <w:rsid w:val="00C5440F"/>
    <w:rsid w:val="00C572AA"/>
    <w:rsid w:val="00C62F55"/>
    <w:rsid w:val="00C638D5"/>
    <w:rsid w:val="00C72545"/>
    <w:rsid w:val="00C962C4"/>
    <w:rsid w:val="00CB454A"/>
    <w:rsid w:val="00CC0556"/>
    <w:rsid w:val="00CC0D55"/>
    <w:rsid w:val="00CE15F3"/>
    <w:rsid w:val="00CE243E"/>
    <w:rsid w:val="00D13811"/>
    <w:rsid w:val="00D248A8"/>
    <w:rsid w:val="00D26FCD"/>
    <w:rsid w:val="00D34C10"/>
    <w:rsid w:val="00D8167D"/>
    <w:rsid w:val="00DE48D8"/>
    <w:rsid w:val="00DE789D"/>
    <w:rsid w:val="00DF0795"/>
    <w:rsid w:val="00E10FBB"/>
    <w:rsid w:val="00E43065"/>
    <w:rsid w:val="00E535C2"/>
    <w:rsid w:val="00E6147F"/>
    <w:rsid w:val="00E86D02"/>
    <w:rsid w:val="00EA5277"/>
    <w:rsid w:val="00EC3001"/>
    <w:rsid w:val="00EC6AEB"/>
    <w:rsid w:val="00ED2CAE"/>
    <w:rsid w:val="00ED3E79"/>
    <w:rsid w:val="00EE6CD9"/>
    <w:rsid w:val="00F0047B"/>
    <w:rsid w:val="00F007C5"/>
    <w:rsid w:val="00F0243E"/>
    <w:rsid w:val="00F26A65"/>
    <w:rsid w:val="00F272C6"/>
    <w:rsid w:val="00F353F7"/>
    <w:rsid w:val="00F53B65"/>
    <w:rsid w:val="00F738D9"/>
    <w:rsid w:val="00FA0BF1"/>
    <w:rsid w:val="00FA50C8"/>
    <w:rsid w:val="00FC2899"/>
    <w:rsid w:val="00FD5444"/>
    <w:rsid w:val="00FD72B9"/>
    <w:rsid w:val="00FE4796"/>
    <w:rsid w:val="00FE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28FFD0"/>
  <w14:defaultImageDpi w14:val="0"/>
  <w15:docId w15:val="{265F17DB-641F-413D-82F7-EA6C782C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2CA2"/>
    <w:rPr>
      <w:rFonts w:ascii="Times New Roman" w:hAnsi="Times New Roman"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3065"/>
    <w:rPr>
      <w:rFonts w:asciiTheme="minorHAnsi" w:hAnsiTheme="minorHAnsi" w:cs="Times New Roman"/>
      <w:color w:val="0000FF"/>
      <w:u w:val="single"/>
    </w:rPr>
  </w:style>
  <w:style w:type="paragraph" w:styleId="NoSpacing">
    <w:name w:val="No Spacing"/>
    <w:uiPriority w:val="1"/>
    <w:qFormat/>
    <w:rsid w:val="003A58C1"/>
    <w:rPr>
      <w:rFonts w:eastAsiaTheme="minorEastAsia" w:cs="Times New Roman"/>
    </w:rPr>
  </w:style>
  <w:style w:type="table" w:customStyle="1" w:styleId="Style1">
    <w:name w:val="Style1"/>
    <w:basedOn w:val="TableNormal"/>
    <w:uiPriority w:val="99"/>
    <w:rsid w:val="002412FE"/>
    <w:rPr>
      <w:rFonts w:eastAsiaTheme="minorEastAsia" w:cs="Times New Roman"/>
      <w:color w:val="000000" w:themeColor="text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rFonts w:cs="Times New Roman"/>
        <w:b/>
        <w:color w:val="FFFFFF" w:themeColor="background1"/>
      </w:rPr>
      <w:tblPr/>
      <w:tcPr>
        <w:shd w:val="clear" w:color="auto" w:fill="31849B" w:themeFill="accent5" w:themeFillShade="BF"/>
      </w:tcPr>
    </w:tblStylePr>
    <w:tblStylePr w:type="band1Horz">
      <w:rPr>
        <w:rFonts w:cs="Times New Roman"/>
      </w:rPr>
      <w:tblPr/>
      <w:tcPr>
        <w:shd w:val="clear" w:color="auto" w:fill="DAEEF3" w:themeFill="accent5" w:themeFillTint="33"/>
      </w:tcPr>
    </w:tblStylePr>
  </w:style>
  <w:style w:type="table" w:styleId="GridTable4-Accent6">
    <w:name w:val="Grid Table 4 Accent 6"/>
    <w:basedOn w:val="TableNormal"/>
    <w:uiPriority w:val="49"/>
    <w:rsid w:val="00CE15F3"/>
    <w:rPr>
      <w:rFonts w:eastAsiaTheme="minorEastAsia" w:cs="Times New Roma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Times New Roman"/>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Times New Roman"/>
        <w:b/>
        <w:bCs/>
      </w:rPr>
      <w:tblPr/>
      <w:tcPr>
        <w:tcBorders>
          <w:top w:val="double" w:sz="4" w:space="0" w:color="F79646" w:themeColor="accent6"/>
        </w:tcBorders>
      </w:tcPr>
    </w:tblStylePr>
    <w:tblStylePr w:type="firstCol">
      <w:rPr>
        <w:rFonts w:cs="Times New Roman"/>
        <w:b w:val="0"/>
        <w:bCs/>
      </w:rPr>
    </w:tblStylePr>
    <w:tblStylePr w:type="lastCol">
      <w:rPr>
        <w:rFonts w:cs="Times New Roman"/>
        <w:b/>
        <w:bCs/>
      </w:rPr>
    </w:tblStylePr>
    <w:tblStylePr w:type="band1Vert">
      <w:rPr>
        <w:rFonts w:cs="Times New Roman"/>
      </w:rPr>
      <w:tblPr/>
      <w:tcPr>
        <w:shd w:val="clear" w:color="auto" w:fill="FDE9D9" w:themeFill="accent6" w:themeFillTint="33"/>
      </w:tcPr>
    </w:tblStylePr>
    <w:tblStylePr w:type="band1Horz">
      <w:rPr>
        <w:rFonts w:cs="Times New Roman"/>
      </w:rPr>
      <w:tblPr/>
      <w:tcPr>
        <w:shd w:val="clear" w:color="auto" w:fill="FDE9D9" w:themeFill="accent6" w:themeFillTint="33"/>
      </w:tcPr>
    </w:tblStylePr>
  </w:style>
  <w:style w:type="paragraph" w:styleId="Footer">
    <w:name w:val="footer"/>
    <w:basedOn w:val="Normal"/>
    <w:link w:val="FooterChar"/>
    <w:uiPriority w:val="99"/>
    <w:rsid w:val="00C22CA2"/>
    <w:pPr>
      <w:tabs>
        <w:tab w:val="center" w:pos="4320"/>
        <w:tab w:val="right" w:pos="8640"/>
      </w:tabs>
    </w:pPr>
  </w:style>
  <w:style w:type="character" w:customStyle="1" w:styleId="FooterChar">
    <w:name w:val="Footer Char"/>
    <w:basedOn w:val="DefaultParagraphFont"/>
    <w:link w:val="Footer"/>
    <w:uiPriority w:val="99"/>
    <w:locked/>
    <w:rsid w:val="00C22CA2"/>
    <w:rPr>
      <w:rFonts w:ascii="Times New Roman" w:hAnsi="Times New Roman" w:cs="Times New Roman"/>
      <w:sz w:val="20"/>
      <w:szCs w:val="20"/>
    </w:rPr>
  </w:style>
  <w:style w:type="paragraph" w:styleId="Header">
    <w:name w:val="header"/>
    <w:basedOn w:val="Normal"/>
    <w:link w:val="HeaderChar"/>
    <w:uiPriority w:val="99"/>
    <w:rsid w:val="00C22CA2"/>
    <w:pPr>
      <w:tabs>
        <w:tab w:val="center" w:pos="4320"/>
        <w:tab w:val="right" w:pos="8640"/>
      </w:tabs>
    </w:pPr>
  </w:style>
  <w:style w:type="character" w:customStyle="1" w:styleId="HeaderChar">
    <w:name w:val="Header Char"/>
    <w:basedOn w:val="DefaultParagraphFont"/>
    <w:link w:val="Header"/>
    <w:uiPriority w:val="99"/>
    <w:locked/>
    <w:rsid w:val="00C22CA2"/>
    <w:rPr>
      <w:rFonts w:ascii="Times New Roman" w:hAnsi="Times New Roman" w:cs="Times New Roman"/>
      <w:sz w:val="20"/>
      <w:szCs w:val="20"/>
    </w:rPr>
  </w:style>
  <w:style w:type="paragraph" w:styleId="NormalWeb">
    <w:name w:val="Normal (Web)"/>
    <w:basedOn w:val="Normal"/>
    <w:uiPriority w:val="99"/>
    <w:unhideWhenUsed/>
    <w:rsid w:val="00C22CA2"/>
    <w:pPr>
      <w:spacing w:before="100" w:beforeAutospacing="1" w:after="100" w:afterAutospacing="1"/>
    </w:pPr>
    <w:rPr>
      <w:rFonts w:ascii="Calibri" w:hAnsi="Calibri" w:cs="Calibri"/>
      <w:sz w:val="24"/>
      <w:szCs w:val="24"/>
    </w:rPr>
  </w:style>
  <w:style w:type="character" w:styleId="Strong">
    <w:name w:val="Strong"/>
    <w:basedOn w:val="DefaultParagraphFont"/>
    <w:uiPriority w:val="22"/>
    <w:qFormat/>
    <w:rsid w:val="00C22CA2"/>
    <w:rPr>
      <w:b/>
    </w:rPr>
  </w:style>
  <w:style w:type="character" w:styleId="Emphasis">
    <w:name w:val="Emphasis"/>
    <w:basedOn w:val="DefaultParagraphFont"/>
    <w:uiPriority w:val="20"/>
    <w:qFormat/>
    <w:rsid w:val="00C22CA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739F1CB2FA344389136699D59AC7BD" ma:contentTypeVersion="11" ma:contentTypeDescription="Create a new document." ma:contentTypeScope="" ma:versionID="ce687eb1bb37fe52e66907946fa6625b">
  <xsd:schema xmlns:xsd="http://www.w3.org/2001/XMLSchema" xmlns:xs="http://www.w3.org/2001/XMLSchema" xmlns:p="http://schemas.microsoft.com/office/2006/metadata/properties" xmlns:ns3="df54972e-07dd-4eb6-b877-72869d8f4ab0" xmlns:ns4="a59c3368-fa6d-441d-901e-be154c2ac1a7" targetNamespace="http://schemas.microsoft.com/office/2006/metadata/properties" ma:root="true" ma:fieldsID="1e905c4900a45547c17dc08cbc452cb0" ns3:_="" ns4:_="">
    <xsd:import namespace="df54972e-07dd-4eb6-b877-72869d8f4ab0"/>
    <xsd:import namespace="a59c3368-fa6d-441d-901e-be154c2ac1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972e-07dd-4eb6-b877-72869d8f4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c3368-fa6d-441d-901e-be154c2ac1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6B341-73A4-4F88-8319-D8447751B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877BE8-05B5-4390-95D1-7C01195A6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972e-07dd-4eb6-b877-72869d8f4ab0"/>
    <ds:schemaRef ds:uri="a59c3368-fa6d-441d-901e-be154c2a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FBB510-49A4-4E19-8B91-39124C32CEF0}">
  <ds:schemaRefs>
    <ds:schemaRef ds:uri="http://schemas.microsoft.com/sharepoint/v3/contenttype/forms"/>
  </ds:schemaRefs>
</ds:datastoreItem>
</file>

<file path=customXml/itemProps4.xml><?xml version="1.0" encoding="utf-8"?>
<ds:datastoreItem xmlns:ds="http://schemas.openxmlformats.org/officeDocument/2006/customXml" ds:itemID="{810DA28A-CDE6-49C5-ABA7-9D28AA59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3359</Words>
  <Characters>19150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Linda</dc:creator>
  <cp:keywords/>
  <dc:description/>
  <cp:lastModifiedBy>Regberg, Aaron B. (JSC-XI211)</cp:lastModifiedBy>
  <cp:revision>154</cp:revision>
  <dcterms:created xsi:type="dcterms:W3CDTF">2021-01-07T17:30:00Z</dcterms:created>
  <dcterms:modified xsi:type="dcterms:W3CDTF">2021-01-07T23:26:00Z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0x0101003D739F1CB2FA344389136699D59AC7BD</vt:lpwstr>
  </property>
  <property fmtid="{D5CDD505-2E9C-101B-9397-08002B2CF9AE}" pid="3" name="Mendeley Document_1">
    <vt:lpwstr>True</vt:lpwstr>
  </property>
  <property fmtid="{D5CDD505-2E9C-101B-9397-08002B2CF9AE}" pid="4" name="Mendeley Citation Style_1">
    <vt:lpwstr>http://www.zotero.org/styles/nature</vt:lpwstr>
  </property>
  <property fmtid="{D5CDD505-2E9C-101B-9397-08002B2CF9AE}" pid="5" name="Mendeley Unique User Id_1">
    <vt:lpwstr>bc65ff32-3371-3c5a-8377-b77ff6b05387</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http://www.zotero.org/styles/frontiers-in-microbiology</vt:lpwstr>
  </property>
  <property fmtid="{D5CDD505-2E9C-101B-9397-08002B2CF9AE}" pid="19" name="Mendeley Recent Style Name 6_1">
    <vt:lpwstr>Frontiers in Microbiology</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