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75823" w14:textId="77777777" w:rsidR="00545A6A" w:rsidRPr="00FB20CC" w:rsidRDefault="00545A6A" w:rsidP="00545A6A">
      <w:pPr>
        <w:jc w:val="center"/>
        <w:rPr>
          <w:sz w:val="24"/>
          <w:szCs w:val="24"/>
        </w:rPr>
      </w:pPr>
      <w:r w:rsidRPr="00FB20CC">
        <w:rPr>
          <w:sz w:val="24"/>
          <w:szCs w:val="24"/>
        </w:rPr>
        <w:t xml:space="preserve">Global Ocean Primary Production Trends </w:t>
      </w:r>
    </w:p>
    <w:p w14:paraId="45CD0EE8" w14:textId="77777777" w:rsidR="00545A6A" w:rsidRPr="00FB20CC" w:rsidRDefault="00545A6A" w:rsidP="00545A6A">
      <w:pPr>
        <w:jc w:val="center"/>
        <w:rPr>
          <w:sz w:val="24"/>
          <w:szCs w:val="24"/>
        </w:rPr>
      </w:pPr>
      <w:r w:rsidRPr="00FB20CC">
        <w:rPr>
          <w:sz w:val="24"/>
          <w:szCs w:val="24"/>
        </w:rPr>
        <w:t>in the Modern Ocean Color Satellite Record (1998-2015)</w:t>
      </w:r>
    </w:p>
    <w:p w14:paraId="66C1AC1A" w14:textId="77777777" w:rsidR="00545A6A" w:rsidRPr="00FB20CC" w:rsidRDefault="00545A6A" w:rsidP="00C95B74">
      <w:pPr>
        <w:pStyle w:val="Note"/>
        <w:rPr>
          <w:color w:val="auto"/>
          <w:sz w:val="24"/>
          <w:szCs w:val="24"/>
        </w:rPr>
      </w:pPr>
      <w:r w:rsidRPr="00FB20CC">
        <w:rPr>
          <w:color w:val="auto"/>
        </w:rPr>
        <w:t xml:space="preserve"> </w:t>
      </w:r>
      <w:r w:rsidRPr="00FB20CC">
        <w:rPr>
          <w:color w:val="auto"/>
          <w:sz w:val="24"/>
          <w:szCs w:val="24"/>
        </w:rPr>
        <w:t>Watson W. Gregg</w:t>
      </w:r>
      <w:r w:rsidRPr="00FB20CC">
        <w:rPr>
          <w:color w:val="auto"/>
          <w:sz w:val="24"/>
          <w:szCs w:val="24"/>
          <w:vertAlign w:val="superscript"/>
        </w:rPr>
        <w:t>1</w:t>
      </w:r>
      <w:r w:rsidRPr="00FB20CC">
        <w:rPr>
          <w:color w:val="auto"/>
          <w:sz w:val="24"/>
          <w:szCs w:val="24"/>
        </w:rPr>
        <w:t xml:space="preserve"> and Cecile S. Rousseaux</w:t>
      </w:r>
      <w:r w:rsidRPr="00FB20CC">
        <w:rPr>
          <w:color w:val="auto"/>
          <w:sz w:val="24"/>
          <w:szCs w:val="24"/>
          <w:vertAlign w:val="superscript"/>
        </w:rPr>
        <w:t>2</w:t>
      </w:r>
    </w:p>
    <w:p w14:paraId="2EF448C6" w14:textId="77777777" w:rsidR="00545A6A" w:rsidRPr="00FB20CC" w:rsidRDefault="00545A6A" w:rsidP="00545A6A">
      <w:pPr>
        <w:pStyle w:val="Affiliation"/>
      </w:pPr>
      <w:r w:rsidRPr="00FB20CC">
        <w:rPr>
          <w:vertAlign w:val="superscript"/>
        </w:rPr>
        <w:t>1</w:t>
      </w:r>
      <w:r w:rsidRPr="00FB20CC">
        <w:t>NASA Global Modeling and Assimilation Office, Goddard Space Flight Center, Greenbelt, MD 20771</w:t>
      </w:r>
    </w:p>
    <w:p w14:paraId="6C9899E9" w14:textId="77777777" w:rsidR="00545A6A" w:rsidRPr="00FB20CC" w:rsidRDefault="00545A6A" w:rsidP="00545A6A">
      <w:pPr>
        <w:autoSpaceDE w:val="0"/>
        <w:autoSpaceDN w:val="0"/>
        <w:adjustRightInd w:val="0"/>
        <w:rPr>
          <w:rFonts w:eastAsiaTheme="minorHAnsi"/>
          <w:iCs/>
          <w:sz w:val="24"/>
          <w:szCs w:val="24"/>
        </w:rPr>
      </w:pPr>
      <w:r w:rsidRPr="00FB20CC">
        <w:rPr>
          <w:sz w:val="24"/>
          <w:szCs w:val="24"/>
          <w:vertAlign w:val="superscript"/>
        </w:rPr>
        <w:t>2</w:t>
      </w:r>
      <w:r w:rsidRPr="00FB20CC">
        <w:rPr>
          <w:sz w:val="24"/>
          <w:szCs w:val="24"/>
        </w:rPr>
        <w:t>NASA Global Modeling and Assimilation Office,</w:t>
      </w:r>
      <w:r w:rsidRPr="00FB20CC">
        <w:t xml:space="preserve"> </w:t>
      </w:r>
      <w:r w:rsidRPr="00FB20CC">
        <w:rPr>
          <w:rFonts w:eastAsiaTheme="minorHAnsi"/>
          <w:iCs/>
          <w:sz w:val="24"/>
          <w:szCs w:val="24"/>
        </w:rPr>
        <w:t>Universities Space Research Association, Columbia, MD</w:t>
      </w:r>
    </w:p>
    <w:p w14:paraId="35557283" w14:textId="77777777" w:rsidR="007C6230" w:rsidRPr="00FB20CC" w:rsidRDefault="007C6230" w:rsidP="00545A6A">
      <w:pPr>
        <w:rPr>
          <w:sz w:val="24"/>
          <w:szCs w:val="24"/>
        </w:rPr>
      </w:pPr>
    </w:p>
    <w:p w14:paraId="2A16D09A" w14:textId="77777777" w:rsidR="007B266B" w:rsidRPr="00FB20CC" w:rsidRDefault="00545A6A" w:rsidP="00545A6A">
      <w:pPr>
        <w:rPr>
          <w:sz w:val="24"/>
          <w:szCs w:val="24"/>
        </w:rPr>
      </w:pPr>
      <w:r w:rsidRPr="00FB20CC">
        <w:rPr>
          <w:sz w:val="24"/>
          <w:szCs w:val="24"/>
        </w:rPr>
        <w:t>Corresponding author: Watson Gregg (</w:t>
      </w:r>
      <w:hyperlink r:id="rId7" w:history="1">
        <w:r w:rsidRPr="00FB20CC">
          <w:rPr>
            <w:rStyle w:val="Hyperlink"/>
            <w:color w:val="auto"/>
            <w:sz w:val="24"/>
            <w:szCs w:val="24"/>
          </w:rPr>
          <w:t>watson.gregg@nasa.gov)</w:t>
        </w:r>
      </w:hyperlink>
    </w:p>
    <w:p w14:paraId="484D6296" w14:textId="77777777" w:rsidR="00545A6A" w:rsidRPr="00FB20CC" w:rsidRDefault="00545A6A" w:rsidP="00545A6A"/>
    <w:p w14:paraId="5BCBE8A3" w14:textId="77777777" w:rsidR="00545A6A" w:rsidRPr="00FB20CC" w:rsidRDefault="00545A6A" w:rsidP="00545A6A">
      <w:pPr>
        <w:pStyle w:val="Heading-Main"/>
      </w:pPr>
      <w:r w:rsidRPr="00FB20CC">
        <w:t>Abstract</w:t>
      </w:r>
    </w:p>
    <w:p w14:paraId="38A88E61" w14:textId="64DFCF8B" w:rsidR="00CB68E1" w:rsidRPr="00FB20CC" w:rsidRDefault="00545A6A" w:rsidP="00545A6A">
      <w:pPr>
        <w:jc w:val="both"/>
        <w:rPr>
          <w:sz w:val="24"/>
          <w:szCs w:val="24"/>
        </w:rPr>
      </w:pPr>
      <w:r w:rsidRPr="00FB20CC">
        <w:rPr>
          <w:sz w:val="24"/>
          <w:szCs w:val="24"/>
        </w:rPr>
        <w:t xml:space="preserve">   </w:t>
      </w:r>
      <w:r w:rsidR="00B322B7" w:rsidRPr="00FB20CC">
        <w:rPr>
          <w:sz w:val="24"/>
          <w:szCs w:val="24"/>
        </w:rPr>
        <w:t>Ocean p</w:t>
      </w:r>
      <w:r w:rsidR="00C206E6" w:rsidRPr="00FB20CC">
        <w:rPr>
          <w:sz w:val="24"/>
          <w:szCs w:val="24"/>
        </w:rPr>
        <w:t xml:space="preserve">rimary production, representing the uptake of inorganic carbon </w:t>
      </w:r>
      <w:r w:rsidR="00042C4D" w:rsidRPr="00FB20CC">
        <w:rPr>
          <w:sz w:val="24"/>
          <w:szCs w:val="24"/>
        </w:rPr>
        <w:t>th</w:t>
      </w:r>
      <w:r w:rsidR="00C206E6" w:rsidRPr="00FB20CC">
        <w:rPr>
          <w:sz w:val="24"/>
          <w:szCs w:val="24"/>
        </w:rPr>
        <w:t>rough photosynthesis</w:t>
      </w:r>
      <w:r w:rsidR="00042C4D" w:rsidRPr="00FB20CC">
        <w:rPr>
          <w:sz w:val="24"/>
          <w:szCs w:val="24"/>
        </w:rPr>
        <w:t xml:space="preserve">, supports marine life and affects carbon exchange </w:t>
      </w:r>
      <w:r w:rsidR="00B322B7" w:rsidRPr="00FB20CC">
        <w:rPr>
          <w:sz w:val="24"/>
          <w:szCs w:val="24"/>
        </w:rPr>
        <w:t>with the atmosphere.</w:t>
      </w:r>
      <w:r w:rsidR="00042C4D" w:rsidRPr="00FB20CC">
        <w:rPr>
          <w:sz w:val="24"/>
          <w:szCs w:val="24"/>
        </w:rPr>
        <w:t xml:space="preserve">  It is difficult to ascertain its magnitude, variability, and trends due to </w:t>
      </w:r>
      <w:r w:rsidR="00B322B7" w:rsidRPr="00FB20CC">
        <w:rPr>
          <w:sz w:val="24"/>
          <w:szCs w:val="24"/>
        </w:rPr>
        <w:t>our</w:t>
      </w:r>
      <w:r w:rsidR="00042C4D" w:rsidRPr="00FB20CC">
        <w:rPr>
          <w:sz w:val="24"/>
          <w:szCs w:val="24"/>
        </w:rPr>
        <w:t xml:space="preserve"> inability to measure </w:t>
      </w:r>
      <w:r w:rsidR="00B322B7" w:rsidRPr="00FB20CC">
        <w:rPr>
          <w:sz w:val="24"/>
          <w:szCs w:val="24"/>
        </w:rPr>
        <w:t xml:space="preserve">it </w:t>
      </w:r>
      <w:r w:rsidR="00042C4D" w:rsidRPr="00FB20CC">
        <w:rPr>
          <w:sz w:val="24"/>
          <w:szCs w:val="24"/>
        </w:rPr>
        <w:t xml:space="preserve">directly at large scales.  Yet it is </w:t>
      </w:r>
      <w:r w:rsidR="008952DC" w:rsidRPr="00FB20CC">
        <w:rPr>
          <w:sz w:val="24"/>
          <w:szCs w:val="24"/>
        </w:rPr>
        <w:t>paramount</w:t>
      </w:r>
      <w:r w:rsidR="00042C4D" w:rsidRPr="00FB20CC">
        <w:rPr>
          <w:sz w:val="24"/>
          <w:szCs w:val="24"/>
        </w:rPr>
        <w:t xml:space="preserve"> for understanding changes in marine </w:t>
      </w:r>
      <w:r w:rsidR="00AE4E08" w:rsidRPr="00FB20CC">
        <w:rPr>
          <w:sz w:val="24"/>
          <w:szCs w:val="24"/>
        </w:rPr>
        <w:t>health</w:t>
      </w:r>
      <w:r w:rsidR="00042C4D" w:rsidRPr="00FB20CC">
        <w:rPr>
          <w:sz w:val="24"/>
          <w:szCs w:val="24"/>
        </w:rPr>
        <w:t>, fi</w:t>
      </w:r>
      <w:r w:rsidR="008D4D79" w:rsidRPr="00FB20CC">
        <w:rPr>
          <w:sz w:val="24"/>
          <w:szCs w:val="24"/>
        </w:rPr>
        <w:t>sherie</w:t>
      </w:r>
      <w:r w:rsidR="00042C4D" w:rsidRPr="00FB20CC">
        <w:rPr>
          <w:sz w:val="24"/>
          <w:szCs w:val="24"/>
        </w:rPr>
        <w:t>s, and the global carbon cycle.  Using a</w:t>
      </w:r>
      <w:r w:rsidRPr="00FB20CC">
        <w:rPr>
          <w:sz w:val="24"/>
          <w:szCs w:val="24"/>
        </w:rPr>
        <w:t>ssimilation of ocean color satellite data into an ocean biogeochemical model</w:t>
      </w:r>
      <w:r w:rsidR="00042C4D" w:rsidRPr="00FB20CC">
        <w:rPr>
          <w:sz w:val="24"/>
          <w:szCs w:val="24"/>
        </w:rPr>
        <w:t xml:space="preserve">, we </w:t>
      </w:r>
      <w:r w:rsidR="006D1D65" w:rsidRPr="00FB20CC">
        <w:rPr>
          <w:sz w:val="24"/>
          <w:szCs w:val="24"/>
        </w:rPr>
        <w:t>estimate</w:t>
      </w:r>
      <w:r w:rsidRPr="00FB20CC">
        <w:rPr>
          <w:sz w:val="24"/>
          <w:szCs w:val="24"/>
        </w:rPr>
        <w:t xml:space="preserve"> that global </w:t>
      </w:r>
      <w:r w:rsidR="00701DCA" w:rsidRPr="00FB20CC">
        <w:rPr>
          <w:sz w:val="24"/>
          <w:szCs w:val="24"/>
        </w:rPr>
        <w:t xml:space="preserve">net </w:t>
      </w:r>
      <w:r w:rsidRPr="00FB20CC">
        <w:rPr>
          <w:sz w:val="24"/>
          <w:szCs w:val="24"/>
        </w:rPr>
        <w:t xml:space="preserve">ocean primary production has experienced a small but significant decline -0.8 </w:t>
      </w:r>
      <w:proofErr w:type="spellStart"/>
      <w:r w:rsidRPr="00FB20CC">
        <w:rPr>
          <w:sz w:val="24"/>
          <w:szCs w:val="24"/>
        </w:rPr>
        <w:t>PgC</w:t>
      </w:r>
      <w:proofErr w:type="spellEnd"/>
      <w:r w:rsidRPr="00FB20CC">
        <w:rPr>
          <w:sz w:val="24"/>
          <w:szCs w:val="24"/>
        </w:rPr>
        <w:t xml:space="preserve"> </w:t>
      </w:r>
      <w:r w:rsidR="007A5FDE" w:rsidRPr="00FB20CC">
        <w:rPr>
          <w:sz w:val="24"/>
          <w:szCs w:val="24"/>
        </w:rPr>
        <w:t>y</w:t>
      </w:r>
      <w:r w:rsidR="007A5FDE" w:rsidRPr="00FB20CC">
        <w:rPr>
          <w:sz w:val="24"/>
          <w:szCs w:val="24"/>
          <w:vertAlign w:val="superscript"/>
        </w:rPr>
        <w:t>-1</w:t>
      </w:r>
      <w:r w:rsidR="007A5FDE" w:rsidRPr="00FB20CC">
        <w:rPr>
          <w:sz w:val="24"/>
          <w:szCs w:val="24"/>
        </w:rPr>
        <w:t xml:space="preserve"> </w:t>
      </w:r>
      <w:r w:rsidRPr="00FB20CC">
        <w:rPr>
          <w:sz w:val="24"/>
          <w:szCs w:val="24"/>
        </w:rPr>
        <w:t>(-2.1%) decade</w:t>
      </w:r>
      <w:r w:rsidRPr="00FB20CC">
        <w:rPr>
          <w:sz w:val="24"/>
          <w:szCs w:val="24"/>
          <w:vertAlign w:val="superscript"/>
        </w:rPr>
        <w:t>-1</w:t>
      </w:r>
      <w:r w:rsidRPr="00FB20CC">
        <w:rPr>
          <w:sz w:val="24"/>
          <w:szCs w:val="24"/>
        </w:rPr>
        <w:t xml:space="preserve"> (P&lt;0.05) in the 18-year </w:t>
      </w:r>
      <w:r w:rsidR="00AE4E08" w:rsidRPr="00FB20CC">
        <w:rPr>
          <w:sz w:val="24"/>
          <w:szCs w:val="24"/>
        </w:rPr>
        <w:t xml:space="preserve">satellite </w:t>
      </w:r>
      <w:r w:rsidRPr="00FB20CC">
        <w:rPr>
          <w:sz w:val="24"/>
          <w:szCs w:val="24"/>
        </w:rPr>
        <w:t xml:space="preserve">record from 1998-2015.  </w:t>
      </w:r>
      <w:r w:rsidR="00B37F6F" w:rsidRPr="00FB20CC">
        <w:rPr>
          <w:sz w:val="24"/>
          <w:szCs w:val="24"/>
        </w:rPr>
        <w:t>This decline is associated with s</w:t>
      </w:r>
      <w:r w:rsidRPr="00FB20CC">
        <w:rPr>
          <w:sz w:val="24"/>
          <w:szCs w:val="24"/>
        </w:rPr>
        <w:t>hallowing surface mixed layer depth (-</w:t>
      </w:r>
      <w:r w:rsidR="00E42D00" w:rsidRPr="00FB20CC">
        <w:rPr>
          <w:sz w:val="24"/>
          <w:szCs w:val="24"/>
        </w:rPr>
        <w:t>2.4</w:t>
      </w:r>
      <w:r w:rsidRPr="00FB20CC">
        <w:rPr>
          <w:sz w:val="24"/>
          <w:szCs w:val="24"/>
        </w:rPr>
        <w:t>% decade</w:t>
      </w:r>
      <w:r w:rsidRPr="00FB20CC">
        <w:rPr>
          <w:sz w:val="24"/>
          <w:szCs w:val="24"/>
          <w:vertAlign w:val="superscript"/>
        </w:rPr>
        <w:t>-1</w:t>
      </w:r>
      <w:r w:rsidR="007C6230" w:rsidRPr="00FB20CC">
        <w:rPr>
          <w:sz w:val="24"/>
          <w:szCs w:val="24"/>
        </w:rPr>
        <w:t xml:space="preserve">) </w:t>
      </w:r>
      <w:r w:rsidR="00B37F6F" w:rsidRPr="00FB20CC">
        <w:rPr>
          <w:sz w:val="24"/>
          <w:szCs w:val="24"/>
        </w:rPr>
        <w:t xml:space="preserve">and </w:t>
      </w:r>
      <w:r w:rsidRPr="00FB20CC">
        <w:rPr>
          <w:sz w:val="24"/>
          <w:szCs w:val="24"/>
        </w:rPr>
        <w:t>decreasing nitrate concentrations (-3.2% decade</w:t>
      </w:r>
      <w:r w:rsidRPr="00FB20CC">
        <w:rPr>
          <w:sz w:val="24"/>
          <w:szCs w:val="24"/>
          <w:vertAlign w:val="superscript"/>
        </w:rPr>
        <w:t>-1</w:t>
      </w:r>
      <w:r w:rsidR="00EA6A74" w:rsidRPr="00FB20CC">
        <w:rPr>
          <w:sz w:val="24"/>
          <w:szCs w:val="24"/>
        </w:rPr>
        <w:t>).</w:t>
      </w:r>
      <w:r w:rsidRPr="00FB20CC">
        <w:rPr>
          <w:sz w:val="24"/>
          <w:szCs w:val="24"/>
        </w:rPr>
        <w:t xml:space="preserve"> </w:t>
      </w:r>
      <w:r w:rsidR="00EA6A74" w:rsidRPr="00FB20CC">
        <w:rPr>
          <w:sz w:val="24"/>
          <w:szCs w:val="24"/>
        </w:rPr>
        <w:t xml:space="preserve"> </w:t>
      </w:r>
      <w:r w:rsidR="005421F7" w:rsidRPr="00FB20CC">
        <w:rPr>
          <w:sz w:val="24"/>
          <w:szCs w:val="24"/>
        </w:rPr>
        <w:t>Relative c</w:t>
      </w:r>
      <w:r w:rsidR="00AE4E08" w:rsidRPr="00FB20CC">
        <w:rPr>
          <w:sz w:val="24"/>
          <w:szCs w:val="24"/>
        </w:rPr>
        <w:t xml:space="preserve">ontributions to primary production by various types of ocean phytoplankton have changed, with </w:t>
      </w:r>
      <w:r w:rsidRPr="00FB20CC">
        <w:rPr>
          <w:sz w:val="24"/>
          <w:szCs w:val="24"/>
        </w:rPr>
        <w:t xml:space="preserve">decreases in production by intermediate-sized </w:t>
      </w:r>
      <w:r w:rsidR="00042C4D" w:rsidRPr="00FB20CC">
        <w:rPr>
          <w:sz w:val="24"/>
          <w:szCs w:val="24"/>
        </w:rPr>
        <w:t xml:space="preserve">phytoplankton </w:t>
      </w:r>
      <w:r w:rsidR="00AE4E08" w:rsidRPr="00FB20CC">
        <w:rPr>
          <w:sz w:val="24"/>
          <w:szCs w:val="24"/>
        </w:rPr>
        <w:t xml:space="preserve">represented by chlorophytes </w:t>
      </w:r>
      <w:r w:rsidRPr="00FB20CC">
        <w:rPr>
          <w:sz w:val="24"/>
          <w:szCs w:val="24"/>
        </w:rPr>
        <w:t>(-14.3% decade</w:t>
      </w:r>
      <w:r w:rsidRPr="00FB20CC">
        <w:rPr>
          <w:sz w:val="24"/>
          <w:szCs w:val="24"/>
          <w:vertAlign w:val="superscript"/>
        </w:rPr>
        <w:t>-1</w:t>
      </w:r>
      <w:r w:rsidRPr="00FB20CC">
        <w:rPr>
          <w:sz w:val="24"/>
          <w:szCs w:val="24"/>
        </w:rPr>
        <w:t>)</w:t>
      </w:r>
      <w:r w:rsidR="00284200" w:rsidRPr="00FB20CC">
        <w:rPr>
          <w:sz w:val="24"/>
          <w:szCs w:val="24"/>
        </w:rPr>
        <w:t>.  This is</w:t>
      </w:r>
      <w:r w:rsidRPr="00FB20CC">
        <w:rPr>
          <w:sz w:val="24"/>
          <w:szCs w:val="24"/>
        </w:rPr>
        <w:t xml:space="preserve"> </w:t>
      </w:r>
      <w:r w:rsidR="00AE4E08" w:rsidRPr="00FB20CC">
        <w:rPr>
          <w:sz w:val="24"/>
          <w:szCs w:val="24"/>
        </w:rPr>
        <w:t xml:space="preserve">partially compensated </w:t>
      </w:r>
      <w:r w:rsidR="007C6230" w:rsidRPr="00FB20CC">
        <w:rPr>
          <w:sz w:val="24"/>
          <w:szCs w:val="24"/>
        </w:rPr>
        <w:t xml:space="preserve">by </w:t>
      </w:r>
      <w:r w:rsidR="00284200" w:rsidRPr="00FB20CC">
        <w:rPr>
          <w:sz w:val="24"/>
          <w:szCs w:val="24"/>
        </w:rPr>
        <w:t xml:space="preserve">increases </w:t>
      </w:r>
      <w:r w:rsidR="00644D32" w:rsidRPr="00FB20CC">
        <w:rPr>
          <w:sz w:val="24"/>
          <w:szCs w:val="24"/>
        </w:rPr>
        <w:t xml:space="preserve">from </w:t>
      </w:r>
      <w:r w:rsidR="00AE4E08" w:rsidRPr="00FB20CC">
        <w:rPr>
          <w:sz w:val="24"/>
          <w:szCs w:val="24"/>
        </w:rPr>
        <w:t xml:space="preserve">the unique, </w:t>
      </w:r>
      <w:r w:rsidRPr="00FB20CC">
        <w:rPr>
          <w:sz w:val="24"/>
          <w:szCs w:val="24"/>
        </w:rPr>
        <w:t>more nutrient-efficient</w:t>
      </w:r>
      <w:r w:rsidR="00AE4E08" w:rsidRPr="00FB20CC">
        <w:rPr>
          <w:sz w:val="24"/>
          <w:szCs w:val="24"/>
        </w:rPr>
        <w:t>,</w:t>
      </w:r>
      <w:r w:rsidRPr="00FB20CC">
        <w:rPr>
          <w:sz w:val="24"/>
          <w:szCs w:val="24"/>
        </w:rPr>
        <w:t xml:space="preserve"> coccolithophores (8.4% decade</w:t>
      </w:r>
      <w:r w:rsidRPr="00FB20CC">
        <w:rPr>
          <w:sz w:val="24"/>
          <w:szCs w:val="24"/>
          <w:vertAlign w:val="superscript"/>
        </w:rPr>
        <w:t>-1</w:t>
      </w:r>
      <w:r w:rsidRPr="00FB20CC">
        <w:rPr>
          <w:sz w:val="24"/>
          <w:szCs w:val="24"/>
        </w:rPr>
        <w:t xml:space="preserve">).  Geographically, the North and Equatorial Indian Oceans are responsible for much of the decline in primary production, falling 0.16 and 0.69 </w:t>
      </w:r>
      <w:proofErr w:type="spellStart"/>
      <w:r w:rsidRPr="00FB20CC">
        <w:rPr>
          <w:sz w:val="24"/>
          <w:szCs w:val="24"/>
        </w:rPr>
        <w:t>PgC</w:t>
      </w:r>
      <w:proofErr w:type="spellEnd"/>
      <w:r w:rsidRPr="00FB20CC">
        <w:rPr>
          <w:sz w:val="24"/>
          <w:szCs w:val="24"/>
        </w:rPr>
        <w:t xml:space="preserve"> </w:t>
      </w:r>
      <w:r w:rsidR="007A5FDE" w:rsidRPr="00FB20CC">
        <w:rPr>
          <w:sz w:val="24"/>
          <w:szCs w:val="24"/>
        </w:rPr>
        <w:t>y</w:t>
      </w:r>
      <w:r w:rsidR="007A5FDE" w:rsidRPr="00FB20CC">
        <w:rPr>
          <w:sz w:val="24"/>
          <w:szCs w:val="24"/>
          <w:vertAlign w:val="superscript"/>
        </w:rPr>
        <w:t>-1</w:t>
      </w:r>
      <w:r w:rsidR="007A5FDE" w:rsidRPr="00FB20CC">
        <w:rPr>
          <w:sz w:val="24"/>
          <w:szCs w:val="24"/>
        </w:rPr>
        <w:t xml:space="preserve"> </w:t>
      </w:r>
      <w:r w:rsidRPr="00FB20CC">
        <w:rPr>
          <w:sz w:val="24"/>
          <w:szCs w:val="24"/>
        </w:rPr>
        <w:t>decade</w:t>
      </w:r>
      <w:r w:rsidRPr="00FB20CC">
        <w:rPr>
          <w:sz w:val="24"/>
          <w:szCs w:val="24"/>
          <w:vertAlign w:val="superscript"/>
        </w:rPr>
        <w:t>-1</w:t>
      </w:r>
      <w:r w:rsidRPr="00FB20CC">
        <w:rPr>
          <w:sz w:val="24"/>
          <w:szCs w:val="24"/>
        </w:rPr>
        <w:t xml:space="preserve">, respectively.  </w:t>
      </w:r>
      <w:r w:rsidR="00644D32" w:rsidRPr="00FB20CC">
        <w:rPr>
          <w:sz w:val="24"/>
          <w:szCs w:val="24"/>
        </w:rPr>
        <w:t>Reduced production by l</w:t>
      </w:r>
      <w:r w:rsidR="00941A9A" w:rsidRPr="00FB20CC">
        <w:rPr>
          <w:sz w:val="24"/>
          <w:szCs w:val="24"/>
        </w:rPr>
        <w:t>arge, fast-growing d</w:t>
      </w:r>
      <w:r w:rsidRPr="00FB20CC">
        <w:rPr>
          <w:sz w:val="24"/>
          <w:szCs w:val="24"/>
        </w:rPr>
        <w:t xml:space="preserve">iatoms </w:t>
      </w:r>
      <w:r w:rsidR="00941A9A" w:rsidRPr="00FB20CC">
        <w:rPr>
          <w:sz w:val="24"/>
          <w:szCs w:val="24"/>
        </w:rPr>
        <w:t>along with</w:t>
      </w:r>
      <w:r w:rsidRPr="00FB20CC">
        <w:rPr>
          <w:sz w:val="24"/>
          <w:szCs w:val="24"/>
        </w:rPr>
        <w:t xml:space="preserve"> chlorophytes </w:t>
      </w:r>
      <w:r w:rsidR="00A345DE" w:rsidRPr="00FB20CC">
        <w:rPr>
          <w:sz w:val="24"/>
          <w:szCs w:val="24"/>
        </w:rPr>
        <w:t>characterizes</w:t>
      </w:r>
      <w:r w:rsidR="00C848F7" w:rsidRPr="00FB20CC">
        <w:rPr>
          <w:sz w:val="24"/>
          <w:szCs w:val="24"/>
        </w:rPr>
        <w:t xml:space="preserve"> </w:t>
      </w:r>
      <w:r w:rsidRPr="00FB20CC">
        <w:rPr>
          <w:sz w:val="24"/>
          <w:szCs w:val="24"/>
        </w:rPr>
        <w:t xml:space="preserve">the decline here.  </w:t>
      </w:r>
      <w:r w:rsidR="00F415B0" w:rsidRPr="00FB20CC">
        <w:rPr>
          <w:sz w:val="24"/>
          <w:szCs w:val="24"/>
        </w:rPr>
        <w:t xml:space="preserve">In contrast, increases </w:t>
      </w:r>
      <w:r w:rsidRPr="00FB20CC">
        <w:rPr>
          <w:sz w:val="24"/>
          <w:szCs w:val="24"/>
        </w:rPr>
        <w:t xml:space="preserve">in </w:t>
      </w:r>
      <w:r w:rsidR="00701C7A" w:rsidRPr="00FB20CC">
        <w:rPr>
          <w:sz w:val="24"/>
          <w:szCs w:val="24"/>
        </w:rPr>
        <w:t xml:space="preserve">primary production are found in </w:t>
      </w:r>
      <w:r w:rsidRPr="00FB20CC">
        <w:rPr>
          <w:sz w:val="24"/>
          <w:szCs w:val="24"/>
        </w:rPr>
        <w:t xml:space="preserve">the North and North Central Pacific.  The increases </w:t>
      </w:r>
      <w:r w:rsidR="0079222F" w:rsidRPr="00FB20CC">
        <w:rPr>
          <w:sz w:val="24"/>
          <w:szCs w:val="24"/>
        </w:rPr>
        <w:t xml:space="preserve">here </w:t>
      </w:r>
      <w:r w:rsidRPr="00FB20CC">
        <w:rPr>
          <w:sz w:val="24"/>
          <w:szCs w:val="24"/>
        </w:rPr>
        <w:t xml:space="preserve">are led by chlorophytes in the North Pacific and </w:t>
      </w:r>
      <w:r w:rsidR="00F415B0" w:rsidRPr="00FB20CC">
        <w:rPr>
          <w:sz w:val="24"/>
          <w:szCs w:val="24"/>
        </w:rPr>
        <w:t xml:space="preserve">the small </w:t>
      </w:r>
      <w:r w:rsidRPr="00FB20CC">
        <w:rPr>
          <w:sz w:val="24"/>
          <w:szCs w:val="24"/>
        </w:rPr>
        <w:t>cyanobacteria in the North Central Pacific.</w:t>
      </w:r>
      <w:r w:rsidR="00AE4E08" w:rsidRPr="00FB20CC">
        <w:rPr>
          <w:sz w:val="24"/>
          <w:szCs w:val="24"/>
        </w:rPr>
        <w:t xml:space="preserve">  These results suggest that the </w:t>
      </w:r>
      <w:r w:rsidR="005510ED" w:rsidRPr="00FB20CC">
        <w:rPr>
          <w:sz w:val="24"/>
          <w:szCs w:val="24"/>
        </w:rPr>
        <w:t>multi-</w:t>
      </w:r>
      <w:r w:rsidR="008952DC" w:rsidRPr="00FB20CC">
        <w:rPr>
          <w:sz w:val="24"/>
          <w:szCs w:val="24"/>
        </w:rPr>
        <w:t>decadal</w:t>
      </w:r>
      <w:r w:rsidR="00AE4E08" w:rsidRPr="00FB20CC">
        <w:rPr>
          <w:sz w:val="24"/>
          <w:szCs w:val="24"/>
        </w:rPr>
        <w:t xml:space="preserve"> satellite observational record, coupled with an underlying representation of marine biodiversity in a model</w:t>
      </w:r>
      <w:r w:rsidR="0079222F" w:rsidRPr="00FB20CC">
        <w:rPr>
          <w:sz w:val="24"/>
          <w:szCs w:val="24"/>
        </w:rPr>
        <w:t>,</w:t>
      </w:r>
      <w:r w:rsidR="00AE4E08" w:rsidRPr="00FB20CC">
        <w:rPr>
          <w:sz w:val="24"/>
          <w:szCs w:val="24"/>
        </w:rPr>
        <w:t xml:space="preserve"> </w:t>
      </w:r>
      <w:r w:rsidR="0079222F" w:rsidRPr="00FB20CC">
        <w:rPr>
          <w:sz w:val="24"/>
          <w:szCs w:val="24"/>
        </w:rPr>
        <w:t xml:space="preserve">can monitor the uptake of carbon by phytoplankton and that </w:t>
      </w:r>
      <w:r w:rsidR="00AE4E08" w:rsidRPr="00FB20CC">
        <w:rPr>
          <w:sz w:val="24"/>
          <w:szCs w:val="24"/>
        </w:rPr>
        <w:t>changes</w:t>
      </w:r>
      <w:r w:rsidR="008952DC" w:rsidRPr="00FB20CC">
        <w:rPr>
          <w:sz w:val="24"/>
          <w:szCs w:val="24"/>
        </w:rPr>
        <w:t>, although</w:t>
      </w:r>
      <w:r w:rsidR="00211C98" w:rsidRPr="00FB20CC">
        <w:rPr>
          <w:sz w:val="24"/>
          <w:szCs w:val="24"/>
        </w:rPr>
        <w:t xml:space="preserve"> small, </w:t>
      </w:r>
      <w:r w:rsidR="0079222F" w:rsidRPr="00FB20CC">
        <w:rPr>
          <w:sz w:val="24"/>
          <w:szCs w:val="24"/>
        </w:rPr>
        <w:t xml:space="preserve">are occurring </w:t>
      </w:r>
      <w:r w:rsidR="00AE4E08" w:rsidRPr="00FB20CC">
        <w:rPr>
          <w:sz w:val="24"/>
          <w:szCs w:val="24"/>
        </w:rPr>
        <w:t xml:space="preserve">in the global oceans. </w:t>
      </w:r>
      <w:r w:rsidR="000A088C" w:rsidRPr="00FB20CC">
        <w:rPr>
          <w:sz w:val="24"/>
          <w:szCs w:val="24"/>
        </w:rPr>
        <w:t xml:space="preserve"> </w:t>
      </w:r>
    </w:p>
    <w:p w14:paraId="356AFEEC" w14:textId="77777777" w:rsidR="00CB68E1" w:rsidRPr="00FB20CC" w:rsidRDefault="00CB68E1" w:rsidP="00545A6A">
      <w:pPr>
        <w:jc w:val="both"/>
        <w:rPr>
          <w:sz w:val="24"/>
          <w:szCs w:val="24"/>
        </w:rPr>
      </w:pPr>
    </w:p>
    <w:p w14:paraId="64C27BD9" w14:textId="77777777" w:rsidR="00545A6A" w:rsidRPr="00FB20CC" w:rsidRDefault="00315D56" w:rsidP="00545A6A">
      <w:pPr>
        <w:jc w:val="both"/>
        <w:rPr>
          <w:b/>
          <w:sz w:val="24"/>
          <w:szCs w:val="24"/>
        </w:rPr>
      </w:pPr>
      <w:r w:rsidRPr="00FB20CC">
        <w:rPr>
          <w:b/>
          <w:sz w:val="24"/>
          <w:szCs w:val="24"/>
        </w:rPr>
        <w:t>Introduction</w:t>
      </w:r>
    </w:p>
    <w:p w14:paraId="1416250D" w14:textId="77777777" w:rsidR="00CB68E1" w:rsidRPr="00FB20CC" w:rsidRDefault="00545A6A" w:rsidP="00545A6A">
      <w:pPr>
        <w:jc w:val="both"/>
        <w:rPr>
          <w:sz w:val="24"/>
          <w:szCs w:val="24"/>
        </w:rPr>
      </w:pPr>
      <w:r w:rsidRPr="00FB20CC">
        <w:rPr>
          <w:sz w:val="24"/>
          <w:szCs w:val="24"/>
        </w:rPr>
        <w:t xml:space="preserve">  Understanding changes in global ocean primary production is one of the pressing issues in ocean </w:t>
      </w:r>
      <w:r w:rsidR="001822CE" w:rsidRPr="00FB20CC">
        <w:rPr>
          <w:sz w:val="24"/>
          <w:szCs w:val="24"/>
        </w:rPr>
        <w:t>biogeochemistry</w:t>
      </w:r>
      <w:r w:rsidRPr="00FB20CC">
        <w:rPr>
          <w:sz w:val="24"/>
          <w:szCs w:val="24"/>
        </w:rPr>
        <w:t xml:space="preserve">.  It represents the uptake of carbon via photosynthesis to support growth of phytoplankton at the base of the food web.  It is a process that </w:t>
      </w:r>
      <w:r w:rsidR="00D31B40" w:rsidRPr="00FB20CC">
        <w:rPr>
          <w:sz w:val="24"/>
          <w:szCs w:val="24"/>
        </w:rPr>
        <w:t>affects the global carbon cycle</w:t>
      </w:r>
      <w:r w:rsidR="004E2B5A" w:rsidRPr="00FB20CC">
        <w:rPr>
          <w:sz w:val="24"/>
          <w:szCs w:val="24"/>
        </w:rPr>
        <w:t xml:space="preserve"> (Kwiatkowski </w:t>
      </w:r>
      <w:r w:rsidR="004E2B5A" w:rsidRPr="00FB20CC">
        <w:rPr>
          <w:i/>
          <w:sz w:val="24"/>
          <w:szCs w:val="24"/>
        </w:rPr>
        <w:t>et al</w:t>
      </w:r>
      <w:r w:rsidR="004E2B5A" w:rsidRPr="00FB20CC">
        <w:rPr>
          <w:sz w:val="24"/>
          <w:szCs w:val="24"/>
        </w:rPr>
        <w:t xml:space="preserve"> 2017)</w:t>
      </w:r>
      <w:r w:rsidRPr="00FB20CC">
        <w:rPr>
          <w:sz w:val="24"/>
          <w:szCs w:val="24"/>
        </w:rPr>
        <w:t>, fisheries</w:t>
      </w:r>
      <w:r w:rsidR="004E2B5A" w:rsidRPr="00FB20CC">
        <w:rPr>
          <w:sz w:val="24"/>
          <w:szCs w:val="24"/>
          <w:vertAlign w:val="superscript"/>
        </w:rPr>
        <w:t xml:space="preserve"> </w:t>
      </w:r>
      <w:r w:rsidR="004E2B5A" w:rsidRPr="00FB20CC">
        <w:rPr>
          <w:sz w:val="24"/>
          <w:szCs w:val="24"/>
        </w:rPr>
        <w:t xml:space="preserve">(Stock </w:t>
      </w:r>
      <w:r w:rsidR="004E2B5A" w:rsidRPr="00FB20CC">
        <w:rPr>
          <w:i/>
          <w:sz w:val="24"/>
          <w:szCs w:val="24"/>
        </w:rPr>
        <w:t>et al</w:t>
      </w:r>
      <w:r w:rsidR="004E2B5A" w:rsidRPr="00FB20CC">
        <w:rPr>
          <w:sz w:val="24"/>
          <w:szCs w:val="24"/>
        </w:rPr>
        <w:t xml:space="preserve"> 2018)</w:t>
      </w:r>
      <w:r w:rsidRPr="00FB20CC">
        <w:rPr>
          <w:sz w:val="24"/>
          <w:szCs w:val="24"/>
        </w:rPr>
        <w:t xml:space="preserve">, and the state and variability of life in the oceans.  </w:t>
      </w:r>
    </w:p>
    <w:p w14:paraId="309828CF" w14:textId="449CC0A3" w:rsidR="00545A6A" w:rsidRPr="00FB20CC" w:rsidRDefault="00CB68E1" w:rsidP="00545A6A">
      <w:pPr>
        <w:jc w:val="both"/>
        <w:rPr>
          <w:sz w:val="24"/>
          <w:szCs w:val="24"/>
        </w:rPr>
      </w:pPr>
      <w:r w:rsidRPr="00FB20CC">
        <w:rPr>
          <w:sz w:val="24"/>
          <w:szCs w:val="24"/>
        </w:rPr>
        <w:t xml:space="preserve">   </w:t>
      </w:r>
      <w:r w:rsidR="00545A6A" w:rsidRPr="00FB20CC">
        <w:rPr>
          <w:sz w:val="24"/>
          <w:szCs w:val="24"/>
        </w:rPr>
        <w:t xml:space="preserve">Past, present, and future changes in primary production have been the subject of much effort in oceanography.  </w:t>
      </w:r>
      <w:r w:rsidR="009C4347" w:rsidRPr="00FB20CC">
        <w:rPr>
          <w:sz w:val="24"/>
          <w:szCs w:val="24"/>
        </w:rPr>
        <w:t>For the past, a 46-year coupled physical-biological model hindcast suggested a decline of 6.5%</w:t>
      </w:r>
      <w:r w:rsidR="004E2B5A" w:rsidRPr="00FB20CC">
        <w:rPr>
          <w:sz w:val="24"/>
          <w:szCs w:val="24"/>
          <w:vertAlign w:val="superscript"/>
        </w:rPr>
        <w:t xml:space="preserve"> </w:t>
      </w:r>
      <w:r w:rsidR="004E2B5A" w:rsidRPr="00FB20CC">
        <w:rPr>
          <w:sz w:val="24"/>
          <w:szCs w:val="24"/>
        </w:rPr>
        <w:t xml:space="preserve">(Laufkötter </w:t>
      </w:r>
      <w:r w:rsidR="004E2B5A" w:rsidRPr="00FB20CC">
        <w:rPr>
          <w:i/>
          <w:sz w:val="24"/>
          <w:szCs w:val="24"/>
        </w:rPr>
        <w:t>et al</w:t>
      </w:r>
      <w:r w:rsidR="004E2B5A" w:rsidRPr="00FB20CC">
        <w:rPr>
          <w:sz w:val="24"/>
          <w:szCs w:val="24"/>
        </w:rPr>
        <w:t xml:space="preserve"> 2013)</w:t>
      </w:r>
      <w:r w:rsidR="009C4347" w:rsidRPr="00FB20CC">
        <w:rPr>
          <w:sz w:val="24"/>
          <w:szCs w:val="24"/>
        </w:rPr>
        <w:t>, which corresponds to -1.4% decade</w:t>
      </w:r>
      <w:r w:rsidR="009C4347" w:rsidRPr="00FB20CC">
        <w:rPr>
          <w:sz w:val="24"/>
          <w:szCs w:val="24"/>
          <w:vertAlign w:val="superscript"/>
        </w:rPr>
        <w:t>-1</w:t>
      </w:r>
      <w:r w:rsidR="009C4347" w:rsidRPr="00FB20CC">
        <w:rPr>
          <w:sz w:val="24"/>
          <w:szCs w:val="24"/>
        </w:rPr>
        <w:t xml:space="preserve">.  </w:t>
      </w:r>
      <w:r w:rsidR="00545A6A" w:rsidRPr="00FB20CC">
        <w:rPr>
          <w:sz w:val="24"/>
          <w:szCs w:val="24"/>
        </w:rPr>
        <w:t xml:space="preserve">For the future, </w:t>
      </w:r>
      <w:r w:rsidR="000C1949" w:rsidRPr="00FB20CC">
        <w:rPr>
          <w:sz w:val="24"/>
          <w:szCs w:val="24"/>
        </w:rPr>
        <w:t xml:space="preserve">coupled physical-biological </w:t>
      </w:r>
      <w:r w:rsidR="00545A6A" w:rsidRPr="00FB20CC">
        <w:rPr>
          <w:sz w:val="24"/>
          <w:szCs w:val="24"/>
        </w:rPr>
        <w:t xml:space="preserve">model intercomparison efforts showed disagreement in </w:t>
      </w:r>
      <w:r w:rsidR="009C4347" w:rsidRPr="00FB20CC">
        <w:rPr>
          <w:sz w:val="24"/>
          <w:szCs w:val="24"/>
        </w:rPr>
        <w:t xml:space="preserve">predicted </w:t>
      </w:r>
      <w:r w:rsidR="00545A6A" w:rsidRPr="00FB20CC">
        <w:rPr>
          <w:sz w:val="24"/>
          <w:szCs w:val="24"/>
        </w:rPr>
        <w:t xml:space="preserve">global ocean primary production in a changing climate.  Bopp </w:t>
      </w:r>
      <w:r w:rsidR="00814E1B" w:rsidRPr="00FB20CC">
        <w:rPr>
          <w:i/>
          <w:sz w:val="24"/>
          <w:szCs w:val="24"/>
        </w:rPr>
        <w:t>et al</w:t>
      </w:r>
      <w:r w:rsidR="00EC1108" w:rsidRPr="00FB20CC">
        <w:rPr>
          <w:i/>
          <w:sz w:val="24"/>
          <w:szCs w:val="24"/>
        </w:rPr>
        <w:t xml:space="preserve"> </w:t>
      </w:r>
      <w:r w:rsidR="00950407" w:rsidRPr="00FB20CC">
        <w:rPr>
          <w:sz w:val="24"/>
          <w:szCs w:val="24"/>
        </w:rPr>
        <w:t>(2013)</w:t>
      </w:r>
      <w:r w:rsidR="00545A6A" w:rsidRPr="00FB20CC">
        <w:rPr>
          <w:sz w:val="24"/>
          <w:szCs w:val="24"/>
        </w:rPr>
        <w:t xml:space="preserve"> </w:t>
      </w:r>
      <w:r w:rsidR="009C4347" w:rsidRPr="00FB20CC">
        <w:rPr>
          <w:sz w:val="24"/>
          <w:szCs w:val="24"/>
        </w:rPr>
        <w:t>forecast</w:t>
      </w:r>
      <w:r w:rsidR="00545A6A" w:rsidRPr="00FB20CC">
        <w:rPr>
          <w:sz w:val="24"/>
          <w:szCs w:val="24"/>
        </w:rPr>
        <w:t xml:space="preserve"> a mean decline of </w:t>
      </w:r>
      <w:r w:rsidR="000C1949" w:rsidRPr="00FB20CC">
        <w:rPr>
          <w:sz w:val="24"/>
          <w:szCs w:val="24"/>
        </w:rPr>
        <w:t>8.6% by the end of the century</w:t>
      </w:r>
      <w:r w:rsidR="00821C26" w:rsidRPr="00FB20CC">
        <w:rPr>
          <w:sz w:val="24"/>
          <w:szCs w:val="24"/>
        </w:rPr>
        <w:t xml:space="preserve"> (~1.1% decade</w:t>
      </w:r>
      <w:r w:rsidR="00821C26" w:rsidRPr="00FB20CC">
        <w:rPr>
          <w:sz w:val="24"/>
          <w:szCs w:val="24"/>
          <w:vertAlign w:val="superscript"/>
        </w:rPr>
        <w:t>-1</w:t>
      </w:r>
      <w:r w:rsidR="00821C26" w:rsidRPr="00FB20CC">
        <w:rPr>
          <w:sz w:val="24"/>
          <w:szCs w:val="24"/>
        </w:rPr>
        <w:t>), similar to</w:t>
      </w:r>
      <w:r w:rsidR="00F91D1C" w:rsidRPr="00FB20CC">
        <w:rPr>
          <w:sz w:val="24"/>
          <w:szCs w:val="24"/>
        </w:rPr>
        <w:t xml:space="preserve"> Moore </w:t>
      </w:r>
      <w:r w:rsidR="00814E1B" w:rsidRPr="00FB20CC">
        <w:rPr>
          <w:i/>
          <w:sz w:val="24"/>
          <w:szCs w:val="24"/>
        </w:rPr>
        <w:t xml:space="preserve">et al </w:t>
      </w:r>
      <w:r w:rsidR="00950407" w:rsidRPr="00FB20CC">
        <w:rPr>
          <w:sz w:val="24"/>
          <w:szCs w:val="24"/>
        </w:rPr>
        <w:t>(2018)</w:t>
      </w:r>
      <w:r w:rsidR="000C1949" w:rsidRPr="00FB20CC">
        <w:rPr>
          <w:sz w:val="24"/>
          <w:szCs w:val="24"/>
        </w:rPr>
        <w:t xml:space="preserve"> who </w:t>
      </w:r>
      <w:r w:rsidR="009C4347" w:rsidRPr="00FB20CC">
        <w:rPr>
          <w:sz w:val="24"/>
          <w:szCs w:val="24"/>
        </w:rPr>
        <w:t>predicted</w:t>
      </w:r>
      <w:r w:rsidR="000C1949" w:rsidRPr="00FB20CC">
        <w:rPr>
          <w:sz w:val="24"/>
          <w:szCs w:val="24"/>
        </w:rPr>
        <w:t xml:space="preserve"> </w:t>
      </w:r>
      <w:r w:rsidR="000C1949" w:rsidRPr="00FB20CC">
        <w:rPr>
          <w:sz w:val="24"/>
          <w:szCs w:val="24"/>
        </w:rPr>
        <w:lastRenderedPageBreak/>
        <w:t>a 24% decline by the year 2300</w:t>
      </w:r>
      <w:r w:rsidR="00821C26" w:rsidRPr="00FB20CC">
        <w:rPr>
          <w:sz w:val="24"/>
          <w:szCs w:val="24"/>
        </w:rPr>
        <w:t xml:space="preserve"> (~0.9% decade</w:t>
      </w:r>
      <w:r w:rsidR="00821C26" w:rsidRPr="00FB20CC">
        <w:rPr>
          <w:sz w:val="24"/>
          <w:szCs w:val="24"/>
          <w:vertAlign w:val="superscript"/>
        </w:rPr>
        <w:t>-1</w:t>
      </w:r>
      <w:r w:rsidR="00821C26" w:rsidRPr="00FB20CC">
        <w:rPr>
          <w:sz w:val="24"/>
          <w:szCs w:val="24"/>
        </w:rPr>
        <w:t>)</w:t>
      </w:r>
      <w:r w:rsidR="000C1949" w:rsidRPr="00FB20CC">
        <w:rPr>
          <w:sz w:val="24"/>
          <w:szCs w:val="24"/>
        </w:rPr>
        <w:t xml:space="preserve">.  </w:t>
      </w:r>
      <w:r w:rsidR="00545A6A" w:rsidRPr="00FB20CC">
        <w:rPr>
          <w:sz w:val="24"/>
          <w:szCs w:val="24"/>
        </w:rPr>
        <w:t xml:space="preserve">Laufkötter </w:t>
      </w:r>
      <w:r w:rsidR="00545A6A" w:rsidRPr="00FB20CC">
        <w:rPr>
          <w:i/>
          <w:sz w:val="24"/>
          <w:szCs w:val="24"/>
        </w:rPr>
        <w:t>et al</w:t>
      </w:r>
      <w:r w:rsidR="00950407" w:rsidRPr="00FB20CC">
        <w:rPr>
          <w:sz w:val="24"/>
          <w:szCs w:val="24"/>
          <w:vertAlign w:val="superscript"/>
        </w:rPr>
        <w:t xml:space="preserve"> </w:t>
      </w:r>
      <w:r w:rsidR="00950407" w:rsidRPr="00FB20CC">
        <w:rPr>
          <w:sz w:val="24"/>
          <w:szCs w:val="24"/>
        </w:rPr>
        <w:t>(2015)</w:t>
      </w:r>
      <w:r w:rsidR="00543BC6" w:rsidRPr="00FB20CC">
        <w:rPr>
          <w:sz w:val="24"/>
          <w:szCs w:val="24"/>
        </w:rPr>
        <w:t>, however</w:t>
      </w:r>
      <w:r w:rsidR="00545A6A" w:rsidRPr="00FB20CC">
        <w:rPr>
          <w:i/>
          <w:sz w:val="24"/>
          <w:szCs w:val="24"/>
        </w:rPr>
        <w:t xml:space="preserve"> </w:t>
      </w:r>
      <w:r w:rsidR="00545A6A" w:rsidRPr="00FB20CC">
        <w:rPr>
          <w:sz w:val="24"/>
          <w:szCs w:val="24"/>
        </w:rPr>
        <w:t xml:space="preserve">reported that 4 of 9 </w:t>
      </w:r>
      <w:r w:rsidR="00543BC6" w:rsidRPr="00FB20CC">
        <w:rPr>
          <w:sz w:val="24"/>
          <w:szCs w:val="24"/>
        </w:rPr>
        <w:t>couple</w:t>
      </w:r>
      <w:r w:rsidR="004E2813" w:rsidRPr="00FB20CC">
        <w:rPr>
          <w:sz w:val="24"/>
          <w:szCs w:val="24"/>
        </w:rPr>
        <w:t>d</w:t>
      </w:r>
      <w:r w:rsidR="00543BC6" w:rsidRPr="00FB20CC">
        <w:rPr>
          <w:sz w:val="24"/>
          <w:szCs w:val="24"/>
        </w:rPr>
        <w:t xml:space="preserve"> physical-biological </w:t>
      </w:r>
      <w:r w:rsidR="000C1949" w:rsidRPr="00FB20CC">
        <w:rPr>
          <w:sz w:val="24"/>
          <w:szCs w:val="24"/>
        </w:rPr>
        <w:t>models</w:t>
      </w:r>
      <w:r w:rsidR="000C1949" w:rsidRPr="00FB20CC">
        <w:rPr>
          <w:b/>
          <w:sz w:val="24"/>
          <w:szCs w:val="24"/>
        </w:rPr>
        <w:t xml:space="preserve"> </w:t>
      </w:r>
      <w:r w:rsidR="00545A6A" w:rsidRPr="00FB20CC">
        <w:rPr>
          <w:sz w:val="24"/>
          <w:szCs w:val="24"/>
        </w:rPr>
        <w:t>suggest</w:t>
      </w:r>
      <w:r w:rsidR="00110BC4" w:rsidRPr="00FB20CC">
        <w:rPr>
          <w:sz w:val="24"/>
          <w:szCs w:val="24"/>
        </w:rPr>
        <w:t>ed</w:t>
      </w:r>
      <w:r w:rsidR="00545A6A" w:rsidRPr="00FB20CC">
        <w:rPr>
          <w:sz w:val="24"/>
          <w:szCs w:val="24"/>
        </w:rPr>
        <w:t xml:space="preserve"> no or positive change</w:t>
      </w:r>
      <w:r w:rsidR="009C4347" w:rsidRPr="00FB20CC">
        <w:rPr>
          <w:sz w:val="24"/>
          <w:szCs w:val="24"/>
        </w:rPr>
        <w:t>.</w:t>
      </w:r>
      <w:r w:rsidR="00545A6A" w:rsidRPr="00FB20CC">
        <w:rPr>
          <w:sz w:val="24"/>
          <w:szCs w:val="24"/>
        </w:rPr>
        <w:t xml:space="preserve">  For the present, availability of global ocean color satellite observations can help immensely by providing large-scale, routine observations of chlorophyll, the main pigment of the phytoplankton that are responsible for most ocean primary production.  Many algorithms have been developed to estimate primary production from satellite-derived chlorophyll observations</w:t>
      </w:r>
      <w:r w:rsidR="00950407" w:rsidRPr="00FB20CC">
        <w:rPr>
          <w:sz w:val="24"/>
          <w:szCs w:val="24"/>
          <w:vertAlign w:val="superscript"/>
        </w:rPr>
        <w:t xml:space="preserve"> </w:t>
      </w:r>
      <w:proofErr w:type="spellStart"/>
      <w:r w:rsidR="00950407" w:rsidRPr="00FB20CC">
        <w:rPr>
          <w:sz w:val="24"/>
          <w:szCs w:val="24"/>
        </w:rPr>
        <w:t>Carr</w:t>
      </w:r>
      <w:proofErr w:type="spellEnd"/>
      <w:r w:rsidR="00950407" w:rsidRPr="00FB20CC">
        <w:rPr>
          <w:sz w:val="24"/>
          <w:szCs w:val="24"/>
        </w:rPr>
        <w:t xml:space="preserve"> </w:t>
      </w:r>
      <w:r w:rsidR="00950407" w:rsidRPr="00FB20CC">
        <w:rPr>
          <w:i/>
          <w:sz w:val="24"/>
          <w:szCs w:val="24"/>
        </w:rPr>
        <w:t>et al</w:t>
      </w:r>
      <w:r w:rsidR="00950407" w:rsidRPr="00FB20CC">
        <w:rPr>
          <w:sz w:val="24"/>
          <w:szCs w:val="24"/>
        </w:rPr>
        <w:t xml:space="preserve"> (2006)</w:t>
      </w:r>
      <w:r w:rsidR="00545A6A" w:rsidRPr="00FB20CC">
        <w:rPr>
          <w:sz w:val="24"/>
          <w:szCs w:val="24"/>
        </w:rPr>
        <w:t xml:space="preserve">.  </w:t>
      </w:r>
    </w:p>
    <w:p w14:paraId="586252CE" w14:textId="180A3036" w:rsidR="00545A6A" w:rsidRPr="00FB20CC" w:rsidRDefault="00545A6A" w:rsidP="00545A6A">
      <w:pPr>
        <w:jc w:val="both"/>
        <w:rPr>
          <w:sz w:val="24"/>
          <w:szCs w:val="24"/>
        </w:rPr>
      </w:pPr>
      <w:r w:rsidRPr="00FB20CC">
        <w:rPr>
          <w:sz w:val="24"/>
          <w:szCs w:val="24"/>
        </w:rPr>
        <w:t xml:space="preserve">   Although satellite observations are our best source of global phytoplankton chlorophyll, translating these observations into primary production is non-trivial.  Primary production is complex, involving cellular physiology, the dynamical physical environment, the ambient irradiance field, and the interactions among them.  For example, it is difficult to derive photoadaptation from ocean color satellite observations, which is an important factor for estimating phytoplankton growth and production</w:t>
      </w:r>
      <w:r w:rsidR="00950407" w:rsidRPr="00FB20CC">
        <w:rPr>
          <w:sz w:val="24"/>
          <w:szCs w:val="24"/>
          <w:vertAlign w:val="superscript"/>
        </w:rPr>
        <w:t xml:space="preserve"> </w:t>
      </w:r>
      <w:r w:rsidR="001C350E" w:rsidRPr="00FB20CC">
        <w:rPr>
          <w:sz w:val="24"/>
          <w:szCs w:val="24"/>
        </w:rPr>
        <w:t>(Behrenfeld</w:t>
      </w:r>
      <w:r w:rsidR="00950407" w:rsidRPr="00FB20CC">
        <w:rPr>
          <w:sz w:val="24"/>
          <w:szCs w:val="24"/>
        </w:rPr>
        <w:t xml:space="preserve"> </w:t>
      </w:r>
      <w:r w:rsidR="00950407" w:rsidRPr="00FB20CC">
        <w:rPr>
          <w:i/>
          <w:sz w:val="24"/>
          <w:szCs w:val="24"/>
        </w:rPr>
        <w:t>et al</w:t>
      </w:r>
      <w:r w:rsidR="00950407" w:rsidRPr="00FB20CC">
        <w:rPr>
          <w:sz w:val="24"/>
          <w:szCs w:val="24"/>
        </w:rPr>
        <w:t xml:space="preserve"> 2016)</w:t>
      </w:r>
      <w:r w:rsidRPr="00FB20CC">
        <w:rPr>
          <w:sz w:val="24"/>
          <w:szCs w:val="24"/>
        </w:rPr>
        <w:t xml:space="preserve">.  Also phytoplankton growth is responsive to </w:t>
      </w:r>
      <w:r w:rsidR="0041334F" w:rsidRPr="00FB20CC">
        <w:rPr>
          <w:sz w:val="24"/>
          <w:szCs w:val="24"/>
        </w:rPr>
        <w:t xml:space="preserve">integrated </w:t>
      </w:r>
      <w:r w:rsidRPr="00FB20CC">
        <w:rPr>
          <w:sz w:val="24"/>
          <w:szCs w:val="24"/>
        </w:rPr>
        <w:t xml:space="preserve">spectral irradiance, rather than bulk estimates of photosynthetically available radiation.  Ocean color satellites are nominally global in their ocean coverage, but they are limited by darkness in high latitudes, clouds, aerosols, and sun glint in mid-to-low latitudes, and daily gaps in coverage due to </w:t>
      </w:r>
      <w:r w:rsidR="00FF3BD3" w:rsidRPr="00FB20CC">
        <w:rPr>
          <w:sz w:val="24"/>
          <w:szCs w:val="24"/>
        </w:rPr>
        <w:t>orbital</w:t>
      </w:r>
      <w:r w:rsidRPr="00FB20CC">
        <w:rPr>
          <w:sz w:val="24"/>
          <w:szCs w:val="24"/>
        </w:rPr>
        <w:t xml:space="preserve"> constraints.  Finally, satellites do not retrieve information beyond a limited depth and primary production is a vertical integral.</w:t>
      </w:r>
    </w:p>
    <w:p w14:paraId="4F0F9F39" w14:textId="77777777" w:rsidR="00545A6A" w:rsidRPr="00FB20CC" w:rsidRDefault="00545A6A" w:rsidP="00545A6A">
      <w:pPr>
        <w:jc w:val="both"/>
        <w:rPr>
          <w:sz w:val="24"/>
          <w:szCs w:val="24"/>
        </w:rPr>
      </w:pPr>
      <w:r w:rsidRPr="00FB20CC">
        <w:rPr>
          <w:sz w:val="24"/>
          <w:szCs w:val="24"/>
        </w:rPr>
        <w:t xml:space="preserve">   Coupled </w:t>
      </w:r>
      <w:r w:rsidR="00DB4785" w:rsidRPr="00FB20CC">
        <w:rPr>
          <w:sz w:val="24"/>
          <w:szCs w:val="24"/>
        </w:rPr>
        <w:t xml:space="preserve">three-dimensional </w:t>
      </w:r>
      <w:r w:rsidRPr="00FB20CC">
        <w:rPr>
          <w:sz w:val="24"/>
          <w:szCs w:val="24"/>
        </w:rPr>
        <w:t>biological-physical models</w:t>
      </w:r>
      <w:r w:rsidR="00950407" w:rsidRPr="00FB20CC">
        <w:rPr>
          <w:sz w:val="24"/>
          <w:szCs w:val="24"/>
          <w:vertAlign w:val="superscript"/>
        </w:rPr>
        <w:t xml:space="preserve"> </w:t>
      </w:r>
      <w:r w:rsidR="00950407" w:rsidRPr="00FB20CC">
        <w:rPr>
          <w:sz w:val="24"/>
          <w:szCs w:val="24"/>
        </w:rPr>
        <w:t>(</w:t>
      </w:r>
      <w:proofErr w:type="spellStart"/>
      <w:r w:rsidR="00950407" w:rsidRPr="00FB20CC">
        <w:rPr>
          <w:sz w:val="24"/>
          <w:szCs w:val="24"/>
        </w:rPr>
        <w:t>Buitenhuis</w:t>
      </w:r>
      <w:proofErr w:type="spellEnd"/>
      <w:r w:rsidR="00950407" w:rsidRPr="00FB20CC">
        <w:rPr>
          <w:sz w:val="24"/>
          <w:szCs w:val="24"/>
        </w:rPr>
        <w:t xml:space="preserve"> </w:t>
      </w:r>
      <w:r w:rsidR="00814E1B" w:rsidRPr="00FB20CC">
        <w:rPr>
          <w:i/>
          <w:sz w:val="24"/>
          <w:szCs w:val="24"/>
        </w:rPr>
        <w:t>et al</w:t>
      </w:r>
      <w:r w:rsidR="00950407" w:rsidRPr="00FB20CC">
        <w:rPr>
          <w:sz w:val="24"/>
          <w:szCs w:val="24"/>
        </w:rPr>
        <w:t xml:space="preserve"> 2013)</w:t>
      </w:r>
      <w:r w:rsidRPr="00FB20CC">
        <w:rPr>
          <w:sz w:val="24"/>
          <w:szCs w:val="24"/>
        </w:rPr>
        <w:t xml:space="preserve"> are capable of synthesizing these complexities in physiologically mechanistic ways that are consistent with the local environment.  Especially important are changes with depth that are explicitly resolved.  Also included can be phytoplankton diversity, temperature, nutrient availability, ambient light field, horizontal and vertical mixing (diffusion), advection, carbon-chlorophyll ratios that are dependent on the ambient light field, and inorganic-organic carbon chemical conversions.  The disadvantage is that none of these processes and variables in a model is a faithful representation </w:t>
      </w:r>
      <w:r w:rsidR="00125C41" w:rsidRPr="00FB20CC">
        <w:rPr>
          <w:sz w:val="24"/>
          <w:szCs w:val="24"/>
        </w:rPr>
        <w:t xml:space="preserve">of </w:t>
      </w:r>
      <w:r w:rsidRPr="00FB20CC">
        <w:rPr>
          <w:sz w:val="24"/>
          <w:szCs w:val="24"/>
        </w:rPr>
        <w:t>the natural environment.</w:t>
      </w:r>
    </w:p>
    <w:p w14:paraId="255C2740" w14:textId="77777777" w:rsidR="00545A6A" w:rsidRPr="00FB20CC" w:rsidRDefault="00545A6A" w:rsidP="00545A6A">
      <w:pPr>
        <w:jc w:val="both"/>
        <w:rPr>
          <w:sz w:val="24"/>
          <w:szCs w:val="24"/>
        </w:rPr>
      </w:pPr>
      <w:r w:rsidRPr="00FB20CC">
        <w:rPr>
          <w:sz w:val="24"/>
          <w:szCs w:val="24"/>
        </w:rPr>
        <w:t xml:space="preserve">   By combining the strengths of models with estimates of </w:t>
      </w:r>
      <w:r w:rsidR="001977D8" w:rsidRPr="00FB20CC">
        <w:rPr>
          <w:sz w:val="24"/>
          <w:szCs w:val="24"/>
        </w:rPr>
        <w:t xml:space="preserve">surface </w:t>
      </w:r>
      <w:r w:rsidRPr="00FB20CC">
        <w:rPr>
          <w:sz w:val="24"/>
          <w:szCs w:val="24"/>
        </w:rPr>
        <w:t xml:space="preserve">chlorophyll concentrations from satellites, we can potentially improve the representation of global primary production.  By assimilating the satellite data into models, we can explicitly maximize the strengths of each, while recognizing that the entire complex assortment still holds errors and mischaracterizations.  Here we utilize satellite data from the latest NASA processing revisions and assimilate into a model that contains sufficient complexity and heritage to estimate global open ocean (pelagic) primary production and trends over the 18-year time series </w:t>
      </w:r>
      <w:r w:rsidR="00975AC5" w:rsidRPr="00FB20CC">
        <w:rPr>
          <w:sz w:val="24"/>
          <w:szCs w:val="24"/>
        </w:rPr>
        <w:t xml:space="preserve">(1998-2015) </w:t>
      </w:r>
      <w:r w:rsidRPr="00FB20CC">
        <w:rPr>
          <w:sz w:val="24"/>
          <w:szCs w:val="24"/>
        </w:rPr>
        <w:t>of the satellite record.</w:t>
      </w:r>
    </w:p>
    <w:p w14:paraId="5B5A780C" w14:textId="77777777" w:rsidR="00315D56" w:rsidRPr="00FB20CC" w:rsidRDefault="00315D56" w:rsidP="00545A6A">
      <w:pPr>
        <w:rPr>
          <w:b/>
          <w:sz w:val="24"/>
          <w:szCs w:val="24"/>
        </w:rPr>
      </w:pPr>
    </w:p>
    <w:p w14:paraId="38BC4E3C" w14:textId="77777777" w:rsidR="00966CCB" w:rsidRPr="00FB20CC" w:rsidRDefault="00966CCB" w:rsidP="00966CCB">
      <w:pPr>
        <w:rPr>
          <w:b/>
          <w:sz w:val="24"/>
          <w:szCs w:val="24"/>
        </w:rPr>
      </w:pPr>
      <w:r w:rsidRPr="00FB20CC">
        <w:rPr>
          <w:b/>
          <w:sz w:val="24"/>
          <w:szCs w:val="24"/>
        </w:rPr>
        <w:t>Methods</w:t>
      </w:r>
    </w:p>
    <w:p w14:paraId="2B122086" w14:textId="77777777" w:rsidR="00966CCB" w:rsidRPr="00FB20CC" w:rsidRDefault="00966CCB" w:rsidP="00966CCB">
      <w:pPr>
        <w:rPr>
          <w:b/>
          <w:i/>
          <w:sz w:val="24"/>
          <w:szCs w:val="24"/>
        </w:rPr>
      </w:pPr>
      <w:r w:rsidRPr="00FB20CC">
        <w:rPr>
          <w:b/>
          <w:sz w:val="24"/>
          <w:szCs w:val="24"/>
        </w:rPr>
        <w:t>Satellite Mission Data Sets</w:t>
      </w:r>
    </w:p>
    <w:p w14:paraId="71768E84" w14:textId="5680BABE" w:rsidR="00966CCB" w:rsidRPr="00FB20CC" w:rsidRDefault="00966CCB" w:rsidP="00966CCB">
      <w:pPr>
        <w:jc w:val="both"/>
        <w:rPr>
          <w:sz w:val="24"/>
          <w:szCs w:val="24"/>
        </w:rPr>
      </w:pPr>
      <w:r w:rsidRPr="00FB20CC">
        <w:rPr>
          <w:sz w:val="24"/>
          <w:szCs w:val="24"/>
        </w:rPr>
        <w:t xml:space="preserve">   Ocean color satellite mission data sets from the Sea-viewing Wide Field-of-view Sensor (SeaWiFS; launched in 1997), Moderate Resolution Imaging Spectroradiometer (MODIS)-Aqua (launched in 2002), and Visible Infrared Imaging Radiometer Suite (VIIRS; launched in 2011) produce global coverage of ocean chlorophyll for the period 1998-2015.  The latest version (R2014) substantially reduces inter-mission differences, by virtue of 1) correction for radiometric drift of MODIS-Aqua data</w:t>
      </w:r>
      <w:r w:rsidRPr="00FB20CC">
        <w:rPr>
          <w:sz w:val="24"/>
          <w:szCs w:val="24"/>
          <w:vertAlign w:val="superscript"/>
        </w:rPr>
        <w:t xml:space="preserve"> </w:t>
      </w:r>
      <w:r w:rsidR="00954684" w:rsidRPr="00FB20CC">
        <w:rPr>
          <w:sz w:val="24"/>
          <w:szCs w:val="24"/>
        </w:rPr>
        <w:t>(Meister and Franz</w:t>
      </w:r>
      <w:r w:rsidRPr="00FB20CC">
        <w:rPr>
          <w:sz w:val="24"/>
          <w:szCs w:val="24"/>
        </w:rPr>
        <w:t xml:space="preserve"> 2014), and 2) addition of a new chlorophyll algorithm</w:t>
      </w:r>
      <w:r w:rsidRPr="00FB20CC">
        <w:rPr>
          <w:sz w:val="24"/>
          <w:szCs w:val="24"/>
          <w:vertAlign w:val="superscript"/>
        </w:rPr>
        <w:t xml:space="preserve"> </w:t>
      </w:r>
      <w:r w:rsidRPr="00FB20CC">
        <w:rPr>
          <w:sz w:val="24"/>
          <w:szCs w:val="24"/>
        </w:rPr>
        <w:t xml:space="preserve">(Hu </w:t>
      </w:r>
      <w:r w:rsidRPr="00FB20CC">
        <w:rPr>
          <w:i/>
          <w:sz w:val="24"/>
          <w:szCs w:val="24"/>
        </w:rPr>
        <w:t>et al</w:t>
      </w:r>
      <w:r w:rsidRPr="00FB20CC">
        <w:rPr>
          <w:sz w:val="24"/>
          <w:szCs w:val="24"/>
        </w:rPr>
        <w:t xml:space="preserve"> 2012).  Some residual biases remain, which are corrected using in situ data [the Empirical Satellite Radiance-In situ Data (ESRID) methodology</w:t>
      </w:r>
      <w:r w:rsidR="00EC1015" w:rsidRPr="00FB20CC">
        <w:rPr>
          <w:sz w:val="24"/>
          <w:szCs w:val="24"/>
          <w:vertAlign w:val="superscript"/>
        </w:rPr>
        <w:t xml:space="preserve"> </w:t>
      </w:r>
      <w:r w:rsidR="00EC1015" w:rsidRPr="00FB20CC">
        <w:rPr>
          <w:sz w:val="24"/>
          <w:szCs w:val="24"/>
        </w:rPr>
        <w:t>(</w:t>
      </w:r>
      <w:r w:rsidRPr="00FB20CC">
        <w:rPr>
          <w:sz w:val="24"/>
          <w:szCs w:val="24"/>
        </w:rPr>
        <w:t xml:space="preserve">Gregg </w:t>
      </w:r>
      <w:r w:rsidRPr="00FB20CC">
        <w:rPr>
          <w:i/>
          <w:sz w:val="24"/>
          <w:szCs w:val="24"/>
        </w:rPr>
        <w:t>et al</w:t>
      </w:r>
      <w:r w:rsidRPr="00FB20CC">
        <w:rPr>
          <w:sz w:val="24"/>
          <w:szCs w:val="24"/>
        </w:rPr>
        <w:t xml:space="preserve"> 2009</w:t>
      </w:r>
      <w:r w:rsidR="00EC1015" w:rsidRPr="00FB20CC">
        <w:rPr>
          <w:sz w:val="24"/>
          <w:szCs w:val="24"/>
        </w:rPr>
        <w:t>)</w:t>
      </w:r>
      <w:r w:rsidRPr="00FB20CC">
        <w:rPr>
          <w:sz w:val="24"/>
          <w:szCs w:val="24"/>
        </w:rPr>
        <w:t>]</w:t>
      </w:r>
      <w:r w:rsidRPr="00FB20CC">
        <w:rPr>
          <w:sz w:val="24"/>
          <w:szCs w:val="24"/>
          <w:vertAlign w:val="superscript"/>
        </w:rPr>
        <w:t xml:space="preserve"> </w:t>
      </w:r>
      <w:r w:rsidRPr="00FB20CC">
        <w:rPr>
          <w:sz w:val="24"/>
          <w:szCs w:val="24"/>
        </w:rPr>
        <w:t>for chlorophyll values &gt;0.2 mg m</w:t>
      </w:r>
      <w:r w:rsidRPr="00FB20CC">
        <w:rPr>
          <w:sz w:val="24"/>
          <w:szCs w:val="24"/>
          <w:vertAlign w:val="superscript"/>
        </w:rPr>
        <w:t>-3</w:t>
      </w:r>
      <w:r w:rsidRPr="00FB20CC">
        <w:rPr>
          <w:sz w:val="24"/>
          <w:szCs w:val="24"/>
        </w:rPr>
        <w:t xml:space="preserve"> and additional regional bias-correction applications for the SeaWiFS mission</w:t>
      </w:r>
      <w:r w:rsidRPr="00FB20CC">
        <w:rPr>
          <w:sz w:val="24"/>
          <w:szCs w:val="24"/>
          <w:vertAlign w:val="superscript"/>
        </w:rPr>
        <w:t xml:space="preserve"> </w:t>
      </w:r>
      <w:r w:rsidRPr="00FB20CC">
        <w:rPr>
          <w:sz w:val="24"/>
          <w:szCs w:val="24"/>
        </w:rPr>
        <w:t>(Gregg</w:t>
      </w:r>
      <w:r w:rsidRPr="00FB20CC">
        <w:rPr>
          <w:i/>
          <w:sz w:val="24"/>
          <w:szCs w:val="24"/>
        </w:rPr>
        <w:t xml:space="preserve"> et al</w:t>
      </w:r>
      <w:r w:rsidRPr="00FB20CC">
        <w:rPr>
          <w:sz w:val="24"/>
          <w:szCs w:val="24"/>
        </w:rPr>
        <w:t xml:space="preserve"> 2017) in the northern high latitudes.  </w:t>
      </w:r>
    </w:p>
    <w:p w14:paraId="6C4655FC" w14:textId="77777777" w:rsidR="00966CCB" w:rsidRPr="00FB20CC" w:rsidRDefault="00966CCB" w:rsidP="00966CCB">
      <w:pPr>
        <w:pStyle w:val="Heading1"/>
        <w:rPr>
          <w:rFonts w:ascii="Times New Roman" w:hAnsi="Times New Roman"/>
          <w:b/>
          <w:szCs w:val="24"/>
        </w:rPr>
      </w:pPr>
      <w:r w:rsidRPr="00FB20CC">
        <w:rPr>
          <w:rFonts w:ascii="Times New Roman" w:hAnsi="Times New Roman"/>
          <w:b/>
          <w:i w:val="0"/>
          <w:szCs w:val="24"/>
        </w:rPr>
        <w:lastRenderedPageBreak/>
        <w:t>Global Three-Dimensional Model and Data Assimilation</w:t>
      </w:r>
    </w:p>
    <w:p w14:paraId="615DA473" w14:textId="77777777" w:rsidR="00966CCB" w:rsidRPr="00FB20CC" w:rsidRDefault="00966CCB" w:rsidP="00966CCB">
      <w:pPr>
        <w:autoSpaceDE w:val="0"/>
        <w:autoSpaceDN w:val="0"/>
        <w:adjustRightInd w:val="0"/>
        <w:jc w:val="both"/>
        <w:rPr>
          <w:sz w:val="24"/>
          <w:szCs w:val="24"/>
        </w:rPr>
      </w:pPr>
      <w:r w:rsidRPr="00FB20CC">
        <w:rPr>
          <w:sz w:val="24"/>
          <w:szCs w:val="24"/>
        </w:rPr>
        <w:t xml:space="preserve">   Global ocean biogeochemical dynamics are simulated by the NASA Ocean Biogeochemical Model (NOBM; Gregg </w:t>
      </w:r>
      <w:r w:rsidRPr="00FB20CC">
        <w:rPr>
          <w:i/>
          <w:sz w:val="24"/>
          <w:szCs w:val="24"/>
        </w:rPr>
        <w:t>et al</w:t>
      </w:r>
      <w:r w:rsidRPr="00FB20CC">
        <w:rPr>
          <w:sz w:val="24"/>
          <w:szCs w:val="24"/>
        </w:rPr>
        <w:t xml:space="preserve"> 2009).  Together with a circulation model, Poseidon</w:t>
      </w:r>
      <w:r w:rsidRPr="00FB20CC">
        <w:rPr>
          <w:sz w:val="24"/>
          <w:szCs w:val="24"/>
          <w:vertAlign w:val="superscript"/>
        </w:rPr>
        <w:t xml:space="preserve"> </w:t>
      </w:r>
      <w:r w:rsidR="00954684" w:rsidRPr="00FB20CC">
        <w:rPr>
          <w:sz w:val="24"/>
          <w:szCs w:val="24"/>
        </w:rPr>
        <w:t>(</w:t>
      </w:r>
      <w:proofErr w:type="spellStart"/>
      <w:r w:rsidR="00954684" w:rsidRPr="00FB20CC">
        <w:rPr>
          <w:sz w:val="24"/>
          <w:szCs w:val="24"/>
        </w:rPr>
        <w:t>Schopf</w:t>
      </w:r>
      <w:proofErr w:type="spellEnd"/>
      <w:r w:rsidR="00954684" w:rsidRPr="00FB20CC">
        <w:rPr>
          <w:sz w:val="24"/>
          <w:szCs w:val="24"/>
        </w:rPr>
        <w:t xml:space="preserve"> and </w:t>
      </w:r>
      <w:proofErr w:type="spellStart"/>
      <w:r w:rsidR="00954684" w:rsidRPr="00FB20CC">
        <w:rPr>
          <w:sz w:val="24"/>
          <w:szCs w:val="24"/>
        </w:rPr>
        <w:t>Loughe</w:t>
      </w:r>
      <w:proofErr w:type="spellEnd"/>
      <w:r w:rsidRPr="00FB20CC">
        <w:rPr>
          <w:sz w:val="24"/>
          <w:szCs w:val="24"/>
        </w:rPr>
        <w:t xml:space="preserve"> 1995), the model has 14 vertical </w:t>
      </w:r>
      <w:proofErr w:type="spellStart"/>
      <w:r w:rsidRPr="00FB20CC">
        <w:rPr>
          <w:sz w:val="24"/>
          <w:szCs w:val="24"/>
        </w:rPr>
        <w:t>isopycnal</w:t>
      </w:r>
      <w:proofErr w:type="spellEnd"/>
      <w:r w:rsidRPr="00FB20CC">
        <w:rPr>
          <w:sz w:val="24"/>
          <w:szCs w:val="24"/>
        </w:rPr>
        <w:t xml:space="preserve"> layers and spans –84</w:t>
      </w:r>
      <w:r w:rsidRPr="00FB20CC">
        <w:rPr>
          <w:sz w:val="24"/>
          <w:szCs w:val="24"/>
          <w:vertAlign w:val="superscript"/>
        </w:rPr>
        <w:t>o</w:t>
      </w:r>
      <w:r w:rsidRPr="00FB20CC">
        <w:rPr>
          <w:sz w:val="24"/>
          <w:szCs w:val="24"/>
        </w:rPr>
        <w:t xml:space="preserve"> to 72</w:t>
      </w:r>
      <w:r w:rsidRPr="00FB20CC">
        <w:rPr>
          <w:sz w:val="24"/>
          <w:szCs w:val="24"/>
          <w:vertAlign w:val="superscript"/>
        </w:rPr>
        <w:t>o</w:t>
      </w:r>
      <w:r w:rsidRPr="00FB20CC">
        <w:rPr>
          <w:sz w:val="24"/>
          <w:szCs w:val="24"/>
        </w:rPr>
        <w:t xml:space="preserve"> latitude at 1.25</w:t>
      </w:r>
      <w:r w:rsidRPr="00FB20CC">
        <w:rPr>
          <w:sz w:val="24"/>
          <w:szCs w:val="24"/>
          <w:vertAlign w:val="superscript"/>
        </w:rPr>
        <w:t>o</w:t>
      </w:r>
      <w:r w:rsidRPr="00FB20CC">
        <w:rPr>
          <w:sz w:val="24"/>
          <w:szCs w:val="24"/>
        </w:rPr>
        <w:t xml:space="preserve"> longitude by 2/3</w:t>
      </w:r>
      <w:r w:rsidRPr="00FB20CC">
        <w:rPr>
          <w:sz w:val="24"/>
          <w:szCs w:val="24"/>
          <w:vertAlign w:val="superscript"/>
        </w:rPr>
        <w:t>o</w:t>
      </w:r>
      <w:r w:rsidRPr="00FB20CC">
        <w:rPr>
          <w:sz w:val="24"/>
          <w:szCs w:val="24"/>
        </w:rPr>
        <w:t xml:space="preserve"> latitude spatial resolution. It resolves only open (pelagic) ocean areas, where bottom depth&gt;200m.  It is forced with surface wind stress and longwave radiation, and relaxes to sea surface temperature data, all from the Modern-Era Retrospective analysis for Research and Applications (MERRA).  Shortwave radiation forcing is from the Ocean-Atmosphere Spectral Irradiance Model</w:t>
      </w:r>
      <w:r w:rsidRPr="00FB20CC">
        <w:rPr>
          <w:sz w:val="24"/>
          <w:szCs w:val="24"/>
          <w:vertAlign w:val="superscript"/>
        </w:rPr>
        <w:t xml:space="preserve"> </w:t>
      </w:r>
      <w:r w:rsidRPr="00FB20CC">
        <w:rPr>
          <w:sz w:val="24"/>
          <w:szCs w:val="24"/>
        </w:rPr>
        <w:t>(OASIM</w:t>
      </w:r>
      <w:r w:rsidR="00954684" w:rsidRPr="00FB20CC">
        <w:rPr>
          <w:sz w:val="24"/>
          <w:szCs w:val="24"/>
        </w:rPr>
        <w:t>, Gregg and Casey</w:t>
      </w:r>
      <w:r w:rsidRPr="00FB20CC">
        <w:rPr>
          <w:sz w:val="24"/>
          <w:szCs w:val="24"/>
        </w:rPr>
        <w:t xml:space="preserve"> 2009).</w:t>
      </w:r>
    </w:p>
    <w:p w14:paraId="607AAC03" w14:textId="77777777" w:rsidR="00966CCB" w:rsidRPr="00FB20CC" w:rsidRDefault="00966CCB" w:rsidP="00966CCB">
      <w:pPr>
        <w:autoSpaceDE w:val="0"/>
        <w:autoSpaceDN w:val="0"/>
        <w:adjustRightInd w:val="0"/>
        <w:jc w:val="both"/>
        <w:rPr>
          <w:sz w:val="24"/>
          <w:szCs w:val="24"/>
        </w:rPr>
      </w:pPr>
      <w:r w:rsidRPr="00FB20CC">
        <w:rPr>
          <w:sz w:val="24"/>
          <w:szCs w:val="24"/>
        </w:rPr>
        <w:t xml:space="preserve">   NOBM contains four phytoplankton groups, diatoms, chlorophytes, cyanobacteria, and coccolithophores, to represent the diversity in the global oceans.  Diatoms in the model are high growth, fast sinking, silicate-dependent phytoplankton that have high nutrient requirements.  Cyanobacteria are the functional opposite, with slow maximum growth rates, slow sinking, and low nutrient requirements.  They additionally have a capability for nitrogen fixation.  Coccolithophores are moderate growers that sink relatively quickly due to their calcium carbonate coccoliths.  They are efficient users of nitrogen, enabling them to flourish in low nutrient regions (although not as efficient as cyanobacteria).  Finally, chlorophytes represent the diverse functionality associated with nanoplankton, with growth rates, sinking rates, and nutrient requirements intermediate between the functional extremes and the more specialized coccolithophores.  </w:t>
      </w:r>
    </w:p>
    <w:p w14:paraId="5D25DFEE" w14:textId="77777777" w:rsidR="00966CCB" w:rsidRPr="00FB20CC" w:rsidRDefault="00966CCB" w:rsidP="00966CCB">
      <w:pPr>
        <w:jc w:val="both"/>
        <w:rPr>
          <w:sz w:val="24"/>
          <w:szCs w:val="24"/>
        </w:rPr>
      </w:pPr>
      <w:r w:rsidRPr="00FB20CC">
        <w:rPr>
          <w:sz w:val="24"/>
          <w:szCs w:val="24"/>
        </w:rPr>
        <w:t xml:space="preserve">   Phytoplankton growth is a function of scalar quantum irradiance, which is a measure of the photons impacting phytoplankton cells from all directions, expressed as units of µmol photons m</w:t>
      </w:r>
      <w:r w:rsidRPr="00FB20CC">
        <w:rPr>
          <w:sz w:val="24"/>
          <w:szCs w:val="24"/>
          <w:vertAlign w:val="superscript"/>
        </w:rPr>
        <w:t>-2</w:t>
      </w:r>
      <w:r w:rsidRPr="00FB20CC">
        <w:rPr>
          <w:sz w:val="24"/>
          <w:szCs w:val="24"/>
        </w:rPr>
        <w:t xml:space="preserve"> s</w:t>
      </w:r>
      <w:r w:rsidRPr="00FB20CC">
        <w:rPr>
          <w:sz w:val="24"/>
          <w:szCs w:val="24"/>
          <w:vertAlign w:val="superscript"/>
        </w:rPr>
        <w:t xml:space="preserve">-1 </w:t>
      </w:r>
      <w:r w:rsidR="00954684" w:rsidRPr="00FB20CC">
        <w:rPr>
          <w:sz w:val="24"/>
          <w:szCs w:val="24"/>
        </w:rPr>
        <w:t>(Kirk</w:t>
      </w:r>
      <w:r w:rsidRPr="00FB20CC">
        <w:rPr>
          <w:sz w:val="24"/>
          <w:szCs w:val="24"/>
        </w:rPr>
        <w:t xml:space="preserve"> 1992).  Variable carbon to chlorophyll ratios are utilized, that depend on the light history and photoadaptation, which is explicit in the model</w:t>
      </w:r>
      <w:r w:rsidRPr="00FB20CC">
        <w:rPr>
          <w:sz w:val="24"/>
          <w:szCs w:val="24"/>
          <w:vertAlign w:val="superscript"/>
        </w:rPr>
        <w:t xml:space="preserve"> </w:t>
      </w:r>
      <w:r w:rsidR="00954684" w:rsidRPr="00FB20CC">
        <w:rPr>
          <w:sz w:val="24"/>
          <w:szCs w:val="24"/>
        </w:rPr>
        <w:t>(Gregg and Casey</w:t>
      </w:r>
      <w:r w:rsidRPr="00FB20CC">
        <w:rPr>
          <w:sz w:val="24"/>
          <w:szCs w:val="24"/>
        </w:rPr>
        <w:t xml:space="preserve"> 2007).  The model also contains four nutrients (nitrate, ammonium, silicate, and dissolved iron) and three detrital components (particulate organic carbon, silicate, and iron).  </w:t>
      </w:r>
    </w:p>
    <w:p w14:paraId="110C9C6F" w14:textId="77777777" w:rsidR="00966CCB" w:rsidRPr="00FB20CC" w:rsidRDefault="00966CCB" w:rsidP="00966CCB">
      <w:pPr>
        <w:autoSpaceDE w:val="0"/>
        <w:autoSpaceDN w:val="0"/>
        <w:adjustRightInd w:val="0"/>
        <w:jc w:val="both"/>
        <w:rPr>
          <w:sz w:val="24"/>
          <w:szCs w:val="24"/>
        </w:rPr>
      </w:pPr>
      <w:r w:rsidRPr="00FB20CC">
        <w:rPr>
          <w:sz w:val="24"/>
          <w:szCs w:val="24"/>
        </w:rPr>
        <w:t xml:space="preserve">   Primary production (PP) is computed in the model as a function of growth rate multiplied by the chlorophyll concentration and the </w:t>
      </w:r>
      <w:proofErr w:type="spellStart"/>
      <w:r w:rsidRPr="00FB20CC">
        <w:rPr>
          <w:sz w:val="24"/>
          <w:szCs w:val="24"/>
        </w:rPr>
        <w:t>carbon:chlorophyll</w:t>
      </w:r>
      <w:proofErr w:type="spellEnd"/>
      <w:r w:rsidRPr="00FB20CC">
        <w:rPr>
          <w:sz w:val="24"/>
          <w:szCs w:val="24"/>
        </w:rPr>
        <w:t xml:space="preserve"> ratio</w:t>
      </w:r>
    </w:p>
    <w:p w14:paraId="2BDA022D" w14:textId="77777777" w:rsidR="00966CCB" w:rsidRPr="00FB20CC" w:rsidRDefault="00966CCB" w:rsidP="00966CCB">
      <w:pPr>
        <w:autoSpaceDE w:val="0"/>
        <w:autoSpaceDN w:val="0"/>
        <w:adjustRightInd w:val="0"/>
        <w:jc w:val="both"/>
        <w:rPr>
          <w:sz w:val="24"/>
          <w:szCs w:val="24"/>
        </w:rPr>
      </w:pPr>
    </w:p>
    <w:p w14:paraId="6592467F" w14:textId="77777777" w:rsidR="00966CCB" w:rsidRPr="00FB20CC" w:rsidRDefault="00966CCB" w:rsidP="00966CCB">
      <w:pPr>
        <w:autoSpaceDE w:val="0"/>
        <w:autoSpaceDN w:val="0"/>
        <w:adjustRightInd w:val="0"/>
        <w:rPr>
          <w:sz w:val="24"/>
          <w:szCs w:val="24"/>
          <w:vertAlign w:val="subscript"/>
        </w:rPr>
      </w:pPr>
      <w:r w:rsidRPr="00FB20CC">
        <w:rPr>
          <w:sz w:val="24"/>
          <w:szCs w:val="24"/>
        </w:rPr>
        <w:t xml:space="preserve">                                                          PP = </w:t>
      </w:r>
      <w:r w:rsidRPr="00FB20CC">
        <w:rPr>
          <w:position w:val="-6"/>
          <w:sz w:val="24"/>
          <w:szCs w:val="24"/>
          <w:vertAlign w:val="subscript"/>
        </w:rPr>
        <w:t>0</w:t>
      </w:r>
      <w:r w:rsidRPr="00FB20CC">
        <w:rPr>
          <w:sz w:val="32"/>
          <w:szCs w:val="32"/>
        </w:rPr>
        <w:t>∫</w:t>
      </w:r>
      <w:r w:rsidRPr="00FB20CC">
        <w:rPr>
          <w:position w:val="6"/>
          <w:sz w:val="32"/>
          <w:szCs w:val="32"/>
          <w:vertAlign w:val="superscript"/>
        </w:rPr>
        <w:t xml:space="preserve">z </w:t>
      </w:r>
      <w:r w:rsidRPr="00FB20CC">
        <w:rPr>
          <w:sz w:val="24"/>
          <w:szCs w:val="24"/>
        </w:rPr>
        <w:t>∑</w:t>
      </w:r>
      <w:proofErr w:type="spellStart"/>
      <w:r w:rsidRPr="00FB20CC">
        <w:rPr>
          <w:i/>
          <w:position w:val="-6"/>
          <w:sz w:val="24"/>
          <w:szCs w:val="24"/>
        </w:rPr>
        <w:t>i</w:t>
      </w:r>
      <w:proofErr w:type="spellEnd"/>
      <w:r w:rsidRPr="00FB20CC">
        <w:rPr>
          <w:sz w:val="24"/>
          <w:szCs w:val="24"/>
        </w:rPr>
        <w:t xml:space="preserve"> </w:t>
      </w:r>
      <w:proofErr w:type="spellStart"/>
      <w:r w:rsidRPr="00FB20CC">
        <w:rPr>
          <w:i/>
          <w:iCs/>
          <w:sz w:val="24"/>
          <w:szCs w:val="24"/>
        </w:rPr>
        <w:t>μ</w:t>
      </w:r>
      <w:r w:rsidRPr="00FB20CC">
        <w:rPr>
          <w:i/>
          <w:iCs/>
          <w:sz w:val="24"/>
          <w:szCs w:val="24"/>
          <w:vertAlign w:val="subscript"/>
        </w:rPr>
        <w:t>i</w:t>
      </w:r>
      <w:proofErr w:type="spellEnd"/>
      <w:r w:rsidRPr="00FB20CC">
        <w:rPr>
          <w:iCs/>
          <w:sz w:val="24"/>
          <w:szCs w:val="24"/>
        </w:rPr>
        <w:t>(N,T,I)</w:t>
      </w:r>
      <w:r w:rsidRPr="00FB20CC">
        <w:rPr>
          <w:i/>
          <w:iCs/>
          <w:sz w:val="24"/>
          <w:szCs w:val="24"/>
          <w:vertAlign w:val="subscript"/>
        </w:rPr>
        <w:t xml:space="preserve"> </w:t>
      </w:r>
      <w:r w:rsidRPr="00FB20CC">
        <w:rPr>
          <w:iCs/>
          <w:sz w:val="24"/>
          <w:szCs w:val="24"/>
        </w:rPr>
        <w:t>C</w:t>
      </w:r>
      <w:r w:rsidRPr="00FB20CC">
        <w:rPr>
          <w:i/>
          <w:iCs/>
          <w:sz w:val="24"/>
          <w:szCs w:val="24"/>
          <w:vertAlign w:val="subscript"/>
        </w:rPr>
        <w:t xml:space="preserve">i </w:t>
      </w:r>
      <w:r w:rsidRPr="00FB20CC">
        <w:rPr>
          <w:i/>
          <w:iCs/>
          <w:sz w:val="24"/>
          <w:szCs w:val="24"/>
        </w:rPr>
        <w:t>Φ</w:t>
      </w:r>
      <w:r w:rsidRPr="00FB20CC">
        <w:rPr>
          <w:iCs/>
          <w:sz w:val="24"/>
          <w:szCs w:val="24"/>
        </w:rPr>
        <w:t xml:space="preserve"> </w:t>
      </w:r>
      <w:proofErr w:type="spellStart"/>
      <w:r w:rsidRPr="00FB20CC">
        <w:rPr>
          <w:iCs/>
          <w:sz w:val="24"/>
          <w:szCs w:val="24"/>
        </w:rPr>
        <w:t>dz</w:t>
      </w:r>
      <w:proofErr w:type="spellEnd"/>
      <w:r w:rsidRPr="00FB20CC">
        <w:rPr>
          <w:iCs/>
          <w:sz w:val="24"/>
          <w:szCs w:val="24"/>
        </w:rPr>
        <w:t xml:space="preserve">                                               (1)</w:t>
      </w:r>
    </w:p>
    <w:p w14:paraId="37A76149" w14:textId="77777777" w:rsidR="00966CCB" w:rsidRPr="00FB20CC" w:rsidRDefault="00966CCB" w:rsidP="00966CCB">
      <w:pPr>
        <w:autoSpaceDE w:val="0"/>
        <w:autoSpaceDN w:val="0"/>
        <w:adjustRightInd w:val="0"/>
        <w:rPr>
          <w:sz w:val="24"/>
          <w:szCs w:val="24"/>
          <w:vertAlign w:val="superscript"/>
        </w:rPr>
      </w:pPr>
      <w:r w:rsidRPr="00FB20CC">
        <w:rPr>
          <w:iCs/>
          <w:sz w:val="24"/>
          <w:szCs w:val="24"/>
        </w:rPr>
        <w:t xml:space="preserve">                                                             </w:t>
      </w:r>
    </w:p>
    <w:p w14:paraId="2B4BFD9F" w14:textId="77777777" w:rsidR="00966CCB" w:rsidRPr="00FB20CC" w:rsidRDefault="00966CCB" w:rsidP="00966CCB">
      <w:pPr>
        <w:autoSpaceDE w:val="0"/>
        <w:autoSpaceDN w:val="0"/>
        <w:adjustRightInd w:val="0"/>
        <w:jc w:val="both"/>
        <w:rPr>
          <w:sz w:val="24"/>
          <w:szCs w:val="24"/>
        </w:rPr>
      </w:pPr>
      <w:r w:rsidRPr="00FB20CC">
        <w:rPr>
          <w:sz w:val="24"/>
          <w:szCs w:val="24"/>
        </w:rPr>
        <w:t xml:space="preserve">where </w:t>
      </w:r>
      <w:proofErr w:type="spellStart"/>
      <w:r w:rsidRPr="00FB20CC">
        <w:rPr>
          <w:i/>
          <w:iCs/>
          <w:sz w:val="24"/>
          <w:szCs w:val="24"/>
        </w:rPr>
        <w:t>μ</w:t>
      </w:r>
      <w:r w:rsidRPr="00FB20CC">
        <w:rPr>
          <w:i/>
          <w:iCs/>
          <w:sz w:val="24"/>
          <w:szCs w:val="24"/>
          <w:vertAlign w:val="subscript"/>
        </w:rPr>
        <w:t>i</w:t>
      </w:r>
      <w:proofErr w:type="spellEnd"/>
      <w:r w:rsidRPr="00FB20CC">
        <w:rPr>
          <w:i/>
          <w:iCs/>
          <w:sz w:val="24"/>
          <w:szCs w:val="24"/>
        </w:rPr>
        <w:t xml:space="preserve"> </w:t>
      </w:r>
      <w:r w:rsidRPr="00FB20CC">
        <w:rPr>
          <w:sz w:val="24"/>
          <w:szCs w:val="24"/>
        </w:rPr>
        <w:t>is the net growth rate (gross growth minus respiration, d</w:t>
      </w:r>
      <w:r w:rsidRPr="00FB20CC">
        <w:rPr>
          <w:sz w:val="24"/>
          <w:szCs w:val="24"/>
          <w:vertAlign w:val="superscript"/>
        </w:rPr>
        <w:t>-1</w:t>
      </w:r>
      <w:r w:rsidRPr="00FB20CC">
        <w:rPr>
          <w:sz w:val="24"/>
          <w:szCs w:val="24"/>
        </w:rPr>
        <w:t xml:space="preserve">) of phytoplankton component </w:t>
      </w:r>
      <w:proofErr w:type="spellStart"/>
      <w:r w:rsidRPr="00FB20CC">
        <w:rPr>
          <w:i/>
          <w:iCs/>
          <w:sz w:val="24"/>
          <w:szCs w:val="24"/>
        </w:rPr>
        <w:t>i</w:t>
      </w:r>
      <w:proofErr w:type="spellEnd"/>
      <w:r w:rsidRPr="00FB20CC">
        <w:rPr>
          <w:iCs/>
          <w:sz w:val="24"/>
          <w:szCs w:val="24"/>
        </w:rPr>
        <w:t xml:space="preserve"> as a function of nutrients (N), temperature (T), and quantum irradiance (I)</w:t>
      </w:r>
      <w:r w:rsidRPr="00FB20CC">
        <w:rPr>
          <w:sz w:val="24"/>
          <w:szCs w:val="24"/>
        </w:rPr>
        <w:t xml:space="preserve">, </w:t>
      </w:r>
      <w:r w:rsidRPr="00FB20CC">
        <w:rPr>
          <w:iCs/>
          <w:sz w:val="24"/>
          <w:szCs w:val="24"/>
        </w:rPr>
        <w:t>C</w:t>
      </w:r>
      <w:r w:rsidRPr="00FB20CC">
        <w:rPr>
          <w:i/>
          <w:iCs/>
          <w:sz w:val="24"/>
          <w:szCs w:val="24"/>
        </w:rPr>
        <w:t xml:space="preserve">i </w:t>
      </w:r>
      <w:r w:rsidRPr="00FB20CC">
        <w:rPr>
          <w:sz w:val="24"/>
          <w:szCs w:val="24"/>
        </w:rPr>
        <w:t xml:space="preserve">is the chlorophyll concentration of phytoplankton component </w:t>
      </w:r>
      <w:proofErr w:type="spellStart"/>
      <w:r w:rsidRPr="00FB20CC">
        <w:rPr>
          <w:i/>
          <w:iCs/>
          <w:sz w:val="24"/>
          <w:szCs w:val="24"/>
        </w:rPr>
        <w:t>i</w:t>
      </w:r>
      <w:proofErr w:type="spellEnd"/>
      <w:r w:rsidRPr="00FB20CC">
        <w:rPr>
          <w:sz w:val="24"/>
          <w:szCs w:val="24"/>
        </w:rPr>
        <w:t xml:space="preserve">, </w:t>
      </w:r>
      <w:r w:rsidRPr="00FB20CC">
        <w:rPr>
          <w:i/>
          <w:iCs/>
          <w:sz w:val="24"/>
          <w:szCs w:val="24"/>
        </w:rPr>
        <w:t xml:space="preserve">Φ </w:t>
      </w:r>
      <w:r w:rsidRPr="00FB20CC">
        <w:rPr>
          <w:sz w:val="24"/>
          <w:szCs w:val="24"/>
        </w:rPr>
        <w:t xml:space="preserve">is the </w:t>
      </w:r>
      <w:proofErr w:type="spellStart"/>
      <w:r w:rsidRPr="00FB20CC">
        <w:rPr>
          <w:sz w:val="24"/>
          <w:szCs w:val="24"/>
        </w:rPr>
        <w:t>carbon:chlorophyll</w:t>
      </w:r>
      <w:proofErr w:type="spellEnd"/>
      <w:r w:rsidRPr="00FB20CC">
        <w:rPr>
          <w:sz w:val="24"/>
          <w:szCs w:val="24"/>
        </w:rPr>
        <w:t xml:space="preserve"> ratio g g</w:t>
      </w:r>
      <w:r w:rsidRPr="00FB20CC">
        <w:rPr>
          <w:sz w:val="24"/>
          <w:szCs w:val="24"/>
          <w:vertAlign w:val="superscript"/>
        </w:rPr>
        <w:t>-1</w:t>
      </w:r>
      <w:r w:rsidRPr="00FB20CC">
        <w:rPr>
          <w:sz w:val="24"/>
          <w:szCs w:val="24"/>
        </w:rPr>
        <w:t>, and the product is integrated over depth.  The term I (quantum irradiance) is the wavelength-integrated irradiance in quanta (mol photons m</w:t>
      </w:r>
      <w:r w:rsidRPr="00FB20CC">
        <w:rPr>
          <w:sz w:val="24"/>
          <w:szCs w:val="24"/>
          <w:vertAlign w:val="superscript"/>
        </w:rPr>
        <w:t>-2</w:t>
      </w:r>
      <w:r w:rsidRPr="00FB20CC">
        <w:rPr>
          <w:sz w:val="24"/>
          <w:szCs w:val="24"/>
        </w:rPr>
        <w:t xml:space="preserve"> s</w:t>
      </w:r>
      <w:r w:rsidRPr="00FB20CC">
        <w:rPr>
          <w:sz w:val="24"/>
          <w:szCs w:val="24"/>
          <w:vertAlign w:val="superscript"/>
        </w:rPr>
        <w:t>-1</w:t>
      </w:r>
      <w:r w:rsidRPr="00FB20CC">
        <w:rPr>
          <w:sz w:val="24"/>
          <w:szCs w:val="24"/>
        </w:rPr>
        <w:t xml:space="preserve">) available for phytoplankton growth at each model vertical layer.  The spectral irradiance at the surface and through the water column are derived using OASIM for the period 1998-2015.  This model computes spectral irradiance in 33 bands for the domain 200 nm to 4 </w:t>
      </w:r>
      <w:proofErr w:type="spellStart"/>
      <w:r w:rsidRPr="00FB20CC">
        <w:rPr>
          <w:sz w:val="24"/>
          <w:szCs w:val="24"/>
        </w:rPr>
        <w:t>μm</w:t>
      </w:r>
      <w:proofErr w:type="spellEnd"/>
      <w:r w:rsidRPr="00FB20CC">
        <w:rPr>
          <w:sz w:val="24"/>
          <w:szCs w:val="24"/>
        </w:rPr>
        <w:t xml:space="preserve">, at the ocean surface as a function of atmospheric optical properties, and then propagates the spectral irradiance downward and upward through the water column as a function of ocean optical properties.  OASIM utilizes 25nm spectral resolution in the visible bands.  OASIM spectral irradiance is the source for quantum irradiance in Eq. 1.  MODIS-Aqua and Terra cloud data needed for OASIM are not available for 1998-1999, so </w:t>
      </w:r>
      <w:proofErr w:type="spellStart"/>
      <w:r w:rsidRPr="00FB20CC">
        <w:rPr>
          <w:sz w:val="24"/>
          <w:szCs w:val="24"/>
        </w:rPr>
        <w:t>climatologies</w:t>
      </w:r>
      <w:proofErr w:type="spellEnd"/>
      <w:r w:rsidRPr="00FB20CC">
        <w:rPr>
          <w:sz w:val="24"/>
          <w:szCs w:val="24"/>
        </w:rPr>
        <w:t xml:space="preserve"> are used for these years.  All other atmospheric optical properties are available for the duration of the time series.  Only wavelengths between 300 and 700nm are reported here because of their importance for primary production.</w:t>
      </w:r>
    </w:p>
    <w:p w14:paraId="1D4D76E9" w14:textId="77777777" w:rsidR="00966CCB" w:rsidRPr="00FB20CC" w:rsidRDefault="00966CCB" w:rsidP="00966CCB">
      <w:pPr>
        <w:autoSpaceDE w:val="0"/>
        <w:autoSpaceDN w:val="0"/>
        <w:adjustRightInd w:val="0"/>
        <w:jc w:val="both"/>
        <w:rPr>
          <w:sz w:val="24"/>
          <w:szCs w:val="24"/>
        </w:rPr>
      </w:pPr>
      <w:r w:rsidRPr="00FB20CC">
        <w:rPr>
          <w:sz w:val="24"/>
          <w:szCs w:val="24"/>
        </w:rPr>
        <w:lastRenderedPageBreak/>
        <w:t xml:space="preserve">   NOBM has been a participant in a comparison of global primary production algorithms/models</w:t>
      </w:r>
      <w:r w:rsidRPr="00FB20CC">
        <w:rPr>
          <w:sz w:val="24"/>
          <w:szCs w:val="24"/>
          <w:vertAlign w:val="superscript"/>
        </w:rPr>
        <w:t xml:space="preserve"> </w:t>
      </w:r>
      <w:r w:rsidR="00DC463C" w:rsidRPr="00FB20CC">
        <w:rPr>
          <w:sz w:val="24"/>
          <w:szCs w:val="24"/>
        </w:rPr>
        <w:t>(</w:t>
      </w:r>
      <w:proofErr w:type="spellStart"/>
      <w:r w:rsidRPr="00FB20CC">
        <w:rPr>
          <w:sz w:val="24"/>
          <w:szCs w:val="24"/>
        </w:rPr>
        <w:t>Carr</w:t>
      </w:r>
      <w:proofErr w:type="spellEnd"/>
      <w:r w:rsidRPr="00FB20CC">
        <w:rPr>
          <w:sz w:val="24"/>
          <w:szCs w:val="24"/>
        </w:rPr>
        <w:t xml:space="preserve"> </w:t>
      </w:r>
      <w:r w:rsidRPr="00FB20CC">
        <w:rPr>
          <w:i/>
          <w:sz w:val="24"/>
          <w:szCs w:val="24"/>
        </w:rPr>
        <w:t>et al</w:t>
      </w:r>
      <w:r w:rsidRPr="00FB20CC">
        <w:rPr>
          <w:sz w:val="24"/>
          <w:szCs w:val="24"/>
        </w:rPr>
        <w:t xml:space="preserve"> 2006).  With a global estimate of 38 </w:t>
      </w:r>
      <w:proofErr w:type="spellStart"/>
      <w:r w:rsidRPr="00FB20CC">
        <w:rPr>
          <w:sz w:val="24"/>
          <w:szCs w:val="24"/>
        </w:rPr>
        <w:t>PgC</w:t>
      </w:r>
      <w:proofErr w:type="spellEnd"/>
      <w:r w:rsidRPr="00FB20CC">
        <w:rPr>
          <w:sz w:val="24"/>
          <w:szCs w:val="24"/>
        </w:rPr>
        <w:t xml:space="preserve"> y</w:t>
      </w:r>
      <w:r w:rsidRPr="00FB20CC">
        <w:rPr>
          <w:sz w:val="24"/>
          <w:szCs w:val="24"/>
          <w:vertAlign w:val="superscript"/>
        </w:rPr>
        <w:t>-1</w:t>
      </w:r>
      <w:r w:rsidRPr="00FB20CC">
        <w:rPr>
          <w:sz w:val="24"/>
          <w:szCs w:val="24"/>
        </w:rPr>
        <w:t>, NOBM falls in the lower end of intercomparisons.  This difference is mostly related to the pelagic nature of the NOBM domain and to the restriction to 72</w:t>
      </w:r>
      <w:r w:rsidRPr="00FB20CC">
        <w:rPr>
          <w:sz w:val="24"/>
          <w:szCs w:val="24"/>
          <w:vertAlign w:val="superscript"/>
        </w:rPr>
        <w:t>o</w:t>
      </w:r>
      <w:r w:rsidRPr="00FB20CC">
        <w:rPr>
          <w:sz w:val="24"/>
          <w:szCs w:val="24"/>
        </w:rPr>
        <w:t xml:space="preserve">N latitude.  In a different comparison with one of the more popular satellite algorithms (Behrenfeld </w:t>
      </w:r>
      <w:r w:rsidR="00954684" w:rsidRPr="00FB20CC">
        <w:rPr>
          <w:sz w:val="24"/>
          <w:szCs w:val="24"/>
        </w:rPr>
        <w:t xml:space="preserve">and </w:t>
      </w:r>
      <w:proofErr w:type="spellStart"/>
      <w:r w:rsidR="00954684" w:rsidRPr="00FB20CC">
        <w:rPr>
          <w:sz w:val="24"/>
          <w:szCs w:val="24"/>
        </w:rPr>
        <w:t>Falkowski</w:t>
      </w:r>
      <w:proofErr w:type="spellEnd"/>
      <w:r w:rsidRPr="00FB20CC">
        <w:rPr>
          <w:sz w:val="24"/>
          <w:szCs w:val="24"/>
        </w:rPr>
        <w:t xml:space="preserve"> 1997), NOBM was within about 6 </w:t>
      </w:r>
      <w:proofErr w:type="spellStart"/>
      <w:r w:rsidRPr="00FB20CC">
        <w:rPr>
          <w:sz w:val="24"/>
          <w:szCs w:val="24"/>
        </w:rPr>
        <w:t>PgC</w:t>
      </w:r>
      <w:proofErr w:type="spellEnd"/>
      <w:r w:rsidRPr="00FB20CC">
        <w:rPr>
          <w:sz w:val="24"/>
          <w:szCs w:val="24"/>
        </w:rPr>
        <w:t xml:space="preserve"> y</w:t>
      </w:r>
      <w:r w:rsidRPr="00FB20CC">
        <w:rPr>
          <w:sz w:val="24"/>
          <w:szCs w:val="24"/>
          <w:vertAlign w:val="superscript"/>
        </w:rPr>
        <w:t>-1</w:t>
      </w:r>
      <w:r w:rsidRPr="00FB20CC">
        <w:rPr>
          <w:sz w:val="24"/>
          <w:szCs w:val="24"/>
        </w:rPr>
        <w:t xml:space="preserve"> (NOBM higher) over the same domain</w:t>
      </w:r>
      <w:r w:rsidRPr="00FB20CC">
        <w:rPr>
          <w:sz w:val="24"/>
          <w:szCs w:val="24"/>
          <w:vertAlign w:val="superscript"/>
        </w:rPr>
        <w:t xml:space="preserve"> </w:t>
      </w:r>
      <w:r w:rsidR="0002322E" w:rsidRPr="00FB20CC">
        <w:rPr>
          <w:sz w:val="24"/>
          <w:szCs w:val="24"/>
        </w:rPr>
        <w:t>(Rousseaux and Gregg</w:t>
      </w:r>
      <w:r w:rsidRPr="00FB20CC">
        <w:rPr>
          <w:sz w:val="24"/>
          <w:szCs w:val="24"/>
        </w:rPr>
        <w:t xml:space="preserve"> 2014).  Additionally, a phytoplankton-differentiated satellite algorithm</w:t>
      </w:r>
      <w:r w:rsidRPr="00FB20CC">
        <w:rPr>
          <w:sz w:val="24"/>
          <w:szCs w:val="24"/>
          <w:vertAlign w:val="superscript"/>
        </w:rPr>
        <w:t xml:space="preserve"> </w:t>
      </w:r>
      <w:r w:rsidRPr="00FB20CC">
        <w:rPr>
          <w:sz w:val="24"/>
          <w:szCs w:val="24"/>
        </w:rPr>
        <w:t>(</w:t>
      </w:r>
      <w:proofErr w:type="spellStart"/>
      <w:r w:rsidRPr="00FB20CC">
        <w:rPr>
          <w:sz w:val="24"/>
          <w:szCs w:val="24"/>
        </w:rPr>
        <w:t>Uitz</w:t>
      </w:r>
      <w:proofErr w:type="spellEnd"/>
      <w:r w:rsidRPr="00FB20CC">
        <w:rPr>
          <w:sz w:val="24"/>
          <w:szCs w:val="24"/>
        </w:rPr>
        <w:t xml:space="preserve"> </w:t>
      </w:r>
      <w:r w:rsidRPr="00FB20CC">
        <w:rPr>
          <w:i/>
          <w:sz w:val="24"/>
          <w:szCs w:val="24"/>
        </w:rPr>
        <w:t>et al</w:t>
      </w:r>
      <w:r w:rsidRPr="00FB20CC">
        <w:rPr>
          <w:sz w:val="24"/>
          <w:szCs w:val="24"/>
        </w:rPr>
        <w:t xml:space="preserve"> 2010) was evaluated and produced global primary production 7 </w:t>
      </w:r>
      <w:proofErr w:type="spellStart"/>
      <w:r w:rsidRPr="00FB20CC">
        <w:rPr>
          <w:sz w:val="24"/>
          <w:szCs w:val="24"/>
        </w:rPr>
        <w:t>PgC</w:t>
      </w:r>
      <w:proofErr w:type="spellEnd"/>
      <w:r w:rsidRPr="00FB20CC">
        <w:rPr>
          <w:sz w:val="24"/>
          <w:szCs w:val="24"/>
        </w:rPr>
        <w:t xml:space="preserve"> y</w:t>
      </w:r>
      <w:r w:rsidRPr="00FB20CC">
        <w:rPr>
          <w:sz w:val="24"/>
          <w:szCs w:val="24"/>
          <w:vertAlign w:val="superscript"/>
        </w:rPr>
        <w:t>-1</w:t>
      </w:r>
      <w:r w:rsidRPr="00FB20CC">
        <w:rPr>
          <w:sz w:val="24"/>
          <w:szCs w:val="24"/>
        </w:rPr>
        <w:t xml:space="preserve"> higher than NOBM</w:t>
      </w:r>
      <w:r w:rsidRPr="00FB20CC">
        <w:rPr>
          <w:sz w:val="24"/>
          <w:szCs w:val="24"/>
          <w:vertAlign w:val="superscript"/>
        </w:rPr>
        <w:t xml:space="preserve"> </w:t>
      </w:r>
      <w:r w:rsidR="0002322E" w:rsidRPr="00FB20CC">
        <w:rPr>
          <w:sz w:val="24"/>
          <w:szCs w:val="24"/>
        </w:rPr>
        <w:t>(Rousseaux and Gregg</w:t>
      </w:r>
      <w:r w:rsidRPr="00FB20CC">
        <w:rPr>
          <w:sz w:val="24"/>
          <w:szCs w:val="24"/>
        </w:rPr>
        <w:t xml:space="preserve"> 2014).  NOBM has also been a participant in other primary production intercomparisons, including the tropical Pacific Ocean</w:t>
      </w:r>
      <w:r w:rsidRPr="00FB20CC">
        <w:rPr>
          <w:sz w:val="24"/>
          <w:szCs w:val="24"/>
          <w:vertAlign w:val="superscript"/>
        </w:rPr>
        <w:t xml:space="preserve"> </w:t>
      </w:r>
      <w:r w:rsidRPr="00FB20CC">
        <w:rPr>
          <w:sz w:val="24"/>
          <w:szCs w:val="24"/>
        </w:rPr>
        <w:t>(</w:t>
      </w:r>
      <w:proofErr w:type="spellStart"/>
      <w:r w:rsidRPr="00FB20CC">
        <w:rPr>
          <w:sz w:val="24"/>
          <w:szCs w:val="24"/>
        </w:rPr>
        <w:t>Freidrichs</w:t>
      </w:r>
      <w:proofErr w:type="spellEnd"/>
      <w:r w:rsidRPr="00FB20CC">
        <w:rPr>
          <w:sz w:val="24"/>
          <w:szCs w:val="24"/>
        </w:rPr>
        <w:t xml:space="preserve"> </w:t>
      </w:r>
      <w:r w:rsidRPr="00FB20CC">
        <w:rPr>
          <w:i/>
          <w:sz w:val="24"/>
          <w:szCs w:val="24"/>
        </w:rPr>
        <w:t>et al</w:t>
      </w:r>
      <w:r w:rsidRPr="00FB20CC">
        <w:rPr>
          <w:sz w:val="24"/>
          <w:szCs w:val="24"/>
        </w:rPr>
        <w:t xml:space="preserve"> 2009) and Bermuda Atlantic Time-Series and Hawaii Ocean Time-Series</w:t>
      </w:r>
      <w:r w:rsidRPr="00FB20CC">
        <w:rPr>
          <w:sz w:val="24"/>
          <w:szCs w:val="24"/>
          <w:vertAlign w:val="superscript"/>
        </w:rPr>
        <w:t xml:space="preserve"> </w:t>
      </w:r>
      <w:r w:rsidRPr="00FB20CC">
        <w:rPr>
          <w:sz w:val="24"/>
          <w:szCs w:val="24"/>
        </w:rPr>
        <w:t xml:space="preserve">(Saba </w:t>
      </w:r>
      <w:r w:rsidRPr="00FB20CC">
        <w:rPr>
          <w:i/>
          <w:sz w:val="24"/>
          <w:szCs w:val="24"/>
        </w:rPr>
        <w:t>et al</w:t>
      </w:r>
      <w:r w:rsidRPr="00FB20CC">
        <w:rPr>
          <w:sz w:val="24"/>
          <w:szCs w:val="24"/>
        </w:rPr>
        <w:t xml:space="preserve"> 2010).</w:t>
      </w:r>
    </w:p>
    <w:p w14:paraId="3FD77A53" w14:textId="365DC23C" w:rsidR="00966CCB" w:rsidRPr="00FB20CC" w:rsidRDefault="00966CCB" w:rsidP="00966CCB">
      <w:pPr>
        <w:autoSpaceDE w:val="0"/>
        <w:autoSpaceDN w:val="0"/>
        <w:adjustRightInd w:val="0"/>
        <w:jc w:val="both"/>
        <w:rPr>
          <w:sz w:val="24"/>
          <w:szCs w:val="24"/>
        </w:rPr>
      </w:pPr>
      <w:r w:rsidRPr="00FB20CC">
        <w:rPr>
          <w:sz w:val="24"/>
          <w:szCs w:val="24"/>
        </w:rPr>
        <w:t xml:space="preserve">   We </w:t>
      </w:r>
      <w:r w:rsidR="00126419" w:rsidRPr="00FB20CC">
        <w:rPr>
          <w:sz w:val="24"/>
          <w:szCs w:val="24"/>
        </w:rPr>
        <w:t xml:space="preserve">integrate </w:t>
      </w:r>
      <w:r w:rsidRPr="00FB20CC">
        <w:rPr>
          <w:sz w:val="24"/>
          <w:szCs w:val="24"/>
        </w:rPr>
        <w:t xml:space="preserve"> the model 120 years under climatological atmospheric forcing from MERRA and assimilation of climatological MODIS-Aqua ocean chlorophyll data to obtain stability</w:t>
      </w:r>
      <w:r w:rsidRPr="00FB20CC">
        <w:rPr>
          <w:sz w:val="24"/>
          <w:szCs w:val="24"/>
          <w:vertAlign w:val="superscript"/>
        </w:rPr>
        <w:t xml:space="preserve"> </w:t>
      </w:r>
      <w:r w:rsidR="00DC463C" w:rsidRPr="00FB20CC">
        <w:rPr>
          <w:sz w:val="24"/>
          <w:szCs w:val="24"/>
        </w:rPr>
        <w:t>(</w:t>
      </w:r>
      <w:r w:rsidR="005E688A" w:rsidRPr="00FB20CC">
        <w:rPr>
          <w:sz w:val="24"/>
          <w:szCs w:val="24"/>
        </w:rPr>
        <w:t xml:space="preserve">defined as near zero trend; </w:t>
      </w:r>
      <w:r w:rsidRPr="00FB20CC">
        <w:rPr>
          <w:sz w:val="24"/>
          <w:szCs w:val="24"/>
        </w:rPr>
        <w:t xml:space="preserve">Rousseaux and Gregg 2015).  Then we run forward from September 1997 until 2015 using transient forcing from MERRA, and ocean color data assimilation, switching from SeaWiFS to MODIS in January 2003 and from MODIS to VIIRS in 2012.  </w:t>
      </w:r>
    </w:p>
    <w:p w14:paraId="487C860A" w14:textId="77777777" w:rsidR="00966CCB" w:rsidRPr="00FB20CC" w:rsidRDefault="00966CCB" w:rsidP="00966CCB">
      <w:pPr>
        <w:autoSpaceDE w:val="0"/>
        <w:autoSpaceDN w:val="0"/>
        <w:adjustRightInd w:val="0"/>
        <w:jc w:val="both"/>
        <w:rPr>
          <w:b/>
          <w:sz w:val="24"/>
          <w:szCs w:val="24"/>
        </w:rPr>
      </w:pPr>
      <w:r w:rsidRPr="00FB20CC">
        <w:rPr>
          <w:b/>
          <w:sz w:val="24"/>
          <w:szCs w:val="24"/>
        </w:rPr>
        <w:t>Coupled Model/Data Assimilation/Bias Correction System and Error Characterization</w:t>
      </w:r>
    </w:p>
    <w:p w14:paraId="6C2EF6D6" w14:textId="77777777" w:rsidR="00966CCB" w:rsidRPr="00FB20CC" w:rsidRDefault="00966CCB" w:rsidP="00966CCB">
      <w:pPr>
        <w:tabs>
          <w:tab w:val="left" w:pos="-720"/>
        </w:tabs>
        <w:suppressAutoHyphens/>
        <w:jc w:val="both"/>
        <w:rPr>
          <w:sz w:val="24"/>
          <w:szCs w:val="24"/>
        </w:rPr>
      </w:pPr>
      <w:r w:rsidRPr="00FB20CC">
        <w:rPr>
          <w:sz w:val="24"/>
          <w:szCs w:val="24"/>
        </w:rPr>
        <w:t xml:space="preserve">   There are three main components in this investigation: 1) a global coupled-physical three dimensional model of the oceans, 2) assimilation of global ocean color data from three different satellite sensors, and 3) adaptation of satellite ocean color data for improved consistency across multiple satellite and in situ data sets.  All three have undergone comprehensive error characterization.</w:t>
      </w:r>
    </w:p>
    <w:p w14:paraId="60C05B56" w14:textId="77777777" w:rsidR="00966CCB" w:rsidRPr="00FB20CC" w:rsidRDefault="00966CCB" w:rsidP="00966CCB">
      <w:pPr>
        <w:autoSpaceDE w:val="0"/>
        <w:autoSpaceDN w:val="0"/>
        <w:adjustRightInd w:val="0"/>
        <w:jc w:val="both"/>
        <w:rPr>
          <w:sz w:val="24"/>
          <w:szCs w:val="24"/>
        </w:rPr>
      </w:pPr>
      <w:r w:rsidRPr="00FB20CC">
        <w:rPr>
          <w:sz w:val="24"/>
          <w:szCs w:val="24"/>
        </w:rPr>
        <w:t>1) Global coupled-physical three dimensional model of the oceans.  This focuses on the NOBM, the main features of which have been described above.  It has been extensively validated against globally distributed in situ data and satellite data when and where available</w:t>
      </w:r>
      <w:r w:rsidRPr="00FB20CC">
        <w:rPr>
          <w:sz w:val="24"/>
          <w:szCs w:val="24"/>
          <w:vertAlign w:val="superscript"/>
        </w:rPr>
        <w:t xml:space="preserve"> </w:t>
      </w:r>
      <w:r w:rsidR="00954684" w:rsidRPr="00FB20CC">
        <w:rPr>
          <w:sz w:val="24"/>
          <w:szCs w:val="24"/>
        </w:rPr>
        <w:t>(Gregg and Casey</w:t>
      </w:r>
      <w:r w:rsidRPr="00FB20CC">
        <w:rPr>
          <w:sz w:val="24"/>
          <w:szCs w:val="24"/>
        </w:rPr>
        <w:t xml:space="preserve"> 2007).  Three of the four phytoplankton groups exhibited statistically positive correlations with in situ data (P&lt;0.05) and low bias, as did nitrate, silicate, and dissolved iron.  Total chlorophyll was statistically positively correlated with in situ and satellite ocean color data, as well.  Chlorophytes were positively correlated but lacked statistical significance due to their model role of representing the large diversity of intermediate phytoplankton in the oceans</w:t>
      </w:r>
      <w:r w:rsidRPr="00FB20CC">
        <w:rPr>
          <w:sz w:val="24"/>
          <w:szCs w:val="24"/>
          <w:vertAlign w:val="superscript"/>
        </w:rPr>
        <w:t xml:space="preserve"> </w:t>
      </w:r>
      <w:r w:rsidR="006762FA" w:rsidRPr="00FB20CC">
        <w:rPr>
          <w:sz w:val="24"/>
          <w:szCs w:val="24"/>
        </w:rPr>
        <w:t>(</w:t>
      </w:r>
      <w:r w:rsidRPr="00FB20CC">
        <w:rPr>
          <w:sz w:val="24"/>
          <w:szCs w:val="24"/>
        </w:rPr>
        <w:t>Gregg and Cas</w:t>
      </w:r>
      <w:r w:rsidR="0002322E" w:rsidRPr="00FB20CC">
        <w:rPr>
          <w:sz w:val="24"/>
          <w:szCs w:val="24"/>
        </w:rPr>
        <w:t>ey</w:t>
      </w:r>
      <w:r w:rsidRPr="00FB20CC">
        <w:rPr>
          <w:sz w:val="24"/>
          <w:szCs w:val="24"/>
        </w:rPr>
        <w:t xml:space="preserve"> 2007).</w:t>
      </w:r>
    </w:p>
    <w:p w14:paraId="4E7CEC26" w14:textId="77777777" w:rsidR="00966CCB" w:rsidRPr="00FB20CC" w:rsidRDefault="00966CCB" w:rsidP="00966CCB">
      <w:pPr>
        <w:tabs>
          <w:tab w:val="left" w:pos="-720"/>
        </w:tabs>
        <w:suppressAutoHyphens/>
        <w:jc w:val="both"/>
        <w:rPr>
          <w:sz w:val="24"/>
          <w:szCs w:val="24"/>
        </w:rPr>
      </w:pPr>
      <w:r w:rsidRPr="00FB20CC">
        <w:rPr>
          <w:sz w:val="24"/>
          <w:szCs w:val="24"/>
        </w:rPr>
        <w:t xml:space="preserve">   Of the 10 model variables relevant to the present work, all but three have been compared with in situ and/or satellite data sets.  These three are detritus, ammonium, and herbivores.  There are no global detritus, ammonium, or herbivore databases publicly available to our knowledge.  </w:t>
      </w:r>
    </w:p>
    <w:p w14:paraId="297C5BF3" w14:textId="77777777" w:rsidR="00966CCB" w:rsidRPr="00FB20CC" w:rsidRDefault="00966CCB" w:rsidP="00966CCB">
      <w:pPr>
        <w:tabs>
          <w:tab w:val="left" w:pos="-720"/>
        </w:tabs>
        <w:suppressAutoHyphens/>
        <w:jc w:val="both"/>
        <w:rPr>
          <w:sz w:val="24"/>
          <w:szCs w:val="24"/>
        </w:rPr>
      </w:pPr>
      <w:r w:rsidRPr="00FB20CC">
        <w:rPr>
          <w:sz w:val="24"/>
          <w:szCs w:val="24"/>
        </w:rPr>
        <w:t xml:space="preserve">   The main purpose of NOBM is to provide global, dynamic, depth-resolved biological variables, with complete temporal representation.  These aspects are essential for estimating global primary production.  As a model, NOBM is comprehensive but lacks fidelity with the natural biogeochemical system, despite the statistical comparisons described above.  Satellite observations provide more realistic estimates of global chlorophyll concentrations and as such are used to enhance the model results through data assimilation.  The constant confrontation with data in the assimilation process steers the model away from its inherent drift tendencies and provides more realistic representations of global chlorophyll.</w:t>
      </w:r>
    </w:p>
    <w:p w14:paraId="22E05391" w14:textId="4DE2C4A0" w:rsidR="00966CCB" w:rsidRPr="00FB20CC" w:rsidRDefault="00966CCB" w:rsidP="00966CCB">
      <w:pPr>
        <w:tabs>
          <w:tab w:val="left" w:pos="-720"/>
        </w:tabs>
        <w:suppressAutoHyphens/>
        <w:jc w:val="both"/>
        <w:rPr>
          <w:sz w:val="24"/>
          <w:szCs w:val="24"/>
        </w:rPr>
      </w:pPr>
      <w:r w:rsidRPr="00FB20CC">
        <w:rPr>
          <w:sz w:val="24"/>
          <w:szCs w:val="24"/>
        </w:rPr>
        <w:t>2) Assimilation of global ocean color data from satellite sensors.  The capability of data assimilation to improve the representation of global chlorophyll has also been extensively evaluated.  A rigorous comparison of chlorophyll from NOBM assimilation of SeaWiFS against independent in situ data over a 6-year time period from 1998 through 2003 indicated a bias in the assimilation model of 0.1% and an uncertainty of 33.4% for daily coincident, co-located data</w:t>
      </w:r>
      <w:r w:rsidRPr="00FB20CC">
        <w:rPr>
          <w:sz w:val="24"/>
          <w:szCs w:val="24"/>
          <w:vertAlign w:val="superscript"/>
        </w:rPr>
        <w:t xml:space="preserve"> </w:t>
      </w:r>
      <w:r w:rsidR="0002322E" w:rsidRPr="00FB20CC">
        <w:rPr>
          <w:sz w:val="24"/>
          <w:szCs w:val="24"/>
        </w:rPr>
        <w:lastRenderedPageBreak/>
        <w:t>(Gregg</w:t>
      </w:r>
      <w:r w:rsidRPr="00FB20CC">
        <w:rPr>
          <w:sz w:val="24"/>
          <w:szCs w:val="24"/>
        </w:rPr>
        <w:t xml:space="preserve"> 2008).  SeaWiFS bias compared with in situ data was slightly higher at -1.3% with nearly identical uncertainty at 32.7%.   </w:t>
      </w:r>
      <w:r w:rsidR="004C163D" w:rsidRPr="00FB20CC">
        <w:rPr>
          <w:sz w:val="24"/>
          <w:szCs w:val="24"/>
        </w:rPr>
        <w:t xml:space="preserve">Model </w:t>
      </w:r>
      <w:r w:rsidRPr="00FB20CC">
        <w:rPr>
          <w:sz w:val="24"/>
          <w:szCs w:val="24"/>
        </w:rPr>
        <w:t xml:space="preserve">bias and uncertainty </w:t>
      </w:r>
      <w:r w:rsidR="004C163D" w:rsidRPr="00FB20CC">
        <w:rPr>
          <w:sz w:val="24"/>
          <w:szCs w:val="24"/>
        </w:rPr>
        <w:t xml:space="preserve">without data assimilation </w:t>
      </w:r>
      <w:r w:rsidRPr="00FB20CC">
        <w:rPr>
          <w:sz w:val="24"/>
          <w:szCs w:val="24"/>
        </w:rPr>
        <w:t>were -1.4% and 61.8%, respectively.</w:t>
      </w:r>
    </w:p>
    <w:p w14:paraId="12F2B6CC" w14:textId="5FCE0DC0" w:rsidR="00966CCB" w:rsidRPr="00FB20CC" w:rsidRDefault="00966CCB" w:rsidP="00966CCB">
      <w:pPr>
        <w:tabs>
          <w:tab w:val="left" w:pos="-720"/>
        </w:tabs>
        <w:suppressAutoHyphens/>
        <w:jc w:val="both"/>
        <w:rPr>
          <w:sz w:val="24"/>
          <w:szCs w:val="24"/>
        </w:rPr>
      </w:pPr>
      <w:r w:rsidRPr="00FB20CC">
        <w:rPr>
          <w:sz w:val="24"/>
          <w:szCs w:val="24"/>
        </w:rPr>
        <w:t xml:space="preserve">   Assimilation not only corrects the model, it also corrects sampling errors in the satellite data.  Ocean color sensors only observe about 15% of the global oceans per day</w:t>
      </w:r>
      <w:r w:rsidRPr="00FB20CC">
        <w:rPr>
          <w:sz w:val="24"/>
          <w:szCs w:val="24"/>
          <w:vertAlign w:val="superscript"/>
        </w:rPr>
        <w:t xml:space="preserve"> </w:t>
      </w:r>
      <w:r w:rsidRPr="00FB20CC">
        <w:rPr>
          <w:sz w:val="24"/>
          <w:szCs w:val="24"/>
        </w:rPr>
        <w:t xml:space="preserve">(Gregg </w:t>
      </w:r>
      <w:r w:rsidRPr="00FB20CC">
        <w:rPr>
          <w:i/>
          <w:sz w:val="24"/>
          <w:szCs w:val="24"/>
        </w:rPr>
        <w:t>et al</w:t>
      </w:r>
      <w:r w:rsidRPr="00FB20CC">
        <w:rPr>
          <w:sz w:val="24"/>
          <w:szCs w:val="24"/>
        </w:rPr>
        <w:t xml:space="preserve"> 1998).  Models provide complete daily coverage.  The 15% of the oceans observed by satellite occur in the best places and times for phytoplankton growth: the highest solar elevations and the clearest skies.  Persistent clouds in some regions obscure many regions to 3 or fewer observations per month.  In the high latitudes, whole seasons are missing.  This leads to important biases in satellite-based estimates of chlorophyll and primary production.  These biases are </w:t>
      </w:r>
      <w:r w:rsidR="002061F5" w:rsidRPr="00FB20CC">
        <w:rPr>
          <w:sz w:val="24"/>
          <w:szCs w:val="24"/>
        </w:rPr>
        <w:t xml:space="preserve">primarily in </w:t>
      </w:r>
      <w:r w:rsidR="009D0B5D" w:rsidRPr="00FB20CC">
        <w:rPr>
          <w:sz w:val="24"/>
          <w:szCs w:val="24"/>
        </w:rPr>
        <w:t xml:space="preserve">the direction of overestimation.  </w:t>
      </w:r>
      <w:r w:rsidRPr="00FB20CC">
        <w:rPr>
          <w:sz w:val="24"/>
          <w:szCs w:val="24"/>
        </w:rPr>
        <w:t xml:space="preserve">Our estimates of global ocean chlorophyll using data assimilation are typically about 25% lower than satellites.  </w:t>
      </w:r>
      <w:r w:rsidR="002061F5" w:rsidRPr="00FB20CC">
        <w:rPr>
          <w:sz w:val="24"/>
          <w:szCs w:val="24"/>
        </w:rPr>
        <w:t xml:space="preserve">These biases migrate into satellite-derived primary production estimates.  </w:t>
      </w:r>
    </w:p>
    <w:p w14:paraId="045B70C7" w14:textId="77777777" w:rsidR="00966CCB" w:rsidRPr="00FB20CC" w:rsidRDefault="00966CCB" w:rsidP="00966CCB">
      <w:pPr>
        <w:tabs>
          <w:tab w:val="left" w:pos="-720"/>
        </w:tabs>
        <w:suppressAutoHyphens/>
        <w:jc w:val="both"/>
        <w:rPr>
          <w:rFonts w:eastAsiaTheme="minorHAnsi"/>
          <w:sz w:val="24"/>
          <w:szCs w:val="24"/>
        </w:rPr>
      </w:pPr>
      <w:r w:rsidRPr="00FB20CC">
        <w:rPr>
          <w:sz w:val="24"/>
          <w:szCs w:val="24"/>
        </w:rPr>
        <w:t xml:space="preserve">3) Adaptation of satellite ocean color data for reduced bias and improved consistency across multiple satellite data sets.  Satellite estimates of ocean chlorophyll have their own biases and uncertainties with respect to in situ data.  We address this issue using the </w:t>
      </w:r>
      <w:r w:rsidRPr="00FB20CC">
        <w:rPr>
          <w:rFonts w:eastAsiaTheme="minorHAnsi"/>
          <w:sz w:val="24"/>
          <w:szCs w:val="24"/>
        </w:rPr>
        <w:t>Empirical Satellite Radiance-In situ Data (ESRID) methodology</w:t>
      </w:r>
      <w:r w:rsidRPr="00FB20CC">
        <w:rPr>
          <w:rFonts w:eastAsiaTheme="minorHAnsi"/>
          <w:sz w:val="24"/>
          <w:szCs w:val="24"/>
          <w:vertAlign w:val="superscript"/>
        </w:rPr>
        <w:t xml:space="preserve"> </w:t>
      </w:r>
      <w:r w:rsidRPr="00FB20CC">
        <w:rPr>
          <w:rFonts w:eastAsiaTheme="minorHAnsi"/>
          <w:sz w:val="24"/>
          <w:szCs w:val="24"/>
        </w:rPr>
        <w:t xml:space="preserve">(Gregg </w:t>
      </w:r>
      <w:r w:rsidRPr="00FB20CC">
        <w:rPr>
          <w:rFonts w:eastAsiaTheme="minorHAnsi"/>
          <w:i/>
          <w:sz w:val="24"/>
          <w:szCs w:val="24"/>
        </w:rPr>
        <w:t>et al</w:t>
      </w:r>
      <w:r w:rsidRPr="00FB20CC">
        <w:rPr>
          <w:rFonts w:eastAsiaTheme="minorHAnsi"/>
          <w:sz w:val="24"/>
          <w:szCs w:val="24"/>
        </w:rPr>
        <w:t xml:space="preserve"> 2009).  ESRID forces satellite radiances to agree with in situ data, which we take from the five major international in situ data archives (see Acknowledgements). ESRID is substituted for the NASA standard algorithm at chlorophyll concentrations &gt;0.2 mg m</w:t>
      </w:r>
      <w:r w:rsidRPr="00FB20CC">
        <w:rPr>
          <w:rFonts w:eastAsiaTheme="minorHAnsi"/>
          <w:sz w:val="24"/>
          <w:szCs w:val="24"/>
          <w:vertAlign w:val="superscript"/>
        </w:rPr>
        <w:t xml:space="preserve">-3 </w:t>
      </w:r>
      <w:r w:rsidRPr="00FB20CC">
        <w:rPr>
          <w:rFonts w:eastAsiaTheme="minorHAnsi"/>
          <w:sz w:val="24"/>
          <w:szCs w:val="24"/>
        </w:rPr>
        <w:t>(Gregg</w:t>
      </w:r>
      <w:r w:rsidRPr="00FB20CC">
        <w:rPr>
          <w:rFonts w:eastAsiaTheme="minorHAnsi"/>
          <w:sz w:val="24"/>
          <w:szCs w:val="24"/>
          <w:vertAlign w:val="superscript"/>
        </w:rPr>
        <w:t xml:space="preserve"> </w:t>
      </w:r>
      <w:r w:rsidRPr="00FB20CC">
        <w:rPr>
          <w:rFonts w:eastAsiaTheme="minorHAnsi"/>
          <w:i/>
          <w:sz w:val="24"/>
          <w:szCs w:val="24"/>
        </w:rPr>
        <w:t>et al</w:t>
      </w:r>
      <w:r w:rsidRPr="00FB20CC">
        <w:rPr>
          <w:rFonts w:eastAsiaTheme="minorHAnsi"/>
          <w:sz w:val="24"/>
          <w:szCs w:val="24"/>
        </w:rPr>
        <w:t xml:space="preserve"> 2017).  </w:t>
      </w:r>
    </w:p>
    <w:p w14:paraId="43022C67" w14:textId="77777777" w:rsidR="00966CCB" w:rsidRPr="00FB20CC" w:rsidRDefault="00966CCB" w:rsidP="00966CCB">
      <w:pPr>
        <w:tabs>
          <w:tab w:val="left" w:pos="-720"/>
        </w:tabs>
        <w:suppressAutoHyphens/>
        <w:jc w:val="both"/>
        <w:rPr>
          <w:rFonts w:eastAsiaTheme="minorHAnsi"/>
          <w:sz w:val="24"/>
          <w:szCs w:val="24"/>
        </w:rPr>
      </w:pPr>
      <w:r w:rsidRPr="00FB20CC">
        <w:rPr>
          <w:rFonts w:eastAsiaTheme="minorHAnsi"/>
          <w:sz w:val="24"/>
          <w:szCs w:val="24"/>
        </w:rPr>
        <w:t xml:space="preserve">   VIIRS requires a modification to ESRID because there is insufficient in situ data in the major in situ archives to apply ESRID.  Instead we utilize ESRID-MODIS to derive empirical relationships with VIIRS satellite radiances</w:t>
      </w:r>
      <w:r w:rsidRPr="00FB20CC">
        <w:rPr>
          <w:rFonts w:eastAsiaTheme="minorHAnsi"/>
          <w:sz w:val="24"/>
          <w:szCs w:val="24"/>
          <w:vertAlign w:val="superscript"/>
        </w:rPr>
        <w:t xml:space="preserve"> </w:t>
      </w:r>
      <w:r w:rsidR="00DC463C" w:rsidRPr="00FB20CC">
        <w:rPr>
          <w:rFonts w:eastAsiaTheme="minorHAnsi"/>
          <w:sz w:val="24"/>
          <w:szCs w:val="24"/>
        </w:rPr>
        <w:t>(</w:t>
      </w:r>
      <w:r w:rsidRPr="00FB20CC">
        <w:rPr>
          <w:rFonts w:eastAsiaTheme="minorHAnsi"/>
          <w:sz w:val="24"/>
          <w:szCs w:val="24"/>
        </w:rPr>
        <w:t xml:space="preserve">Gregg </w:t>
      </w:r>
      <w:r w:rsidRPr="00FB20CC">
        <w:rPr>
          <w:rFonts w:eastAsiaTheme="minorHAnsi"/>
          <w:i/>
          <w:sz w:val="24"/>
          <w:szCs w:val="24"/>
        </w:rPr>
        <w:t>et al</w:t>
      </w:r>
      <w:r w:rsidRPr="00FB20CC">
        <w:rPr>
          <w:rFonts w:eastAsiaTheme="minorHAnsi"/>
          <w:sz w:val="24"/>
          <w:szCs w:val="24"/>
        </w:rPr>
        <w:t xml:space="preserve"> 2017).  Statistics on comparisons with data of ESRID-SeaWiFS and ESRID MODIS with in situ data and ESRIDS-VIIRS show the bias and uncertainty in Table 1.  </w:t>
      </w:r>
    </w:p>
    <w:p w14:paraId="456E4867" w14:textId="77777777" w:rsidR="00966CCB" w:rsidRPr="00FB20CC" w:rsidRDefault="00966CCB" w:rsidP="00966CCB">
      <w:pPr>
        <w:tabs>
          <w:tab w:val="left" w:pos="-720"/>
        </w:tabs>
        <w:suppressAutoHyphens/>
        <w:jc w:val="both"/>
        <w:rPr>
          <w:rFonts w:eastAsiaTheme="minorHAnsi"/>
          <w:sz w:val="24"/>
          <w:szCs w:val="24"/>
        </w:rPr>
      </w:pPr>
    </w:p>
    <w:p w14:paraId="32DC8138" w14:textId="77777777" w:rsidR="00966CCB" w:rsidRPr="00FB20CC" w:rsidRDefault="00966CCB" w:rsidP="00966CCB">
      <w:pPr>
        <w:tabs>
          <w:tab w:val="left" w:pos="-720"/>
        </w:tabs>
        <w:suppressAutoHyphens/>
        <w:jc w:val="both"/>
        <w:rPr>
          <w:rFonts w:eastAsiaTheme="minorHAnsi"/>
          <w:sz w:val="24"/>
          <w:szCs w:val="24"/>
        </w:rPr>
      </w:pPr>
      <w:r w:rsidRPr="00FB20CC">
        <w:rPr>
          <w:rFonts w:eastAsiaTheme="minorHAnsi"/>
          <w:sz w:val="24"/>
          <w:szCs w:val="24"/>
        </w:rPr>
        <w:t>Table 1.  Bias and uncertainty (expressed as semi-interquartile range</w:t>
      </w:r>
      <w:r w:rsidRPr="00FB20CC">
        <w:rPr>
          <w:rFonts w:eastAsiaTheme="minorHAnsi"/>
          <w:sz w:val="24"/>
          <w:szCs w:val="24"/>
          <w:vertAlign w:val="superscript"/>
        </w:rPr>
        <w:t xml:space="preserve"> </w:t>
      </w:r>
      <w:r w:rsidRPr="00FB20CC">
        <w:rPr>
          <w:rFonts w:eastAsiaTheme="minorHAnsi"/>
          <w:sz w:val="24"/>
          <w:szCs w:val="24"/>
        </w:rPr>
        <w:t xml:space="preserve">(Gregg </w:t>
      </w:r>
      <w:r w:rsidRPr="00FB20CC">
        <w:rPr>
          <w:rFonts w:eastAsiaTheme="minorHAnsi"/>
          <w:i/>
          <w:sz w:val="24"/>
          <w:szCs w:val="24"/>
        </w:rPr>
        <w:t>et al</w:t>
      </w:r>
      <w:r w:rsidRPr="00FB20CC">
        <w:rPr>
          <w:rFonts w:eastAsiaTheme="minorHAnsi"/>
          <w:sz w:val="24"/>
          <w:szCs w:val="24"/>
        </w:rPr>
        <w:t xml:space="preserve"> 2009) as compared with in situ data from major international archives (see Acknowledgements) for ESRID-SeaWiFS, ESRID-MODIS.  ESRIDS-VIIRS is compared with ESRID-MODIS.</w:t>
      </w:r>
    </w:p>
    <w:p w14:paraId="5056071A" w14:textId="77777777" w:rsidR="00966CCB" w:rsidRPr="00FB20CC" w:rsidRDefault="00966CCB" w:rsidP="00966CCB">
      <w:pPr>
        <w:tabs>
          <w:tab w:val="left" w:pos="-720"/>
        </w:tabs>
        <w:suppressAutoHyphens/>
        <w:jc w:val="both"/>
        <w:rPr>
          <w:rFonts w:eastAsiaTheme="minorHAnsi"/>
          <w:sz w:val="24"/>
          <w:szCs w:val="24"/>
        </w:rPr>
      </w:pPr>
    </w:p>
    <w:tbl>
      <w:tblPr>
        <w:tblStyle w:val="TableGrid"/>
        <w:tblW w:w="0" w:type="auto"/>
        <w:tblLook w:val="04A0" w:firstRow="1" w:lastRow="0" w:firstColumn="1" w:lastColumn="0" w:noHBand="0" w:noVBand="1"/>
      </w:tblPr>
      <w:tblGrid>
        <w:gridCol w:w="3055"/>
        <w:gridCol w:w="1890"/>
        <w:gridCol w:w="2067"/>
        <w:gridCol w:w="2338"/>
      </w:tblGrid>
      <w:tr w:rsidR="00FB20CC" w:rsidRPr="00FB20CC" w14:paraId="16ED9898" w14:textId="77777777" w:rsidTr="00954684">
        <w:tc>
          <w:tcPr>
            <w:tcW w:w="3055" w:type="dxa"/>
          </w:tcPr>
          <w:p w14:paraId="0F5B4E69" w14:textId="77777777" w:rsidR="00966CCB" w:rsidRPr="00FB20CC" w:rsidRDefault="00966CCB" w:rsidP="00954684">
            <w:pPr>
              <w:tabs>
                <w:tab w:val="left" w:pos="-720"/>
              </w:tabs>
              <w:suppressAutoHyphens/>
              <w:jc w:val="both"/>
              <w:rPr>
                <w:rFonts w:eastAsiaTheme="minorHAnsi"/>
                <w:b/>
                <w:sz w:val="28"/>
                <w:szCs w:val="28"/>
              </w:rPr>
            </w:pPr>
            <w:r w:rsidRPr="00FB20CC">
              <w:rPr>
                <w:rFonts w:eastAsiaTheme="minorHAnsi"/>
                <w:b/>
                <w:sz w:val="28"/>
                <w:szCs w:val="28"/>
              </w:rPr>
              <w:t>Ocean Color Sensor</w:t>
            </w:r>
          </w:p>
        </w:tc>
        <w:tc>
          <w:tcPr>
            <w:tcW w:w="1890" w:type="dxa"/>
          </w:tcPr>
          <w:p w14:paraId="3CDBBD14" w14:textId="77777777" w:rsidR="00966CCB" w:rsidRPr="00FB20CC" w:rsidRDefault="00966CCB" w:rsidP="00954684">
            <w:pPr>
              <w:tabs>
                <w:tab w:val="left" w:pos="-720"/>
              </w:tabs>
              <w:suppressAutoHyphens/>
              <w:jc w:val="both"/>
              <w:rPr>
                <w:rFonts w:eastAsiaTheme="minorHAnsi"/>
                <w:b/>
                <w:sz w:val="28"/>
                <w:szCs w:val="28"/>
              </w:rPr>
            </w:pPr>
            <w:r w:rsidRPr="00FB20CC">
              <w:rPr>
                <w:rFonts w:eastAsiaTheme="minorHAnsi"/>
                <w:b/>
                <w:sz w:val="28"/>
                <w:szCs w:val="28"/>
              </w:rPr>
              <w:t xml:space="preserve">      Bias</w:t>
            </w:r>
          </w:p>
        </w:tc>
        <w:tc>
          <w:tcPr>
            <w:tcW w:w="2067" w:type="dxa"/>
          </w:tcPr>
          <w:p w14:paraId="54F1852D" w14:textId="77777777" w:rsidR="00966CCB" w:rsidRPr="00FB20CC" w:rsidRDefault="00966CCB" w:rsidP="00954684">
            <w:pPr>
              <w:tabs>
                <w:tab w:val="left" w:pos="-720"/>
              </w:tabs>
              <w:suppressAutoHyphens/>
              <w:jc w:val="both"/>
              <w:rPr>
                <w:rFonts w:eastAsiaTheme="minorHAnsi"/>
                <w:b/>
                <w:sz w:val="28"/>
                <w:szCs w:val="28"/>
              </w:rPr>
            </w:pPr>
            <w:r w:rsidRPr="00FB20CC">
              <w:rPr>
                <w:rFonts w:eastAsiaTheme="minorHAnsi"/>
                <w:b/>
                <w:sz w:val="28"/>
                <w:szCs w:val="28"/>
              </w:rPr>
              <w:t>Uncertainty</w:t>
            </w:r>
          </w:p>
        </w:tc>
        <w:tc>
          <w:tcPr>
            <w:tcW w:w="2338" w:type="dxa"/>
          </w:tcPr>
          <w:p w14:paraId="508EF22D" w14:textId="77777777" w:rsidR="00966CCB" w:rsidRPr="00FB20CC" w:rsidRDefault="00966CCB" w:rsidP="00954684">
            <w:pPr>
              <w:tabs>
                <w:tab w:val="left" w:pos="-720"/>
              </w:tabs>
              <w:suppressAutoHyphens/>
              <w:jc w:val="both"/>
              <w:rPr>
                <w:rFonts w:eastAsiaTheme="minorHAnsi"/>
                <w:b/>
                <w:sz w:val="28"/>
                <w:szCs w:val="28"/>
              </w:rPr>
            </w:pPr>
            <w:r w:rsidRPr="00FB20CC">
              <w:rPr>
                <w:rFonts w:eastAsiaTheme="minorHAnsi"/>
                <w:b/>
                <w:sz w:val="28"/>
                <w:szCs w:val="28"/>
              </w:rPr>
              <w:t>Correlation</w:t>
            </w:r>
          </w:p>
        </w:tc>
      </w:tr>
      <w:tr w:rsidR="00FB20CC" w:rsidRPr="00FB20CC" w14:paraId="3EE8E078" w14:textId="77777777" w:rsidTr="00954684">
        <w:tc>
          <w:tcPr>
            <w:tcW w:w="3055" w:type="dxa"/>
          </w:tcPr>
          <w:p w14:paraId="3403B671" w14:textId="77777777" w:rsidR="00966CCB" w:rsidRPr="00FB20CC" w:rsidRDefault="00966CCB" w:rsidP="00954684">
            <w:pPr>
              <w:tabs>
                <w:tab w:val="left" w:pos="-720"/>
              </w:tabs>
              <w:suppressAutoHyphens/>
              <w:jc w:val="both"/>
              <w:rPr>
                <w:rFonts w:eastAsiaTheme="minorHAnsi"/>
                <w:sz w:val="24"/>
                <w:szCs w:val="24"/>
              </w:rPr>
            </w:pPr>
            <w:proofErr w:type="spellStart"/>
            <w:r w:rsidRPr="00FB20CC">
              <w:rPr>
                <w:rFonts w:eastAsiaTheme="minorHAnsi"/>
                <w:sz w:val="24"/>
                <w:szCs w:val="24"/>
              </w:rPr>
              <w:t>SeaWiFS</w:t>
            </w:r>
            <w:proofErr w:type="spellEnd"/>
          </w:p>
        </w:tc>
        <w:tc>
          <w:tcPr>
            <w:tcW w:w="1890" w:type="dxa"/>
          </w:tcPr>
          <w:p w14:paraId="0D7AE1DF"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 xml:space="preserve">      15.8%</w:t>
            </w:r>
          </w:p>
        </w:tc>
        <w:tc>
          <w:tcPr>
            <w:tcW w:w="2067" w:type="dxa"/>
          </w:tcPr>
          <w:p w14:paraId="3E37F32A"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 xml:space="preserve">      35.7%</w:t>
            </w:r>
          </w:p>
        </w:tc>
        <w:tc>
          <w:tcPr>
            <w:tcW w:w="2338" w:type="dxa"/>
          </w:tcPr>
          <w:p w14:paraId="03787338"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 xml:space="preserve">      0.870</w:t>
            </w:r>
          </w:p>
        </w:tc>
      </w:tr>
      <w:tr w:rsidR="00FB20CC" w:rsidRPr="00FB20CC" w14:paraId="1C1FF51B" w14:textId="77777777" w:rsidTr="00954684">
        <w:tc>
          <w:tcPr>
            <w:tcW w:w="3055" w:type="dxa"/>
          </w:tcPr>
          <w:p w14:paraId="06F82D1F"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ESRID-</w:t>
            </w:r>
            <w:proofErr w:type="spellStart"/>
            <w:r w:rsidRPr="00FB20CC">
              <w:rPr>
                <w:rFonts w:eastAsiaTheme="minorHAnsi"/>
                <w:sz w:val="24"/>
                <w:szCs w:val="24"/>
              </w:rPr>
              <w:t>SeaWiFS</w:t>
            </w:r>
            <w:proofErr w:type="spellEnd"/>
          </w:p>
        </w:tc>
        <w:tc>
          <w:tcPr>
            <w:tcW w:w="1890" w:type="dxa"/>
          </w:tcPr>
          <w:p w14:paraId="79E7A359"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 xml:space="preserve">      -5.1%</w:t>
            </w:r>
          </w:p>
        </w:tc>
        <w:tc>
          <w:tcPr>
            <w:tcW w:w="2067" w:type="dxa"/>
          </w:tcPr>
          <w:p w14:paraId="46728A2A"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 xml:space="preserve">      34.4%</w:t>
            </w:r>
          </w:p>
        </w:tc>
        <w:tc>
          <w:tcPr>
            <w:tcW w:w="2338" w:type="dxa"/>
          </w:tcPr>
          <w:p w14:paraId="332B3869"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 xml:space="preserve">      0.868</w:t>
            </w:r>
          </w:p>
        </w:tc>
      </w:tr>
      <w:tr w:rsidR="00FB20CC" w:rsidRPr="00FB20CC" w14:paraId="74EB2B69" w14:textId="77777777" w:rsidTr="00954684">
        <w:tc>
          <w:tcPr>
            <w:tcW w:w="3055" w:type="dxa"/>
          </w:tcPr>
          <w:p w14:paraId="110AC1F0"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MODIS-Aqua</w:t>
            </w:r>
          </w:p>
        </w:tc>
        <w:tc>
          <w:tcPr>
            <w:tcW w:w="1890" w:type="dxa"/>
          </w:tcPr>
          <w:p w14:paraId="64BEBF58"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 xml:space="preserve">      17.2%</w:t>
            </w:r>
          </w:p>
        </w:tc>
        <w:tc>
          <w:tcPr>
            <w:tcW w:w="2067" w:type="dxa"/>
          </w:tcPr>
          <w:p w14:paraId="04BF84CA"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 xml:space="preserve">      32.2%</w:t>
            </w:r>
          </w:p>
        </w:tc>
        <w:tc>
          <w:tcPr>
            <w:tcW w:w="2338" w:type="dxa"/>
          </w:tcPr>
          <w:p w14:paraId="4255E97D"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 xml:space="preserve">      0.854</w:t>
            </w:r>
          </w:p>
        </w:tc>
      </w:tr>
      <w:tr w:rsidR="00FB20CC" w:rsidRPr="00FB20CC" w14:paraId="20968CAC" w14:textId="77777777" w:rsidTr="00954684">
        <w:tc>
          <w:tcPr>
            <w:tcW w:w="3055" w:type="dxa"/>
          </w:tcPr>
          <w:p w14:paraId="7CED5486"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ESRID-MODIS</w:t>
            </w:r>
          </w:p>
        </w:tc>
        <w:tc>
          <w:tcPr>
            <w:tcW w:w="1890" w:type="dxa"/>
          </w:tcPr>
          <w:p w14:paraId="37D0A2C6"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 xml:space="preserve">      -3.7%</w:t>
            </w:r>
          </w:p>
        </w:tc>
        <w:tc>
          <w:tcPr>
            <w:tcW w:w="2067" w:type="dxa"/>
          </w:tcPr>
          <w:p w14:paraId="5A0156C7"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 xml:space="preserve">      32.3%</w:t>
            </w:r>
          </w:p>
        </w:tc>
        <w:tc>
          <w:tcPr>
            <w:tcW w:w="2338" w:type="dxa"/>
          </w:tcPr>
          <w:p w14:paraId="006AE9C3"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 xml:space="preserve">      0.863</w:t>
            </w:r>
          </w:p>
        </w:tc>
      </w:tr>
      <w:tr w:rsidR="00FB20CC" w:rsidRPr="00FB20CC" w14:paraId="5A2710DD" w14:textId="77777777" w:rsidTr="00954684">
        <w:tc>
          <w:tcPr>
            <w:tcW w:w="3055" w:type="dxa"/>
          </w:tcPr>
          <w:p w14:paraId="4A9F6A1E"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VIIRS</w:t>
            </w:r>
          </w:p>
        </w:tc>
        <w:tc>
          <w:tcPr>
            <w:tcW w:w="1890" w:type="dxa"/>
          </w:tcPr>
          <w:p w14:paraId="60B6D8C0"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 xml:space="preserve">      11.8%</w:t>
            </w:r>
          </w:p>
        </w:tc>
        <w:tc>
          <w:tcPr>
            <w:tcW w:w="2067" w:type="dxa"/>
          </w:tcPr>
          <w:p w14:paraId="61A629CB"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 xml:space="preserve">      27.9%</w:t>
            </w:r>
          </w:p>
        </w:tc>
        <w:tc>
          <w:tcPr>
            <w:tcW w:w="2338" w:type="dxa"/>
          </w:tcPr>
          <w:p w14:paraId="3E9E4E1A"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 xml:space="preserve">      0.857</w:t>
            </w:r>
          </w:p>
        </w:tc>
      </w:tr>
      <w:tr w:rsidR="00966CCB" w:rsidRPr="00FB20CC" w14:paraId="5838DA1B" w14:textId="77777777" w:rsidTr="00954684">
        <w:tc>
          <w:tcPr>
            <w:tcW w:w="3055" w:type="dxa"/>
          </w:tcPr>
          <w:p w14:paraId="27BECAD3"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ESRIDS-VIIRS</w:t>
            </w:r>
          </w:p>
        </w:tc>
        <w:tc>
          <w:tcPr>
            <w:tcW w:w="1890" w:type="dxa"/>
          </w:tcPr>
          <w:p w14:paraId="5D77C0A4"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 xml:space="preserve">        1.4%</w:t>
            </w:r>
          </w:p>
        </w:tc>
        <w:tc>
          <w:tcPr>
            <w:tcW w:w="2067" w:type="dxa"/>
          </w:tcPr>
          <w:p w14:paraId="56263210"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 xml:space="preserve">      26.9%</w:t>
            </w:r>
          </w:p>
        </w:tc>
        <w:tc>
          <w:tcPr>
            <w:tcW w:w="2338" w:type="dxa"/>
          </w:tcPr>
          <w:p w14:paraId="125B6B87" w14:textId="77777777" w:rsidR="00966CCB" w:rsidRPr="00FB20CC" w:rsidRDefault="00966CCB" w:rsidP="00954684">
            <w:pPr>
              <w:tabs>
                <w:tab w:val="left" w:pos="-720"/>
              </w:tabs>
              <w:suppressAutoHyphens/>
              <w:jc w:val="both"/>
              <w:rPr>
                <w:rFonts w:eastAsiaTheme="minorHAnsi"/>
                <w:sz w:val="24"/>
                <w:szCs w:val="24"/>
              </w:rPr>
            </w:pPr>
            <w:r w:rsidRPr="00FB20CC">
              <w:rPr>
                <w:rFonts w:eastAsiaTheme="minorHAnsi"/>
                <w:sz w:val="24"/>
                <w:szCs w:val="24"/>
              </w:rPr>
              <w:t xml:space="preserve">      0.864</w:t>
            </w:r>
          </w:p>
        </w:tc>
      </w:tr>
    </w:tbl>
    <w:p w14:paraId="18142344" w14:textId="77777777" w:rsidR="00966CCB" w:rsidRPr="00FB20CC" w:rsidRDefault="00966CCB" w:rsidP="00966CCB">
      <w:pPr>
        <w:tabs>
          <w:tab w:val="left" w:pos="-720"/>
        </w:tabs>
        <w:suppressAutoHyphens/>
        <w:jc w:val="both"/>
        <w:rPr>
          <w:rFonts w:eastAsiaTheme="minorHAnsi"/>
          <w:sz w:val="24"/>
          <w:szCs w:val="24"/>
        </w:rPr>
      </w:pPr>
    </w:p>
    <w:p w14:paraId="579998EE" w14:textId="77777777" w:rsidR="00966CCB" w:rsidRPr="00FB20CC" w:rsidRDefault="00966CCB" w:rsidP="00966CCB">
      <w:pPr>
        <w:tabs>
          <w:tab w:val="left" w:pos="-720"/>
        </w:tabs>
        <w:suppressAutoHyphens/>
        <w:jc w:val="both"/>
        <w:rPr>
          <w:rFonts w:eastAsiaTheme="minorHAnsi"/>
          <w:sz w:val="24"/>
          <w:szCs w:val="24"/>
        </w:rPr>
      </w:pPr>
    </w:p>
    <w:p w14:paraId="3A8CC943" w14:textId="77777777" w:rsidR="00966CCB" w:rsidRPr="00FB20CC" w:rsidRDefault="00966CCB" w:rsidP="00966CCB">
      <w:pPr>
        <w:tabs>
          <w:tab w:val="left" w:pos="-720"/>
        </w:tabs>
        <w:suppressAutoHyphens/>
        <w:jc w:val="both"/>
        <w:rPr>
          <w:sz w:val="24"/>
          <w:szCs w:val="24"/>
        </w:rPr>
      </w:pPr>
      <w:r w:rsidRPr="00FB20CC">
        <w:rPr>
          <w:rFonts w:eastAsiaTheme="minorHAnsi"/>
          <w:sz w:val="24"/>
          <w:szCs w:val="24"/>
        </w:rPr>
        <w:t xml:space="preserve">   The three approaches used here: global coupled physical-biological dynamical model to resolve vertical resolution necessary for estimating primary production and to provide complete daily representation of the global oceans, data assimilation to correct the model for biases, and in situ data to correct satellite data for their individual biases, produce a unique perspective to evaluate global primary production trends in the modern ocean color record.  Together they provide a global representation of primary production with attention to minimizing the biases, uncertainties, and sampling issues inherent in each.  </w:t>
      </w:r>
    </w:p>
    <w:p w14:paraId="4611F145" w14:textId="77777777" w:rsidR="00966CCB" w:rsidRPr="00FB20CC" w:rsidRDefault="00966CCB" w:rsidP="00966CCB">
      <w:pPr>
        <w:tabs>
          <w:tab w:val="left" w:pos="-720"/>
        </w:tabs>
        <w:suppressAutoHyphens/>
        <w:jc w:val="both"/>
        <w:rPr>
          <w:sz w:val="24"/>
          <w:szCs w:val="24"/>
        </w:rPr>
      </w:pPr>
    </w:p>
    <w:p w14:paraId="3961CD6B" w14:textId="77777777" w:rsidR="00966CCB" w:rsidRPr="00FB20CC" w:rsidRDefault="00966CCB" w:rsidP="00966CCB">
      <w:pPr>
        <w:tabs>
          <w:tab w:val="left" w:pos="-720"/>
        </w:tabs>
        <w:suppressAutoHyphens/>
        <w:jc w:val="both"/>
        <w:rPr>
          <w:b/>
          <w:i/>
          <w:sz w:val="24"/>
          <w:szCs w:val="24"/>
        </w:rPr>
      </w:pPr>
      <w:r w:rsidRPr="00FB20CC">
        <w:rPr>
          <w:b/>
          <w:sz w:val="24"/>
          <w:szCs w:val="24"/>
        </w:rPr>
        <w:t>Statistical Treatment of Primary Production Trends</w:t>
      </w:r>
    </w:p>
    <w:p w14:paraId="7812442E" w14:textId="16262CFC" w:rsidR="00966CCB" w:rsidRPr="00FB20CC" w:rsidRDefault="00966CCB" w:rsidP="00966CCB">
      <w:pPr>
        <w:autoSpaceDE w:val="0"/>
        <w:autoSpaceDN w:val="0"/>
        <w:adjustRightInd w:val="0"/>
        <w:jc w:val="both"/>
        <w:rPr>
          <w:sz w:val="24"/>
          <w:szCs w:val="24"/>
        </w:rPr>
      </w:pPr>
      <w:r w:rsidRPr="00FB20CC">
        <w:rPr>
          <w:sz w:val="24"/>
          <w:szCs w:val="24"/>
        </w:rPr>
        <w:t xml:space="preserve">   We derive trends using linear regression analysis on global annual net primary production from satellite data assimilation and associated biological variables by 1) integrating annual primary production spatially at each model grid point by depth and day, 2) aggregating data over ocean basins and globally, 3) correcting for end-point bias</w:t>
      </w:r>
      <w:r w:rsidRPr="00FB20CC">
        <w:rPr>
          <w:sz w:val="24"/>
          <w:szCs w:val="24"/>
          <w:vertAlign w:val="superscript"/>
        </w:rPr>
        <w:t xml:space="preserve"> </w:t>
      </w:r>
      <w:r w:rsidRPr="00FB20CC">
        <w:rPr>
          <w:sz w:val="24"/>
          <w:szCs w:val="24"/>
        </w:rPr>
        <w:t>(Gregg and Rousseaux 2008), 4) deriving best fit linear trends, and 5) evaluating statistical significance of the trends.  A statistically significant trend exceeds the 95% confidence level.</w:t>
      </w:r>
    </w:p>
    <w:p w14:paraId="6FCE8F65" w14:textId="572B339D" w:rsidR="00966CCB" w:rsidRPr="00FB20CC" w:rsidRDefault="00966CCB" w:rsidP="00966CCB">
      <w:pPr>
        <w:autoSpaceDE w:val="0"/>
        <w:autoSpaceDN w:val="0"/>
        <w:adjustRightInd w:val="0"/>
        <w:jc w:val="both"/>
        <w:rPr>
          <w:sz w:val="24"/>
          <w:szCs w:val="24"/>
        </w:rPr>
      </w:pPr>
      <w:r w:rsidRPr="00FB20CC">
        <w:rPr>
          <w:sz w:val="24"/>
          <w:szCs w:val="24"/>
        </w:rPr>
        <w:t xml:space="preserve">   End-point bias correction is applied to prevent anomalous data at the beginning or end of a time series from overly influencing the detection of a trend.  In the case of our 18-year time series, both the beginning (1998) and end years (2015) are associated with unusually strong El Niño events.  This is an unfortunate artifact of the launch of the first modern ocean color sensor, and the end which marks the completion of a verified processing version.  The 1998 El Niño caused few issues in the time series trends, because higher surface ocean temperatures succeeded it, and thus it is not the highest in the series.  The 2015 event, since it occurred at the end of the series and represented the highest surface temperature observed in the series, produced maxima or minima of several of the reported variables in this analysis.  Reporting a trend when in fact it is an artifact of an unusual event occurring at the beginning or end, and when it produces a significant trend that otherwise would not exist, is a classic manifestation of end-point bias.  Observation of a trend in these circumstances, increases the probability of a Type-1 error, i.e., finding a significant trend where one does not exist</w:t>
      </w:r>
      <w:r w:rsidR="00CE0ACE" w:rsidRPr="00FB20CC">
        <w:rPr>
          <w:sz w:val="24"/>
          <w:szCs w:val="24"/>
          <w:vertAlign w:val="superscript"/>
        </w:rPr>
        <w:t xml:space="preserve"> </w:t>
      </w:r>
      <w:r w:rsidR="00CE0ACE" w:rsidRPr="00FB20CC">
        <w:rPr>
          <w:sz w:val="24"/>
          <w:szCs w:val="24"/>
        </w:rPr>
        <w:t>(</w:t>
      </w:r>
      <w:proofErr w:type="spellStart"/>
      <w:r w:rsidR="00CE0ACE" w:rsidRPr="00FB20CC">
        <w:rPr>
          <w:sz w:val="24"/>
          <w:szCs w:val="24"/>
        </w:rPr>
        <w:t>Zar</w:t>
      </w:r>
      <w:proofErr w:type="spellEnd"/>
      <w:r w:rsidR="00CE0ACE" w:rsidRPr="00FB20CC">
        <w:rPr>
          <w:sz w:val="24"/>
          <w:szCs w:val="24"/>
        </w:rPr>
        <w:t xml:space="preserve"> 1976)</w:t>
      </w:r>
      <w:r w:rsidRPr="00FB20CC">
        <w:rPr>
          <w:sz w:val="24"/>
          <w:szCs w:val="24"/>
        </w:rPr>
        <w:t>.  We remove the end point in these cases and report lack of significance in the trend.  This occurs for surface temperature, diatoms, and cyanobacteria for global time series.</w:t>
      </w:r>
    </w:p>
    <w:p w14:paraId="62600B1A" w14:textId="0C6B02ED" w:rsidR="00966CCB" w:rsidRPr="00FB20CC" w:rsidRDefault="00966CCB" w:rsidP="00966CCB">
      <w:pPr>
        <w:autoSpaceDE w:val="0"/>
        <w:autoSpaceDN w:val="0"/>
        <w:adjustRightInd w:val="0"/>
        <w:jc w:val="both"/>
        <w:rPr>
          <w:sz w:val="24"/>
          <w:szCs w:val="24"/>
        </w:rPr>
      </w:pPr>
      <w:r w:rsidRPr="00FB20CC">
        <w:rPr>
          <w:sz w:val="24"/>
          <w:szCs w:val="24"/>
        </w:rPr>
        <w:t xml:space="preserve">   Although it is established that global sea surface temperature </w:t>
      </w:r>
      <w:r w:rsidR="00EC3F61" w:rsidRPr="00FB20CC">
        <w:rPr>
          <w:sz w:val="24"/>
          <w:szCs w:val="24"/>
        </w:rPr>
        <w:t xml:space="preserve">has </w:t>
      </w:r>
      <w:r w:rsidRPr="00FB20CC">
        <w:rPr>
          <w:sz w:val="24"/>
          <w:szCs w:val="24"/>
        </w:rPr>
        <w:t>increas</w:t>
      </w:r>
      <w:r w:rsidR="00EC3F61" w:rsidRPr="00FB20CC">
        <w:rPr>
          <w:sz w:val="24"/>
          <w:szCs w:val="24"/>
        </w:rPr>
        <w:t>ed</w:t>
      </w:r>
      <w:r w:rsidRPr="00FB20CC">
        <w:rPr>
          <w:sz w:val="24"/>
          <w:szCs w:val="24"/>
        </w:rPr>
        <w:t xml:space="preserve"> over the past several decades</w:t>
      </w:r>
      <w:r w:rsidRPr="00FB20CC">
        <w:rPr>
          <w:sz w:val="24"/>
          <w:szCs w:val="24"/>
          <w:vertAlign w:val="superscript"/>
        </w:rPr>
        <w:t xml:space="preserve"> </w:t>
      </w:r>
      <w:r w:rsidRPr="00FB20CC">
        <w:rPr>
          <w:sz w:val="24"/>
          <w:szCs w:val="24"/>
        </w:rPr>
        <w:t xml:space="preserve">(Huang </w:t>
      </w:r>
      <w:r w:rsidRPr="00FB20CC">
        <w:rPr>
          <w:i/>
          <w:sz w:val="24"/>
          <w:szCs w:val="24"/>
        </w:rPr>
        <w:t>et al</w:t>
      </w:r>
      <w:r w:rsidRPr="00FB20CC">
        <w:rPr>
          <w:sz w:val="24"/>
          <w:szCs w:val="24"/>
        </w:rPr>
        <w:t xml:space="preserve"> 2017; </w:t>
      </w:r>
      <w:proofErr w:type="spellStart"/>
      <w:r w:rsidRPr="00FB20CC">
        <w:rPr>
          <w:sz w:val="24"/>
          <w:szCs w:val="24"/>
        </w:rPr>
        <w:t>Hausfeather</w:t>
      </w:r>
      <w:proofErr w:type="spellEnd"/>
      <w:r w:rsidRPr="00FB20CC">
        <w:rPr>
          <w:sz w:val="24"/>
          <w:szCs w:val="24"/>
        </w:rPr>
        <w:t xml:space="preserve"> </w:t>
      </w:r>
      <w:r w:rsidRPr="00FB20CC">
        <w:rPr>
          <w:i/>
          <w:sz w:val="24"/>
          <w:szCs w:val="24"/>
        </w:rPr>
        <w:t>et al</w:t>
      </w:r>
      <w:r w:rsidRPr="00FB20CC">
        <w:rPr>
          <w:sz w:val="24"/>
          <w:szCs w:val="24"/>
        </w:rPr>
        <w:t xml:space="preserve"> 2017; Lian </w:t>
      </w:r>
      <w:r w:rsidRPr="00FB20CC">
        <w:rPr>
          <w:i/>
          <w:sz w:val="24"/>
          <w:szCs w:val="24"/>
        </w:rPr>
        <w:t>et al</w:t>
      </w:r>
      <w:r w:rsidRPr="00FB20CC">
        <w:rPr>
          <w:sz w:val="24"/>
          <w:szCs w:val="24"/>
        </w:rPr>
        <w:t xml:space="preserve"> 2018), our analysis shows no significant trend (after end-point bias correction).  This is because our observational period 1998-2015, which is defined by the availability of modern ocean color satellite data and established data processing, unfortunately falls in a period bracketed by two major ENSO events, as mentioned above.  For 2000-2015 we find a significant positive trend of 0.108</w:t>
      </w:r>
      <w:r w:rsidRPr="00FB20CC">
        <w:rPr>
          <w:sz w:val="24"/>
          <w:szCs w:val="24"/>
          <w:vertAlign w:val="superscript"/>
        </w:rPr>
        <w:t>o</w:t>
      </w:r>
      <w:r w:rsidRPr="00FB20CC">
        <w:rPr>
          <w:sz w:val="24"/>
          <w:szCs w:val="24"/>
        </w:rPr>
        <w:t xml:space="preserve"> decade</w:t>
      </w:r>
      <w:r w:rsidRPr="00FB20CC">
        <w:rPr>
          <w:sz w:val="24"/>
          <w:szCs w:val="24"/>
          <w:vertAlign w:val="superscript"/>
        </w:rPr>
        <w:t>-1</w:t>
      </w:r>
      <w:r w:rsidRPr="00FB20CC">
        <w:rPr>
          <w:sz w:val="24"/>
          <w:szCs w:val="24"/>
        </w:rPr>
        <w:t xml:space="preserve">, which is similar to the trend reported by Huang </w:t>
      </w:r>
      <w:r w:rsidRPr="00FB20CC">
        <w:rPr>
          <w:i/>
          <w:sz w:val="24"/>
          <w:szCs w:val="24"/>
        </w:rPr>
        <w:t>et al</w:t>
      </w:r>
      <w:r w:rsidRPr="00FB20CC">
        <w:rPr>
          <w:sz w:val="24"/>
          <w:szCs w:val="24"/>
          <w:vertAlign w:val="superscript"/>
        </w:rPr>
        <w:t xml:space="preserve"> </w:t>
      </w:r>
      <w:r w:rsidR="00EC1015" w:rsidRPr="00FB20CC">
        <w:rPr>
          <w:sz w:val="24"/>
          <w:szCs w:val="24"/>
        </w:rPr>
        <w:t>(</w:t>
      </w:r>
      <w:r w:rsidR="0002322E" w:rsidRPr="00FB20CC">
        <w:rPr>
          <w:sz w:val="24"/>
          <w:szCs w:val="24"/>
        </w:rPr>
        <w:t>2017</w:t>
      </w:r>
      <w:r w:rsidR="00EC1015" w:rsidRPr="00FB20CC">
        <w:rPr>
          <w:sz w:val="24"/>
          <w:szCs w:val="24"/>
        </w:rPr>
        <w:t>)</w:t>
      </w:r>
      <w:r w:rsidRPr="00FB20CC">
        <w:rPr>
          <w:sz w:val="24"/>
          <w:szCs w:val="24"/>
        </w:rPr>
        <w:t>, 0.125</w:t>
      </w:r>
      <w:r w:rsidRPr="00FB20CC">
        <w:rPr>
          <w:sz w:val="24"/>
          <w:szCs w:val="24"/>
          <w:vertAlign w:val="superscript"/>
        </w:rPr>
        <w:t>o</w:t>
      </w:r>
      <w:r w:rsidRPr="00FB20CC">
        <w:rPr>
          <w:sz w:val="24"/>
          <w:szCs w:val="24"/>
        </w:rPr>
        <w:t xml:space="preserve"> decade</w:t>
      </w:r>
      <w:r w:rsidRPr="00FB20CC">
        <w:rPr>
          <w:sz w:val="24"/>
          <w:szCs w:val="24"/>
          <w:vertAlign w:val="superscript"/>
        </w:rPr>
        <w:t xml:space="preserve">-1 </w:t>
      </w:r>
      <w:r w:rsidRPr="00FB20CC">
        <w:rPr>
          <w:sz w:val="24"/>
          <w:szCs w:val="24"/>
        </w:rPr>
        <w:t xml:space="preserve">for the </w:t>
      </w:r>
      <w:r w:rsidRPr="00FB20CC">
        <w:rPr>
          <w:rFonts w:ascii="AdvPSTIM10-B" w:eastAsiaTheme="minorHAnsi" w:hAnsi="AdvPSTIM10-B" w:cs="AdvPSTIM10-B"/>
          <w:sz w:val="24"/>
          <w:szCs w:val="24"/>
        </w:rPr>
        <w:t>Extended Reconstructed Sea Surface Temperature, Version 5</w:t>
      </w:r>
      <w:r w:rsidRPr="00FB20CC">
        <w:rPr>
          <w:sz w:val="24"/>
          <w:szCs w:val="24"/>
        </w:rPr>
        <w:t>.</w:t>
      </w:r>
    </w:p>
    <w:p w14:paraId="1996D690" w14:textId="77777777" w:rsidR="00966CCB" w:rsidRPr="00FB20CC" w:rsidRDefault="00966CCB" w:rsidP="00966CCB">
      <w:pPr>
        <w:autoSpaceDE w:val="0"/>
        <w:autoSpaceDN w:val="0"/>
        <w:adjustRightInd w:val="0"/>
        <w:jc w:val="both"/>
        <w:rPr>
          <w:sz w:val="24"/>
          <w:szCs w:val="24"/>
        </w:rPr>
      </w:pPr>
      <w:r w:rsidRPr="00FB20CC">
        <w:rPr>
          <w:sz w:val="24"/>
          <w:szCs w:val="24"/>
        </w:rPr>
        <w:t xml:space="preserve">   The trends reported here are not corrected for autocorrelation.  The ultimate purpose of autocorrelation evaluation is to understand the probability of a Type-1 error.  Our use of annual data reduces the possibility of Type-1 errors by low sample size and thus degrees of freedom (df), which is df=16 for the 18-year time series.  End-point bias correction further reduces the risk.  Additional use of autocorrelation noise correction in annual data with end-point bias correction increases the probability of Type-2 error, i.e., not observing a trend where one exists.  </w:t>
      </w:r>
    </w:p>
    <w:p w14:paraId="4AB21E4A" w14:textId="77777777" w:rsidR="00966CCB" w:rsidRPr="00FB20CC" w:rsidRDefault="00966CCB" w:rsidP="00966CCB">
      <w:pPr>
        <w:autoSpaceDE w:val="0"/>
        <w:autoSpaceDN w:val="0"/>
        <w:adjustRightInd w:val="0"/>
        <w:jc w:val="both"/>
        <w:rPr>
          <w:b/>
          <w:i/>
          <w:sz w:val="24"/>
          <w:szCs w:val="24"/>
        </w:rPr>
      </w:pPr>
      <w:r w:rsidRPr="00FB20CC">
        <w:rPr>
          <w:sz w:val="24"/>
          <w:szCs w:val="24"/>
        </w:rPr>
        <w:t xml:space="preserve">   </w:t>
      </w:r>
    </w:p>
    <w:p w14:paraId="2E40DDC4" w14:textId="77777777" w:rsidR="00545A6A" w:rsidRPr="00FB20CC" w:rsidRDefault="00545A6A" w:rsidP="00545A6A">
      <w:pPr>
        <w:rPr>
          <w:b/>
          <w:sz w:val="24"/>
          <w:szCs w:val="24"/>
        </w:rPr>
      </w:pPr>
      <w:r w:rsidRPr="00FB20CC">
        <w:rPr>
          <w:b/>
          <w:sz w:val="24"/>
          <w:szCs w:val="24"/>
        </w:rPr>
        <w:t>Results and Discussion</w:t>
      </w:r>
    </w:p>
    <w:p w14:paraId="09887CBA" w14:textId="59767E1A" w:rsidR="00545A6A" w:rsidRPr="00FB20CC" w:rsidRDefault="00545A6A" w:rsidP="00545A6A">
      <w:pPr>
        <w:jc w:val="both"/>
        <w:rPr>
          <w:sz w:val="24"/>
          <w:szCs w:val="24"/>
        </w:rPr>
      </w:pPr>
      <w:r w:rsidRPr="00FB20CC">
        <w:rPr>
          <w:b/>
          <w:sz w:val="24"/>
          <w:szCs w:val="24"/>
        </w:rPr>
        <w:t xml:space="preserve">   </w:t>
      </w:r>
      <w:r w:rsidRPr="00FB20CC">
        <w:rPr>
          <w:sz w:val="24"/>
          <w:szCs w:val="24"/>
        </w:rPr>
        <w:t xml:space="preserve">Global ocean primary production shows a small (-0.8 </w:t>
      </w:r>
      <w:proofErr w:type="spellStart"/>
      <w:r w:rsidRPr="00FB20CC">
        <w:rPr>
          <w:sz w:val="24"/>
          <w:szCs w:val="24"/>
        </w:rPr>
        <w:t>PgC</w:t>
      </w:r>
      <w:proofErr w:type="spellEnd"/>
      <w:r w:rsidRPr="00FB20CC">
        <w:rPr>
          <w:sz w:val="24"/>
          <w:szCs w:val="24"/>
        </w:rPr>
        <w:t xml:space="preserve"> </w:t>
      </w:r>
      <w:r w:rsidR="007A5FDE" w:rsidRPr="00FB20CC">
        <w:rPr>
          <w:sz w:val="24"/>
          <w:szCs w:val="24"/>
        </w:rPr>
        <w:t>y</w:t>
      </w:r>
      <w:r w:rsidR="007A5FDE" w:rsidRPr="00FB20CC">
        <w:rPr>
          <w:sz w:val="24"/>
          <w:szCs w:val="24"/>
          <w:vertAlign w:val="superscript"/>
        </w:rPr>
        <w:t>-1</w:t>
      </w:r>
      <w:r w:rsidR="007A5FDE" w:rsidRPr="00FB20CC">
        <w:rPr>
          <w:sz w:val="24"/>
          <w:szCs w:val="24"/>
        </w:rPr>
        <w:t xml:space="preserve"> </w:t>
      </w:r>
      <w:r w:rsidRPr="00FB20CC">
        <w:rPr>
          <w:sz w:val="24"/>
          <w:szCs w:val="24"/>
        </w:rPr>
        <w:t>decade</w:t>
      </w:r>
      <w:r w:rsidRPr="00FB20CC">
        <w:rPr>
          <w:sz w:val="24"/>
          <w:szCs w:val="24"/>
          <w:vertAlign w:val="superscript"/>
        </w:rPr>
        <w:t>-1</w:t>
      </w:r>
      <w:r w:rsidRPr="00FB20CC">
        <w:rPr>
          <w:sz w:val="24"/>
          <w:szCs w:val="24"/>
        </w:rPr>
        <w:t xml:space="preserve">) </w:t>
      </w:r>
      <w:r w:rsidR="001977D8" w:rsidRPr="00FB20CC">
        <w:rPr>
          <w:sz w:val="24"/>
          <w:szCs w:val="24"/>
        </w:rPr>
        <w:t xml:space="preserve">but </w:t>
      </w:r>
      <w:r w:rsidRPr="00FB20CC">
        <w:rPr>
          <w:sz w:val="24"/>
          <w:szCs w:val="24"/>
        </w:rPr>
        <w:t>statistically significant decline (r=-0.648, P&lt;0.05) in th</w:t>
      </w:r>
      <w:r w:rsidR="001977D8" w:rsidRPr="00FB20CC">
        <w:rPr>
          <w:sz w:val="24"/>
          <w:szCs w:val="24"/>
        </w:rPr>
        <w:t xml:space="preserve">e 18-year time series from 1998 to </w:t>
      </w:r>
      <w:r w:rsidR="0002322E" w:rsidRPr="00FB20CC">
        <w:rPr>
          <w:sz w:val="24"/>
          <w:szCs w:val="24"/>
        </w:rPr>
        <w:t>2015 (Figure 1; Table 2</w:t>
      </w:r>
      <w:r w:rsidRPr="00FB20CC">
        <w:rPr>
          <w:sz w:val="24"/>
          <w:szCs w:val="24"/>
        </w:rPr>
        <w:t>).  The trend represents a reduction of 2.1% decade</w:t>
      </w:r>
      <w:r w:rsidRPr="00FB20CC">
        <w:rPr>
          <w:sz w:val="24"/>
          <w:szCs w:val="24"/>
          <w:vertAlign w:val="superscript"/>
        </w:rPr>
        <w:t>-1</w:t>
      </w:r>
      <w:r w:rsidR="00F34604" w:rsidRPr="00FB20CC">
        <w:rPr>
          <w:sz w:val="24"/>
          <w:szCs w:val="24"/>
        </w:rPr>
        <w:t xml:space="preserve"> and suggests a weakening of the biological pump.</w:t>
      </w:r>
      <w:r w:rsidR="00013F0F" w:rsidRPr="00FB20CC">
        <w:rPr>
          <w:i/>
          <w:sz w:val="24"/>
          <w:szCs w:val="24"/>
        </w:rPr>
        <w:t xml:space="preserve">  </w:t>
      </w:r>
      <w:r w:rsidR="00013F0F" w:rsidRPr="00FB20CC">
        <w:rPr>
          <w:sz w:val="24"/>
          <w:szCs w:val="24"/>
        </w:rPr>
        <w:t xml:space="preserve">This is about twice </w:t>
      </w:r>
      <w:r w:rsidR="00343FE7" w:rsidRPr="00FB20CC">
        <w:rPr>
          <w:sz w:val="24"/>
          <w:szCs w:val="24"/>
        </w:rPr>
        <w:t>the decline</w:t>
      </w:r>
      <w:r w:rsidR="0012558F" w:rsidRPr="00FB20CC">
        <w:rPr>
          <w:sz w:val="24"/>
          <w:szCs w:val="24"/>
        </w:rPr>
        <w:t xml:space="preserve"> estimated</w:t>
      </w:r>
      <w:r w:rsidR="00013F0F" w:rsidRPr="00FB20CC">
        <w:rPr>
          <w:sz w:val="24"/>
          <w:szCs w:val="24"/>
        </w:rPr>
        <w:t xml:space="preserve"> using free-run </w:t>
      </w:r>
      <w:r w:rsidR="00765F63" w:rsidRPr="00FB20CC">
        <w:rPr>
          <w:sz w:val="24"/>
          <w:szCs w:val="24"/>
        </w:rPr>
        <w:t xml:space="preserve">(not assimilated) </w:t>
      </w:r>
      <w:r w:rsidR="00013F0F" w:rsidRPr="00FB20CC">
        <w:rPr>
          <w:sz w:val="24"/>
          <w:szCs w:val="24"/>
        </w:rPr>
        <w:t>models</w:t>
      </w:r>
      <w:r w:rsidR="00927EBF" w:rsidRPr="00FB20CC">
        <w:rPr>
          <w:sz w:val="24"/>
          <w:szCs w:val="24"/>
        </w:rPr>
        <w:t xml:space="preserve"> for the future</w:t>
      </w:r>
      <w:r w:rsidR="00950407" w:rsidRPr="00FB20CC">
        <w:rPr>
          <w:sz w:val="24"/>
          <w:szCs w:val="24"/>
          <w:vertAlign w:val="superscript"/>
        </w:rPr>
        <w:t xml:space="preserve"> </w:t>
      </w:r>
      <w:r w:rsidR="00950407" w:rsidRPr="00FB20CC">
        <w:rPr>
          <w:sz w:val="24"/>
          <w:szCs w:val="24"/>
        </w:rPr>
        <w:t xml:space="preserve">(Bopp </w:t>
      </w:r>
      <w:r w:rsidR="00950407" w:rsidRPr="00FB20CC">
        <w:rPr>
          <w:i/>
          <w:sz w:val="24"/>
          <w:szCs w:val="24"/>
        </w:rPr>
        <w:t>et al</w:t>
      </w:r>
      <w:r w:rsidR="0002322E" w:rsidRPr="00FB20CC">
        <w:rPr>
          <w:sz w:val="24"/>
          <w:szCs w:val="24"/>
        </w:rPr>
        <w:t xml:space="preserve"> 2013</w:t>
      </w:r>
      <w:r w:rsidR="00950407" w:rsidRPr="00FB20CC">
        <w:rPr>
          <w:sz w:val="24"/>
          <w:szCs w:val="24"/>
        </w:rPr>
        <w:t>)</w:t>
      </w:r>
      <w:r w:rsidR="00013F0F" w:rsidRPr="00FB20CC">
        <w:rPr>
          <w:sz w:val="24"/>
          <w:szCs w:val="24"/>
        </w:rPr>
        <w:t>.</w:t>
      </w:r>
      <w:r w:rsidRPr="00FB20CC">
        <w:rPr>
          <w:sz w:val="24"/>
          <w:szCs w:val="24"/>
        </w:rPr>
        <w:t xml:space="preserve">  Chlorophyte global primary production also declines -14.3% decade</w:t>
      </w:r>
      <w:r w:rsidRPr="00FB20CC">
        <w:rPr>
          <w:sz w:val="24"/>
          <w:szCs w:val="24"/>
          <w:vertAlign w:val="superscript"/>
        </w:rPr>
        <w:t>-1</w:t>
      </w:r>
      <w:r w:rsidRPr="00FB20CC">
        <w:rPr>
          <w:sz w:val="24"/>
          <w:szCs w:val="24"/>
        </w:rPr>
        <w:t xml:space="preserve"> (r=-0.849, P&lt;0.05), and is the main contributor to the global trend.  Coccolithophores, conversely, increase their primary production (8.4% decade</w:t>
      </w:r>
      <w:r w:rsidRPr="00FB20CC">
        <w:rPr>
          <w:sz w:val="24"/>
          <w:szCs w:val="24"/>
          <w:vertAlign w:val="superscript"/>
        </w:rPr>
        <w:t>-1</w:t>
      </w:r>
      <w:r w:rsidRPr="00FB20CC">
        <w:rPr>
          <w:sz w:val="24"/>
          <w:szCs w:val="24"/>
        </w:rPr>
        <w:t xml:space="preserve">, r=0.522, P&lt;0.05; Table 1) over the </w:t>
      </w:r>
      <w:r w:rsidRPr="00FB20CC">
        <w:rPr>
          <w:sz w:val="24"/>
          <w:szCs w:val="24"/>
        </w:rPr>
        <w:lastRenderedPageBreak/>
        <w:t>time series.  Production by the functional extreme phytoplankton, diatoms and cyanobacteria, exhibit no significant change.  The global total primary production decline is associated with a shallowing</w:t>
      </w:r>
      <w:r w:rsidR="00F34604" w:rsidRPr="00FB20CC">
        <w:rPr>
          <w:sz w:val="24"/>
          <w:szCs w:val="24"/>
        </w:rPr>
        <w:t xml:space="preserve"> of the surface mixed layer </w:t>
      </w:r>
      <w:r w:rsidR="00A76C02" w:rsidRPr="00FB20CC">
        <w:rPr>
          <w:sz w:val="24"/>
          <w:szCs w:val="24"/>
        </w:rPr>
        <w:t xml:space="preserve">of </w:t>
      </w:r>
      <w:r w:rsidR="00B721F1" w:rsidRPr="00FB20CC">
        <w:rPr>
          <w:sz w:val="24"/>
          <w:szCs w:val="24"/>
        </w:rPr>
        <w:t>1.4</w:t>
      </w:r>
      <w:r w:rsidR="00F34604" w:rsidRPr="00FB20CC">
        <w:rPr>
          <w:sz w:val="24"/>
          <w:szCs w:val="24"/>
        </w:rPr>
        <w:t xml:space="preserve"> </w:t>
      </w:r>
      <w:r w:rsidRPr="00FB20CC">
        <w:rPr>
          <w:sz w:val="24"/>
          <w:szCs w:val="24"/>
        </w:rPr>
        <w:t>m decade</w:t>
      </w:r>
      <w:r w:rsidRPr="00FB20CC">
        <w:rPr>
          <w:sz w:val="24"/>
          <w:szCs w:val="24"/>
          <w:vertAlign w:val="superscript"/>
        </w:rPr>
        <w:t>-1</w:t>
      </w:r>
      <w:r w:rsidR="00B721F1" w:rsidRPr="00FB20CC">
        <w:rPr>
          <w:sz w:val="24"/>
          <w:szCs w:val="24"/>
        </w:rPr>
        <w:t>, or 2.4</w:t>
      </w:r>
      <w:r w:rsidRPr="00FB20CC">
        <w:rPr>
          <w:sz w:val="24"/>
          <w:szCs w:val="24"/>
        </w:rPr>
        <w:t>% decade</w:t>
      </w:r>
      <w:r w:rsidRPr="00FB20CC">
        <w:rPr>
          <w:sz w:val="24"/>
          <w:szCs w:val="24"/>
          <w:vertAlign w:val="superscript"/>
        </w:rPr>
        <w:t>-1</w:t>
      </w:r>
      <w:r w:rsidRPr="00FB20CC">
        <w:rPr>
          <w:sz w:val="24"/>
          <w:szCs w:val="24"/>
        </w:rPr>
        <w:t xml:space="preserve"> (r=-0.</w:t>
      </w:r>
      <w:r w:rsidR="00B721F1" w:rsidRPr="00FB20CC">
        <w:rPr>
          <w:sz w:val="24"/>
          <w:szCs w:val="24"/>
        </w:rPr>
        <w:t>719</w:t>
      </w:r>
      <w:r w:rsidRPr="00FB20CC">
        <w:rPr>
          <w:sz w:val="24"/>
          <w:szCs w:val="24"/>
        </w:rPr>
        <w:t>, P</w:t>
      </w:r>
      <w:r w:rsidR="0002322E" w:rsidRPr="00FB20CC">
        <w:rPr>
          <w:sz w:val="24"/>
          <w:szCs w:val="24"/>
        </w:rPr>
        <w:t xml:space="preserve">&lt;0.05; </w:t>
      </w:r>
      <w:r w:rsidR="006D7DD2" w:rsidRPr="00FB20CC">
        <w:rPr>
          <w:sz w:val="24"/>
          <w:szCs w:val="24"/>
        </w:rPr>
        <w:t xml:space="preserve">Figure 2; </w:t>
      </w:r>
      <w:r w:rsidR="0002322E" w:rsidRPr="00FB20CC">
        <w:rPr>
          <w:sz w:val="24"/>
          <w:szCs w:val="24"/>
        </w:rPr>
        <w:t>Table 2</w:t>
      </w:r>
      <w:r w:rsidRPr="00FB20CC">
        <w:rPr>
          <w:sz w:val="24"/>
          <w:szCs w:val="24"/>
        </w:rPr>
        <w:t xml:space="preserve">).  Shallowing mixed layers tend to reduce the supply of nutrients to the </w:t>
      </w:r>
      <w:r w:rsidR="0089325F" w:rsidRPr="00FB20CC">
        <w:rPr>
          <w:sz w:val="24"/>
          <w:szCs w:val="24"/>
        </w:rPr>
        <w:t>surface from the deep ocean, and inhibit primary</w:t>
      </w:r>
      <w:r w:rsidRPr="00FB20CC">
        <w:rPr>
          <w:sz w:val="24"/>
          <w:szCs w:val="24"/>
        </w:rPr>
        <w:t xml:space="preserve"> </w:t>
      </w:r>
      <w:r w:rsidR="002801B7" w:rsidRPr="00FB20CC">
        <w:rPr>
          <w:noProof/>
          <w:sz w:val="24"/>
          <w:szCs w:val="24"/>
        </w:rPr>
        <mc:AlternateContent>
          <mc:Choice Requires="wps">
            <w:drawing>
              <wp:anchor distT="0" distB="0" distL="114300" distR="114300" simplePos="0" relativeHeight="251659264" behindDoc="0" locked="0" layoutInCell="1" allowOverlap="1" wp14:anchorId="0DDC09DB" wp14:editId="4D72BC8C">
                <wp:simplePos x="0" y="0"/>
                <wp:positionH relativeFrom="column">
                  <wp:posOffset>-914400</wp:posOffset>
                </wp:positionH>
                <wp:positionV relativeFrom="paragraph">
                  <wp:posOffset>10401300</wp:posOffset>
                </wp:positionV>
                <wp:extent cx="9144000" cy="830997"/>
                <wp:effectExtent l="0" t="0" r="0" b="0"/>
                <wp:wrapNone/>
                <wp:docPr id="7" name="TextBox 6"/>
                <wp:cNvGraphicFramePr/>
                <a:graphic xmlns:a="http://schemas.openxmlformats.org/drawingml/2006/main">
                  <a:graphicData uri="http://schemas.microsoft.com/office/word/2010/wordprocessingShape">
                    <wps:wsp>
                      <wps:cNvSpPr txBox="1"/>
                      <wps:spPr>
                        <a:xfrm>
                          <a:off x="0" y="0"/>
                          <a:ext cx="9144000" cy="830997"/>
                        </a:xfrm>
                        <a:prstGeom prst="rect">
                          <a:avLst/>
                        </a:prstGeom>
                        <a:noFill/>
                      </wps:spPr>
                      <wps:txbx>
                        <w:txbxContent>
                          <w:p w14:paraId="77D65EEB" w14:textId="77777777" w:rsidR="002801B7" w:rsidRDefault="002801B7" w:rsidP="002801B7">
                            <w:pPr>
                              <w:pStyle w:val="NormalWeb"/>
                              <w:spacing w:before="0" w:beforeAutospacing="0" w:after="0" w:afterAutospacing="0"/>
                            </w:pPr>
                            <w:r>
                              <w:rPr>
                                <w:rFonts w:asciiTheme="minorHAnsi" w:hAnsi="Calibri" w:cstheme="minorBidi"/>
                                <w:color w:val="000000" w:themeColor="text1"/>
                                <w:kern w:val="24"/>
                                <w:sz w:val="32"/>
                                <w:szCs w:val="32"/>
                              </w:rPr>
                              <w:t xml:space="preserve">Figure 1.  a) Global primary production trend for 1998-2015. The missing marker for 2015 indicates removal of this value from the trend analysis due to end-point bias correction. Error bars represent the standard deviation.  Linear best-fit primary production trends are shown for b) 1998 and c) 2015.  </w:t>
                            </w:r>
                          </w:p>
                        </w:txbxContent>
                      </wps:txbx>
                      <wps:bodyPr wrap="square" rtlCol="0">
                        <a:spAutoFit/>
                      </wps:bodyPr>
                    </wps:wsp>
                  </a:graphicData>
                </a:graphic>
              </wp:anchor>
            </w:drawing>
          </mc:Choice>
          <mc:Fallback>
            <w:pict>
              <v:shapetype w14:anchorId="33E214E4" id="_x0000_t202" coordsize="21600,21600" o:spt="202" path="m,l,21600r21600,l21600,xe">
                <v:stroke joinstyle="miter"/>
                <v:path gradientshapeok="t" o:connecttype="rect"/>
              </v:shapetype>
              <v:shape id="TextBox 6" o:spid="_x0000_s1026" type="#_x0000_t202" style="position:absolute;left:0;text-align:left;margin-left:-1in;margin-top:819pt;width:10in;height:6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" filled="f" stroked="f">
                <v:textbox style="mso-fit-shape-to-text:t">
                  <w:txbxContent>
                    <w:p w:rsidR="002801B7" w:rsidRDefault="002801B7" w:rsidP="002801B7">
                      <w:pPr>
                        <w:pStyle w:val="NormalWeb"/>
                        <w:spacing w:before="0" w:beforeAutospacing="0" w:after="0" w:afterAutospacing="0"/>
                      </w:pPr>
                      <w:r>
                        <w:rPr>
                          <w:rFonts w:asciiTheme="minorHAnsi" w:hAnsi="Calibri" w:cstheme="minorBidi"/>
                          <w:color w:val="000000" w:themeColor="text1"/>
                          <w:kern w:val="24"/>
                          <w:sz w:val="32"/>
                          <w:szCs w:val="32"/>
                        </w:rPr>
                        <w:t xml:space="preserve">Figure 1.  a) Global primary production trend for 1998-2015. The missing marker for 2015 indicates removal of this value from the trend analysis due to end-point bias correction. Error bars represent the standard deviation.  Linear best-fit primary production trends are shown for b) 1998 and c) 2015.  </w:t>
                      </w:r>
                    </w:p>
                  </w:txbxContent>
                </v:textbox>
              </v:shape>
            </w:pict>
          </mc:Fallback>
        </mc:AlternateContent>
      </w:r>
      <w:r w:rsidR="002801B7" w:rsidRPr="00FB20CC">
        <w:rPr>
          <w:noProof/>
          <w:sz w:val="24"/>
          <w:szCs w:val="24"/>
        </w:rPr>
        <mc:AlternateContent>
          <mc:Choice Requires="wps">
            <w:drawing>
              <wp:anchor distT="0" distB="0" distL="114300" distR="114300" simplePos="0" relativeHeight="251663360" behindDoc="0" locked="0" layoutInCell="1" allowOverlap="1" wp14:anchorId="45B82438" wp14:editId="44525E9F">
                <wp:simplePos x="0" y="0"/>
                <wp:positionH relativeFrom="column">
                  <wp:posOffset>15725776</wp:posOffset>
                </wp:positionH>
                <wp:positionV relativeFrom="paragraph">
                  <wp:posOffset>7324724</wp:posOffset>
                </wp:positionV>
                <wp:extent cx="1102730" cy="369332"/>
                <wp:effectExtent l="0" t="0" r="0" b="0"/>
                <wp:wrapNone/>
                <wp:docPr id="9" name="TextBox 8"/>
                <wp:cNvGraphicFramePr/>
                <a:graphic xmlns:a="http://schemas.openxmlformats.org/drawingml/2006/main">
                  <a:graphicData uri="http://schemas.microsoft.com/office/word/2010/wordprocessingShape">
                    <wps:wsp>
                      <wps:cNvSpPr txBox="1"/>
                      <wps:spPr>
                        <a:xfrm rot="16200000">
                          <a:off x="0" y="0"/>
                          <a:ext cx="1102730" cy="369332"/>
                        </a:xfrm>
                        <a:prstGeom prst="rect">
                          <a:avLst/>
                        </a:prstGeom>
                        <a:noFill/>
                      </wps:spPr>
                      <wps:txbx>
                        <w:txbxContent>
                          <w:p w14:paraId="1FE2C999" w14:textId="77777777" w:rsidR="002801B7" w:rsidRDefault="002801B7" w:rsidP="002801B7">
                            <w:pPr>
                              <w:pStyle w:val="NormalWeb"/>
                              <w:spacing w:before="0" w:beforeAutospacing="0" w:after="0" w:afterAutospacing="0"/>
                            </w:pPr>
                            <w:proofErr w:type="spellStart"/>
                            <w:r>
                              <w:rPr>
                                <w:rFonts w:asciiTheme="minorHAnsi" w:hAnsi="Calibri" w:cstheme="minorBidi"/>
                                <w:color w:val="000000" w:themeColor="text1"/>
                                <w:kern w:val="24"/>
                                <w:sz w:val="36"/>
                                <w:szCs w:val="36"/>
                              </w:rPr>
                              <w:t>gC</w:t>
                            </w:r>
                            <w:proofErr w:type="spellEnd"/>
                            <w:r>
                              <w:rPr>
                                <w:rFonts w:asciiTheme="minorHAnsi" w:hAnsi="Calibri" w:cstheme="minorBidi"/>
                                <w:color w:val="000000" w:themeColor="text1"/>
                                <w:kern w:val="24"/>
                                <w:sz w:val="36"/>
                                <w:szCs w:val="36"/>
                              </w:rPr>
                              <w:t xml:space="preserve"> m</w:t>
                            </w:r>
                            <w:r>
                              <w:rPr>
                                <w:rFonts w:asciiTheme="minorHAnsi" w:hAnsi="Calibri" w:cstheme="minorBidi"/>
                                <w:color w:val="000000" w:themeColor="text1"/>
                                <w:kern w:val="24"/>
                                <w:position w:val="11"/>
                                <w:sz w:val="36"/>
                                <w:szCs w:val="36"/>
                                <w:vertAlign w:val="superscript"/>
                              </w:rPr>
                              <w:t>-2</w:t>
                            </w:r>
                            <w:r>
                              <w:rPr>
                                <w:rFonts w:asciiTheme="minorHAnsi" w:hAnsi="Calibri" w:cstheme="minorBidi"/>
                                <w:color w:val="000000" w:themeColor="text1"/>
                                <w:kern w:val="24"/>
                                <w:sz w:val="36"/>
                                <w:szCs w:val="36"/>
                              </w:rPr>
                              <w:t xml:space="preserve"> d</w:t>
                            </w:r>
                            <w:r>
                              <w:rPr>
                                <w:rFonts w:asciiTheme="minorHAnsi" w:hAnsi="Calibri" w:cstheme="minorBidi"/>
                                <w:color w:val="000000" w:themeColor="text1"/>
                                <w:kern w:val="24"/>
                                <w:position w:val="11"/>
                                <w:sz w:val="36"/>
                                <w:szCs w:val="36"/>
                                <w:vertAlign w:val="superscript"/>
                              </w:rPr>
                              <w:t>-1</w:t>
                            </w:r>
                          </w:p>
                        </w:txbxContent>
                      </wps:txbx>
                      <wps:bodyPr wrap="square" rtlCol="0">
                        <a:spAutoFit/>
                      </wps:bodyPr>
                    </wps:wsp>
                  </a:graphicData>
                </a:graphic>
              </wp:anchor>
            </w:drawing>
          </mc:Choice>
          <mc:Fallback>
            <w:pict>
              <v:shape w14:anchorId="385A4CBA" id="TextBox 8" o:spid="_x0000_s1027" type="#_x0000_t202" style="position:absolute;left:0;text-align:left;margin-left:1238.25pt;margin-top:576.75pt;width:86.85pt;height:29.1pt;rotation:-90;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" filled="f" stroked="f">
                <v:textbox style="mso-fit-shape-to-text:t">
                  <w:txbxContent>
                    <w:p w:rsidR="002801B7" w:rsidRDefault="002801B7" w:rsidP="002801B7">
                      <w:pPr>
                        <w:pStyle w:val="NormalWeb"/>
                        <w:spacing w:before="0" w:beforeAutospacing="0" w:after="0" w:afterAutospacing="0"/>
                      </w:pPr>
                      <w:proofErr w:type="spellStart"/>
                      <w:proofErr w:type="gramStart"/>
                      <w:r>
                        <w:rPr>
                          <w:rFonts w:asciiTheme="minorHAnsi" w:hAnsi="Calibri" w:cstheme="minorBidi"/>
                          <w:color w:val="000000" w:themeColor="text1"/>
                          <w:kern w:val="24"/>
                          <w:sz w:val="36"/>
                          <w:szCs w:val="36"/>
                        </w:rPr>
                        <w:t>gC</w:t>
                      </w:r>
                      <w:proofErr w:type="spellEnd"/>
                      <w:proofErr w:type="gramEnd"/>
                      <w:r>
                        <w:rPr>
                          <w:rFonts w:asciiTheme="minorHAnsi" w:hAnsi="Calibri" w:cstheme="minorBidi"/>
                          <w:color w:val="000000" w:themeColor="text1"/>
                          <w:kern w:val="24"/>
                          <w:sz w:val="36"/>
                          <w:szCs w:val="36"/>
                        </w:rPr>
                        <w:t xml:space="preserve"> m</w:t>
                      </w:r>
                      <w:r>
                        <w:rPr>
                          <w:rFonts w:asciiTheme="minorHAnsi" w:hAnsi="Calibri" w:cstheme="minorBidi"/>
                          <w:color w:val="000000" w:themeColor="text1"/>
                          <w:kern w:val="24"/>
                          <w:position w:val="11"/>
                          <w:sz w:val="36"/>
                          <w:szCs w:val="36"/>
                          <w:vertAlign w:val="superscript"/>
                        </w:rPr>
                        <w:t>-2</w:t>
                      </w:r>
                      <w:r>
                        <w:rPr>
                          <w:rFonts w:asciiTheme="minorHAnsi" w:hAnsi="Calibri" w:cstheme="minorBidi"/>
                          <w:color w:val="000000" w:themeColor="text1"/>
                          <w:kern w:val="24"/>
                          <w:sz w:val="36"/>
                          <w:szCs w:val="36"/>
                        </w:rPr>
                        <w:t xml:space="preserve"> d</w:t>
                      </w:r>
                      <w:r>
                        <w:rPr>
                          <w:rFonts w:asciiTheme="minorHAnsi" w:hAnsi="Calibri" w:cstheme="minorBidi"/>
                          <w:color w:val="000000" w:themeColor="text1"/>
                          <w:kern w:val="24"/>
                          <w:position w:val="11"/>
                          <w:sz w:val="36"/>
                          <w:szCs w:val="36"/>
                          <w:vertAlign w:val="superscript"/>
                        </w:rPr>
                        <w:t>-1</w:t>
                      </w:r>
                    </w:p>
                  </w:txbxContent>
                </v:textbox>
              </v:shape>
            </w:pict>
          </mc:Fallback>
        </mc:AlternateContent>
      </w:r>
      <w:r w:rsidR="002801B7" w:rsidRPr="00FB20CC">
        <w:rPr>
          <w:noProof/>
          <w:sz w:val="24"/>
          <w:szCs w:val="24"/>
        </w:rPr>
        <mc:AlternateContent>
          <mc:Choice Requires="wps">
            <w:drawing>
              <wp:anchor distT="0" distB="0" distL="114300" distR="114300" simplePos="0" relativeHeight="251665408" behindDoc="0" locked="0" layoutInCell="1" allowOverlap="1" wp14:anchorId="2704D148" wp14:editId="7EDD709F">
                <wp:simplePos x="0" y="0"/>
                <wp:positionH relativeFrom="column">
                  <wp:posOffset>9296400</wp:posOffset>
                </wp:positionH>
                <wp:positionV relativeFrom="paragraph">
                  <wp:posOffset>4914900</wp:posOffset>
                </wp:positionV>
                <wp:extent cx="271228" cy="338554"/>
                <wp:effectExtent l="0" t="0" r="0" b="0"/>
                <wp:wrapNone/>
                <wp:docPr id="12" name="TextBox 11"/>
                <wp:cNvGraphicFramePr/>
                <a:graphic xmlns:a="http://schemas.openxmlformats.org/drawingml/2006/main">
                  <a:graphicData uri="http://schemas.microsoft.com/office/word/2010/wordprocessingShape">
                    <wps:wsp>
                      <wps:cNvSpPr txBox="1"/>
                      <wps:spPr>
                        <a:xfrm>
                          <a:off x="0" y="0"/>
                          <a:ext cx="271228" cy="338554"/>
                        </a:xfrm>
                        <a:prstGeom prst="rect">
                          <a:avLst/>
                        </a:prstGeom>
                        <a:noFill/>
                      </wps:spPr>
                      <wps:txbx>
                        <w:txbxContent>
                          <w:p w14:paraId="3218BF91" w14:textId="77777777" w:rsidR="002801B7" w:rsidRDefault="002801B7" w:rsidP="002801B7">
                            <w:pPr>
                              <w:pStyle w:val="NormalWeb"/>
                              <w:spacing w:before="0" w:beforeAutospacing="0" w:after="0" w:afterAutospacing="0"/>
                            </w:pPr>
                            <w:r>
                              <w:rPr>
                                <w:rFonts w:asciiTheme="minorHAnsi" w:hAnsi="Calibri" w:cstheme="minorBidi"/>
                                <w:b/>
                                <w:bCs/>
                                <w:color w:val="000000" w:themeColor="text1"/>
                                <w:kern w:val="24"/>
                                <w:sz w:val="32"/>
                                <w:szCs w:val="32"/>
                              </w:rPr>
                              <w:t>c</w:t>
                            </w:r>
                          </w:p>
                        </w:txbxContent>
                      </wps:txbx>
                      <wps:bodyPr wrap="none" rtlCol="0" anchor="ctr">
                        <a:spAutoFit/>
                      </wps:bodyPr>
                    </wps:wsp>
                  </a:graphicData>
                </a:graphic>
              </wp:anchor>
            </w:drawing>
          </mc:Choice>
          <mc:Fallback>
            <w:pict>
              <v:shape w14:anchorId="23E9918B" id="TextBox 11" o:spid="_x0000_s1028" type="#_x0000_t202" style="position:absolute;left:0;text-align:left;margin-left:732pt;margin-top:387pt;width:21.35pt;height:26.65pt;z-index:2516654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" filled="f" stroked="f">
                <v:textbox style="mso-fit-shape-to-text:t">
                  <w:txbxContent>
                    <w:p w:rsidR="002801B7" w:rsidRDefault="002801B7" w:rsidP="002801B7">
                      <w:pPr>
                        <w:pStyle w:val="NormalWeb"/>
                        <w:spacing w:before="0" w:beforeAutospacing="0" w:after="0" w:afterAutospacing="0"/>
                      </w:pPr>
                      <w:proofErr w:type="gramStart"/>
                      <w:r>
                        <w:rPr>
                          <w:rFonts w:asciiTheme="minorHAnsi" w:hAnsi="Calibri" w:cstheme="minorBidi"/>
                          <w:b/>
                          <w:bCs/>
                          <w:color w:val="000000" w:themeColor="text1"/>
                          <w:kern w:val="24"/>
                          <w:sz w:val="32"/>
                          <w:szCs w:val="32"/>
                        </w:rPr>
                        <w:t>c</w:t>
                      </w:r>
                      <w:proofErr w:type="gramEnd"/>
                    </w:p>
                  </w:txbxContent>
                </v:textbox>
              </v:shape>
            </w:pict>
          </mc:Fallback>
        </mc:AlternateContent>
      </w:r>
      <w:r w:rsidR="002801B7" w:rsidRPr="00FB20CC">
        <w:rPr>
          <w:noProof/>
          <w:sz w:val="24"/>
          <w:szCs w:val="24"/>
        </w:rPr>
        <mc:AlternateContent>
          <mc:Choice Requires="wps">
            <w:drawing>
              <wp:anchor distT="0" distB="0" distL="114300" distR="114300" simplePos="0" relativeHeight="251668480" behindDoc="0" locked="0" layoutInCell="1" allowOverlap="1" wp14:anchorId="1036902E" wp14:editId="1845F77A">
                <wp:simplePos x="0" y="0"/>
                <wp:positionH relativeFrom="column">
                  <wp:posOffset>9364980</wp:posOffset>
                </wp:positionH>
                <wp:positionV relativeFrom="paragraph">
                  <wp:posOffset>5363210</wp:posOffset>
                </wp:positionV>
                <wp:extent cx="282450" cy="369332"/>
                <wp:effectExtent l="0" t="0" r="0" b="0"/>
                <wp:wrapNone/>
                <wp:docPr id="14" name="TextBox 13"/>
                <wp:cNvGraphicFramePr/>
                <a:graphic xmlns:a="http://schemas.openxmlformats.org/drawingml/2006/main">
                  <a:graphicData uri="http://schemas.microsoft.com/office/word/2010/wordprocessingShape">
                    <wps:wsp>
                      <wps:cNvSpPr txBox="1"/>
                      <wps:spPr>
                        <a:xfrm>
                          <a:off x="0" y="0"/>
                          <a:ext cx="282450" cy="369332"/>
                        </a:xfrm>
                        <a:prstGeom prst="rect">
                          <a:avLst/>
                        </a:prstGeom>
                        <a:noFill/>
                      </wps:spPr>
                      <wps:txbx>
                        <w:txbxContent>
                          <w:p w14:paraId="32D1A35F" w14:textId="77777777" w:rsidR="002801B7" w:rsidRDefault="002801B7" w:rsidP="002801B7">
                            <w:pPr>
                              <w:pStyle w:val="NormalWeb"/>
                              <w:spacing w:before="0" w:beforeAutospacing="0" w:after="0" w:afterAutospacing="0"/>
                            </w:pPr>
                            <w:r>
                              <w:rPr>
                                <w:rFonts w:asciiTheme="minorHAnsi" w:hAnsi="Calibri" w:cstheme="minorBidi"/>
                                <w:color w:val="000000" w:themeColor="text1"/>
                                <w:kern w:val="24"/>
                                <w:sz w:val="36"/>
                                <w:szCs w:val="36"/>
                              </w:rPr>
                              <w:t>c</w:t>
                            </w:r>
                          </w:p>
                        </w:txbxContent>
                      </wps:txbx>
                      <wps:bodyPr wrap="none" rtlCol="0">
                        <a:spAutoFit/>
                      </wps:bodyPr>
                    </wps:wsp>
                  </a:graphicData>
                </a:graphic>
              </wp:anchor>
            </w:drawing>
          </mc:Choice>
          <mc:Fallback>
            <w:pict>
              <v:shape w14:anchorId="0DB2C0D3" id="TextBox 13" o:spid="_x0000_s1029" type="#_x0000_t202" style="position:absolute;left:0;text-align:left;margin-left:737.4pt;margin-top:422.3pt;width:22.25pt;height:29.1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" filled="f" stroked="f">
                <v:textbox style="mso-fit-shape-to-text:t">
                  <w:txbxContent>
                    <w:p w:rsidR="002801B7" w:rsidRDefault="002801B7" w:rsidP="002801B7">
                      <w:pPr>
                        <w:pStyle w:val="NormalWeb"/>
                        <w:spacing w:before="0" w:beforeAutospacing="0" w:after="0" w:afterAutospacing="0"/>
                      </w:pPr>
                      <w:proofErr w:type="gramStart"/>
                      <w:r>
                        <w:rPr>
                          <w:rFonts w:asciiTheme="minorHAnsi" w:hAnsi="Calibri" w:cstheme="minorBidi"/>
                          <w:color w:val="000000" w:themeColor="text1"/>
                          <w:kern w:val="24"/>
                          <w:sz w:val="36"/>
                          <w:szCs w:val="36"/>
                        </w:rPr>
                        <w:t>c</w:t>
                      </w:r>
                      <w:proofErr w:type="gramEnd"/>
                    </w:p>
                  </w:txbxContent>
                </v:textbox>
              </v:shape>
            </w:pict>
          </mc:Fallback>
        </mc:AlternateContent>
      </w:r>
      <w:r w:rsidR="007E19B0" w:rsidRPr="00FB20CC">
        <w:rPr>
          <w:sz w:val="24"/>
          <w:szCs w:val="24"/>
        </w:rPr>
        <w:t>p</w:t>
      </w:r>
      <w:r w:rsidRPr="00FB20CC">
        <w:rPr>
          <w:sz w:val="24"/>
          <w:szCs w:val="24"/>
        </w:rPr>
        <w:t xml:space="preserve">roduction on annual scales.  </w:t>
      </w:r>
      <w:r w:rsidR="00B721F1" w:rsidRPr="00FB20CC">
        <w:rPr>
          <w:sz w:val="24"/>
          <w:szCs w:val="24"/>
        </w:rPr>
        <w:t>As a consequence, n</w:t>
      </w:r>
      <w:r w:rsidRPr="00FB20CC">
        <w:rPr>
          <w:sz w:val="24"/>
          <w:szCs w:val="24"/>
        </w:rPr>
        <w:t>itrate, one of the most important nutrients for phytoplankton growth and production, declines 0.18 µM decade</w:t>
      </w:r>
      <w:r w:rsidRPr="00FB20CC">
        <w:rPr>
          <w:sz w:val="24"/>
          <w:szCs w:val="24"/>
          <w:vertAlign w:val="superscript"/>
        </w:rPr>
        <w:t>-1</w:t>
      </w:r>
      <w:r w:rsidRPr="00FB20CC">
        <w:rPr>
          <w:sz w:val="24"/>
          <w:szCs w:val="24"/>
        </w:rPr>
        <w:t xml:space="preserve"> (3.2% decade</w:t>
      </w:r>
      <w:r w:rsidRPr="00FB20CC">
        <w:rPr>
          <w:sz w:val="24"/>
          <w:szCs w:val="24"/>
          <w:vertAlign w:val="superscript"/>
        </w:rPr>
        <w:t>-1</w:t>
      </w:r>
      <w:r w:rsidR="0002322E" w:rsidRPr="00FB20CC">
        <w:rPr>
          <w:sz w:val="24"/>
          <w:szCs w:val="24"/>
        </w:rPr>
        <w:t>; r=-0.503, P&lt;0.05; Table 2</w:t>
      </w:r>
      <w:r w:rsidRPr="00FB20CC">
        <w:rPr>
          <w:sz w:val="24"/>
          <w:szCs w:val="24"/>
        </w:rPr>
        <w:t xml:space="preserve">).  </w:t>
      </w:r>
    </w:p>
    <w:p w14:paraId="54259AD9" w14:textId="77777777" w:rsidR="00545A6A" w:rsidRPr="00FB20CC" w:rsidRDefault="00545A6A" w:rsidP="00545A6A">
      <w:pPr>
        <w:jc w:val="both"/>
        <w:rPr>
          <w:sz w:val="24"/>
          <w:szCs w:val="24"/>
        </w:rPr>
      </w:pPr>
      <w:r w:rsidRPr="00FB20CC">
        <w:rPr>
          <w:sz w:val="24"/>
          <w:szCs w:val="24"/>
        </w:rPr>
        <w:t xml:space="preserve">   These results suggest a consistent representation of recent trends in global ocean primary production: shallowing mixed layer </w:t>
      </w:r>
      <w:r w:rsidR="009C13A0" w:rsidRPr="00FB20CC">
        <w:rPr>
          <w:sz w:val="24"/>
          <w:szCs w:val="24"/>
        </w:rPr>
        <w:t>restricting</w:t>
      </w:r>
      <w:r w:rsidRPr="00FB20CC">
        <w:rPr>
          <w:sz w:val="24"/>
          <w:szCs w:val="24"/>
        </w:rPr>
        <w:t xml:space="preserve"> nutrient supply</w:t>
      </w:r>
      <w:r w:rsidR="00225450" w:rsidRPr="00FB20CC">
        <w:rPr>
          <w:sz w:val="24"/>
          <w:szCs w:val="24"/>
        </w:rPr>
        <w:t xml:space="preserve"> </w:t>
      </w:r>
      <w:r w:rsidR="009C13A0" w:rsidRPr="00FB20CC">
        <w:rPr>
          <w:sz w:val="24"/>
          <w:szCs w:val="24"/>
        </w:rPr>
        <w:t>produces</w:t>
      </w:r>
      <w:r w:rsidRPr="00FB20CC">
        <w:rPr>
          <w:sz w:val="24"/>
          <w:szCs w:val="24"/>
        </w:rPr>
        <w:t xml:space="preserve"> declining total primary production.  The global production trend is small, however, and limited to chlorophytes, which have intermediate requirements for nutrients.  Their reduction in primary production is partially compensated by increasing coccolithophore production.  Coccolithophores are more efficient users of nutrients and </w:t>
      </w:r>
      <w:r w:rsidR="001822CE" w:rsidRPr="00FB20CC">
        <w:rPr>
          <w:sz w:val="24"/>
          <w:szCs w:val="24"/>
        </w:rPr>
        <w:t>thus have a competitive advantage in a lower nutrient environment</w:t>
      </w:r>
      <w:r w:rsidRPr="00FB20CC">
        <w:rPr>
          <w:sz w:val="24"/>
          <w:szCs w:val="24"/>
        </w:rPr>
        <w:t xml:space="preserve">.  The changes in phytoplankton contributions are not enough to </w:t>
      </w:r>
      <w:r w:rsidR="009C13A0" w:rsidRPr="00FB20CC">
        <w:rPr>
          <w:sz w:val="24"/>
          <w:szCs w:val="24"/>
        </w:rPr>
        <w:t>produce</w:t>
      </w:r>
      <w:r w:rsidRPr="00FB20CC">
        <w:rPr>
          <w:sz w:val="24"/>
          <w:szCs w:val="24"/>
        </w:rPr>
        <w:t xml:space="preserve"> a community shift in contributions to primary production.</w:t>
      </w:r>
    </w:p>
    <w:p w14:paraId="41B26846" w14:textId="77777777" w:rsidR="00B26D3C" w:rsidRPr="00FB20CC" w:rsidRDefault="00AB6912" w:rsidP="00545A6A">
      <w:pPr>
        <w:jc w:val="both"/>
        <w:rPr>
          <w:sz w:val="24"/>
          <w:szCs w:val="24"/>
        </w:rPr>
      </w:pPr>
      <w:r w:rsidRPr="00FB20CC">
        <w:rPr>
          <w:sz w:val="24"/>
          <w:szCs w:val="24"/>
        </w:rPr>
        <w:t xml:space="preserve">   </w:t>
      </w:r>
      <w:r w:rsidR="00FA3A75" w:rsidRPr="00FB20CC">
        <w:rPr>
          <w:sz w:val="24"/>
          <w:szCs w:val="24"/>
        </w:rPr>
        <w:t>T</w:t>
      </w:r>
      <w:r w:rsidRPr="00FB20CC">
        <w:rPr>
          <w:sz w:val="24"/>
          <w:szCs w:val="24"/>
        </w:rPr>
        <w:t xml:space="preserve">he </w:t>
      </w:r>
      <w:r w:rsidR="00FA3A75" w:rsidRPr="00FB20CC">
        <w:rPr>
          <w:sz w:val="24"/>
          <w:szCs w:val="24"/>
        </w:rPr>
        <w:t xml:space="preserve">global </w:t>
      </w:r>
      <w:r w:rsidRPr="00FB20CC">
        <w:rPr>
          <w:sz w:val="24"/>
          <w:szCs w:val="24"/>
        </w:rPr>
        <w:t xml:space="preserve">trends </w:t>
      </w:r>
      <w:r w:rsidR="00593325" w:rsidRPr="00FB20CC">
        <w:rPr>
          <w:sz w:val="24"/>
          <w:szCs w:val="24"/>
        </w:rPr>
        <w:t>do</w:t>
      </w:r>
      <w:r w:rsidRPr="00FB20CC">
        <w:rPr>
          <w:sz w:val="24"/>
          <w:szCs w:val="24"/>
        </w:rPr>
        <w:t xml:space="preserve"> not </w:t>
      </w:r>
      <w:r w:rsidR="00593325" w:rsidRPr="00FB20CC">
        <w:rPr>
          <w:sz w:val="24"/>
          <w:szCs w:val="24"/>
        </w:rPr>
        <w:t xml:space="preserve">appear to be </w:t>
      </w:r>
      <w:r w:rsidRPr="00FB20CC">
        <w:rPr>
          <w:sz w:val="24"/>
          <w:szCs w:val="24"/>
        </w:rPr>
        <w:t>related to the El Ni</w:t>
      </w:r>
      <w:r w:rsidR="00DB7535" w:rsidRPr="00FB20CC">
        <w:rPr>
          <w:sz w:val="24"/>
          <w:szCs w:val="24"/>
        </w:rPr>
        <w:t>ñ</w:t>
      </w:r>
      <w:r w:rsidR="0004769A" w:rsidRPr="00FB20CC">
        <w:rPr>
          <w:sz w:val="24"/>
          <w:szCs w:val="24"/>
        </w:rPr>
        <w:t>o-</w:t>
      </w:r>
      <w:r w:rsidRPr="00FB20CC">
        <w:rPr>
          <w:sz w:val="24"/>
          <w:szCs w:val="24"/>
        </w:rPr>
        <w:t xml:space="preserve">Southern Oscillation </w:t>
      </w:r>
      <w:r w:rsidR="00DB7535" w:rsidRPr="00FB20CC">
        <w:rPr>
          <w:sz w:val="24"/>
          <w:szCs w:val="24"/>
        </w:rPr>
        <w:t xml:space="preserve">(ENSO) </w:t>
      </w:r>
      <w:r w:rsidRPr="00FB20CC">
        <w:rPr>
          <w:sz w:val="24"/>
          <w:szCs w:val="24"/>
        </w:rPr>
        <w:t xml:space="preserve">events that have occurred in </w:t>
      </w:r>
      <w:r w:rsidR="00FA3A75" w:rsidRPr="00FB20CC">
        <w:rPr>
          <w:sz w:val="24"/>
          <w:szCs w:val="24"/>
        </w:rPr>
        <w:t xml:space="preserve">the </w:t>
      </w:r>
      <w:r w:rsidRPr="00FB20CC">
        <w:rPr>
          <w:sz w:val="24"/>
          <w:szCs w:val="24"/>
        </w:rPr>
        <w:t>time series.  There is no significant trend in the Equatorial Pacific and the global trend is statistically similar even if we begin the series as late as 2006.</w:t>
      </w:r>
    </w:p>
    <w:p w14:paraId="74571F6A" w14:textId="77777777" w:rsidR="00B26D3C" w:rsidRPr="00FB20CC" w:rsidRDefault="00B26D3C" w:rsidP="00545A6A">
      <w:pPr>
        <w:jc w:val="both"/>
        <w:rPr>
          <w:sz w:val="24"/>
          <w:szCs w:val="24"/>
        </w:rPr>
      </w:pPr>
    </w:p>
    <w:p w14:paraId="4D5D2B7B" w14:textId="77777777" w:rsidR="00B26D3C" w:rsidRPr="00FB20CC" w:rsidRDefault="0002322E" w:rsidP="00B26D3C">
      <w:pPr>
        <w:rPr>
          <w:sz w:val="24"/>
          <w:szCs w:val="24"/>
        </w:rPr>
      </w:pPr>
      <w:r w:rsidRPr="00FB20CC">
        <w:rPr>
          <w:b/>
          <w:sz w:val="24"/>
          <w:szCs w:val="24"/>
        </w:rPr>
        <w:t>Table 2</w:t>
      </w:r>
      <w:r w:rsidR="00B26D3C" w:rsidRPr="00FB20CC">
        <w:rPr>
          <w:sz w:val="24"/>
          <w:szCs w:val="24"/>
        </w:rPr>
        <w:t>.  Statistics on trends in global ocean primary production and related variables.  NS indicates not significant at 95% confidence level.  Trends for variables that are not significant a</w:t>
      </w:r>
      <w:r w:rsidR="000216A4" w:rsidRPr="00FB20CC">
        <w:rPr>
          <w:sz w:val="24"/>
          <w:szCs w:val="24"/>
        </w:rPr>
        <w:t>re not shown.  The 18-year time</w:t>
      </w:r>
      <w:r w:rsidR="00B26D3C" w:rsidRPr="00FB20CC">
        <w:rPr>
          <w:sz w:val="24"/>
          <w:szCs w:val="24"/>
        </w:rPr>
        <w:t xml:space="preserve"> series has N=18, except when end-point bias is observed.</w:t>
      </w:r>
    </w:p>
    <w:p w14:paraId="0A59DED6" w14:textId="77777777" w:rsidR="00B26D3C" w:rsidRPr="00FB20CC" w:rsidRDefault="00B26D3C" w:rsidP="00B26D3C">
      <w:pPr>
        <w:rPr>
          <w:sz w:val="24"/>
          <w:szCs w:val="24"/>
        </w:rPr>
      </w:pPr>
    </w:p>
    <w:p w14:paraId="34C6605B" w14:textId="77777777" w:rsidR="00B26D3C" w:rsidRPr="00FB20CC" w:rsidRDefault="00B26D3C" w:rsidP="00B26D3C">
      <w:pPr>
        <w:rPr>
          <w:sz w:val="24"/>
          <w:szCs w:val="24"/>
        </w:rPr>
      </w:pPr>
    </w:p>
    <w:tbl>
      <w:tblPr>
        <w:tblStyle w:val="TableGrid"/>
        <w:tblW w:w="0" w:type="auto"/>
        <w:tblLook w:val="04A0" w:firstRow="1" w:lastRow="0" w:firstColumn="1" w:lastColumn="0" w:noHBand="0" w:noVBand="1"/>
      </w:tblPr>
      <w:tblGrid>
        <w:gridCol w:w="3447"/>
        <w:gridCol w:w="1948"/>
        <w:gridCol w:w="808"/>
        <w:gridCol w:w="3147"/>
      </w:tblGrid>
      <w:tr w:rsidR="00FB20CC" w:rsidRPr="00FB20CC" w14:paraId="05EE726C" w14:textId="77777777" w:rsidTr="00090963">
        <w:tc>
          <w:tcPr>
            <w:tcW w:w="3447" w:type="dxa"/>
          </w:tcPr>
          <w:p w14:paraId="396B47C5" w14:textId="77777777" w:rsidR="00B26D3C" w:rsidRPr="00FB20CC" w:rsidRDefault="00B26D3C" w:rsidP="00954684">
            <w:pPr>
              <w:rPr>
                <w:sz w:val="24"/>
                <w:szCs w:val="24"/>
              </w:rPr>
            </w:pPr>
            <w:r w:rsidRPr="00FB20CC">
              <w:rPr>
                <w:sz w:val="24"/>
                <w:szCs w:val="24"/>
              </w:rPr>
              <w:t>Global Variable</w:t>
            </w:r>
          </w:p>
        </w:tc>
        <w:tc>
          <w:tcPr>
            <w:tcW w:w="1948" w:type="dxa"/>
          </w:tcPr>
          <w:p w14:paraId="63AD19B2" w14:textId="77777777" w:rsidR="00B26D3C" w:rsidRPr="00FB20CC" w:rsidRDefault="00B26D3C" w:rsidP="00954684">
            <w:pPr>
              <w:rPr>
                <w:sz w:val="24"/>
                <w:szCs w:val="24"/>
              </w:rPr>
            </w:pPr>
            <w:r w:rsidRPr="00FB20CC">
              <w:rPr>
                <w:sz w:val="24"/>
                <w:szCs w:val="24"/>
              </w:rPr>
              <w:t>Correlation Coefficient</w:t>
            </w:r>
          </w:p>
        </w:tc>
        <w:tc>
          <w:tcPr>
            <w:tcW w:w="808" w:type="dxa"/>
          </w:tcPr>
          <w:p w14:paraId="02BFA64C" w14:textId="77777777" w:rsidR="00B26D3C" w:rsidRPr="00FB20CC" w:rsidRDefault="00B26D3C" w:rsidP="00954684">
            <w:pPr>
              <w:rPr>
                <w:sz w:val="24"/>
                <w:szCs w:val="24"/>
              </w:rPr>
            </w:pPr>
            <w:r w:rsidRPr="00FB20CC">
              <w:rPr>
                <w:sz w:val="24"/>
                <w:szCs w:val="24"/>
              </w:rPr>
              <w:t>N</w:t>
            </w:r>
          </w:p>
        </w:tc>
        <w:tc>
          <w:tcPr>
            <w:tcW w:w="3147" w:type="dxa"/>
          </w:tcPr>
          <w:p w14:paraId="0D5B62EA" w14:textId="77777777" w:rsidR="00B26D3C" w:rsidRPr="00FB20CC" w:rsidRDefault="00B26D3C" w:rsidP="00954684">
            <w:pPr>
              <w:rPr>
                <w:sz w:val="24"/>
                <w:szCs w:val="24"/>
              </w:rPr>
            </w:pPr>
            <w:r w:rsidRPr="00FB20CC">
              <w:rPr>
                <w:sz w:val="24"/>
                <w:szCs w:val="24"/>
              </w:rPr>
              <w:t>Trend</w:t>
            </w:r>
          </w:p>
        </w:tc>
      </w:tr>
      <w:tr w:rsidR="00FB20CC" w:rsidRPr="00FB20CC" w14:paraId="77C3519B" w14:textId="77777777" w:rsidTr="00090963">
        <w:tc>
          <w:tcPr>
            <w:tcW w:w="3447" w:type="dxa"/>
          </w:tcPr>
          <w:p w14:paraId="27A84153" w14:textId="77777777" w:rsidR="00B26D3C" w:rsidRPr="00FB20CC" w:rsidRDefault="00B26D3C" w:rsidP="00954684">
            <w:pPr>
              <w:rPr>
                <w:sz w:val="24"/>
                <w:szCs w:val="24"/>
              </w:rPr>
            </w:pPr>
            <w:r w:rsidRPr="00FB20CC">
              <w:rPr>
                <w:sz w:val="24"/>
                <w:szCs w:val="24"/>
              </w:rPr>
              <w:t>Total Primary Production</w:t>
            </w:r>
          </w:p>
        </w:tc>
        <w:tc>
          <w:tcPr>
            <w:tcW w:w="1948" w:type="dxa"/>
          </w:tcPr>
          <w:p w14:paraId="7CDEC771" w14:textId="77777777" w:rsidR="00B26D3C" w:rsidRPr="00FB20CC" w:rsidRDefault="00B26D3C" w:rsidP="00954684">
            <w:pPr>
              <w:rPr>
                <w:sz w:val="24"/>
                <w:szCs w:val="24"/>
              </w:rPr>
            </w:pPr>
            <w:r w:rsidRPr="00FB20CC">
              <w:rPr>
                <w:sz w:val="24"/>
                <w:szCs w:val="24"/>
              </w:rPr>
              <w:t>-0.648    P&lt;0.05</w:t>
            </w:r>
          </w:p>
        </w:tc>
        <w:tc>
          <w:tcPr>
            <w:tcW w:w="808" w:type="dxa"/>
          </w:tcPr>
          <w:p w14:paraId="09964665" w14:textId="77777777" w:rsidR="00B26D3C" w:rsidRPr="00FB20CC" w:rsidRDefault="00B26D3C" w:rsidP="00954684">
            <w:pPr>
              <w:rPr>
                <w:sz w:val="24"/>
                <w:szCs w:val="24"/>
              </w:rPr>
            </w:pPr>
            <w:r w:rsidRPr="00FB20CC">
              <w:rPr>
                <w:sz w:val="24"/>
                <w:szCs w:val="24"/>
              </w:rPr>
              <w:t>N=17</w:t>
            </w:r>
          </w:p>
        </w:tc>
        <w:tc>
          <w:tcPr>
            <w:tcW w:w="3147" w:type="dxa"/>
          </w:tcPr>
          <w:p w14:paraId="65174C68" w14:textId="77777777" w:rsidR="00B26D3C" w:rsidRPr="00FB20CC" w:rsidRDefault="00B26D3C" w:rsidP="00954684">
            <w:pPr>
              <w:rPr>
                <w:sz w:val="24"/>
                <w:szCs w:val="24"/>
                <w:vertAlign w:val="superscript"/>
              </w:rPr>
            </w:pPr>
            <w:r w:rsidRPr="00FB20CC">
              <w:rPr>
                <w:sz w:val="24"/>
                <w:szCs w:val="24"/>
              </w:rPr>
              <w:t xml:space="preserve">-0.81 </w:t>
            </w:r>
            <w:proofErr w:type="spellStart"/>
            <w:r w:rsidRPr="00FB20CC">
              <w:rPr>
                <w:sz w:val="24"/>
                <w:szCs w:val="24"/>
              </w:rPr>
              <w:t>PgC</w:t>
            </w:r>
            <w:proofErr w:type="spellEnd"/>
            <w:r w:rsidRPr="00FB20CC">
              <w:rPr>
                <w:sz w:val="24"/>
                <w:szCs w:val="24"/>
              </w:rPr>
              <w:t xml:space="preserve"> y</w:t>
            </w:r>
            <w:r w:rsidRPr="00FB20CC">
              <w:rPr>
                <w:sz w:val="24"/>
                <w:szCs w:val="24"/>
                <w:vertAlign w:val="superscript"/>
              </w:rPr>
              <w:t>-1</w:t>
            </w:r>
            <w:r w:rsidRPr="00FB20CC">
              <w:rPr>
                <w:sz w:val="24"/>
                <w:szCs w:val="24"/>
              </w:rPr>
              <w:t xml:space="preserve"> decade</w:t>
            </w:r>
            <w:r w:rsidRPr="00FB20CC">
              <w:rPr>
                <w:sz w:val="24"/>
                <w:szCs w:val="24"/>
                <w:vertAlign w:val="superscript"/>
              </w:rPr>
              <w:t xml:space="preserve">-1  </w:t>
            </w:r>
          </w:p>
          <w:p w14:paraId="49DB2911" w14:textId="77777777" w:rsidR="00B26D3C" w:rsidRPr="00FB20CC" w:rsidRDefault="00B26D3C" w:rsidP="00954684">
            <w:pPr>
              <w:rPr>
                <w:sz w:val="24"/>
                <w:szCs w:val="24"/>
              </w:rPr>
            </w:pPr>
            <w:r w:rsidRPr="00FB20CC">
              <w:rPr>
                <w:sz w:val="24"/>
                <w:szCs w:val="24"/>
              </w:rPr>
              <w:t>(2.1% decade</w:t>
            </w:r>
            <w:r w:rsidRPr="00FB20CC">
              <w:rPr>
                <w:sz w:val="24"/>
                <w:szCs w:val="24"/>
                <w:vertAlign w:val="superscript"/>
              </w:rPr>
              <w:t>-1</w:t>
            </w:r>
            <w:r w:rsidRPr="00FB20CC">
              <w:rPr>
                <w:sz w:val="24"/>
                <w:szCs w:val="24"/>
              </w:rPr>
              <w:t>)</w:t>
            </w:r>
          </w:p>
        </w:tc>
      </w:tr>
      <w:tr w:rsidR="00FB20CC" w:rsidRPr="00FB20CC" w14:paraId="12B70359" w14:textId="77777777" w:rsidTr="00090963">
        <w:tc>
          <w:tcPr>
            <w:tcW w:w="3447" w:type="dxa"/>
          </w:tcPr>
          <w:p w14:paraId="1B1E9EBF" w14:textId="77777777" w:rsidR="00B26D3C" w:rsidRPr="00FB20CC" w:rsidRDefault="00B26D3C" w:rsidP="00954684">
            <w:pPr>
              <w:rPr>
                <w:sz w:val="24"/>
                <w:szCs w:val="24"/>
              </w:rPr>
            </w:pPr>
            <w:r w:rsidRPr="00FB20CC">
              <w:rPr>
                <w:sz w:val="24"/>
                <w:szCs w:val="24"/>
              </w:rPr>
              <w:t>Diatom Production</w:t>
            </w:r>
          </w:p>
        </w:tc>
        <w:tc>
          <w:tcPr>
            <w:tcW w:w="1948" w:type="dxa"/>
          </w:tcPr>
          <w:p w14:paraId="00BCCD8C" w14:textId="77777777" w:rsidR="00B26D3C" w:rsidRPr="00FB20CC" w:rsidRDefault="00B26D3C" w:rsidP="00954684">
            <w:pPr>
              <w:rPr>
                <w:sz w:val="24"/>
                <w:szCs w:val="24"/>
              </w:rPr>
            </w:pPr>
            <w:r w:rsidRPr="00FB20CC">
              <w:rPr>
                <w:sz w:val="24"/>
                <w:szCs w:val="24"/>
              </w:rPr>
              <w:t>-0.472    NS</w:t>
            </w:r>
          </w:p>
        </w:tc>
        <w:tc>
          <w:tcPr>
            <w:tcW w:w="808" w:type="dxa"/>
          </w:tcPr>
          <w:p w14:paraId="66262443" w14:textId="77777777" w:rsidR="00B26D3C" w:rsidRPr="00FB20CC" w:rsidRDefault="00B26D3C" w:rsidP="00954684">
            <w:pPr>
              <w:rPr>
                <w:sz w:val="24"/>
                <w:szCs w:val="24"/>
              </w:rPr>
            </w:pPr>
            <w:r w:rsidRPr="00FB20CC">
              <w:rPr>
                <w:sz w:val="24"/>
                <w:szCs w:val="24"/>
              </w:rPr>
              <w:t>N=17</w:t>
            </w:r>
          </w:p>
        </w:tc>
        <w:tc>
          <w:tcPr>
            <w:tcW w:w="3147" w:type="dxa"/>
          </w:tcPr>
          <w:p w14:paraId="604A0537" w14:textId="77777777" w:rsidR="00B26D3C" w:rsidRPr="00FB20CC" w:rsidRDefault="00B26D3C" w:rsidP="00954684">
            <w:pPr>
              <w:rPr>
                <w:sz w:val="24"/>
                <w:szCs w:val="24"/>
              </w:rPr>
            </w:pPr>
          </w:p>
        </w:tc>
      </w:tr>
      <w:tr w:rsidR="00FB20CC" w:rsidRPr="00FB20CC" w14:paraId="1CA61B6F" w14:textId="77777777" w:rsidTr="00090963">
        <w:tc>
          <w:tcPr>
            <w:tcW w:w="3447" w:type="dxa"/>
          </w:tcPr>
          <w:p w14:paraId="1208242F" w14:textId="77777777" w:rsidR="00B26D3C" w:rsidRPr="00FB20CC" w:rsidRDefault="00B26D3C" w:rsidP="00954684">
            <w:pPr>
              <w:rPr>
                <w:sz w:val="24"/>
                <w:szCs w:val="24"/>
              </w:rPr>
            </w:pPr>
            <w:r w:rsidRPr="00FB20CC">
              <w:rPr>
                <w:sz w:val="24"/>
                <w:szCs w:val="24"/>
              </w:rPr>
              <w:t>Chlorophyte Production</w:t>
            </w:r>
          </w:p>
        </w:tc>
        <w:tc>
          <w:tcPr>
            <w:tcW w:w="1948" w:type="dxa"/>
          </w:tcPr>
          <w:p w14:paraId="5D60D10D" w14:textId="77777777" w:rsidR="00B26D3C" w:rsidRPr="00FB20CC" w:rsidRDefault="00B26D3C" w:rsidP="00954684">
            <w:pPr>
              <w:rPr>
                <w:sz w:val="24"/>
                <w:szCs w:val="24"/>
              </w:rPr>
            </w:pPr>
            <w:r w:rsidRPr="00FB20CC">
              <w:rPr>
                <w:sz w:val="24"/>
                <w:szCs w:val="24"/>
              </w:rPr>
              <w:t>-0.849    P&lt;0.05</w:t>
            </w:r>
          </w:p>
        </w:tc>
        <w:tc>
          <w:tcPr>
            <w:tcW w:w="808" w:type="dxa"/>
          </w:tcPr>
          <w:p w14:paraId="6640BF7B" w14:textId="77777777" w:rsidR="00B26D3C" w:rsidRPr="00FB20CC" w:rsidRDefault="00B26D3C" w:rsidP="00954684">
            <w:pPr>
              <w:rPr>
                <w:sz w:val="24"/>
                <w:szCs w:val="24"/>
              </w:rPr>
            </w:pPr>
            <w:r w:rsidRPr="00FB20CC">
              <w:rPr>
                <w:sz w:val="24"/>
                <w:szCs w:val="24"/>
              </w:rPr>
              <w:t>N=18</w:t>
            </w:r>
          </w:p>
        </w:tc>
        <w:tc>
          <w:tcPr>
            <w:tcW w:w="3147" w:type="dxa"/>
          </w:tcPr>
          <w:p w14:paraId="5CFEB0C4" w14:textId="77777777" w:rsidR="00B26D3C" w:rsidRPr="00FB20CC" w:rsidRDefault="00B26D3C" w:rsidP="00954684">
            <w:pPr>
              <w:rPr>
                <w:sz w:val="24"/>
                <w:szCs w:val="24"/>
                <w:vertAlign w:val="superscript"/>
              </w:rPr>
            </w:pPr>
            <w:r w:rsidRPr="00FB20CC">
              <w:rPr>
                <w:sz w:val="24"/>
                <w:szCs w:val="24"/>
              </w:rPr>
              <w:t xml:space="preserve">-0.98 </w:t>
            </w:r>
            <w:proofErr w:type="spellStart"/>
            <w:r w:rsidRPr="00FB20CC">
              <w:rPr>
                <w:sz w:val="24"/>
                <w:szCs w:val="24"/>
              </w:rPr>
              <w:t>PgC</w:t>
            </w:r>
            <w:proofErr w:type="spellEnd"/>
            <w:r w:rsidRPr="00FB20CC">
              <w:rPr>
                <w:sz w:val="24"/>
                <w:szCs w:val="24"/>
              </w:rPr>
              <w:t xml:space="preserve"> y</w:t>
            </w:r>
            <w:r w:rsidRPr="00FB20CC">
              <w:rPr>
                <w:sz w:val="24"/>
                <w:szCs w:val="24"/>
                <w:vertAlign w:val="superscript"/>
              </w:rPr>
              <w:t>-1</w:t>
            </w:r>
            <w:r w:rsidRPr="00FB20CC">
              <w:rPr>
                <w:sz w:val="24"/>
                <w:szCs w:val="24"/>
              </w:rPr>
              <w:t xml:space="preserve"> decade</w:t>
            </w:r>
            <w:r w:rsidRPr="00FB20CC">
              <w:rPr>
                <w:sz w:val="24"/>
                <w:szCs w:val="24"/>
                <w:vertAlign w:val="superscript"/>
              </w:rPr>
              <w:t xml:space="preserve">-1 </w:t>
            </w:r>
          </w:p>
          <w:p w14:paraId="31D03C4D" w14:textId="77777777" w:rsidR="00B26D3C" w:rsidRPr="00FB20CC" w:rsidRDefault="00B26D3C" w:rsidP="00954684">
            <w:pPr>
              <w:rPr>
                <w:sz w:val="24"/>
                <w:szCs w:val="24"/>
              </w:rPr>
            </w:pPr>
            <w:r w:rsidRPr="00FB20CC">
              <w:rPr>
                <w:sz w:val="24"/>
                <w:szCs w:val="24"/>
                <w:vertAlign w:val="superscript"/>
              </w:rPr>
              <w:t xml:space="preserve"> </w:t>
            </w:r>
            <w:r w:rsidRPr="00FB20CC">
              <w:rPr>
                <w:sz w:val="24"/>
                <w:szCs w:val="24"/>
              </w:rPr>
              <w:t>(14.3% decade</w:t>
            </w:r>
            <w:r w:rsidRPr="00FB20CC">
              <w:rPr>
                <w:sz w:val="24"/>
                <w:szCs w:val="24"/>
                <w:vertAlign w:val="superscript"/>
              </w:rPr>
              <w:t>-1</w:t>
            </w:r>
            <w:r w:rsidRPr="00FB20CC">
              <w:rPr>
                <w:sz w:val="24"/>
                <w:szCs w:val="24"/>
              </w:rPr>
              <w:t>)</w:t>
            </w:r>
          </w:p>
        </w:tc>
      </w:tr>
      <w:tr w:rsidR="00FB20CC" w:rsidRPr="00FB20CC" w14:paraId="510BE204" w14:textId="77777777" w:rsidTr="00090963">
        <w:tc>
          <w:tcPr>
            <w:tcW w:w="3447" w:type="dxa"/>
          </w:tcPr>
          <w:p w14:paraId="2B77336A" w14:textId="77777777" w:rsidR="00B26D3C" w:rsidRPr="00FB20CC" w:rsidRDefault="00B26D3C" w:rsidP="00954684">
            <w:pPr>
              <w:rPr>
                <w:sz w:val="24"/>
                <w:szCs w:val="24"/>
              </w:rPr>
            </w:pPr>
            <w:r w:rsidRPr="00FB20CC">
              <w:rPr>
                <w:sz w:val="24"/>
                <w:szCs w:val="24"/>
              </w:rPr>
              <w:t>Cyanobacteria Production</w:t>
            </w:r>
          </w:p>
        </w:tc>
        <w:tc>
          <w:tcPr>
            <w:tcW w:w="1948" w:type="dxa"/>
          </w:tcPr>
          <w:p w14:paraId="16FC24EE" w14:textId="77777777" w:rsidR="00B26D3C" w:rsidRPr="00FB20CC" w:rsidRDefault="00B26D3C" w:rsidP="00954684">
            <w:pPr>
              <w:rPr>
                <w:sz w:val="24"/>
                <w:szCs w:val="24"/>
              </w:rPr>
            </w:pPr>
            <w:r w:rsidRPr="00FB20CC">
              <w:rPr>
                <w:sz w:val="24"/>
                <w:szCs w:val="24"/>
              </w:rPr>
              <w:t xml:space="preserve"> 0.377    NS</w:t>
            </w:r>
          </w:p>
        </w:tc>
        <w:tc>
          <w:tcPr>
            <w:tcW w:w="808" w:type="dxa"/>
          </w:tcPr>
          <w:p w14:paraId="62217382" w14:textId="77777777" w:rsidR="00B26D3C" w:rsidRPr="00FB20CC" w:rsidRDefault="00B26D3C" w:rsidP="00954684">
            <w:pPr>
              <w:rPr>
                <w:sz w:val="24"/>
                <w:szCs w:val="24"/>
              </w:rPr>
            </w:pPr>
            <w:r w:rsidRPr="00FB20CC">
              <w:rPr>
                <w:sz w:val="24"/>
                <w:szCs w:val="24"/>
              </w:rPr>
              <w:t>N=17</w:t>
            </w:r>
          </w:p>
        </w:tc>
        <w:tc>
          <w:tcPr>
            <w:tcW w:w="3147" w:type="dxa"/>
          </w:tcPr>
          <w:p w14:paraId="38593325" w14:textId="77777777" w:rsidR="00B26D3C" w:rsidRPr="00FB20CC" w:rsidRDefault="00B26D3C" w:rsidP="00954684">
            <w:pPr>
              <w:rPr>
                <w:sz w:val="24"/>
                <w:szCs w:val="24"/>
              </w:rPr>
            </w:pPr>
          </w:p>
        </w:tc>
      </w:tr>
      <w:tr w:rsidR="00FB20CC" w:rsidRPr="00FB20CC" w14:paraId="778B3027" w14:textId="77777777" w:rsidTr="00090963">
        <w:tc>
          <w:tcPr>
            <w:tcW w:w="3447" w:type="dxa"/>
          </w:tcPr>
          <w:p w14:paraId="4FEA898C" w14:textId="77777777" w:rsidR="00B26D3C" w:rsidRPr="00FB20CC" w:rsidRDefault="00B26D3C" w:rsidP="00954684">
            <w:pPr>
              <w:rPr>
                <w:sz w:val="24"/>
                <w:szCs w:val="24"/>
              </w:rPr>
            </w:pPr>
            <w:r w:rsidRPr="00FB20CC">
              <w:rPr>
                <w:sz w:val="24"/>
                <w:szCs w:val="24"/>
              </w:rPr>
              <w:t>Coccolithophore Production</w:t>
            </w:r>
          </w:p>
        </w:tc>
        <w:tc>
          <w:tcPr>
            <w:tcW w:w="1948" w:type="dxa"/>
          </w:tcPr>
          <w:p w14:paraId="73AB8E62" w14:textId="77777777" w:rsidR="00B26D3C" w:rsidRPr="00FB20CC" w:rsidRDefault="00B26D3C" w:rsidP="00954684">
            <w:pPr>
              <w:rPr>
                <w:sz w:val="24"/>
                <w:szCs w:val="24"/>
              </w:rPr>
            </w:pPr>
            <w:r w:rsidRPr="00FB20CC">
              <w:rPr>
                <w:sz w:val="24"/>
                <w:szCs w:val="24"/>
              </w:rPr>
              <w:t xml:space="preserve"> 0.522    P&lt;0.05</w:t>
            </w:r>
          </w:p>
        </w:tc>
        <w:tc>
          <w:tcPr>
            <w:tcW w:w="808" w:type="dxa"/>
          </w:tcPr>
          <w:p w14:paraId="17822D3B" w14:textId="77777777" w:rsidR="00B26D3C" w:rsidRPr="00FB20CC" w:rsidRDefault="00B26D3C" w:rsidP="00954684">
            <w:pPr>
              <w:rPr>
                <w:sz w:val="24"/>
                <w:szCs w:val="24"/>
              </w:rPr>
            </w:pPr>
            <w:r w:rsidRPr="00FB20CC">
              <w:rPr>
                <w:sz w:val="24"/>
                <w:szCs w:val="24"/>
              </w:rPr>
              <w:t>N=17</w:t>
            </w:r>
          </w:p>
        </w:tc>
        <w:tc>
          <w:tcPr>
            <w:tcW w:w="3147" w:type="dxa"/>
          </w:tcPr>
          <w:p w14:paraId="780DEC00" w14:textId="77777777" w:rsidR="00B26D3C" w:rsidRPr="00FB20CC" w:rsidRDefault="00B26D3C" w:rsidP="00954684">
            <w:pPr>
              <w:rPr>
                <w:sz w:val="24"/>
                <w:szCs w:val="24"/>
                <w:vertAlign w:val="superscript"/>
              </w:rPr>
            </w:pPr>
            <w:r w:rsidRPr="00FB20CC">
              <w:rPr>
                <w:sz w:val="24"/>
                <w:szCs w:val="24"/>
              </w:rPr>
              <w:t xml:space="preserve"> 0.60 </w:t>
            </w:r>
            <w:proofErr w:type="spellStart"/>
            <w:r w:rsidRPr="00FB20CC">
              <w:rPr>
                <w:sz w:val="24"/>
                <w:szCs w:val="24"/>
              </w:rPr>
              <w:t>PgC</w:t>
            </w:r>
            <w:proofErr w:type="spellEnd"/>
            <w:r w:rsidRPr="00FB20CC">
              <w:rPr>
                <w:sz w:val="24"/>
                <w:szCs w:val="24"/>
              </w:rPr>
              <w:t xml:space="preserve"> y</w:t>
            </w:r>
            <w:r w:rsidRPr="00FB20CC">
              <w:rPr>
                <w:sz w:val="24"/>
                <w:szCs w:val="24"/>
                <w:vertAlign w:val="superscript"/>
              </w:rPr>
              <w:t>-1</w:t>
            </w:r>
            <w:r w:rsidRPr="00FB20CC">
              <w:rPr>
                <w:sz w:val="24"/>
                <w:szCs w:val="24"/>
              </w:rPr>
              <w:t xml:space="preserve"> decade</w:t>
            </w:r>
            <w:r w:rsidRPr="00FB20CC">
              <w:rPr>
                <w:sz w:val="24"/>
                <w:szCs w:val="24"/>
                <w:vertAlign w:val="superscript"/>
              </w:rPr>
              <w:t xml:space="preserve">-1  </w:t>
            </w:r>
          </w:p>
          <w:p w14:paraId="4923A559" w14:textId="77777777" w:rsidR="00B26D3C" w:rsidRPr="00FB20CC" w:rsidRDefault="00B26D3C" w:rsidP="00954684">
            <w:pPr>
              <w:rPr>
                <w:sz w:val="24"/>
                <w:szCs w:val="24"/>
              </w:rPr>
            </w:pPr>
            <w:r w:rsidRPr="00FB20CC">
              <w:rPr>
                <w:sz w:val="24"/>
                <w:szCs w:val="24"/>
              </w:rPr>
              <w:t>(8.4% decade</w:t>
            </w:r>
            <w:r w:rsidRPr="00FB20CC">
              <w:rPr>
                <w:sz w:val="24"/>
                <w:szCs w:val="24"/>
                <w:vertAlign w:val="superscript"/>
              </w:rPr>
              <w:t>-1</w:t>
            </w:r>
            <w:r w:rsidRPr="00FB20CC">
              <w:rPr>
                <w:sz w:val="24"/>
                <w:szCs w:val="24"/>
              </w:rPr>
              <w:t>)</w:t>
            </w:r>
          </w:p>
        </w:tc>
      </w:tr>
      <w:tr w:rsidR="00FB20CC" w:rsidRPr="00FB20CC" w14:paraId="03EAE070" w14:textId="77777777" w:rsidTr="00090963">
        <w:tc>
          <w:tcPr>
            <w:tcW w:w="3447" w:type="dxa"/>
          </w:tcPr>
          <w:p w14:paraId="31C34CCB" w14:textId="77777777" w:rsidR="00B26D3C" w:rsidRPr="00FB20CC" w:rsidRDefault="00B26D3C" w:rsidP="00954684">
            <w:pPr>
              <w:rPr>
                <w:sz w:val="24"/>
                <w:szCs w:val="24"/>
              </w:rPr>
            </w:pPr>
            <w:r w:rsidRPr="00FB20CC">
              <w:rPr>
                <w:sz w:val="24"/>
                <w:szCs w:val="24"/>
              </w:rPr>
              <w:t>Nitrate</w:t>
            </w:r>
          </w:p>
        </w:tc>
        <w:tc>
          <w:tcPr>
            <w:tcW w:w="1948" w:type="dxa"/>
          </w:tcPr>
          <w:p w14:paraId="2C65CEB4" w14:textId="77777777" w:rsidR="00B26D3C" w:rsidRPr="00FB20CC" w:rsidRDefault="00B26D3C" w:rsidP="00954684">
            <w:pPr>
              <w:rPr>
                <w:sz w:val="24"/>
                <w:szCs w:val="24"/>
              </w:rPr>
            </w:pPr>
            <w:r w:rsidRPr="00FB20CC">
              <w:rPr>
                <w:sz w:val="24"/>
                <w:szCs w:val="24"/>
              </w:rPr>
              <w:t>-0.503    P&lt;0.05</w:t>
            </w:r>
          </w:p>
        </w:tc>
        <w:tc>
          <w:tcPr>
            <w:tcW w:w="808" w:type="dxa"/>
          </w:tcPr>
          <w:p w14:paraId="58B7A9C1" w14:textId="77777777" w:rsidR="00B26D3C" w:rsidRPr="00FB20CC" w:rsidRDefault="00B26D3C" w:rsidP="00954684">
            <w:pPr>
              <w:rPr>
                <w:sz w:val="24"/>
                <w:szCs w:val="24"/>
              </w:rPr>
            </w:pPr>
            <w:r w:rsidRPr="00FB20CC">
              <w:rPr>
                <w:sz w:val="24"/>
                <w:szCs w:val="24"/>
              </w:rPr>
              <w:t>N=17</w:t>
            </w:r>
          </w:p>
        </w:tc>
        <w:tc>
          <w:tcPr>
            <w:tcW w:w="3147" w:type="dxa"/>
          </w:tcPr>
          <w:p w14:paraId="18F82D34" w14:textId="77777777" w:rsidR="00B26D3C" w:rsidRPr="00FB20CC" w:rsidRDefault="00B26D3C" w:rsidP="00954684">
            <w:pPr>
              <w:rPr>
                <w:sz w:val="24"/>
                <w:szCs w:val="24"/>
              </w:rPr>
            </w:pPr>
            <w:r w:rsidRPr="00FB20CC">
              <w:rPr>
                <w:sz w:val="24"/>
                <w:szCs w:val="24"/>
              </w:rPr>
              <w:t>-0.18 µM dec</w:t>
            </w:r>
            <w:r w:rsidRPr="00FB20CC">
              <w:rPr>
                <w:sz w:val="24"/>
                <w:szCs w:val="24"/>
                <w:vertAlign w:val="superscript"/>
              </w:rPr>
              <w:t xml:space="preserve">-1   </w:t>
            </w:r>
            <w:r w:rsidRPr="00FB20CC">
              <w:rPr>
                <w:sz w:val="24"/>
                <w:szCs w:val="24"/>
              </w:rPr>
              <w:t>(3.2% dec</w:t>
            </w:r>
            <w:r w:rsidRPr="00FB20CC">
              <w:rPr>
                <w:sz w:val="24"/>
                <w:szCs w:val="24"/>
                <w:vertAlign w:val="superscript"/>
              </w:rPr>
              <w:t>-1</w:t>
            </w:r>
            <w:r w:rsidRPr="00FB20CC">
              <w:rPr>
                <w:sz w:val="24"/>
                <w:szCs w:val="24"/>
              </w:rPr>
              <w:t>)</w:t>
            </w:r>
          </w:p>
        </w:tc>
      </w:tr>
      <w:tr w:rsidR="00FB20CC" w:rsidRPr="00FB20CC" w14:paraId="6C2ADE93" w14:textId="77777777" w:rsidTr="00090963">
        <w:tc>
          <w:tcPr>
            <w:tcW w:w="3447" w:type="dxa"/>
          </w:tcPr>
          <w:p w14:paraId="64B0D32C" w14:textId="77777777" w:rsidR="00090963" w:rsidRPr="00FB20CC" w:rsidRDefault="00090963" w:rsidP="00090963">
            <w:pPr>
              <w:rPr>
                <w:sz w:val="24"/>
                <w:szCs w:val="24"/>
              </w:rPr>
            </w:pPr>
            <w:r w:rsidRPr="00FB20CC">
              <w:rPr>
                <w:sz w:val="24"/>
                <w:szCs w:val="24"/>
              </w:rPr>
              <w:t>Ammonium</w:t>
            </w:r>
          </w:p>
        </w:tc>
        <w:tc>
          <w:tcPr>
            <w:tcW w:w="1948" w:type="dxa"/>
          </w:tcPr>
          <w:p w14:paraId="6EA21872" w14:textId="77777777" w:rsidR="00090963" w:rsidRPr="00FB20CC" w:rsidRDefault="00090963" w:rsidP="00090963">
            <w:pPr>
              <w:rPr>
                <w:sz w:val="24"/>
                <w:szCs w:val="24"/>
              </w:rPr>
            </w:pPr>
            <w:r w:rsidRPr="00FB20CC">
              <w:rPr>
                <w:sz w:val="24"/>
                <w:szCs w:val="24"/>
              </w:rPr>
              <w:t xml:space="preserve"> 0.164    NS</w:t>
            </w:r>
          </w:p>
        </w:tc>
        <w:tc>
          <w:tcPr>
            <w:tcW w:w="808" w:type="dxa"/>
          </w:tcPr>
          <w:p w14:paraId="5B90C8F8" w14:textId="77777777" w:rsidR="00090963" w:rsidRPr="00FB20CC" w:rsidRDefault="00090963" w:rsidP="00090963">
            <w:pPr>
              <w:rPr>
                <w:sz w:val="24"/>
                <w:szCs w:val="24"/>
              </w:rPr>
            </w:pPr>
            <w:r w:rsidRPr="00FB20CC">
              <w:rPr>
                <w:sz w:val="24"/>
                <w:szCs w:val="24"/>
              </w:rPr>
              <w:t>N=18</w:t>
            </w:r>
          </w:p>
        </w:tc>
        <w:tc>
          <w:tcPr>
            <w:tcW w:w="3147" w:type="dxa"/>
          </w:tcPr>
          <w:p w14:paraId="5C7AC029" w14:textId="77777777" w:rsidR="00090963" w:rsidRPr="00FB20CC" w:rsidRDefault="00090963" w:rsidP="00090963">
            <w:pPr>
              <w:rPr>
                <w:sz w:val="24"/>
                <w:szCs w:val="24"/>
              </w:rPr>
            </w:pPr>
          </w:p>
        </w:tc>
      </w:tr>
      <w:tr w:rsidR="00FB20CC" w:rsidRPr="00FB20CC" w14:paraId="79D9FC7D" w14:textId="77777777" w:rsidTr="00090963">
        <w:tc>
          <w:tcPr>
            <w:tcW w:w="3447" w:type="dxa"/>
          </w:tcPr>
          <w:p w14:paraId="43A9AD01" w14:textId="77777777" w:rsidR="00090963" w:rsidRPr="00FB20CC" w:rsidRDefault="00090963" w:rsidP="00090963">
            <w:pPr>
              <w:rPr>
                <w:sz w:val="24"/>
                <w:szCs w:val="24"/>
              </w:rPr>
            </w:pPr>
            <w:r w:rsidRPr="00FB20CC">
              <w:rPr>
                <w:sz w:val="24"/>
                <w:szCs w:val="24"/>
              </w:rPr>
              <w:t>Silicate</w:t>
            </w:r>
          </w:p>
        </w:tc>
        <w:tc>
          <w:tcPr>
            <w:tcW w:w="1948" w:type="dxa"/>
          </w:tcPr>
          <w:p w14:paraId="5F5EE617" w14:textId="77777777" w:rsidR="00090963" w:rsidRPr="00FB20CC" w:rsidRDefault="00090963" w:rsidP="00090963">
            <w:pPr>
              <w:rPr>
                <w:sz w:val="24"/>
                <w:szCs w:val="24"/>
              </w:rPr>
            </w:pPr>
            <w:r w:rsidRPr="00FB20CC">
              <w:rPr>
                <w:sz w:val="24"/>
                <w:szCs w:val="24"/>
              </w:rPr>
              <w:t>-0.408    NS</w:t>
            </w:r>
          </w:p>
        </w:tc>
        <w:tc>
          <w:tcPr>
            <w:tcW w:w="808" w:type="dxa"/>
          </w:tcPr>
          <w:p w14:paraId="56ADDB51" w14:textId="77777777" w:rsidR="00090963" w:rsidRPr="00FB20CC" w:rsidRDefault="00090963" w:rsidP="00090963">
            <w:pPr>
              <w:rPr>
                <w:sz w:val="24"/>
                <w:szCs w:val="24"/>
              </w:rPr>
            </w:pPr>
            <w:r w:rsidRPr="00FB20CC">
              <w:rPr>
                <w:sz w:val="24"/>
                <w:szCs w:val="24"/>
              </w:rPr>
              <w:t>N=18</w:t>
            </w:r>
          </w:p>
        </w:tc>
        <w:tc>
          <w:tcPr>
            <w:tcW w:w="3147" w:type="dxa"/>
          </w:tcPr>
          <w:p w14:paraId="66C39FE5" w14:textId="77777777" w:rsidR="00090963" w:rsidRPr="00FB20CC" w:rsidRDefault="00090963" w:rsidP="00090963">
            <w:pPr>
              <w:rPr>
                <w:sz w:val="24"/>
                <w:szCs w:val="24"/>
              </w:rPr>
            </w:pPr>
          </w:p>
        </w:tc>
      </w:tr>
      <w:tr w:rsidR="00FB20CC" w:rsidRPr="00FB20CC" w14:paraId="20BFF38F" w14:textId="77777777" w:rsidTr="00090963">
        <w:tc>
          <w:tcPr>
            <w:tcW w:w="3447" w:type="dxa"/>
          </w:tcPr>
          <w:p w14:paraId="3AB8419E" w14:textId="77777777" w:rsidR="00090963" w:rsidRPr="00FB20CC" w:rsidRDefault="00090963" w:rsidP="00090963">
            <w:pPr>
              <w:rPr>
                <w:sz w:val="24"/>
                <w:szCs w:val="24"/>
              </w:rPr>
            </w:pPr>
            <w:r w:rsidRPr="00FB20CC">
              <w:rPr>
                <w:sz w:val="24"/>
                <w:szCs w:val="24"/>
              </w:rPr>
              <w:t>Chlorophyll</w:t>
            </w:r>
          </w:p>
        </w:tc>
        <w:tc>
          <w:tcPr>
            <w:tcW w:w="1948" w:type="dxa"/>
          </w:tcPr>
          <w:p w14:paraId="49BA2E21" w14:textId="77777777" w:rsidR="00090963" w:rsidRPr="00FB20CC" w:rsidRDefault="00090963" w:rsidP="00090963">
            <w:pPr>
              <w:rPr>
                <w:sz w:val="24"/>
                <w:szCs w:val="24"/>
              </w:rPr>
            </w:pPr>
            <w:r w:rsidRPr="00FB20CC">
              <w:rPr>
                <w:sz w:val="24"/>
                <w:szCs w:val="24"/>
              </w:rPr>
              <w:t xml:space="preserve"> 0.234    NS</w:t>
            </w:r>
          </w:p>
        </w:tc>
        <w:tc>
          <w:tcPr>
            <w:tcW w:w="808" w:type="dxa"/>
          </w:tcPr>
          <w:p w14:paraId="068878C4" w14:textId="77777777" w:rsidR="00090963" w:rsidRPr="00FB20CC" w:rsidRDefault="00090963" w:rsidP="00090963">
            <w:pPr>
              <w:rPr>
                <w:sz w:val="24"/>
                <w:szCs w:val="24"/>
              </w:rPr>
            </w:pPr>
            <w:r w:rsidRPr="00FB20CC">
              <w:rPr>
                <w:sz w:val="24"/>
                <w:szCs w:val="24"/>
              </w:rPr>
              <w:t>N=18</w:t>
            </w:r>
          </w:p>
        </w:tc>
        <w:tc>
          <w:tcPr>
            <w:tcW w:w="3147" w:type="dxa"/>
          </w:tcPr>
          <w:p w14:paraId="3C8DA356" w14:textId="77777777" w:rsidR="00090963" w:rsidRPr="00FB20CC" w:rsidRDefault="00090963" w:rsidP="00090963">
            <w:pPr>
              <w:rPr>
                <w:sz w:val="24"/>
                <w:szCs w:val="24"/>
              </w:rPr>
            </w:pPr>
          </w:p>
        </w:tc>
      </w:tr>
      <w:tr w:rsidR="00FB20CC" w:rsidRPr="00FB20CC" w14:paraId="08D364A1" w14:textId="77777777" w:rsidTr="00090963">
        <w:tc>
          <w:tcPr>
            <w:tcW w:w="3447" w:type="dxa"/>
          </w:tcPr>
          <w:p w14:paraId="7EEF7C34" w14:textId="77777777" w:rsidR="00090963" w:rsidRPr="00FB20CC" w:rsidRDefault="00090963" w:rsidP="00090963">
            <w:pPr>
              <w:rPr>
                <w:sz w:val="24"/>
                <w:szCs w:val="24"/>
              </w:rPr>
            </w:pPr>
            <w:r w:rsidRPr="00FB20CC">
              <w:rPr>
                <w:sz w:val="24"/>
                <w:szCs w:val="24"/>
              </w:rPr>
              <w:t>Mixed Layer Depth</w:t>
            </w:r>
          </w:p>
        </w:tc>
        <w:tc>
          <w:tcPr>
            <w:tcW w:w="1948" w:type="dxa"/>
          </w:tcPr>
          <w:p w14:paraId="447CCD21" w14:textId="77777777" w:rsidR="00090963" w:rsidRPr="00FB20CC" w:rsidRDefault="00090963" w:rsidP="00090963">
            <w:pPr>
              <w:rPr>
                <w:sz w:val="24"/>
                <w:szCs w:val="24"/>
              </w:rPr>
            </w:pPr>
            <w:r w:rsidRPr="00FB20CC">
              <w:rPr>
                <w:sz w:val="24"/>
                <w:szCs w:val="24"/>
              </w:rPr>
              <w:t>-0.719    P&lt;0.05</w:t>
            </w:r>
          </w:p>
        </w:tc>
        <w:tc>
          <w:tcPr>
            <w:tcW w:w="808" w:type="dxa"/>
          </w:tcPr>
          <w:p w14:paraId="02D636BF" w14:textId="77777777" w:rsidR="00090963" w:rsidRPr="00FB20CC" w:rsidRDefault="00090963" w:rsidP="00090963">
            <w:pPr>
              <w:rPr>
                <w:sz w:val="24"/>
                <w:szCs w:val="24"/>
              </w:rPr>
            </w:pPr>
            <w:r w:rsidRPr="00FB20CC">
              <w:rPr>
                <w:sz w:val="24"/>
                <w:szCs w:val="24"/>
              </w:rPr>
              <w:t>N=18</w:t>
            </w:r>
          </w:p>
        </w:tc>
        <w:tc>
          <w:tcPr>
            <w:tcW w:w="3147" w:type="dxa"/>
          </w:tcPr>
          <w:p w14:paraId="6EFEE300" w14:textId="77777777" w:rsidR="00090963" w:rsidRPr="00FB20CC" w:rsidRDefault="00090963" w:rsidP="00090963">
            <w:pPr>
              <w:rPr>
                <w:sz w:val="24"/>
                <w:szCs w:val="24"/>
              </w:rPr>
            </w:pPr>
            <w:r w:rsidRPr="00FB20CC">
              <w:rPr>
                <w:sz w:val="24"/>
                <w:szCs w:val="24"/>
              </w:rPr>
              <w:t>-1.43 m decade</w:t>
            </w:r>
            <w:r w:rsidRPr="00FB20CC">
              <w:rPr>
                <w:sz w:val="24"/>
                <w:szCs w:val="24"/>
                <w:vertAlign w:val="superscript"/>
              </w:rPr>
              <w:t>-1</w:t>
            </w:r>
            <w:r w:rsidRPr="00FB20CC">
              <w:rPr>
                <w:sz w:val="24"/>
                <w:szCs w:val="24"/>
              </w:rPr>
              <w:t xml:space="preserve">     </w:t>
            </w:r>
          </w:p>
          <w:p w14:paraId="435757E2" w14:textId="77777777" w:rsidR="00090963" w:rsidRPr="00FB20CC" w:rsidRDefault="00090963" w:rsidP="00090963">
            <w:pPr>
              <w:rPr>
                <w:sz w:val="24"/>
                <w:szCs w:val="24"/>
              </w:rPr>
            </w:pPr>
            <w:r w:rsidRPr="00FB20CC">
              <w:rPr>
                <w:sz w:val="24"/>
                <w:szCs w:val="24"/>
              </w:rPr>
              <w:t>(2.4% decade</w:t>
            </w:r>
            <w:r w:rsidRPr="00FB20CC">
              <w:rPr>
                <w:sz w:val="24"/>
                <w:szCs w:val="24"/>
                <w:vertAlign w:val="superscript"/>
              </w:rPr>
              <w:t>-1</w:t>
            </w:r>
            <w:r w:rsidRPr="00FB20CC">
              <w:rPr>
                <w:sz w:val="24"/>
                <w:szCs w:val="24"/>
              </w:rPr>
              <w:t>)</w:t>
            </w:r>
          </w:p>
        </w:tc>
      </w:tr>
      <w:tr w:rsidR="00FB20CC" w:rsidRPr="00FB20CC" w14:paraId="08FC680B" w14:textId="77777777" w:rsidTr="00090963">
        <w:tc>
          <w:tcPr>
            <w:tcW w:w="3447" w:type="dxa"/>
          </w:tcPr>
          <w:p w14:paraId="30C81AB4" w14:textId="77777777" w:rsidR="00591AFE" w:rsidRPr="00FB20CC" w:rsidRDefault="00591AFE" w:rsidP="00591AFE">
            <w:pPr>
              <w:rPr>
                <w:sz w:val="24"/>
                <w:szCs w:val="24"/>
              </w:rPr>
            </w:pPr>
            <w:r w:rsidRPr="00FB20CC">
              <w:rPr>
                <w:sz w:val="24"/>
                <w:szCs w:val="24"/>
              </w:rPr>
              <w:t>Surface Temperature</w:t>
            </w:r>
          </w:p>
        </w:tc>
        <w:tc>
          <w:tcPr>
            <w:tcW w:w="1948" w:type="dxa"/>
          </w:tcPr>
          <w:p w14:paraId="07B5374C" w14:textId="77777777" w:rsidR="00591AFE" w:rsidRPr="00FB20CC" w:rsidRDefault="00591AFE" w:rsidP="00591AFE">
            <w:pPr>
              <w:rPr>
                <w:sz w:val="24"/>
                <w:szCs w:val="24"/>
              </w:rPr>
            </w:pPr>
            <w:r w:rsidRPr="00FB20CC">
              <w:rPr>
                <w:sz w:val="24"/>
                <w:szCs w:val="24"/>
              </w:rPr>
              <w:t xml:space="preserve"> 0.344    NS</w:t>
            </w:r>
          </w:p>
        </w:tc>
        <w:tc>
          <w:tcPr>
            <w:tcW w:w="808" w:type="dxa"/>
          </w:tcPr>
          <w:p w14:paraId="4E171229" w14:textId="77777777" w:rsidR="00591AFE" w:rsidRPr="00FB20CC" w:rsidRDefault="00591AFE" w:rsidP="00591AFE">
            <w:pPr>
              <w:rPr>
                <w:sz w:val="24"/>
                <w:szCs w:val="24"/>
              </w:rPr>
            </w:pPr>
            <w:r w:rsidRPr="00FB20CC">
              <w:rPr>
                <w:sz w:val="24"/>
                <w:szCs w:val="24"/>
              </w:rPr>
              <w:t>N=17</w:t>
            </w:r>
          </w:p>
        </w:tc>
        <w:tc>
          <w:tcPr>
            <w:tcW w:w="3147" w:type="dxa"/>
          </w:tcPr>
          <w:p w14:paraId="66208788" w14:textId="77777777" w:rsidR="00591AFE" w:rsidRPr="00FB20CC" w:rsidRDefault="00591AFE" w:rsidP="00591AFE">
            <w:pPr>
              <w:rPr>
                <w:sz w:val="24"/>
                <w:szCs w:val="24"/>
              </w:rPr>
            </w:pPr>
          </w:p>
        </w:tc>
      </w:tr>
    </w:tbl>
    <w:p w14:paraId="5630163B" w14:textId="77777777" w:rsidR="00B26D3C" w:rsidRPr="00FB20CC" w:rsidRDefault="00AD6EC0" w:rsidP="00B26D3C">
      <w:pPr>
        <w:rPr>
          <w:sz w:val="24"/>
          <w:szCs w:val="24"/>
        </w:rPr>
      </w:pPr>
      <w:r w:rsidRPr="00FB20CC">
        <w:rPr>
          <w:sz w:val="24"/>
          <w:szCs w:val="24"/>
        </w:rPr>
        <w:tab/>
      </w:r>
    </w:p>
    <w:p w14:paraId="0DD1C408" w14:textId="503C73F0" w:rsidR="004E09CE" w:rsidRPr="00FB20CC" w:rsidRDefault="00545A6A" w:rsidP="00545A6A">
      <w:pPr>
        <w:jc w:val="both"/>
        <w:rPr>
          <w:sz w:val="24"/>
          <w:szCs w:val="24"/>
        </w:rPr>
      </w:pPr>
      <w:r w:rsidRPr="00FB20CC">
        <w:rPr>
          <w:sz w:val="24"/>
          <w:szCs w:val="24"/>
        </w:rPr>
        <w:t xml:space="preserve">   Using the first global ocean color sensor, Coastal Zone Color Scanner (CZCS) for 1978-1986 and </w:t>
      </w:r>
      <w:r w:rsidR="00931587" w:rsidRPr="00FB20CC">
        <w:rPr>
          <w:sz w:val="24"/>
          <w:szCs w:val="24"/>
        </w:rPr>
        <w:t>the Sea-viewing Wide Field-of-view Sensor (</w:t>
      </w:r>
      <w:r w:rsidRPr="00FB20CC">
        <w:rPr>
          <w:sz w:val="24"/>
          <w:szCs w:val="24"/>
        </w:rPr>
        <w:t>SeaWiFS</w:t>
      </w:r>
      <w:r w:rsidR="00931587" w:rsidRPr="00FB20CC">
        <w:rPr>
          <w:sz w:val="24"/>
          <w:szCs w:val="24"/>
        </w:rPr>
        <w:t>)</w:t>
      </w:r>
      <w:r w:rsidRPr="00FB20CC">
        <w:rPr>
          <w:sz w:val="24"/>
          <w:szCs w:val="24"/>
        </w:rPr>
        <w:t xml:space="preserve"> for </w:t>
      </w:r>
      <w:r w:rsidR="00DB7535" w:rsidRPr="00FB20CC">
        <w:rPr>
          <w:sz w:val="24"/>
          <w:szCs w:val="24"/>
        </w:rPr>
        <w:t xml:space="preserve">the period </w:t>
      </w:r>
      <w:r w:rsidR="00F71CDD" w:rsidRPr="00FB20CC">
        <w:rPr>
          <w:sz w:val="24"/>
          <w:szCs w:val="24"/>
        </w:rPr>
        <w:t xml:space="preserve">1997-2002, </w:t>
      </w:r>
      <w:r w:rsidR="00207DBC" w:rsidRPr="00FB20CC">
        <w:rPr>
          <w:sz w:val="24"/>
          <w:szCs w:val="24"/>
        </w:rPr>
        <w:t>a</w:t>
      </w:r>
      <w:r w:rsidRPr="00FB20CC">
        <w:rPr>
          <w:sz w:val="24"/>
          <w:szCs w:val="24"/>
        </w:rPr>
        <w:t xml:space="preserve"> 6% decline in global primary production</w:t>
      </w:r>
      <w:r w:rsidR="00207DBC" w:rsidRPr="00FB20CC">
        <w:rPr>
          <w:sz w:val="24"/>
          <w:szCs w:val="24"/>
        </w:rPr>
        <w:t xml:space="preserve"> was found</w:t>
      </w:r>
      <w:r w:rsidR="0002322E" w:rsidRPr="00FB20CC">
        <w:rPr>
          <w:sz w:val="24"/>
          <w:szCs w:val="24"/>
          <w:vertAlign w:val="superscript"/>
        </w:rPr>
        <w:t xml:space="preserve"> </w:t>
      </w:r>
      <w:r w:rsidR="0002322E" w:rsidRPr="00FB20CC">
        <w:rPr>
          <w:sz w:val="24"/>
          <w:szCs w:val="24"/>
        </w:rPr>
        <w:t xml:space="preserve">(Gregg </w:t>
      </w:r>
      <w:r w:rsidR="0002322E" w:rsidRPr="00FB20CC">
        <w:rPr>
          <w:i/>
          <w:sz w:val="24"/>
          <w:szCs w:val="24"/>
        </w:rPr>
        <w:t>et al</w:t>
      </w:r>
      <w:r w:rsidR="0002322E" w:rsidRPr="00FB20CC">
        <w:rPr>
          <w:sz w:val="24"/>
          <w:szCs w:val="24"/>
        </w:rPr>
        <w:t xml:space="preserve"> 2003)</w:t>
      </w:r>
      <w:r w:rsidRPr="00FB20CC">
        <w:rPr>
          <w:sz w:val="24"/>
          <w:szCs w:val="24"/>
        </w:rPr>
        <w:t xml:space="preserve">.  </w:t>
      </w:r>
      <w:r w:rsidR="00DB7535" w:rsidRPr="00FB20CC">
        <w:rPr>
          <w:sz w:val="24"/>
          <w:szCs w:val="24"/>
        </w:rPr>
        <w:t xml:space="preserve">Both data sets were blended with in situ data to remove biases and inconsistencies between them.  </w:t>
      </w:r>
      <w:r w:rsidRPr="00FB20CC">
        <w:rPr>
          <w:sz w:val="24"/>
          <w:szCs w:val="24"/>
        </w:rPr>
        <w:t xml:space="preserve">In that effort, a satellite </w:t>
      </w:r>
      <w:r w:rsidRPr="00FB20CC">
        <w:rPr>
          <w:sz w:val="24"/>
          <w:szCs w:val="24"/>
        </w:rPr>
        <w:lastRenderedPageBreak/>
        <w:t>chlorophyll algorithm</w:t>
      </w:r>
      <w:r w:rsidR="002C5C8A" w:rsidRPr="00FB20CC">
        <w:rPr>
          <w:sz w:val="24"/>
          <w:szCs w:val="24"/>
        </w:rPr>
        <w:t xml:space="preserve"> (</w:t>
      </w:r>
      <w:r w:rsidR="00EC1108" w:rsidRPr="00FB20CC">
        <w:rPr>
          <w:sz w:val="24"/>
          <w:szCs w:val="24"/>
        </w:rPr>
        <w:t>Be</w:t>
      </w:r>
      <w:r w:rsidR="009D0B5D" w:rsidRPr="00FB20CC">
        <w:rPr>
          <w:sz w:val="24"/>
          <w:szCs w:val="24"/>
        </w:rPr>
        <w:t>h</w:t>
      </w:r>
      <w:r w:rsidR="00EC1108" w:rsidRPr="00FB20CC">
        <w:rPr>
          <w:sz w:val="24"/>
          <w:szCs w:val="24"/>
        </w:rPr>
        <w:t>renfeld</w:t>
      </w:r>
      <w:r w:rsidR="00EC1108" w:rsidRPr="00FB20CC">
        <w:rPr>
          <w:sz w:val="24"/>
          <w:szCs w:val="24"/>
          <w:vertAlign w:val="superscript"/>
        </w:rPr>
        <w:t xml:space="preserve"> </w:t>
      </w:r>
      <w:r w:rsidR="00EC1108" w:rsidRPr="00FB20CC">
        <w:rPr>
          <w:sz w:val="24"/>
          <w:szCs w:val="24"/>
        </w:rPr>
        <w:t xml:space="preserve">and </w:t>
      </w:r>
      <w:proofErr w:type="spellStart"/>
      <w:r w:rsidR="00EC1108" w:rsidRPr="00FB20CC">
        <w:rPr>
          <w:sz w:val="24"/>
          <w:szCs w:val="24"/>
        </w:rPr>
        <w:t>Falkowski</w:t>
      </w:r>
      <w:proofErr w:type="spellEnd"/>
      <w:r w:rsidR="00EC1108" w:rsidRPr="00FB20CC">
        <w:rPr>
          <w:sz w:val="24"/>
          <w:szCs w:val="24"/>
        </w:rPr>
        <w:t xml:space="preserve"> </w:t>
      </w:r>
      <w:r w:rsidR="002C5C8A" w:rsidRPr="00FB20CC">
        <w:rPr>
          <w:sz w:val="24"/>
          <w:szCs w:val="24"/>
        </w:rPr>
        <w:t>1997)</w:t>
      </w:r>
      <w:r w:rsidR="00207DBC" w:rsidRPr="00FB20CC">
        <w:rPr>
          <w:sz w:val="24"/>
          <w:szCs w:val="24"/>
        </w:rPr>
        <w:t xml:space="preserve"> </w:t>
      </w:r>
      <w:r w:rsidRPr="00FB20CC">
        <w:rPr>
          <w:sz w:val="24"/>
          <w:szCs w:val="24"/>
        </w:rPr>
        <w:t>was utilized.  Assuming that the CZCS record and the partial SeaWiFS record constitute a time span of approximately 20 years, this suggests a decline of about 3% decade</w:t>
      </w:r>
      <w:r w:rsidRPr="00FB20CC">
        <w:rPr>
          <w:sz w:val="24"/>
          <w:szCs w:val="24"/>
          <w:vertAlign w:val="superscript"/>
        </w:rPr>
        <w:t>-1</w:t>
      </w:r>
      <w:r w:rsidRPr="00FB20CC">
        <w:rPr>
          <w:sz w:val="24"/>
          <w:szCs w:val="24"/>
        </w:rPr>
        <w:t>.  This is similar to the 2.1% decade</w:t>
      </w:r>
      <w:r w:rsidRPr="00FB20CC">
        <w:rPr>
          <w:sz w:val="24"/>
          <w:szCs w:val="24"/>
          <w:vertAlign w:val="superscript"/>
        </w:rPr>
        <w:t>-1</w:t>
      </w:r>
      <w:r w:rsidRPr="00FB20CC">
        <w:rPr>
          <w:sz w:val="24"/>
          <w:szCs w:val="24"/>
        </w:rPr>
        <w:t xml:space="preserve"> reported here, tentatively suggesting consistency in the nearly 40 years of global ocean color observations.  </w:t>
      </w:r>
    </w:p>
    <w:p w14:paraId="435A1E47" w14:textId="2103BDCE" w:rsidR="00545A6A" w:rsidRPr="00FB20CC" w:rsidRDefault="00545A6A" w:rsidP="00545A6A">
      <w:pPr>
        <w:jc w:val="both"/>
        <w:rPr>
          <w:sz w:val="24"/>
          <w:szCs w:val="24"/>
        </w:rPr>
      </w:pPr>
      <w:r w:rsidRPr="00FB20CC">
        <w:rPr>
          <w:sz w:val="24"/>
          <w:szCs w:val="24"/>
        </w:rPr>
        <w:t xml:space="preserve"> </w:t>
      </w:r>
      <w:r w:rsidR="001822CE" w:rsidRPr="00FB20CC">
        <w:rPr>
          <w:sz w:val="24"/>
          <w:szCs w:val="24"/>
        </w:rPr>
        <w:t xml:space="preserve">  </w:t>
      </w:r>
      <w:r w:rsidRPr="00FB20CC">
        <w:rPr>
          <w:sz w:val="24"/>
          <w:szCs w:val="24"/>
        </w:rPr>
        <w:t>The North and Equatorial Indian Oc</w:t>
      </w:r>
      <w:r w:rsidR="004804DF" w:rsidRPr="00FB20CC">
        <w:rPr>
          <w:sz w:val="24"/>
          <w:szCs w:val="24"/>
        </w:rPr>
        <w:t>ean basins (</w:t>
      </w:r>
      <w:r w:rsidRPr="00FB20CC">
        <w:rPr>
          <w:sz w:val="24"/>
          <w:szCs w:val="24"/>
        </w:rPr>
        <w:t>northward of 10</w:t>
      </w:r>
      <w:r w:rsidRPr="00FB20CC">
        <w:rPr>
          <w:sz w:val="24"/>
          <w:szCs w:val="24"/>
          <w:vertAlign w:val="superscript"/>
        </w:rPr>
        <w:t>o</w:t>
      </w:r>
      <w:r w:rsidRPr="00FB20CC">
        <w:rPr>
          <w:sz w:val="24"/>
          <w:szCs w:val="24"/>
        </w:rPr>
        <w:t>S</w:t>
      </w:r>
      <w:r w:rsidR="004804DF" w:rsidRPr="00FB20CC">
        <w:rPr>
          <w:sz w:val="24"/>
          <w:szCs w:val="24"/>
        </w:rPr>
        <w:t>)</w:t>
      </w:r>
      <w:r w:rsidRPr="00FB20CC">
        <w:rPr>
          <w:sz w:val="24"/>
          <w:szCs w:val="24"/>
        </w:rPr>
        <w:t xml:space="preserve"> are major contributors to the o</w:t>
      </w:r>
      <w:r w:rsidR="007E19B0" w:rsidRPr="00FB20CC">
        <w:rPr>
          <w:sz w:val="24"/>
          <w:szCs w:val="24"/>
        </w:rPr>
        <w:t>bserved global decline (Figure 3</w:t>
      </w:r>
      <w:r w:rsidRPr="00FB20CC">
        <w:rPr>
          <w:sz w:val="24"/>
          <w:szCs w:val="24"/>
        </w:rPr>
        <w:t xml:space="preserve">).  Here regional total production falls -0.16 </w:t>
      </w:r>
      <w:proofErr w:type="spellStart"/>
      <w:r w:rsidRPr="00FB20CC">
        <w:rPr>
          <w:sz w:val="24"/>
          <w:szCs w:val="24"/>
        </w:rPr>
        <w:t>PgC</w:t>
      </w:r>
      <w:proofErr w:type="spellEnd"/>
      <w:r w:rsidR="007A5FDE" w:rsidRPr="00FB20CC">
        <w:rPr>
          <w:sz w:val="24"/>
          <w:szCs w:val="24"/>
        </w:rPr>
        <w:t xml:space="preserve"> y</w:t>
      </w:r>
      <w:r w:rsidR="007A5FDE" w:rsidRPr="00FB20CC">
        <w:rPr>
          <w:sz w:val="24"/>
          <w:szCs w:val="24"/>
          <w:vertAlign w:val="superscript"/>
        </w:rPr>
        <w:t>-1</w:t>
      </w:r>
      <w:r w:rsidRPr="00FB20CC">
        <w:rPr>
          <w:sz w:val="24"/>
          <w:szCs w:val="24"/>
        </w:rPr>
        <w:t xml:space="preserve"> (9.7%) decade</w:t>
      </w:r>
      <w:r w:rsidRPr="00FB20CC">
        <w:rPr>
          <w:sz w:val="24"/>
          <w:szCs w:val="24"/>
          <w:vertAlign w:val="superscript"/>
        </w:rPr>
        <w:t>-1</w:t>
      </w:r>
      <w:r w:rsidRPr="00FB20CC">
        <w:rPr>
          <w:sz w:val="24"/>
          <w:szCs w:val="24"/>
        </w:rPr>
        <w:t xml:space="preserve"> and -0.69 </w:t>
      </w:r>
      <w:proofErr w:type="spellStart"/>
      <w:r w:rsidRPr="00FB20CC">
        <w:rPr>
          <w:sz w:val="24"/>
          <w:szCs w:val="24"/>
        </w:rPr>
        <w:t>PgC</w:t>
      </w:r>
      <w:proofErr w:type="spellEnd"/>
      <w:r w:rsidRPr="00FB20CC">
        <w:rPr>
          <w:sz w:val="24"/>
          <w:szCs w:val="24"/>
        </w:rPr>
        <w:t xml:space="preserve"> </w:t>
      </w:r>
      <w:r w:rsidR="007A5FDE" w:rsidRPr="00FB20CC">
        <w:rPr>
          <w:sz w:val="24"/>
          <w:szCs w:val="24"/>
        </w:rPr>
        <w:t>y</w:t>
      </w:r>
      <w:r w:rsidR="007A5FDE" w:rsidRPr="00FB20CC">
        <w:rPr>
          <w:sz w:val="24"/>
          <w:szCs w:val="24"/>
          <w:vertAlign w:val="superscript"/>
        </w:rPr>
        <w:t>-1</w:t>
      </w:r>
      <w:r w:rsidR="007A5FDE" w:rsidRPr="00FB20CC">
        <w:rPr>
          <w:sz w:val="24"/>
          <w:szCs w:val="24"/>
        </w:rPr>
        <w:t xml:space="preserve"> </w:t>
      </w:r>
      <w:r w:rsidRPr="00FB20CC">
        <w:rPr>
          <w:sz w:val="24"/>
          <w:szCs w:val="24"/>
        </w:rPr>
        <w:t>(16.2%) decade</w:t>
      </w:r>
      <w:r w:rsidRPr="00FB20CC">
        <w:rPr>
          <w:sz w:val="24"/>
          <w:szCs w:val="24"/>
          <w:vertAlign w:val="superscript"/>
        </w:rPr>
        <w:t>-1</w:t>
      </w:r>
      <w:r w:rsidRPr="00FB20CC">
        <w:rPr>
          <w:sz w:val="24"/>
          <w:szCs w:val="24"/>
        </w:rPr>
        <w:t xml:space="preserve">, respectively, over the 18-year time series.  The change is most clearly observed in the Bay of Bengal (eastern) portion of the North Indian basin, as well as the eastern portion of the Arabian Sea (Figure </w:t>
      </w:r>
      <w:r w:rsidR="006D7DD2" w:rsidRPr="00FB20CC">
        <w:rPr>
          <w:sz w:val="24"/>
          <w:szCs w:val="24"/>
        </w:rPr>
        <w:t>3</w:t>
      </w:r>
      <w:r w:rsidRPr="00FB20CC">
        <w:rPr>
          <w:sz w:val="24"/>
          <w:szCs w:val="24"/>
        </w:rPr>
        <w:t>).  In the Equatorial Indian there is an overall decline throughout the basin rather than the more localized tren</w:t>
      </w:r>
      <w:r w:rsidR="007E19B0" w:rsidRPr="00FB20CC">
        <w:rPr>
          <w:sz w:val="24"/>
          <w:szCs w:val="24"/>
        </w:rPr>
        <w:t>ds in the North Indian (Figure 3</w:t>
      </w:r>
      <w:r w:rsidRPr="00FB20CC">
        <w:rPr>
          <w:sz w:val="24"/>
          <w:szCs w:val="24"/>
        </w:rPr>
        <w:t>).</w:t>
      </w:r>
      <w:r w:rsidR="0031247A" w:rsidRPr="00FB20CC">
        <w:rPr>
          <w:sz w:val="24"/>
          <w:szCs w:val="24"/>
        </w:rPr>
        <w:t xml:space="preserve">  </w:t>
      </w:r>
    </w:p>
    <w:p w14:paraId="73486C8C" w14:textId="77777777" w:rsidR="00545A6A" w:rsidRPr="00FB20CC" w:rsidRDefault="00653798" w:rsidP="00FA69A4">
      <w:pPr>
        <w:jc w:val="both"/>
        <w:rPr>
          <w:sz w:val="24"/>
          <w:szCs w:val="24"/>
        </w:rPr>
      </w:pPr>
      <w:r w:rsidRPr="00FB20CC">
        <w:rPr>
          <w:sz w:val="24"/>
          <w:szCs w:val="24"/>
        </w:rPr>
        <w:t xml:space="preserve"> </w:t>
      </w:r>
      <w:r w:rsidR="00545A6A" w:rsidRPr="00FB20CC">
        <w:rPr>
          <w:sz w:val="24"/>
          <w:szCs w:val="24"/>
        </w:rPr>
        <w:t xml:space="preserve">  In both basins </w:t>
      </w:r>
      <w:r w:rsidR="001822CE" w:rsidRPr="00FB20CC">
        <w:rPr>
          <w:sz w:val="24"/>
          <w:szCs w:val="24"/>
        </w:rPr>
        <w:t>the decline is driven by diatom and chlorophyte</w:t>
      </w:r>
      <w:r w:rsidR="00545A6A" w:rsidRPr="00FB20CC">
        <w:rPr>
          <w:sz w:val="24"/>
          <w:szCs w:val="24"/>
        </w:rPr>
        <w:t xml:space="preserve"> primary production.  Diatom production declines by an average of 15.4% decade</w:t>
      </w:r>
      <w:r w:rsidR="00545A6A" w:rsidRPr="00FB20CC">
        <w:rPr>
          <w:sz w:val="24"/>
          <w:szCs w:val="24"/>
          <w:vertAlign w:val="superscript"/>
        </w:rPr>
        <w:t>-1</w:t>
      </w:r>
      <w:r w:rsidR="00545A6A" w:rsidRPr="00FB20CC">
        <w:rPr>
          <w:sz w:val="24"/>
          <w:szCs w:val="24"/>
        </w:rPr>
        <w:t xml:space="preserve"> for</w:t>
      </w:r>
      <w:r w:rsidR="001822CE" w:rsidRPr="00FB20CC">
        <w:rPr>
          <w:sz w:val="24"/>
          <w:szCs w:val="24"/>
        </w:rPr>
        <w:t xml:space="preserve"> the 2 basins while chlorophyte</w:t>
      </w:r>
      <w:r w:rsidR="00545A6A" w:rsidRPr="00FB20CC">
        <w:rPr>
          <w:sz w:val="24"/>
          <w:szCs w:val="24"/>
        </w:rPr>
        <w:t xml:space="preserve"> production declines by 24.8% decade</w:t>
      </w:r>
      <w:r w:rsidR="00545A6A" w:rsidRPr="00FB20CC">
        <w:rPr>
          <w:sz w:val="24"/>
          <w:szCs w:val="24"/>
          <w:vertAlign w:val="superscript"/>
        </w:rPr>
        <w:t>-1</w:t>
      </w:r>
      <w:r w:rsidR="00545A6A" w:rsidRPr="00FB20CC">
        <w:rPr>
          <w:sz w:val="24"/>
          <w:szCs w:val="24"/>
        </w:rPr>
        <w:t xml:space="preserve"> (data not shown).  </w:t>
      </w:r>
      <w:r w:rsidR="004033BF" w:rsidRPr="00FB20CC">
        <w:rPr>
          <w:sz w:val="24"/>
          <w:szCs w:val="24"/>
        </w:rPr>
        <w:t>In the Equatorial Indian, t</w:t>
      </w:r>
      <w:r w:rsidR="00545A6A" w:rsidRPr="00FB20CC">
        <w:rPr>
          <w:sz w:val="24"/>
          <w:szCs w:val="24"/>
        </w:rPr>
        <w:t>he reduction in phytoplankton primary production is partially compensated by increases in production by the smaller, more nutrient-efficient, cyanobacteria</w:t>
      </w:r>
      <w:r w:rsidR="004033BF" w:rsidRPr="00FB20CC">
        <w:rPr>
          <w:sz w:val="24"/>
          <w:szCs w:val="24"/>
        </w:rPr>
        <w:t xml:space="preserve"> and coccolithophores</w:t>
      </w:r>
      <w:r w:rsidR="00545A6A" w:rsidRPr="00FB20CC">
        <w:rPr>
          <w:sz w:val="24"/>
          <w:szCs w:val="24"/>
        </w:rPr>
        <w:t xml:space="preserve">.  Here, cyanobacteria production </w:t>
      </w:r>
      <w:r w:rsidR="002930A4" w:rsidRPr="00FB20CC">
        <w:rPr>
          <w:sz w:val="24"/>
          <w:szCs w:val="24"/>
        </w:rPr>
        <w:t>in</w:t>
      </w:r>
      <w:r w:rsidR="00545A6A" w:rsidRPr="00FB20CC">
        <w:rPr>
          <w:sz w:val="24"/>
          <w:szCs w:val="24"/>
        </w:rPr>
        <w:t xml:space="preserve">creases 16.7% </w:t>
      </w:r>
      <w:r w:rsidR="001822CE" w:rsidRPr="00FB20CC">
        <w:rPr>
          <w:sz w:val="24"/>
          <w:szCs w:val="24"/>
        </w:rPr>
        <w:t>decade</w:t>
      </w:r>
      <w:r w:rsidR="001822CE" w:rsidRPr="00FB20CC">
        <w:rPr>
          <w:sz w:val="24"/>
          <w:szCs w:val="24"/>
          <w:vertAlign w:val="superscript"/>
        </w:rPr>
        <w:t>-1</w:t>
      </w:r>
      <w:r w:rsidR="001822CE" w:rsidRPr="00FB20CC">
        <w:rPr>
          <w:sz w:val="24"/>
          <w:szCs w:val="24"/>
        </w:rPr>
        <w:t xml:space="preserve"> </w:t>
      </w:r>
      <w:r w:rsidR="00545A6A" w:rsidRPr="00FB20CC">
        <w:rPr>
          <w:sz w:val="24"/>
          <w:szCs w:val="24"/>
        </w:rPr>
        <w:t>in the record while coccolithophore contributions increase nearly ten-fold.  This results in a shift in relative contributions to total primary p</w:t>
      </w:r>
      <w:r w:rsidR="00265EEA" w:rsidRPr="00FB20CC">
        <w:rPr>
          <w:sz w:val="24"/>
          <w:szCs w:val="24"/>
        </w:rPr>
        <w:t>roduction in the basin (Figure 4</w:t>
      </w:r>
      <w:r w:rsidR="00545A6A" w:rsidRPr="00FB20CC">
        <w:rPr>
          <w:sz w:val="24"/>
          <w:szCs w:val="24"/>
        </w:rPr>
        <w:t>) and is consistent with</w:t>
      </w:r>
      <w:r w:rsidR="001822CE" w:rsidRPr="00FB20CC">
        <w:rPr>
          <w:sz w:val="24"/>
          <w:szCs w:val="24"/>
        </w:rPr>
        <w:t xml:space="preserve"> </w:t>
      </w:r>
      <w:r w:rsidR="00545A6A" w:rsidRPr="00FB20CC">
        <w:rPr>
          <w:sz w:val="24"/>
          <w:szCs w:val="24"/>
        </w:rPr>
        <w:t>the more efficient nutrient utilization capabilities of the smaller phytoplankton, the cyanobacteria and coccolithophores.</w:t>
      </w:r>
    </w:p>
    <w:p w14:paraId="3C792022" w14:textId="77777777" w:rsidR="00545A6A" w:rsidRPr="00FB20CC" w:rsidRDefault="001822CE" w:rsidP="00545A6A">
      <w:pPr>
        <w:jc w:val="both"/>
        <w:rPr>
          <w:sz w:val="24"/>
          <w:szCs w:val="24"/>
        </w:rPr>
      </w:pPr>
      <w:r w:rsidRPr="00FB20CC">
        <w:rPr>
          <w:sz w:val="24"/>
          <w:szCs w:val="24"/>
        </w:rPr>
        <w:t xml:space="preserve">   </w:t>
      </w:r>
      <w:r w:rsidR="00545A6A" w:rsidRPr="00FB20CC">
        <w:rPr>
          <w:sz w:val="24"/>
          <w:szCs w:val="24"/>
        </w:rPr>
        <w:t>Both Indian Ocean basins experience declines in nitrate and silicate (32.4% and 22.8% decade</w:t>
      </w:r>
      <w:r w:rsidR="00545A6A" w:rsidRPr="00FB20CC">
        <w:rPr>
          <w:sz w:val="24"/>
          <w:szCs w:val="24"/>
          <w:vertAlign w:val="superscript"/>
        </w:rPr>
        <w:t>-1</w:t>
      </w:r>
      <w:r w:rsidR="00545A6A" w:rsidRPr="00FB20CC">
        <w:rPr>
          <w:sz w:val="24"/>
          <w:szCs w:val="24"/>
        </w:rPr>
        <w:t xml:space="preserve">, respectively).  </w:t>
      </w:r>
      <w:r w:rsidRPr="00FB20CC">
        <w:rPr>
          <w:sz w:val="24"/>
          <w:szCs w:val="24"/>
        </w:rPr>
        <w:t>Silicate is critical for diatom</w:t>
      </w:r>
      <w:r w:rsidR="00545A6A" w:rsidRPr="00FB20CC">
        <w:rPr>
          <w:sz w:val="24"/>
          <w:szCs w:val="24"/>
        </w:rPr>
        <w:t xml:space="preserve"> growth and its decline is likely an important cause for their decline.  Nitrate is needed by all phytoplankton, which suggests a cause for the re</w:t>
      </w:r>
      <w:r w:rsidRPr="00FB20CC">
        <w:rPr>
          <w:sz w:val="24"/>
          <w:szCs w:val="24"/>
        </w:rPr>
        <w:t>duction in chlorophyte</w:t>
      </w:r>
      <w:r w:rsidR="00545A6A" w:rsidRPr="00FB20CC">
        <w:rPr>
          <w:sz w:val="24"/>
          <w:szCs w:val="24"/>
        </w:rPr>
        <w:t xml:space="preserve"> production. At the same time, the smaller cyanobacteria and coccolithophores increase production due to their higher ability to harvest nutrients at lower concentrations, but not enough to overcome a basin-wide decline in total primary production.  The primary production declines are not associated with statistically significant changes of mixed layer depth</w:t>
      </w:r>
      <w:r w:rsidR="00E00826" w:rsidRPr="00FB20CC">
        <w:rPr>
          <w:sz w:val="24"/>
          <w:szCs w:val="24"/>
        </w:rPr>
        <w:t xml:space="preserve">  The Equatorial Indian basin, but not the North Indian, also exhibits increasing surface temperature (0.22</w:t>
      </w:r>
      <w:r w:rsidR="00E00826" w:rsidRPr="00FB20CC">
        <w:rPr>
          <w:sz w:val="24"/>
          <w:szCs w:val="24"/>
          <w:vertAlign w:val="superscript"/>
        </w:rPr>
        <w:t>o</w:t>
      </w:r>
      <w:r w:rsidR="00E00826" w:rsidRPr="00FB20CC">
        <w:rPr>
          <w:sz w:val="24"/>
          <w:szCs w:val="24"/>
        </w:rPr>
        <w:t xml:space="preserve"> decade-1, r=0.552).</w:t>
      </w:r>
    </w:p>
    <w:p w14:paraId="0DD29A23" w14:textId="19427146" w:rsidR="002448EE" w:rsidRPr="00FB20CC" w:rsidRDefault="0003739B" w:rsidP="00545A6A">
      <w:pPr>
        <w:jc w:val="both"/>
        <w:rPr>
          <w:sz w:val="24"/>
          <w:szCs w:val="24"/>
        </w:rPr>
      </w:pPr>
      <w:r w:rsidRPr="00FB20CC">
        <w:rPr>
          <w:sz w:val="24"/>
          <w:szCs w:val="24"/>
        </w:rPr>
        <w:t xml:space="preserve">      </w:t>
      </w:r>
      <w:r w:rsidR="00B4661F" w:rsidRPr="00FB20CC">
        <w:rPr>
          <w:sz w:val="24"/>
          <w:szCs w:val="24"/>
        </w:rPr>
        <w:t>S</w:t>
      </w:r>
      <w:r w:rsidR="00545A6A" w:rsidRPr="00FB20CC">
        <w:rPr>
          <w:sz w:val="24"/>
          <w:szCs w:val="24"/>
        </w:rPr>
        <w:t xml:space="preserve">trong declines in chlorophyll </w:t>
      </w:r>
      <w:r w:rsidR="00B4661F" w:rsidRPr="00FB20CC">
        <w:rPr>
          <w:sz w:val="24"/>
          <w:szCs w:val="24"/>
        </w:rPr>
        <w:t xml:space="preserve">have been reported </w:t>
      </w:r>
      <w:r w:rsidR="00545A6A" w:rsidRPr="00FB20CC">
        <w:rPr>
          <w:sz w:val="24"/>
          <w:szCs w:val="24"/>
        </w:rPr>
        <w:t>in the sub-tropical Indian Ocean over the past six decades</w:t>
      </w:r>
      <w:r w:rsidR="002C5C8A" w:rsidRPr="00FB20CC">
        <w:rPr>
          <w:sz w:val="24"/>
          <w:szCs w:val="24"/>
          <w:vertAlign w:val="superscript"/>
        </w:rPr>
        <w:t xml:space="preserve"> </w:t>
      </w:r>
      <w:r w:rsidR="002C5C8A" w:rsidRPr="00FB20CC">
        <w:rPr>
          <w:sz w:val="24"/>
          <w:szCs w:val="24"/>
        </w:rPr>
        <w:t xml:space="preserve">(Roxy </w:t>
      </w:r>
      <w:r w:rsidR="002C5C8A" w:rsidRPr="00FB20CC">
        <w:rPr>
          <w:i/>
          <w:sz w:val="24"/>
          <w:szCs w:val="24"/>
        </w:rPr>
        <w:t>et al</w:t>
      </w:r>
      <w:r w:rsidR="002C5C8A" w:rsidRPr="00FB20CC">
        <w:rPr>
          <w:sz w:val="24"/>
          <w:szCs w:val="24"/>
        </w:rPr>
        <w:t xml:space="preserve"> 2016)</w:t>
      </w:r>
      <w:r w:rsidR="00096623" w:rsidRPr="00FB20CC">
        <w:rPr>
          <w:sz w:val="24"/>
          <w:szCs w:val="24"/>
        </w:rPr>
        <w:t>, which</w:t>
      </w:r>
      <w:r w:rsidR="00545A6A" w:rsidRPr="00FB20CC">
        <w:rPr>
          <w:sz w:val="24"/>
          <w:szCs w:val="24"/>
        </w:rPr>
        <w:t xml:space="preserve"> suggested associated declines in primary production.  The results here support this and further document nutrient declines.  </w:t>
      </w:r>
      <w:r w:rsidR="00FE0652" w:rsidRPr="00FB20CC">
        <w:rPr>
          <w:sz w:val="24"/>
          <w:szCs w:val="24"/>
        </w:rPr>
        <w:t>There is also evidence of sea level rise and associated weakening of the summer monsoon in the Equatorial Indian Ocean in recent decades</w:t>
      </w:r>
      <w:r w:rsidR="002C5C8A" w:rsidRPr="00FB20CC">
        <w:rPr>
          <w:sz w:val="24"/>
          <w:szCs w:val="24"/>
          <w:vertAlign w:val="superscript"/>
        </w:rPr>
        <w:t xml:space="preserve"> </w:t>
      </w:r>
      <w:r w:rsidR="002C5C8A" w:rsidRPr="00FB20CC">
        <w:rPr>
          <w:sz w:val="24"/>
          <w:szCs w:val="24"/>
        </w:rPr>
        <w:t xml:space="preserve">(Swapna </w:t>
      </w:r>
      <w:r w:rsidR="002C5C8A" w:rsidRPr="00FB20CC">
        <w:rPr>
          <w:i/>
          <w:sz w:val="24"/>
          <w:szCs w:val="24"/>
        </w:rPr>
        <w:t>et al</w:t>
      </w:r>
      <w:r w:rsidR="002C5C8A" w:rsidRPr="00FB20CC">
        <w:rPr>
          <w:sz w:val="24"/>
          <w:szCs w:val="24"/>
        </w:rPr>
        <w:t xml:space="preserve"> 2017)</w:t>
      </w:r>
      <w:r w:rsidR="00FE0652" w:rsidRPr="00FB20CC">
        <w:rPr>
          <w:sz w:val="24"/>
          <w:szCs w:val="24"/>
        </w:rPr>
        <w:t>.  Such weakening could reduce the upwelling of nutrients and suppress ocean primary production as we find here.</w:t>
      </w:r>
      <w:r w:rsidR="00096623" w:rsidRPr="00FB20CC">
        <w:rPr>
          <w:sz w:val="24"/>
          <w:szCs w:val="24"/>
        </w:rPr>
        <w:t xml:space="preserve">  </w:t>
      </w:r>
    </w:p>
    <w:p w14:paraId="636FE5C3" w14:textId="77777777" w:rsidR="00FE0652" w:rsidRPr="00FB20CC" w:rsidRDefault="002448EE" w:rsidP="00545A6A">
      <w:pPr>
        <w:jc w:val="both"/>
        <w:rPr>
          <w:sz w:val="24"/>
          <w:szCs w:val="24"/>
        </w:rPr>
      </w:pPr>
      <w:r w:rsidRPr="00FB20CC">
        <w:rPr>
          <w:sz w:val="24"/>
          <w:szCs w:val="24"/>
        </w:rPr>
        <w:t xml:space="preserve">   </w:t>
      </w:r>
      <w:r w:rsidR="00096623" w:rsidRPr="00FB20CC">
        <w:rPr>
          <w:sz w:val="24"/>
          <w:szCs w:val="24"/>
        </w:rPr>
        <w:t>A model</w:t>
      </w:r>
      <w:r w:rsidR="00DC463C" w:rsidRPr="00FB20CC">
        <w:rPr>
          <w:sz w:val="24"/>
          <w:szCs w:val="24"/>
        </w:rPr>
        <w:t xml:space="preserve">ing effort by </w:t>
      </w:r>
      <w:proofErr w:type="spellStart"/>
      <w:r w:rsidR="00DC463C" w:rsidRPr="00FB20CC">
        <w:rPr>
          <w:sz w:val="24"/>
          <w:szCs w:val="24"/>
        </w:rPr>
        <w:t>Kvale</w:t>
      </w:r>
      <w:proofErr w:type="spellEnd"/>
      <w:r w:rsidR="00DC463C" w:rsidRPr="00FB20CC">
        <w:rPr>
          <w:sz w:val="24"/>
          <w:szCs w:val="24"/>
        </w:rPr>
        <w:t xml:space="preserve"> </w:t>
      </w:r>
      <w:r w:rsidR="00DC463C" w:rsidRPr="00FB20CC">
        <w:rPr>
          <w:i/>
          <w:sz w:val="24"/>
          <w:szCs w:val="24"/>
        </w:rPr>
        <w:t>et al</w:t>
      </w:r>
      <w:r w:rsidR="006D7DD2" w:rsidRPr="00FB20CC">
        <w:rPr>
          <w:sz w:val="24"/>
          <w:szCs w:val="24"/>
        </w:rPr>
        <w:t xml:space="preserve"> (2019</w:t>
      </w:r>
      <w:r w:rsidR="00096623" w:rsidRPr="00FB20CC">
        <w:rPr>
          <w:sz w:val="24"/>
          <w:szCs w:val="24"/>
        </w:rPr>
        <w:t xml:space="preserve">) suggested increases of </w:t>
      </w:r>
      <w:proofErr w:type="spellStart"/>
      <w:r w:rsidR="00096623" w:rsidRPr="00FB20CC">
        <w:rPr>
          <w:sz w:val="24"/>
          <w:szCs w:val="24"/>
        </w:rPr>
        <w:t>calcifier</w:t>
      </w:r>
      <w:proofErr w:type="spellEnd"/>
      <w:r w:rsidR="00096623" w:rsidRPr="00FB20CC">
        <w:rPr>
          <w:sz w:val="24"/>
          <w:szCs w:val="24"/>
        </w:rPr>
        <w:t xml:space="preserve"> production in low latitudes under a warming ocean scenario</w:t>
      </w:r>
      <w:r w:rsidRPr="00FB20CC">
        <w:rPr>
          <w:sz w:val="24"/>
          <w:szCs w:val="24"/>
        </w:rPr>
        <w:t>.  This was attributed, as here</w:t>
      </w:r>
      <w:r w:rsidR="00DD2930" w:rsidRPr="00FB20CC">
        <w:rPr>
          <w:sz w:val="24"/>
          <w:szCs w:val="24"/>
        </w:rPr>
        <w:t xml:space="preserve"> specifically for the calcifying phytoplankton coccolithophores,</w:t>
      </w:r>
      <w:r w:rsidR="00096623" w:rsidRPr="00FB20CC">
        <w:rPr>
          <w:sz w:val="24"/>
          <w:szCs w:val="24"/>
        </w:rPr>
        <w:t xml:space="preserve"> </w:t>
      </w:r>
      <w:r w:rsidRPr="00FB20CC">
        <w:rPr>
          <w:sz w:val="24"/>
          <w:szCs w:val="24"/>
        </w:rPr>
        <w:t>to</w:t>
      </w:r>
      <w:r w:rsidR="00096623" w:rsidRPr="00FB20CC">
        <w:rPr>
          <w:sz w:val="24"/>
          <w:szCs w:val="24"/>
        </w:rPr>
        <w:t xml:space="preserve"> their increased ability to utilize nutrients under low availabili</w:t>
      </w:r>
      <w:r w:rsidRPr="00FB20CC">
        <w:rPr>
          <w:sz w:val="24"/>
          <w:szCs w:val="24"/>
        </w:rPr>
        <w:t>ty</w:t>
      </w:r>
      <w:r w:rsidR="00096623" w:rsidRPr="00FB20CC">
        <w:rPr>
          <w:sz w:val="24"/>
          <w:szCs w:val="24"/>
        </w:rPr>
        <w:t xml:space="preserve">.  </w:t>
      </w:r>
      <w:r w:rsidR="00DD2930" w:rsidRPr="00FB20CC">
        <w:rPr>
          <w:sz w:val="24"/>
          <w:szCs w:val="24"/>
        </w:rPr>
        <w:t xml:space="preserve">Cyanobacteria, which have even more efficient nutrient uptake capabilities, </w:t>
      </w:r>
      <w:r w:rsidR="000A2EB4" w:rsidRPr="00FB20CC">
        <w:rPr>
          <w:sz w:val="24"/>
          <w:szCs w:val="24"/>
        </w:rPr>
        <w:t>also increase</w:t>
      </w:r>
      <w:r w:rsidR="00DD2930" w:rsidRPr="00FB20CC">
        <w:rPr>
          <w:sz w:val="24"/>
          <w:szCs w:val="24"/>
        </w:rPr>
        <w:t xml:space="preserve"> under these conditions of low nutrients</w:t>
      </w:r>
      <w:r w:rsidR="000A2EB4" w:rsidRPr="00FB20CC">
        <w:rPr>
          <w:sz w:val="24"/>
          <w:szCs w:val="24"/>
        </w:rPr>
        <w:t>, but not as much as coccolithophores</w:t>
      </w:r>
      <w:r w:rsidR="00DD2930" w:rsidRPr="00FB20CC">
        <w:rPr>
          <w:sz w:val="24"/>
          <w:szCs w:val="24"/>
        </w:rPr>
        <w:t xml:space="preserve">.  </w:t>
      </w:r>
      <w:r w:rsidR="007E6055" w:rsidRPr="00FB20CC">
        <w:rPr>
          <w:sz w:val="24"/>
          <w:szCs w:val="24"/>
        </w:rPr>
        <w:t>T</w:t>
      </w:r>
      <w:r w:rsidR="00096623" w:rsidRPr="00FB20CC">
        <w:rPr>
          <w:sz w:val="24"/>
          <w:szCs w:val="24"/>
        </w:rPr>
        <w:t>he increase</w:t>
      </w:r>
      <w:r w:rsidR="00DD2930" w:rsidRPr="00FB20CC">
        <w:rPr>
          <w:sz w:val="24"/>
          <w:szCs w:val="24"/>
        </w:rPr>
        <w:t>s of these smaller phytoplankton</w:t>
      </w:r>
      <w:r w:rsidR="00096623" w:rsidRPr="00FB20CC">
        <w:rPr>
          <w:sz w:val="24"/>
          <w:szCs w:val="24"/>
        </w:rPr>
        <w:t xml:space="preserve"> come</w:t>
      </w:r>
      <w:r w:rsidR="00FE63D5" w:rsidRPr="00FB20CC">
        <w:rPr>
          <w:sz w:val="24"/>
          <w:szCs w:val="24"/>
        </w:rPr>
        <w:t>s</w:t>
      </w:r>
      <w:r w:rsidR="00096623" w:rsidRPr="00FB20CC">
        <w:rPr>
          <w:sz w:val="24"/>
          <w:szCs w:val="24"/>
        </w:rPr>
        <w:t xml:space="preserve"> at the expense of larger phytoplankton, like diatoms, which is also supp</w:t>
      </w:r>
      <w:r w:rsidR="00FE63D5" w:rsidRPr="00FB20CC">
        <w:rPr>
          <w:sz w:val="24"/>
          <w:szCs w:val="24"/>
        </w:rPr>
        <w:t xml:space="preserve">orted by </w:t>
      </w:r>
      <w:proofErr w:type="spellStart"/>
      <w:r w:rsidR="00DC463C" w:rsidRPr="00FB20CC">
        <w:rPr>
          <w:sz w:val="24"/>
          <w:szCs w:val="24"/>
        </w:rPr>
        <w:t>Kvale</w:t>
      </w:r>
      <w:proofErr w:type="spellEnd"/>
      <w:r w:rsidR="00DC463C" w:rsidRPr="00FB20CC">
        <w:rPr>
          <w:sz w:val="24"/>
          <w:szCs w:val="24"/>
        </w:rPr>
        <w:t xml:space="preserve"> </w:t>
      </w:r>
      <w:r w:rsidR="00DC463C" w:rsidRPr="00FB20CC">
        <w:rPr>
          <w:i/>
          <w:sz w:val="24"/>
          <w:szCs w:val="24"/>
        </w:rPr>
        <w:t>et al</w:t>
      </w:r>
      <w:r w:rsidR="006D7DD2" w:rsidRPr="00FB20CC">
        <w:rPr>
          <w:sz w:val="24"/>
          <w:szCs w:val="24"/>
        </w:rPr>
        <w:t xml:space="preserve"> (2019</w:t>
      </w:r>
      <w:r w:rsidR="00096623" w:rsidRPr="00FB20CC">
        <w:rPr>
          <w:sz w:val="24"/>
          <w:szCs w:val="24"/>
        </w:rPr>
        <w:t>).</w:t>
      </w:r>
    </w:p>
    <w:p w14:paraId="56CE5AC1" w14:textId="77777777" w:rsidR="00545A6A" w:rsidRPr="00FB20CC" w:rsidRDefault="00F23B34" w:rsidP="00545A6A">
      <w:pPr>
        <w:jc w:val="both"/>
        <w:rPr>
          <w:sz w:val="24"/>
          <w:szCs w:val="24"/>
        </w:rPr>
      </w:pPr>
      <w:r w:rsidRPr="00FB20CC">
        <w:rPr>
          <w:sz w:val="24"/>
          <w:szCs w:val="24"/>
        </w:rPr>
        <w:t xml:space="preserve">  </w:t>
      </w:r>
      <w:r w:rsidR="000362D8" w:rsidRPr="00FB20CC">
        <w:rPr>
          <w:sz w:val="24"/>
          <w:szCs w:val="24"/>
        </w:rPr>
        <w:t xml:space="preserve"> </w:t>
      </w:r>
      <w:r w:rsidRPr="00FB20CC">
        <w:rPr>
          <w:sz w:val="24"/>
          <w:szCs w:val="24"/>
        </w:rPr>
        <w:t>In contrast to the global and Indian Ocean trends, total primary production in the North and North Central Pacific basins increase over t</w:t>
      </w:r>
      <w:r w:rsidR="00653798" w:rsidRPr="00FB20CC">
        <w:rPr>
          <w:sz w:val="24"/>
          <w:szCs w:val="24"/>
        </w:rPr>
        <w:t>he 18-year time series (Figure 5</w:t>
      </w:r>
      <w:r w:rsidRPr="00FB20CC">
        <w:rPr>
          <w:sz w:val="24"/>
          <w:szCs w:val="24"/>
        </w:rPr>
        <w:t xml:space="preserve">).  The increases are 0.05 (4.8%) and 0.2 (4.4%) </w:t>
      </w:r>
      <w:proofErr w:type="spellStart"/>
      <w:r w:rsidRPr="00FB20CC">
        <w:rPr>
          <w:sz w:val="24"/>
          <w:szCs w:val="24"/>
        </w:rPr>
        <w:t>PgC</w:t>
      </w:r>
      <w:proofErr w:type="spellEnd"/>
      <w:r w:rsidRPr="00FB20CC">
        <w:rPr>
          <w:sz w:val="24"/>
          <w:szCs w:val="24"/>
        </w:rPr>
        <w:t xml:space="preserve"> y</w:t>
      </w:r>
      <w:r w:rsidRPr="00FB20CC">
        <w:rPr>
          <w:sz w:val="24"/>
          <w:szCs w:val="24"/>
          <w:vertAlign w:val="superscript"/>
        </w:rPr>
        <w:t>-1</w:t>
      </w:r>
      <w:r w:rsidRPr="00FB20CC">
        <w:rPr>
          <w:sz w:val="24"/>
          <w:szCs w:val="24"/>
        </w:rPr>
        <w:t xml:space="preserve"> decade</w:t>
      </w:r>
      <w:r w:rsidRPr="00FB20CC">
        <w:rPr>
          <w:sz w:val="24"/>
          <w:szCs w:val="24"/>
          <w:vertAlign w:val="superscript"/>
        </w:rPr>
        <w:t>-1</w:t>
      </w:r>
      <w:r w:rsidRPr="00FB20CC">
        <w:rPr>
          <w:sz w:val="24"/>
          <w:szCs w:val="24"/>
        </w:rPr>
        <w:t xml:space="preserve">, respectively.  The changes in phytoplankton production in the two </w:t>
      </w:r>
      <w:r w:rsidR="00545A6A" w:rsidRPr="00FB20CC">
        <w:rPr>
          <w:sz w:val="24"/>
          <w:szCs w:val="24"/>
        </w:rPr>
        <w:t xml:space="preserve">basins are different: the North Pacific increase is led by chlorophytes primary production </w:t>
      </w:r>
      <w:r w:rsidR="00545A6A" w:rsidRPr="00FB20CC">
        <w:rPr>
          <w:sz w:val="24"/>
          <w:szCs w:val="24"/>
        </w:rPr>
        <w:lastRenderedPageBreak/>
        <w:t>and the North Central Pacific is led by cyanobacteria production.  Chlorophyte production nearly triples in the North Pacific, although it still contributes only 13% of the total, which is dominated by diatom production.  In the North Central Pacific, cyanobacteria production increases 6.4% decade</w:t>
      </w:r>
      <w:r w:rsidR="00545A6A" w:rsidRPr="00FB20CC">
        <w:rPr>
          <w:sz w:val="24"/>
          <w:szCs w:val="24"/>
          <w:vertAlign w:val="superscript"/>
        </w:rPr>
        <w:t>-1</w:t>
      </w:r>
      <w:r w:rsidR="00545A6A" w:rsidRPr="00FB20CC">
        <w:rPr>
          <w:sz w:val="24"/>
          <w:szCs w:val="24"/>
        </w:rPr>
        <w:t>.  Cyanobacteria predominate in abundance in this basin but their primary production is next to last (chlorophyte production is lowest).  Both basins exhibit shallowing mixed layer depths (9.5% decade</w:t>
      </w:r>
      <w:r w:rsidR="00545A6A" w:rsidRPr="00FB20CC">
        <w:rPr>
          <w:sz w:val="24"/>
          <w:szCs w:val="24"/>
          <w:vertAlign w:val="superscript"/>
        </w:rPr>
        <w:t>-1</w:t>
      </w:r>
      <w:r w:rsidR="00545A6A" w:rsidRPr="00FB20CC">
        <w:rPr>
          <w:sz w:val="24"/>
          <w:szCs w:val="24"/>
        </w:rPr>
        <w:t xml:space="preserve"> in the North Pacific and 6.8% decade</w:t>
      </w:r>
      <w:r w:rsidR="00545A6A" w:rsidRPr="00FB20CC">
        <w:rPr>
          <w:sz w:val="24"/>
          <w:szCs w:val="24"/>
          <w:vertAlign w:val="superscript"/>
        </w:rPr>
        <w:t xml:space="preserve">-1 </w:t>
      </w:r>
      <w:r w:rsidR="00545A6A" w:rsidRPr="00FB20CC">
        <w:rPr>
          <w:sz w:val="24"/>
          <w:szCs w:val="24"/>
        </w:rPr>
        <w:t>in the North Central Pacific).  The North Pacific also shows an increase in surface layer temperature (0.4</w:t>
      </w:r>
      <w:r w:rsidR="00545A6A" w:rsidRPr="00FB20CC">
        <w:rPr>
          <w:sz w:val="24"/>
          <w:szCs w:val="24"/>
          <w:vertAlign w:val="superscript"/>
        </w:rPr>
        <w:t>o</w:t>
      </w:r>
      <w:r w:rsidR="00545A6A" w:rsidRPr="00FB20CC">
        <w:rPr>
          <w:sz w:val="24"/>
          <w:szCs w:val="24"/>
        </w:rPr>
        <w:t xml:space="preserve"> decade</w:t>
      </w:r>
      <w:r w:rsidR="00545A6A" w:rsidRPr="00FB20CC">
        <w:rPr>
          <w:sz w:val="24"/>
          <w:szCs w:val="24"/>
          <w:vertAlign w:val="superscript"/>
        </w:rPr>
        <w:t>-1</w:t>
      </w:r>
      <w:r w:rsidRPr="00FB20CC">
        <w:rPr>
          <w:sz w:val="24"/>
          <w:szCs w:val="24"/>
        </w:rPr>
        <w:t>, data not shown</w:t>
      </w:r>
      <w:r w:rsidR="00545A6A" w:rsidRPr="00FB20CC">
        <w:rPr>
          <w:sz w:val="24"/>
          <w:szCs w:val="24"/>
        </w:rPr>
        <w:t>) while temperature in the North Central Pacific does not significantly change.</w:t>
      </w:r>
      <w:r w:rsidR="00265EEA" w:rsidRPr="00FB20CC">
        <w:rPr>
          <w:sz w:val="24"/>
          <w:szCs w:val="24"/>
        </w:rPr>
        <w:t xml:space="preserve">  A summary of the results described here is provided in Figure 6.</w:t>
      </w:r>
    </w:p>
    <w:p w14:paraId="457C940D" w14:textId="77777777" w:rsidR="00545A6A" w:rsidRPr="00FB20CC" w:rsidRDefault="00545A6A" w:rsidP="00545A6A">
      <w:pPr>
        <w:jc w:val="both"/>
        <w:rPr>
          <w:sz w:val="24"/>
          <w:szCs w:val="24"/>
        </w:rPr>
      </w:pPr>
      <w:r w:rsidRPr="00FB20CC">
        <w:rPr>
          <w:sz w:val="24"/>
          <w:szCs w:val="24"/>
        </w:rPr>
        <w:t xml:space="preserve">   The combination of a dynamical global biogeochemical model assimilated with bias-corrected ocean color satellite data provides enhanced realism in the representation of recent trends in global ocean primary production.  However, the results are not unequivocal. </w:t>
      </w:r>
      <w:r w:rsidR="00EC57E0" w:rsidRPr="00FB20CC">
        <w:rPr>
          <w:sz w:val="24"/>
          <w:szCs w:val="24"/>
        </w:rPr>
        <w:t xml:space="preserve"> </w:t>
      </w:r>
      <w:r w:rsidRPr="00FB20CC">
        <w:rPr>
          <w:sz w:val="24"/>
          <w:szCs w:val="24"/>
        </w:rPr>
        <w:t xml:space="preserve">Assessment of changes in past, present, and future global primary production remains challenging.  </w:t>
      </w:r>
      <w:r w:rsidR="00EC57E0" w:rsidRPr="00FB20CC">
        <w:rPr>
          <w:sz w:val="24"/>
          <w:szCs w:val="24"/>
        </w:rPr>
        <w:t xml:space="preserve">The time series of global ocean color </w:t>
      </w:r>
      <w:r w:rsidR="00916CF7" w:rsidRPr="00FB20CC">
        <w:rPr>
          <w:sz w:val="24"/>
          <w:szCs w:val="24"/>
        </w:rPr>
        <w:t xml:space="preserve">satellites </w:t>
      </w:r>
      <w:r w:rsidR="00EC57E0" w:rsidRPr="00FB20CC">
        <w:rPr>
          <w:sz w:val="24"/>
          <w:szCs w:val="24"/>
        </w:rPr>
        <w:t xml:space="preserve">is still too short to </w:t>
      </w:r>
      <w:r w:rsidR="0003739B" w:rsidRPr="00FB20CC">
        <w:rPr>
          <w:sz w:val="24"/>
          <w:szCs w:val="24"/>
        </w:rPr>
        <w:t xml:space="preserve">unequivocally </w:t>
      </w:r>
      <w:r w:rsidR="00EC57E0" w:rsidRPr="00FB20CC">
        <w:rPr>
          <w:sz w:val="24"/>
          <w:szCs w:val="24"/>
        </w:rPr>
        <w:t>distinguish natural variability from long-term trends</w:t>
      </w:r>
      <w:r w:rsidR="00950407" w:rsidRPr="00FB20CC">
        <w:rPr>
          <w:sz w:val="24"/>
          <w:szCs w:val="24"/>
          <w:vertAlign w:val="superscript"/>
        </w:rPr>
        <w:t xml:space="preserve"> </w:t>
      </w:r>
      <w:r w:rsidR="00950407" w:rsidRPr="00FB20CC">
        <w:rPr>
          <w:sz w:val="24"/>
          <w:szCs w:val="24"/>
        </w:rPr>
        <w:t xml:space="preserve">(Henson </w:t>
      </w:r>
      <w:r w:rsidR="00950407" w:rsidRPr="00FB20CC">
        <w:rPr>
          <w:i/>
          <w:sz w:val="24"/>
          <w:szCs w:val="24"/>
        </w:rPr>
        <w:t>et al</w:t>
      </w:r>
      <w:r w:rsidR="00950407" w:rsidRPr="00FB20CC">
        <w:rPr>
          <w:sz w:val="24"/>
          <w:szCs w:val="24"/>
        </w:rPr>
        <w:t xml:space="preserve"> 2016)</w:t>
      </w:r>
      <w:r w:rsidR="00EC57E0" w:rsidRPr="00FB20CC">
        <w:rPr>
          <w:sz w:val="24"/>
          <w:szCs w:val="24"/>
        </w:rPr>
        <w:t xml:space="preserve">, but this report provides a marker for the </w:t>
      </w:r>
      <w:r w:rsidR="00916CF7" w:rsidRPr="00FB20CC">
        <w:rPr>
          <w:sz w:val="24"/>
          <w:szCs w:val="24"/>
        </w:rPr>
        <w:t xml:space="preserve">observed </w:t>
      </w:r>
      <w:r w:rsidR="00A750E7" w:rsidRPr="00FB20CC">
        <w:rPr>
          <w:sz w:val="24"/>
          <w:szCs w:val="24"/>
        </w:rPr>
        <w:t>intermediate-term trends</w:t>
      </w:r>
      <w:r w:rsidR="00EC57E0" w:rsidRPr="00FB20CC">
        <w:rPr>
          <w:sz w:val="24"/>
          <w:szCs w:val="24"/>
        </w:rPr>
        <w:t xml:space="preserve"> in the record so far.  </w:t>
      </w:r>
      <w:r w:rsidRPr="00FB20CC">
        <w:rPr>
          <w:sz w:val="24"/>
          <w:szCs w:val="24"/>
        </w:rPr>
        <w:t>As state-of-th</w:t>
      </w:r>
      <w:r w:rsidR="00EC57E0" w:rsidRPr="00FB20CC">
        <w:rPr>
          <w:sz w:val="24"/>
          <w:szCs w:val="24"/>
        </w:rPr>
        <w:t>e-art methodologies improve</w:t>
      </w:r>
      <w:r w:rsidR="00916CF7" w:rsidRPr="00FB20CC">
        <w:rPr>
          <w:sz w:val="24"/>
          <w:szCs w:val="24"/>
        </w:rPr>
        <w:t>,</w:t>
      </w:r>
      <w:r w:rsidR="00EC57E0" w:rsidRPr="00FB20CC">
        <w:rPr>
          <w:sz w:val="24"/>
          <w:szCs w:val="24"/>
        </w:rPr>
        <w:t xml:space="preserve"> as </w:t>
      </w:r>
      <w:r w:rsidRPr="00FB20CC">
        <w:rPr>
          <w:sz w:val="24"/>
          <w:szCs w:val="24"/>
        </w:rPr>
        <w:t xml:space="preserve">knowledge advances, </w:t>
      </w:r>
      <w:r w:rsidR="00EC57E0" w:rsidRPr="00FB20CC">
        <w:rPr>
          <w:sz w:val="24"/>
          <w:szCs w:val="24"/>
        </w:rPr>
        <w:t xml:space="preserve">and as the time series continues with new missions, </w:t>
      </w:r>
      <w:r w:rsidRPr="00FB20CC">
        <w:rPr>
          <w:sz w:val="24"/>
          <w:szCs w:val="24"/>
        </w:rPr>
        <w:t xml:space="preserve">the effort here can stand as a baseline against </w:t>
      </w:r>
      <w:r w:rsidR="00CB7DF5" w:rsidRPr="00FB20CC">
        <w:rPr>
          <w:sz w:val="24"/>
          <w:szCs w:val="24"/>
        </w:rPr>
        <w:t xml:space="preserve">which </w:t>
      </w:r>
      <w:r w:rsidR="00916CF7" w:rsidRPr="00FB20CC">
        <w:rPr>
          <w:sz w:val="24"/>
          <w:szCs w:val="24"/>
        </w:rPr>
        <w:t>future observations</w:t>
      </w:r>
      <w:r w:rsidRPr="00FB20CC">
        <w:rPr>
          <w:sz w:val="24"/>
          <w:szCs w:val="24"/>
        </w:rPr>
        <w:t xml:space="preserve"> can provide perspective.</w:t>
      </w:r>
    </w:p>
    <w:p w14:paraId="57488CD0" w14:textId="77777777" w:rsidR="00C95B74" w:rsidRPr="00FB20CC" w:rsidRDefault="00C95B74" w:rsidP="00B656CF">
      <w:pPr>
        <w:rPr>
          <w:b/>
          <w:sz w:val="24"/>
          <w:szCs w:val="24"/>
        </w:rPr>
      </w:pPr>
    </w:p>
    <w:p w14:paraId="154EFC74" w14:textId="77777777" w:rsidR="0003739B" w:rsidRPr="00FB20CC" w:rsidRDefault="0003739B" w:rsidP="00B656CF">
      <w:pPr>
        <w:rPr>
          <w:b/>
          <w:sz w:val="24"/>
          <w:szCs w:val="24"/>
        </w:rPr>
      </w:pPr>
    </w:p>
    <w:p w14:paraId="1237AF68" w14:textId="77777777" w:rsidR="00545A6A" w:rsidRPr="00FB20CC" w:rsidRDefault="00545A6A" w:rsidP="00545A6A">
      <w:pPr>
        <w:pStyle w:val="Heading-Main"/>
      </w:pPr>
      <w:r w:rsidRPr="00FB20CC">
        <w:t>Acknowledgments and Data</w:t>
      </w:r>
    </w:p>
    <w:p w14:paraId="7D50E445" w14:textId="77777777" w:rsidR="00545A6A" w:rsidRPr="00FB20CC" w:rsidRDefault="00545A6A" w:rsidP="00545A6A">
      <w:pPr>
        <w:jc w:val="both"/>
        <w:rPr>
          <w:sz w:val="24"/>
          <w:szCs w:val="24"/>
        </w:rPr>
      </w:pPr>
      <w:r w:rsidRPr="00FB20CC">
        <w:rPr>
          <w:iCs/>
          <w:sz w:val="24"/>
          <w:szCs w:val="24"/>
        </w:rPr>
        <w:t>We thank the NASA Ocean Color Processing Team for satellite data sets.  This work was supported by NASA S-NPP, PACE, EXPORTS, and MAP Programs</w:t>
      </w:r>
      <w:r w:rsidRPr="00FB20CC">
        <w:rPr>
          <w:sz w:val="24"/>
          <w:szCs w:val="24"/>
        </w:rPr>
        <w:t>.</w:t>
      </w:r>
      <w:r w:rsidRPr="00FB20CC">
        <w:rPr>
          <w:iCs/>
          <w:sz w:val="24"/>
          <w:szCs w:val="24"/>
        </w:rPr>
        <w:t xml:space="preserve">   The authors and their affiliations have no </w:t>
      </w:r>
      <w:r w:rsidRPr="00FB20CC">
        <w:rPr>
          <w:sz w:val="24"/>
          <w:szCs w:val="24"/>
        </w:rPr>
        <w:t xml:space="preserve">real or perceived financial conflicts of interests. </w:t>
      </w:r>
      <w:r w:rsidR="00AC5915" w:rsidRPr="00FB20CC">
        <w:rPr>
          <w:sz w:val="24"/>
          <w:szCs w:val="24"/>
        </w:rPr>
        <w:t xml:space="preserve">The authors have no competing interests.  </w:t>
      </w:r>
      <w:r w:rsidR="00CE041B" w:rsidRPr="00FB20CC">
        <w:rPr>
          <w:iCs/>
          <w:sz w:val="24"/>
          <w:szCs w:val="24"/>
        </w:rPr>
        <w:t xml:space="preserve">We thank the </w:t>
      </w:r>
      <w:r w:rsidR="00CE041B" w:rsidRPr="00FB20CC">
        <w:rPr>
          <w:sz w:val="24"/>
          <w:szCs w:val="24"/>
        </w:rPr>
        <w:t xml:space="preserve">SeaWiFS Bio-Optical Archive and Storage System, National Oceanographic Data Center, Atlantic Meridional Transect, Hawaii Ocean Time Series, and </w:t>
      </w:r>
      <w:r w:rsidR="00CE041B" w:rsidRPr="00FB20CC">
        <w:rPr>
          <w:rStyle w:val="st"/>
          <w:sz w:val="24"/>
          <w:szCs w:val="24"/>
        </w:rPr>
        <w:t xml:space="preserve">Biological and Chemical Oceanography Data Management Office </w:t>
      </w:r>
      <w:r w:rsidR="00CE041B" w:rsidRPr="00FB20CC">
        <w:rPr>
          <w:sz w:val="24"/>
          <w:szCs w:val="24"/>
        </w:rPr>
        <w:t>for in situ data</w:t>
      </w:r>
      <w:r w:rsidR="00CE041B" w:rsidRPr="00FB20CC">
        <w:t xml:space="preserve">.  </w:t>
      </w:r>
      <w:r w:rsidRPr="00FB20CC">
        <w:rPr>
          <w:iCs/>
          <w:sz w:val="24"/>
          <w:szCs w:val="24"/>
        </w:rPr>
        <w:t>Assimilated data for the period 1998-2015 are available at the NASA Giovanni web site.</w:t>
      </w:r>
    </w:p>
    <w:p w14:paraId="235233D0" w14:textId="77777777" w:rsidR="00545A6A" w:rsidRPr="00FB20CC" w:rsidRDefault="00545A6A" w:rsidP="00545A6A"/>
    <w:p w14:paraId="239A7912" w14:textId="77777777" w:rsidR="00545A6A" w:rsidRPr="00FB20CC" w:rsidRDefault="00545A6A" w:rsidP="00545A6A">
      <w:pPr>
        <w:pStyle w:val="Heading-Main"/>
      </w:pPr>
      <w:r w:rsidRPr="00FB20CC">
        <w:t>References</w:t>
      </w:r>
    </w:p>
    <w:p w14:paraId="78237E74" w14:textId="77777777" w:rsidR="00D71687" w:rsidRPr="00FB20CC" w:rsidRDefault="00F73AE8" w:rsidP="00D71687">
      <w:pPr>
        <w:autoSpaceDE w:val="0"/>
        <w:autoSpaceDN w:val="0"/>
        <w:adjustRightInd w:val="0"/>
        <w:rPr>
          <w:sz w:val="24"/>
          <w:szCs w:val="24"/>
        </w:rPr>
      </w:pPr>
      <w:r w:rsidRPr="00FB20CC">
        <w:rPr>
          <w:sz w:val="24"/>
          <w:szCs w:val="24"/>
        </w:rPr>
        <w:t>Behrenfeld</w:t>
      </w:r>
      <w:r w:rsidR="00D71687" w:rsidRPr="00FB20CC">
        <w:rPr>
          <w:sz w:val="24"/>
          <w:szCs w:val="24"/>
        </w:rPr>
        <w:t xml:space="preserve"> M</w:t>
      </w:r>
      <w:r w:rsidR="00814E1B" w:rsidRPr="00FB20CC">
        <w:rPr>
          <w:sz w:val="24"/>
          <w:szCs w:val="24"/>
        </w:rPr>
        <w:t xml:space="preserve"> </w:t>
      </w:r>
      <w:r w:rsidR="00D71687" w:rsidRPr="00FB20CC">
        <w:rPr>
          <w:sz w:val="24"/>
          <w:szCs w:val="24"/>
        </w:rPr>
        <w:t>and</w:t>
      </w:r>
      <w:r w:rsidRPr="00FB20CC">
        <w:rPr>
          <w:sz w:val="24"/>
          <w:szCs w:val="24"/>
        </w:rPr>
        <w:t xml:space="preserve"> </w:t>
      </w:r>
      <w:proofErr w:type="spellStart"/>
      <w:r w:rsidRPr="00FB20CC">
        <w:rPr>
          <w:sz w:val="24"/>
          <w:szCs w:val="24"/>
        </w:rPr>
        <w:t>Falkowski</w:t>
      </w:r>
      <w:proofErr w:type="spellEnd"/>
      <w:r w:rsidR="00D71687" w:rsidRPr="00FB20CC">
        <w:rPr>
          <w:sz w:val="24"/>
          <w:szCs w:val="24"/>
        </w:rPr>
        <w:t xml:space="preserve"> P 1997</w:t>
      </w:r>
      <w:r w:rsidR="00814E1B" w:rsidRPr="00FB20CC">
        <w:rPr>
          <w:sz w:val="24"/>
          <w:szCs w:val="24"/>
        </w:rPr>
        <w:t xml:space="preserve"> Photosynthetic rates derived from satellite-based </w:t>
      </w:r>
    </w:p>
    <w:p w14:paraId="04B71CF5" w14:textId="77777777" w:rsidR="00814E1B" w:rsidRPr="00FB20CC" w:rsidRDefault="00814E1B" w:rsidP="00D71687">
      <w:pPr>
        <w:autoSpaceDE w:val="0"/>
        <w:autoSpaceDN w:val="0"/>
        <w:adjustRightInd w:val="0"/>
        <w:ind w:firstLine="720"/>
        <w:rPr>
          <w:sz w:val="24"/>
          <w:szCs w:val="24"/>
        </w:rPr>
      </w:pPr>
      <w:r w:rsidRPr="00FB20CC">
        <w:rPr>
          <w:sz w:val="24"/>
          <w:szCs w:val="24"/>
        </w:rPr>
        <w:t>chlorophyll concentrat</w:t>
      </w:r>
      <w:r w:rsidR="002D02CE" w:rsidRPr="00FB20CC">
        <w:rPr>
          <w:sz w:val="24"/>
          <w:szCs w:val="24"/>
        </w:rPr>
        <w:t>ion. Limnology and Oceanography</w:t>
      </w:r>
      <w:r w:rsidRPr="00FB20CC">
        <w:rPr>
          <w:sz w:val="24"/>
          <w:szCs w:val="24"/>
        </w:rPr>
        <w:t xml:space="preserve"> </w:t>
      </w:r>
      <w:r w:rsidRPr="00FB20CC">
        <w:rPr>
          <w:b/>
          <w:sz w:val="24"/>
          <w:szCs w:val="24"/>
        </w:rPr>
        <w:t>42</w:t>
      </w:r>
      <w:r w:rsidRPr="00FB20CC">
        <w:rPr>
          <w:sz w:val="24"/>
          <w:szCs w:val="24"/>
        </w:rPr>
        <w:t xml:space="preserve"> </w:t>
      </w:r>
      <w:r w:rsidRPr="00FB20CC">
        <w:rPr>
          <w:rStyle w:val="st"/>
          <w:sz w:val="24"/>
          <w:szCs w:val="24"/>
        </w:rPr>
        <w:t>10.4319/lo.1997.42.1.0001</w:t>
      </w:r>
    </w:p>
    <w:p w14:paraId="7FDE9D5F" w14:textId="77777777" w:rsidR="004F02D8" w:rsidRPr="00FB20CC" w:rsidRDefault="00814E1B" w:rsidP="004F02D8">
      <w:pPr>
        <w:autoSpaceDE w:val="0"/>
        <w:autoSpaceDN w:val="0"/>
        <w:adjustRightInd w:val="0"/>
        <w:rPr>
          <w:sz w:val="24"/>
          <w:szCs w:val="24"/>
        </w:rPr>
      </w:pPr>
      <w:r w:rsidRPr="00FB20CC">
        <w:rPr>
          <w:sz w:val="24"/>
          <w:szCs w:val="24"/>
        </w:rPr>
        <w:t>Behrenfeld</w:t>
      </w:r>
      <w:r w:rsidR="004F02D8" w:rsidRPr="00FB20CC">
        <w:rPr>
          <w:sz w:val="24"/>
          <w:szCs w:val="24"/>
        </w:rPr>
        <w:t xml:space="preserve"> M</w:t>
      </w:r>
      <w:r w:rsidR="00D71687" w:rsidRPr="00FB20CC">
        <w:rPr>
          <w:sz w:val="24"/>
          <w:szCs w:val="24"/>
        </w:rPr>
        <w:t xml:space="preserve">, </w:t>
      </w:r>
      <w:r w:rsidR="004F02D8" w:rsidRPr="00FB20CC">
        <w:rPr>
          <w:i/>
          <w:sz w:val="24"/>
          <w:szCs w:val="24"/>
        </w:rPr>
        <w:t>et al</w:t>
      </w:r>
      <w:r w:rsidR="004F02D8" w:rsidRPr="00FB20CC">
        <w:rPr>
          <w:sz w:val="24"/>
          <w:szCs w:val="24"/>
        </w:rPr>
        <w:t xml:space="preserve"> </w:t>
      </w:r>
      <w:r w:rsidRPr="00FB20CC">
        <w:rPr>
          <w:sz w:val="24"/>
          <w:szCs w:val="24"/>
        </w:rPr>
        <w:t xml:space="preserve">2016 Revaluating ocean warming </w:t>
      </w:r>
      <w:r w:rsidR="00D71687" w:rsidRPr="00FB20CC">
        <w:rPr>
          <w:sz w:val="24"/>
          <w:szCs w:val="24"/>
        </w:rPr>
        <w:t>impacts on global phytoplankton</w:t>
      </w:r>
      <w:r w:rsidRPr="00FB20CC">
        <w:rPr>
          <w:sz w:val="24"/>
          <w:szCs w:val="24"/>
        </w:rPr>
        <w:t xml:space="preserve"> </w:t>
      </w:r>
    </w:p>
    <w:p w14:paraId="1A483276" w14:textId="77777777" w:rsidR="00814E1B" w:rsidRPr="00FB20CC" w:rsidRDefault="00814E1B" w:rsidP="004F02D8">
      <w:pPr>
        <w:autoSpaceDE w:val="0"/>
        <w:autoSpaceDN w:val="0"/>
        <w:adjustRightInd w:val="0"/>
        <w:ind w:firstLine="720"/>
        <w:rPr>
          <w:sz w:val="24"/>
          <w:szCs w:val="24"/>
        </w:rPr>
      </w:pPr>
      <w:r w:rsidRPr="00FB20CC">
        <w:rPr>
          <w:sz w:val="24"/>
          <w:szCs w:val="24"/>
        </w:rPr>
        <w:t xml:space="preserve">Nature Climate Change </w:t>
      </w:r>
      <w:r w:rsidRPr="00FB20CC">
        <w:rPr>
          <w:b/>
          <w:sz w:val="24"/>
          <w:szCs w:val="24"/>
        </w:rPr>
        <w:t>6</w:t>
      </w:r>
      <w:r w:rsidR="005B3C34" w:rsidRPr="00FB20CC">
        <w:rPr>
          <w:sz w:val="24"/>
          <w:szCs w:val="24"/>
        </w:rPr>
        <w:t xml:space="preserve"> 323-330.</w:t>
      </w:r>
    </w:p>
    <w:p w14:paraId="5EC4908A" w14:textId="77777777" w:rsidR="00D71687" w:rsidRPr="00FB20CC" w:rsidRDefault="00814E1B" w:rsidP="00D71687">
      <w:pPr>
        <w:autoSpaceDE w:val="0"/>
        <w:autoSpaceDN w:val="0"/>
        <w:adjustRightInd w:val="0"/>
        <w:rPr>
          <w:bCs/>
          <w:sz w:val="24"/>
          <w:szCs w:val="24"/>
        </w:rPr>
      </w:pPr>
      <w:r w:rsidRPr="00FB20CC">
        <w:rPr>
          <w:bCs/>
          <w:sz w:val="24"/>
          <w:szCs w:val="24"/>
        </w:rPr>
        <w:t>Bopp, L</w:t>
      </w:r>
      <w:r w:rsidR="00D71687" w:rsidRPr="00FB20CC">
        <w:rPr>
          <w:bCs/>
          <w:sz w:val="24"/>
          <w:szCs w:val="24"/>
        </w:rPr>
        <w:t xml:space="preserve"> </w:t>
      </w:r>
      <w:r w:rsidRPr="00FB20CC">
        <w:rPr>
          <w:bCs/>
          <w:i/>
          <w:sz w:val="24"/>
          <w:szCs w:val="24"/>
        </w:rPr>
        <w:t>et al</w:t>
      </w:r>
      <w:r w:rsidRPr="00FB20CC">
        <w:rPr>
          <w:bCs/>
          <w:sz w:val="24"/>
          <w:szCs w:val="24"/>
        </w:rPr>
        <w:t xml:space="preserve"> 2013 Multiple stressors of ocean ecosystems in the 21st century: Projections with </w:t>
      </w:r>
    </w:p>
    <w:p w14:paraId="35E9D666" w14:textId="77777777" w:rsidR="00814E1B" w:rsidRPr="00FB20CC" w:rsidRDefault="00814E1B" w:rsidP="00D71687">
      <w:pPr>
        <w:autoSpaceDE w:val="0"/>
        <w:autoSpaceDN w:val="0"/>
        <w:adjustRightInd w:val="0"/>
        <w:ind w:firstLine="720"/>
        <w:rPr>
          <w:sz w:val="24"/>
          <w:szCs w:val="24"/>
        </w:rPr>
      </w:pPr>
      <w:r w:rsidRPr="00FB20CC">
        <w:rPr>
          <w:bCs/>
          <w:sz w:val="24"/>
          <w:szCs w:val="24"/>
        </w:rPr>
        <w:t>CMIP5 models</w:t>
      </w:r>
      <w:r w:rsidRPr="00FB20CC">
        <w:rPr>
          <w:sz w:val="24"/>
          <w:szCs w:val="24"/>
        </w:rPr>
        <w:t xml:space="preserve">  </w:t>
      </w:r>
      <w:proofErr w:type="spellStart"/>
      <w:r w:rsidRPr="00FB20CC">
        <w:rPr>
          <w:sz w:val="24"/>
          <w:szCs w:val="24"/>
        </w:rPr>
        <w:t>Bio</w:t>
      </w:r>
      <w:r w:rsidR="002D02CE" w:rsidRPr="00FB20CC">
        <w:rPr>
          <w:sz w:val="24"/>
          <w:szCs w:val="24"/>
        </w:rPr>
        <w:t>geosciences</w:t>
      </w:r>
      <w:proofErr w:type="spellEnd"/>
      <w:r w:rsidR="002D02CE" w:rsidRPr="00FB20CC">
        <w:rPr>
          <w:sz w:val="24"/>
          <w:szCs w:val="24"/>
        </w:rPr>
        <w:t xml:space="preserve"> </w:t>
      </w:r>
      <w:r w:rsidR="002D02CE" w:rsidRPr="00FB20CC">
        <w:rPr>
          <w:b/>
          <w:sz w:val="24"/>
          <w:szCs w:val="24"/>
        </w:rPr>
        <w:t>10</w:t>
      </w:r>
      <w:r w:rsidR="00900FA3" w:rsidRPr="00FB20CC">
        <w:rPr>
          <w:sz w:val="24"/>
          <w:szCs w:val="24"/>
        </w:rPr>
        <w:t xml:space="preserve"> 6225-6245.</w:t>
      </w:r>
    </w:p>
    <w:p w14:paraId="66D2DFD8" w14:textId="77777777" w:rsidR="00F73AE8" w:rsidRPr="00FB20CC" w:rsidRDefault="004F02D8" w:rsidP="00F73AE8">
      <w:pPr>
        <w:autoSpaceDE w:val="0"/>
        <w:autoSpaceDN w:val="0"/>
        <w:adjustRightInd w:val="0"/>
        <w:rPr>
          <w:rFonts w:ascii="AdvTimes" w:hAnsi="AdvTimes" w:cs="AdvTimes"/>
          <w:sz w:val="24"/>
          <w:szCs w:val="24"/>
        </w:rPr>
      </w:pPr>
      <w:proofErr w:type="spellStart"/>
      <w:r w:rsidRPr="00FB20CC">
        <w:rPr>
          <w:rFonts w:ascii="AdvTimes" w:hAnsi="AdvTimes" w:cs="AdvTimes"/>
          <w:sz w:val="24"/>
          <w:szCs w:val="24"/>
        </w:rPr>
        <w:t>Buitenhuis</w:t>
      </w:r>
      <w:proofErr w:type="spellEnd"/>
      <w:r w:rsidR="00D71687" w:rsidRPr="00FB20CC">
        <w:rPr>
          <w:rFonts w:ascii="AdvTimes" w:hAnsi="AdvTimes" w:cs="AdvTimes"/>
          <w:sz w:val="24"/>
          <w:szCs w:val="24"/>
        </w:rPr>
        <w:t xml:space="preserve"> ET</w:t>
      </w:r>
      <w:r w:rsidRPr="00FB20CC">
        <w:rPr>
          <w:rFonts w:ascii="AdvTimes" w:hAnsi="AdvTimes" w:cs="AdvTimes"/>
          <w:sz w:val="24"/>
          <w:szCs w:val="24"/>
        </w:rPr>
        <w:t xml:space="preserve">, </w:t>
      </w:r>
      <w:proofErr w:type="spellStart"/>
      <w:r w:rsidRPr="00FB20CC">
        <w:rPr>
          <w:rFonts w:ascii="AdvTimes" w:hAnsi="AdvTimes" w:cs="AdvTimes"/>
          <w:sz w:val="24"/>
          <w:szCs w:val="24"/>
        </w:rPr>
        <w:t>Hashioka</w:t>
      </w:r>
      <w:proofErr w:type="spellEnd"/>
      <w:r w:rsidR="00D71687" w:rsidRPr="00FB20CC">
        <w:rPr>
          <w:rFonts w:ascii="AdvTimes" w:hAnsi="AdvTimes" w:cs="AdvTimes"/>
          <w:sz w:val="24"/>
          <w:szCs w:val="24"/>
        </w:rPr>
        <w:t xml:space="preserve"> T</w:t>
      </w:r>
      <w:r w:rsidR="00814E1B" w:rsidRPr="00FB20CC">
        <w:rPr>
          <w:rFonts w:ascii="AdvTimes" w:hAnsi="AdvTimes" w:cs="AdvTimes"/>
          <w:sz w:val="24"/>
          <w:szCs w:val="24"/>
        </w:rPr>
        <w:t xml:space="preserve">, </w:t>
      </w:r>
      <w:r w:rsidRPr="00FB20CC">
        <w:rPr>
          <w:rFonts w:ascii="AdvTimes" w:hAnsi="AdvTimes" w:cs="AdvTimes"/>
          <w:sz w:val="24"/>
          <w:szCs w:val="24"/>
        </w:rPr>
        <w:t xml:space="preserve">Le </w:t>
      </w:r>
      <w:proofErr w:type="spellStart"/>
      <w:r w:rsidRPr="00FB20CC">
        <w:rPr>
          <w:rFonts w:ascii="AdvTimes" w:hAnsi="AdvTimes" w:cs="AdvTimes"/>
          <w:sz w:val="24"/>
          <w:szCs w:val="24"/>
        </w:rPr>
        <w:t>Quéré</w:t>
      </w:r>
      <w:proofErr w:type="spellEnd"/>
      <w:r w:rsidR="00D71687" w:rsidRPr="00FB20CC">
        <w:rPr>
          <w:rFonts w:ascii="AdvTimes" w:hAnsi="AdvTimes" w:cs="AdvTimes"/>
          <w:sz w:val="24"/>
          <w:szCs w:val="24"/>
        </w:rPr>
        <w:t xml:space="preserve"> CL 2013</w:t>
      </w:r>
      <w:r w:rsidR="00814E1B" w:rsidRPr="00FB20CC">
        <w:rPr>
          <w:rFonts w:ascii="AdvTimes" w:hAnsi="AdvTimes" w:cs="AdvTimes"/>
          <w:sz w:val="24"/>
          <w:szCs w:val="24"/>
        </w:rPr>
        <w:t xml:space="preserve"> Combined constraints on global ocean primary </w:t>
      </w:r>
    </w:p>
    <w:p w14:paraId="42E244AD" w14:textId="77777777" w:rsidR="00814E1B" w:rsidRPr="00FB20CC" w:rsidRDefault="00814E1B" w:rsidP="00814E1B">
      <w:pPr>
        <w:autoSpaceDE w:val="0"/>
        <w:autoSpaceDN w:val="0"/>
        <w:adjustRightInd w:val="0"/>
        <w:ind w:firstLine="720"/>
        <w:rPr>
          <w:rFonts w:ascii="TimesNewRoman" w:hAnsi="TimesNewRoman" w:cs="TimesNewRoman"/>
          <w:sz w:val="24"/>
          <w:szCs w:val="24"/>
        </w:rPr>
      </w:pPr>
      <w:r w:rsidRPr="00FB20CC">
        <w:rPr>
          <w:rFonts w:ascii="AdvTimes" w:hAnsi="AdvTimes" w:cs="AdvTimes"/>
          <w:sz w:val="24"/>
          <w:szCs w:val="24"/>
        </w:rPr>
        <w:t>production using observation</w:t>
      </w:r>
      <w:r w:rsidR="00D71687" w:rsidRPr="00FB20CC">
        <w:rPr>
          <w:rFonts w:ascii="AdvTimes" w:hAnsi="AdvTimes" w:cs="AdvTimes"/>
          <w:sz w:val="24"/>
          <w:szCs w:val="24"/>
        </w:rPr>
        <w:t>s and models</w:t>
      </w:r>
      <w:r w:rsidRPr="00FB20CC">
        <w:rPr>
          <w:rFonts w:ascii="AdvTimes" w:hAnsi="AdvTimes" w:cs="AdvTimes"/>
          <w:sz w:val="24"/>
          <w:szCs w:val="24"/>
        </w:rPr>
        <w:t xml:space="preserve"> </w:t>
      </w:r>
      <w:r w:rsidR="002D02CE" w:rsidRPr="00FB20CC">
        <w:rPr>
          <w:rFonts w:ascii="AdvTimes-i" w:hAnsi="AdvTimes-i" w:cs="AdvTimes-i"/>
          <w:sz w:val="24"/>
          <w:szCs w:val="24"/>
        </w:rPr>
        <w:t>Global Biogeochemical Cycles</w:t>
      </w:r>
      <w:r w:rsidRPr="00FB20CC">
        <w:rPr>
          <w:rFonts w:ascii="AdvTimes" w:hAnsi="AdvTimes" w:cs="AdvTimes"/>
          <w:sz w:val="24"/>
          <w:szCs w:val="24"/>
        </w:rPr>
        <w:t xml:space="preserve"> </w:t>
      </w:r>
      <w:r w:rsidRPr="00FB20CC">
        <w:rPr>
          <w:rFonts w:ascii="AdvTimes-i" w:hAnsi="AdvTimes-i" w:cs="AdvTimes-i"/>
          <w:b/>
          <w:sz w:val="24"/>
          <w:szCs w:val="24"/>
        </w:rPr>
        <w:t>27</w:t>
      </w:r>
      <w:r w:rsidRPr="00FB20CC">
        <w:rPr>
          <w:rFonts w:ascii="AdvTimes" w:hAnsi="AdvTimes" w:cs="AdvTimes"/>
          <w:sz w:val="24"/>
          <w:szCs w:val="24"/>
        </w:rPr>
        <w:t xml:space="preserve"> </w:t>
      </w:r>
      <w:r w:rsidR="005B3C34" w:rsidRPr="00FB20CC">
        <w:rPr>
          <w:rFonts w:ascii="AdvTimes" w:hAnsi="AdvTimes" w:cs="AdvTimes"/>
          <w:sz w:val="24"/>
          <w:szCs w:val="24"/>
        </w:rPr>
        <w:t>847-858</w:t>
      </w:r>
      <w:r w:rsidRPr="00FB20CC">
        <w:rPr>
          <w:rFonts w:ascii="AdvTimes" w:hAnsi="AdvTimes" w:cs="AdvTimes"/>
          <w:sz w:val="24"/>
          <w:szCs w:val="24"/>
        </w:rPr>
        <w:t>.</w:t>
      </w:r>
      <w:r w:rsidRPr="00FB20CC">
        <w:rPr>
          <w:rFonts w:ascii="TimesNewRoman" w:hAnsi="TimesNewRoman" w:cs="TimesNewRoman"/>
          <w:sz w:val="24"/>
          <w:szCs w:val="24"/>
        </w:rPr>
        <w:t xml:space="preserve"> </w:t>
      </w:r>
    </w:p>
    <w:p w14:paraId="7D716734" w14:textId="77777777" w:rsidR="00D71687" w:rsidRPr="00FB20CC" w:rsidRDefault="004F02D8" w:rsidP="00D71687">
      <w:pPr>
        <w:autoSpaceDE w:val="0"/>
        <w:autoSpaceDN w:val="0"/>
        <w:adjustRightInd w:val="0"/>
        <w:rPr>
          <w:rFonts w:ascii="TimesNewRoman" w:hAnsi="TimesNewRoman" w:cs="TimesNewRoman"/>
          <w:sz w:val="24"/>
          <w:szCs w:val="24"/>
        </w:rPr>
      </w:pPr>
      <w:proofErr w:type="spellStart"/>
      <w:r w:rsidRPr="00FB20CC">
        <w:rPr>
          <w:rFonts w:ascii="TimesNewRoman" w:hAnsi="TimesNewRoman" w:cs="TimesNewRoman"/>
          <w:sz w:val="24"/>
          <w:szCs w:val="24"/>
        </w:rPr>
        <w:t>Carr</w:t>
      </w:r>
      <w:proofErr w:type="spellEnd"/>
      <w:r w:rsidR="00D71687" w:rsidRPr="00FB20CC">
        <w:rPr>
          <w:rFonts w:ascii="TimesNewRoman" w:hAnsi="TimesNewRoman" w:cs="TimesNewRoman"/>
          <w:sz w:val="24"/>
          <w:szCs w:val="24"/>
        </w:rPr>
        <w:t xml:space="preserve"> M </w:t>
      </w:r>
      <w:r w:rsidR="00814E1B" w:rsidRPr="00FB20CC">
        <w:rPr>
          <w:rFonts w:ascii="TimesNewRoman,Italic" w:hAnsi="TimesNewRoman,Italic" w:cs="TimesNewRoman,Italic"/>
          <w:i/>
          <w:iCs/>
          <w:sz w:val="24"/>
          <w:szCs w:val="24"/>
        </w:rPr>
        <w:t>et al</w:t>
      </w:r>
      <w:r w:rsidR="00D71687" w:rsidRPr="00FB20CC">
        <w:rPr>
          <w:rFonts w:ascii="TimesNewRoman" w:hAnsi="TimesNewRoman" w:cs="TimesNewRoman"/>
          <w:sz w:val="24"/>
          <w:szCs w:val="24"/>
        </w:rPr>
        <w:t>. 2006</w:t>
      </w:r>
      <w:r w:rsidR="00814E1B" w:rsidRPr="00FB20CC">
        <w:rPr>
          <w:rFonts w:ascii="TimesNewRoman" w:hAnsi="TimesNewRoman" w:cs="TimesNewRoman"/>
          <w:sz w:val="24"/>
          <w:szCs w:val="24"/>
        </w:rPr>
        <w:t xml:space="preserve">  A</w:t>
      </w:r>
      <w:r w:rsidR="00D71687" w:rsidRPr="00FB20CC">
        <w:rPr>
          <w:rFonts w:ascii="TimesNewRoman" w:hAnsi="TimesNewRoman" w:cs="TimesNewRoman"/>
          <w:sz w:val="24"/>
          <w:szCs w:val="24"/>
        </w:rPr>
        <w:t xml:space="preserve"> </w:t>
      </w:r>
      <w:r w:rsidR="00814E1B" w:rsidRPr="00FB20CC">
        <w:rPr>
          <w:rFonts w:ascii="TimesNewRoman" w:hAnsi="TimesNewRoman" w:cs="TimesNewRoman"/>
          <w:sz w:val="24"/>
          <w:szCs w:val="24"/>
        </w:rPr>
        <w:t xml:space="preserve">comparison of global estimates of marine primary production from </w:t>
      </w:r>
    </w:p>
    <w:p w14:paraId="0291253D" w14:textId="77777777" w:rsidR="00814E1B" w:rsidRPr="00FB20CC" w:rsidRDefault="00814E1B" w:rsidP="00D71687">
      <w:pPr>
        <w:autoSpaceDE w:val="0"/>
        <w:autoSpaceDN w:val="0"/>
        <w:adjustRightInd w:val="0"/>
        <w:ind w:firstLine="720"/>
        <w:rPr>
          <w:rFonts w:ascii="TimesNewRoman" w:hAnsi="TimesNewRoman" w:cs="TimesNewRoman"/>
          <w:sz w:val="24"/>
          <w:szCs w:val="24"/>
        </w:rPr>
      </w:pPr>
      <w:r w:rsidRPr="00FB20CC">
        <w:rPr>
          <w:rFonts w:ascii="TimesNewRoman" w:hAnsi="TimesNewRoman" w:cs="TimesNewRoman"/>
          <w:sz w:val="24"/>
          <w:szCs w:val="24"/>
        </w:rPr>
        <w:t xml:space="preserve">ocean color. </w:t>
      </w:r>
      <w:r w:rsidR="00A1438B" w:rsidRPr="00FB20CC">
        <w:rPr>
          <w:rFonts w:ascii="TimesNewRoman,Italic" w:hAnsi="TimesNewRoman,Italic" w:cs="TimesNewRoman,Italic"/>
          <w:iCs/>
          <w:sz w:val="24"/>
          <w:szCs w:val="24"/>
        </w:rPr>
        <w:t>Deep Sea Research II</w:t>
      </w:r>
      <w:r w:rsidRPr="00FB20CC">
        <w:rPr>
          <w:rFonts w:ascii="TimesNewRoman,Italic" w:hAnsi="TimesNewRoman,Italic" w:cs="TimesNewRoman,Italic"/>
          <w:iCs/>
          <w:sz w:val="24"/>
          <w:szCs w:val="24"/>
        </w:rPr>
        <w:t xml:space="preserve"> </w:t>
      </w:r>
      <w:r w:rsidRPr="00FB20CC">
        <w:rPr>
          <w:rFonts w:ascii="TimesNewRoman,Italic" w:hAnsi="TimesNewRoman,Italic" w:cs="TimesNewRoman,Italic"/>
          <w:b/>
          <w:iCs/>
          <w:sz w:val="24"/>
          <w:szCs w:val="24"/>
        </w:rPr>
        <w:t>53</w:t>
      </w:r>
      <w:r w:rsidRPr="00FB20CC">
        <w:rPr>
          <w:rFonts w:ascii="TimesNewRoman" w:hAnsi="TimesNewRoman" w:cs="TimesNewRoman"/>
          <w:sz w:val="24"/>
          <w:szCs w:val="24"/>
        </w:rPr>
        <w:t xml:space="preserve"> </w:t>
      </w:r>
      <w:r w:rsidR="00A1438B" w:rsidRPr="00FB20CC">
        <w:rPr>
          <w:rFonts w:eastAsiaTheme="minorHAnsi"/>
          <w:sz w:val="24"/>
          <w:szCs w:val="24"/>
        </w:rPr>
        <w:t>741-770.</w:t>
      </w:r>
    </w:p>
    <w:p w14:paraId="154E45A4" w14:textId="77777777" w:rsidR="00F73AE8" w:rsidRPr="00FB20CC" w:rsidRDefault="004F02D8" w:rsidP="00F73AE8">
      <w:pPr>
        <w:autoSpaceDE w:val="0"/>
        <w:autoSpaceDN w:val="0"/>
        <w:adjustRightInd w:val="0"/>
        <w:rPr>
          <w:sz w:val="24"/>
          <w:szCs w:val="24"/>
        </w:rPr>
      </w:pPr>
      <w:r w:rsidRPr="00FB20CC">
        <w:rPr>
          <w:sz w:val="24"/>
          <w:szCs w:val="24"/>
        </w:rPr>
        <w:t xml:space="preserve">Friedrichs, M </w:t>
      </w:r>
      <w:r w:rsidR="00814E1B" w:rsidRPr="00FB20CC">
        <w:rPr>
          <w:i/>
          <w:sz w:val="24"/>
          <w:szCs w:val="24"/>
        </w:rPr>
        <w:t>et al</w:t>
      </w:r>
      <w:r w:rsidR="00814E1B" w:rsidRPr="00FB20CC">
        <w:rPr>
          <w:sz w:val="24"/>
          <w:szCs w:val="24"/>
        </w:rPr>
        <w:t xml:space="preserve"> 2009 Assessing the</w:t>
      </w:r>
      <w:r w:rsidRPr="00FB20CC">
        <w:rPr>
          <w:sz w:val="24"/>
          <w:szCs w:val="24"/>
        </w:rPr>
        <w:t xml:space="preserve"> </w:t>
      </w:r>
      <w:r w:rsidR="00814E1B" w:rsidRPr="00FB20CC">
        <w:rPr>
          <w:sz w:val="24"/>
          <w:szCs w:val="24"/>
        </w:rPr>
        <w:t xml:space="preserve">uncertainties of model estimates of primary productivity </w:t>
      </w:r>
    </w:p>
    <w:p w14:paraId="76D26C0F" w14:textId="77777777" w:rsidR="00814E1B" w:rsidRPr="00FB20CC" w:rsidRDefault="00814E1B" w:rsidP="00F73AE8">
      <w:pPr>
        <w:autoSpaceDE w:val="0"/>
        <w:autoSpaceDN w:val="0"/>
        <w:adjustRightInd w:val="0"/>
        <w:ind w:firstLine="720"/>
        <w:rPr>
          <w:sz w:val="24"/>
          <w:szCs w:val="24"/>
        </w:rPr>
      </w:pPr>
      <w:r w:rsidRPr="00FB20CC">
        <w:rPr>
          <w:sz w:val="24"/>
          <w:szCs w:val="24"/>
        </w:rPr>
        <w:t xml:space="preserve">in the tropical Pacific Ocean.  Journal of Marine Systems </w:t>
      </w:r>
      <w:r w:rsidRPr="00FB20CC">
        <w:rPr>
          <w:b/>
          <w:sz w:val="24"/>
          <w:szCs w:val="24"/>
        </w:rPr>
        <w:t>76</w:t>
      </w:r>
      <w:r w:rsidR="00A1438B" w:rsidRPr="00FB20CC">
        <w:rPr>
          <w:sz w:val="24"/>
          <w:szCs w:val="24"/>
        </w:rPr>
        <w:t xml:space="preserve"> 113-133.</w:t>
      </w:r>
    </w:p>
    <w:p w14:paraId="0188773C" w14:textId="77777777" w:rsidR="004F02D8" w:rsidRPr="00FB20CC" w:rsidRDefault="004F02D8" w:rsidP="004F02D8">
      <w:pPr>
        <w:pStyle w:val="Document1"/>
        <w:keepNext w:val="0"/>
        <w:keepLines w:val="0"/>
        <w:widowControl/>
        <w:tabs>
          <w:tab w:val="clear" w:pos="-720"/>
        </w:tabs>
        <w:suppressAutoHyphens w:val="0"/>
        <w:jc w:val="both"/>
        <w:rPr>
          <w:rFonts w:ascii="Times New Roman" w:hAnsi="Times New Roman"/>
          <w:szCs w:val="24"/>
        </w:rPr>
      </w:pPr>
      <w:r w:rsidRPr="00FB20CC">
        <w:rPr>
          <w:rFonts w:ascii="Times New Roman" w:hAnsi="Times New Roman"/>
          <w:szCs w:val="24"/>
        </w:rPr>
        <w:lastRenderedPageBreak/>
        <w:t>Gregg W,</w:t>
      </w:r>
      <w:r w:rsidR="00814E1B" w:rsidRPr="00FB20CC">
        <w:rPr>
          <w:rFonts w:ascii="Times New Roman" w:hAnsi="Times New Roman"/>
          <w:szCs w:val="24"/>
        </w:rPr>
        <w:t xml:space="preserve"> </w:t>
      </w:r>
      <w:proofErr w:type="spellStart"/>
      <w:r w:rsidR="00814E1B" w:rsidRPr="00FB20CC">
        <w:rPr>
          <w:rFonts w:ascii="Times New Roman" w:hAnsi="Times New Roman"/>
          <w:szCs w:val="24"/>
        </w:rPr>
        <w:t>Conkright</w:t>
      </w:r>
      <w:proofErr w:type="spellEnd"/>
      <w:r w:rsidRPr="00FB20CC">
        <w:rPr>
          <w:rFonts w:ascii="Times New Roman" w:hAnsi="Times New Roman"/>
          <w:szCs w:val="24"/>
        </w:rPr>
        <w:t xml:space="preserve"> M,</w:t>
      </w:r>
      <w:r w:rsidR="0002322E" w:rsidRPr="00FB20CC">
        <w:rPr>
          <w:rFonts w:ascii="Times New Roman" w:hAnsi="Times New Roman"/>
          <w:szCs w:val="24"/>
        </w:rPr>
        <w:t xml:space="preserve"> </w:t>
      </w:r>
      <w:proofErr w:type="spellStart"/>
      <w:r w:rsidR="0002322E" w:rsidRPr="00FB20CC">
        <w:rPr>
          <w:rFonts w:ascii="Times New Roman" w:hAnsi="Times New Roman"/>
          <w:szCs w:val="24"/>
        </w:rPr>
        <w:t>Ginoux</w:t>
      </w:r>
      <w:proofErr w:type="spellEnd"/>
      <w:r w:rsidRPr="00FB20CC">
        <w:rPr>
          <w:rFonts w:ascii="Times New Roman" w:hAnsi="Times New Roman"/>
          <w:szCs w:val="24"/>
        </w:rPr>
        <w:t xml:space="preserve"> P</w:t>
      </w:r>
      <w:r w:rsidR="0002322E" w:rsidRPr="00FB20CC">
        <w:rPr>
          <w:rFonts w:ascii="Times New Roman" w:hAnsi="Times New Roman"/>
          <w:szCs w:val="24"/>
        </w:rPr>
        <w:t>, O’Reilly</w:t>
      </w:r>
      <w:r w:rsidRPr="00FB20CC">
        <w:rPr>
          <w:rFonts w:ascii="Times New Roman" w:hAnsi="Times New Roman"/>
          <w:szCs w:val="24"/>
        </w:rPr>
        <w:t xml:space="preserve"> J</w:t>
      </w:r>
      <w:r w:rsidR="00814E1B" w:rsidRPr="00FB20CC">
        <w:rPr>
          <w:rFonts w:ascii="Times New Roman" w:hAnsi="Times New Roman"/>
          <w:szCs w:val="24"/>
        </w:rPr>
        <w:t xml:space="preserve">, </w:t>
      </w:r>
      <w:r w:rsidR="0002322E" w:rsidRPr="00FB20CC">
        <w:rPr>
          <w:rFonts w:ascii="Times New Roman" w:hAnsi="Times New Roman"/>
          <w:szCs w:val="24"/>
        </w:rPr>
        <w:t>Casey</w:t>
      </w:r>
      <w:r w:rsidR="00814E1B" w:rsidRPr="00FB20CC">
        <w:rPr>
          <w:rFonts w:ascii="Times New Roman" w:hAnsi="Times New Roman"/>
          <w:szCs w:val="24"/>
        </w:rPr>
        <w:t xml:space="preserve"> N 2003 Ocean primary production and </w:t>
      </w:r>
    </w:p>
    <w:p w14:paraId="6B52EEF8" w14:textId="77777777" w:rsidR="00814E1B" w:rsidRPr="00FB20CC" w:rsidRDefault="00814E1B" w:rsidP="004F02D8">
      <w:pPr>
        <w:pStyle w:val="Document1"/>
        <w:keepNext w:val="0"/>
        <w:keepLines w:val="0"/>
        <w:widowControl/>
        <w:tabs>
          <w:tab w:val="clear" w:pos="-720"/>
        </w:tabs>
        <w:suppressAutoHyphens w:val="0"/>
        <w:ind w:left="720"/>
        <w:jc w:val="both"/>
        <w:rPr>
          <w:rFonts w:ascii="Times New Roman" w:hAnsi="Times New Roman"/>
          <w:szCs w:val="24"/>
        </w:rPr>
      </w:pPr>
      <w:r w:rsidRPr="00FB20CC">
        <w:rPr>
          <w:rFonts w:ascii="Times New Roman" w:hAnsi="Times New Roman"/>
          <w:szCs w:val="24"/>
        </w:rPr>
        <w:t xml:space="preserve">climate: Global decadal changes.  Geophysical Research Letters </w:t>
      </w:r>
      <w:r w:rsidRPr="00FB20CC">
        <w:rPr>
          <w:rFonts w:ascii="Times New Roman" w:hAnsi="Times New Roman"/>
          <w:b/>
          <w:szCs w:val="24"/>
        </w:rPr>
        <w:t>30</w:t>
      </w:r>
      <w:r w:rsidRPr="00FB20CC">
        <w:rPr>
          <w:rFonts w:ascii="Times New Roman" w:hAnsi="Times New Roman"/>
          <w:szCs w:val="24"/>
        </w:rPr>
        <w:t xml:space="preserve"> (15) 1809, </w:t>
      </w:r>
      <w:proofErr w:type="spellStart"/>
      <w:r w:rsidRPr="00FB20CC">
        <w:rPr>
          <w:rFonts w:ascii="Times New Roman" w:hAnsi="Times New Roman"/>
          <w:szCs w:val="24"/>
        </w:rPr>
        <w:t>doi</w:t>
      </w:r>
      <w:proofErr w:type="spellEnd"/>
      <w:r w:rsidRPr="00FB20CC">
        <w:rPr>
          <w:rFonts w:ascii="Times New Roman" w:hAnsi="Times New Roman"/>
          <w:szCs w:val="24"/>
        </w:rPr>
        <w:t>: 10.1029/2003GL016889.</w:t>
      </w:r>
    </w:p>
    <w:p w14:paraId="67A68672" w14:textId="77777777" w:rsidR="004F02D8" w:rsidRPr="00FB20CC" w:rsidRDefault="004F02D8" w:rsidP="004F02D8">
      <w:pPr>
        <w:rPr>
          <w:sz w:val="24"/>
          <w:szCs w:val="24"/>
        </w:rPr>
      </w:pPr>
      <w:r w:rsidRPr="00FB20CC">
        <w:rPr>
          <w:sz w:val="24"/>
          <w:szCs w:val="24"/>
        </w:rPr>
        <w:t>Gregg W, Casey N, O’Reilly J</w:t>
      </w:r>
      <w:r w:rsidR="00814E1B" w:rsidRPr="00FB20CC">
        <w:rPr>
          <w:sz w:val="24"/>
          <w:szCs w:val="24"/>
        </w:rPr>
        <w:t xml:space="preserve"> </w:t>
      </w:r>
      <w:r w:rsidRPr="00FB20CC">
        <w:rPr>
          <w:sz w:val="24"/>
          <w:szCs w:val="24"/>
        </w:rPr>
        <w:t xml:space="preserve">and </w:t>
      </w:r>
      <w:r w:rsidR="00814E1B" w:rsidRPr="00FB20CC">
        <w:rPr>
          <w:sz w:val="24"/>
          <w:szCs w:val="24"/>
        </w:rPr>
        <w:t>Esaias</w:t>
      </w:r>
      <w:r w:rsidRPr="00FB20CC">
        <w:rPr>
          <w:sz w:val="24"/>
          <w:szCs w:val="24"/>
        </w:rPr>
        <w:t xml:space="preserve"> W 2009</w:t>
      </w:r>
      <w:r w:rsidR="00814E1B" w:rsidRPr="00FB20CC">
        <w:rPr>
          <w:sz w:val="24"/>
          <w:szCs w:val="24"/>
        </w:rPr>
        <w:t xml:space="preserve"> An empirical approach to</w:t>
      </w:r>
      <w:r w:rsidRPr="00FB20CC">
        <w:rPr>
          <w:sz w:val="24"/>
          <w:szCs w:val="24"/>
        </w:rPr>
        <w:t xml:space="preserve"> </w:t>
      </w:r>
      <w:r w:rsidR="00814E1B" w:rsidRPr="00FB20CC">
        <w:rPr>
          <w:sz w:val="24"/>
          <w:szCs w:val="24"/>
        </w:rPr>
        <w:t xml:space="preserve">ocean color data: </w:t>
      </w:r>
    </w:p>
    <w:p w14:paraId="7A80AD6F" w14:textId="77777777" w:rsidR="00814E1B" w:rsidRPr="00FB20CC" w:rsidRDefault="00814E1B" w:rsidP="004F02D8">
      <w:pPr>
        <w:ind w:left="720"/>
        <w:rPr>
          <w:sz w:val="24"/>
          <w:szCs w:val="24"/>
        </w:rPr>
      </w:pPr>
      <w:r w:rsidRPr="00FB20CC">
        <w:rPr>
          <w:sz w:val="24"/>
          <w:szCs w:val="24"/>
        </w:rPr>
        <w:t xml:space="preserve">Reducing bias and the need for post-launch radiometric re-calibration.  Remote Sensing </w:t>
      </w:r>
      <w:r w:rsidR="00954684" w:rsidRPr="00FB20CC">
        <w:rPr>
          <w:sz w:val="24"/>
          <w:szCs w:val="24"/>
        </w:rPr>
        <w:t xml:space="preserve">of Environment </w:t>
      </w:r>
      <w:r w:rsidR="00954684" w:rsidRPr="00FB20CC">
        <w:rPr>
          <w:b/>
          <w:sz w:val="24"/>
          <w:szCs w:val="24"/>
        </w:rPr>
        <w:t>113</w:t>
      </w:r>
      <w:r w:rsidR="00954684" w:rsidRPr="00FB20CC">
        <w:rPr>
          <w:sz w:val="24"/>
          <w:szCs w:val="24"/>
        </w:rPr>
        <w:t xml:space="preserve"> 1598-1612.</w:t>
      </w:r>
    </w:p>
    <w:p w14:paraId="358A7C5A" w14:textId="77777777" w:rsidR="00850930" w:rsidRPr="00FB20CC" w:rsidRDefault="00814E1B" w:rsidP="00850930">
      <w:pPr>
        <w:rPr>
          <w:sz w:val="24"/>
          <w:szCs w:val="24"/>
        </w:rPr>
      </w:pPr>
      <w:r w:rsidRPr="00FB20CC">
        <w:rPr>
          <w:rStyle w:val="author"/>
          <w:sz w:val="24"/>
          <w:szCs w:val="24"/>
          <w:bdr w:val="none" w:sz="0" w:space="0" w:color="auto" w:frame="1"/>
        </w:rPr>
        <w:t>G</w:t>
      </w:r>
      <w:r w:rsidR="00850930" w:rsidRPr="00FB20CC">
        <w:rPr>
          <w:rStyle w:val="author"/>
          <w:sz w:val="24"/>
          <w:szCs w:val="24"/>
          <w:bdr w:val="none" w:sz="0" w:space="0" w:color="auto" w:frame="1"/>
        </w:rPr>
        <w:t>regg W</w:t>
      </w:r>
      <w:r w:rsidRPr="00FB20CC">
        <w:rPr>
          <w:rStyle w:val="HTMLCite"/>
          <w:i w:val="0"/>
          <w:sz w:val="24"/>
          <w:szCs w:val="24"/>
          <w:bdr w:val="none" w:sz="0" w:space="0" w:color="auto" w:frame="1"/>
        </w:rPr>
        <w:t xml:space="preserve">, </w:t>
      </w:r>
      <w:r w:rsidR="00850930" w:rsidRPr="00FB20CC">
        <w:rPr>
          <w:rStyle w:val="author"/>
          <w:sz w:val="24"/>
          <w:szCs w:val="24"/>
          <w:bdr w:val="none" w:sz="0" w:space="0" w:color="auto" w:frame="1"/>
        </w:rPr>
        <w:t>Rousseaux C</w:t>
      </w:r>
      <w:r w:rsidRPr="00FB20CC">
        <w:rPr>
          <w:rStyle w:val="author"/>
          <w:sz w:val="24"/>
          <w:szCs w:val="24"/>
          <w:bdr w:val="none" w:sz="0" w:space="0" w:color="auto" w:frame="1"/>
        </w:rPr>
        <w:t xml:space="preserve"> </w:t>
      </w:r>
      <w:r w:rsidR="00D71687" w:rsidRPr="00FB20CC">
        <w:rPr>
          <w:rStyle w:val="author"/>
          <w:sz w:val="24"/>
          <w:szCs w:val="24"/>
          <w:bdr w:val="none" w:sz="0" w:space="0" w:color="auto" w:frame="1"/>
        </w:rPr>
        <w:t>and</w:t>
      </w:r>
      <w:r w:rsidRPr="00FB20CC">
        <w:rPr>
          <w:rStyle w:val="author"/>
          <w:sz w:val="24"/>
          <w:szCs w:val="24"/>
          <w:bdr w:val="none" w:sz="0" w:space="0" w:color="auto" w:frame="1"/>
        </w:rPr>
        <w:t xml:space="preserve"> Franz B</w:t>
      </w:r>
      <w:r w:rsidR="00850930" w:rsidRPr="00FB20CC">
        <w:rPr>
          <w:rStyle w:val="author"/>
          <w:sz w:val="24"/>
          <w:szCs w:val="24"/>
          <w:bdr w:val="none" w:sz="0" w:space="0" w:color="auto" w:frame="1"/>
        </w:rPr>
        <w:t xml:space="preserve"> </w:t>
      </w:r>
      <w:r w:rsidRPr="00FB20CC">
        <w:rPr>
          <w:rStyle w:val="pubyear"/>
          <w:sz w:val="24"/>
          <w:szCs w:val="24"/>
          <w:bdr w:val="none" w:sz="0" w:space="0" w:color="auto" w:frame="1"/>
        </w:rPr>
        <w:t xml:space="preserve">2017 </w:t>
      </w:r>
      <w:r w:rsidRPr="00FB20CC">
        <w:rPr>
          <w:sz w:val="24"/>
          <w:szCs w:val="24"/>
        </w:rPr>
        <w:t xml:space="preserve">Global trends in ocean phytoplankton: a new </w:t>
      </w:r>
    </w:p>
    <w:p w14:paraId="1CD15A72" w14:textId="77777777" w:rsidR="00814E1B" w:rsidRPr="00FB20CC" w:rsidRDefault="00814E1B" w:rsidP="00850930">
      <w:pPr>
        <w:ind w:left="720"/>
        <w:rPr>
          <w:sz w:val="24"/>
          <w:szCs w:val="24"/>
        </w:rPr>
      </w:pPr>
      <w:r w:rsidRPr="00FB20CC">
        <w:rPr>
          <w:sz w:val="24"/>
          <w:szCs w:val="24"/>
        </w:rPr>
        <w:t>assessment using revised ocea</w:t>
      </w:r>
      <w:r w:rsidR="00850930" w:rsidRPr="00FB20CC">
        <w:rPr>
          <w:sz w:val="24"/>
          <w:szCs w:val="24"/>
        </w:rPr>
        <w:t xml:space="preserve">n </w:t>
      </w:r>
      <w:proofErr w:type="spellStart"/>
      <w:r w:rsidR="00850930" w:rsidRPr="00FB20CC">
        <w:rPr>
          <w:sz w:val="24"/>
          <w:szCs w:val="24"/>
        </w:rPr>
        <w:t>colour</w:t>
      </w:r>
      <w:proofErr w:type="spellEnd"/>
      <w:r w:rsidR="00850930" w:rsidRPr="00FB20CC">
        <w:rPr>
          <w:sz w:val="24"/>
          <w:szCs w:val="24"/>
        </w:rPr>
        <w:t xml:space="preserve"> data.  Remote Sensing </w:t>
      </w:r>
      <w:r w:rsidR="00954684" w:rsidRPr="00FB20CC">
        <w:rPr>
          <w:sz w:val="24"/>
          <w:szCs w:val="24"/>
        </w:rPr>
        <w:t xml:space="preserve">Letters </w:t>
      </w:r>
      <w:r w:rsidR="00954684" w:rsidRPr="00FB20CC">
        <w:rPr>
          <w:b/>
          <w:sz w:val="24"/>
          <w:szCs w:val="24"/>
        </w:rPr>
        <w:t>8</w:t>
      </w:r>
      <w:r w:rsidR="00954684" w:rsidRPr="00FB20CC">
        <w:rPr>
          <w:sz w:val="24"/>
          <w:szCs w:val="24"/>
        </w:rPr>
        <w:t xml:space="preserve"> 1102-1111.</w:t>
      </w:r>
    </w:p>
    <w:p w14:paraId="26878169" w14:textId="77777777" w:rsidR="0005268A" w:rsidRPr="00FB20CC" w:rsidRDefault="00814E1B" w:rsidP="00814E1B">
      <w:pPr>
        <w:tabs>
          <w:tab w:val="left" w:pos="-720"/>
        </w:tabs>
        <w:suppressAutoHyphens/>
        <w:jc w:val="both"/>
        <w:rPr>
          <w:rFonts w:ascii="Tms Rmn 12pt" w:hAnsi="Tms Rmn 12pt"/>
          <w:sz w:val="24"/>
          <w:szCs w:val="24"/>
        </w:rPr>
      </w:pPr>
      <w:r w:rsidRPr="00FB20CC">
        <w:rPr>
          <w:rFonts w:ascii="Tms Rmn 12pt" w:hAnsi="Tms Rmn 12pt"/>
          <w:sz w:val="24"/>
          <w:szCs w:val="24"/>
        </w:rPr>
        <w:t>Gregg</w:t>
      </w:r>
      <w:r w:rsidR="00850930" w:rsidRPr="00FB20CC">
        <w:rPr>
          <w:rFonts w:ascii="Tms Rmn 12pt" w:hAnsi="Tms Rmn 12pt"/>
          <w:sz w:val="24"/>
          <w:szCs w:val="24"/>
        </w:rPr>
        <w:t xml:space="preserve"> W</w:t>
      </w:r>
      <w:r w:rsidRPr="00FB20CC">
        <w:rPr>
          <w:rFonts w:ascii="Tms Rmn 12pt" w:hAnsi="Tms Rmn 12pt"/>
          <w:sz w:val="24"/>
          <w:szCs w:val="24"/>
        </w:rPr>
        <w:t xml:space="preserve"> </w:t>
      </w:r>
      <w:r w:rsidR="00D71687" w:rsidRPr="00FB20CC">
        <w:rPr>
          <w:rFonts w:ascii="Tms Rmn 12pt" w:hAnsi="Tms Rmn 12pt"/>
          <w:sz w:val="24"/>
          <w:szCs w:val="24"/>
        </w:rPr>
        <w:t>and</w:t>
      </w:r>
      <w:r w:rsidR="00850930" w:rsidRPr="00FB20CC">
        <w:rPr>
          <w:rFonts w:ascii="Tms Rmn 12pt" w:hAnsi="Tms Rmn 12pt"/>
          <w:sz w:val="24"/>
          <w:szCs w:val="24"/>
        </w:rPr>
        <w:t xml:space="preserve"> Casey N 2007</w:t>
      </w:r>
      <w:r w:rsidRPr="00FB20CC">
        <w:rPr>
          <w:rFonts w:ascii="Tms Rmn 12pt" w:hAnsi="Tms Rmn 12pt"/>
          <w:sz w:val="24"/>
          <w:szCs w:val="24"/>
        </w:rPr>
        <w:t xml:space="preserve"> Modeling coccolithophores in the global oceans.  Dee</w:t>
      </w:r>
      <w:r w:rsidR="003042FE" w:rsidRPr="00FB20CC">
        <w:rPr>
          <w:rFonts w:ascii="Tms Rmn 12pt" w:hAnsi="Tms Rmn 12pt"/>
          <w:sz w:val="24"/>
          <w:szCs w:val="24"/>
        </w:rPr>
        <w:t xml:space="preserve">p-Sea Research </w:t>
      </w:r>
    </w:p>
    <w:p w14:paraId="377C6340" w14:textId="77777777" w:rsidR="00814E1B" w:rsidRPr="00FB20CC" w:rsidRDefault="0005268A" w:rsidP="00814E1B">
      <w:pPr>
        <w:tabs>
          <w:tab w:val="left" w:pos="-720"/>
        </w:tabs>
        <w:suppressAutoHyphens/>
        <w:jc w:val="both"/>
        <w:rPr>
          <w:rFonts w:ascii="AdvTimes" w:eastAsiaTheme="minorHAnsi" w:hAnsi="AdvTimes" w:cs="AdvTimes"/>
          <w:sz w:val="24"/>
          <w:szCs w:val="24"/>
        </w:rPr>
      </w:pPr>
      <w:r w:rsidRPr="00FB20CC">
        <w:rPr>
          <w:rFonts w:ascii="Tms Rmn 12pt" w:hAnsi="Tms Rmn 12pt"/>
          <w:sz w:val="24"/>
          <w:szCs w:val="24"/>
        </w:rPr>
        <w:tab/>
      </w:r>
      <w:r w:rsidR="003042FE" w:rsidRPr="00FB20CC">
        <w:rPr>
          <w:rFonts w:ascii="Tms Rmn 12pt" w:hAnsi="Tms Rmn 12pt"/>
          <w:sz w:val="24"/>
          <w:szCs w:val="24"/>
        </w:rPr>
        <w:t xml:space="preserve">II </w:t>
      </w:r>
      <w:r w:rsidR="003042FE" w:rsidRPr="00FB20CC">
        <w:rPr>
          <w:rFonts w:ascii="Tms Rmn 12pt" w:hAnsi="Tms Rmn 12pt"/>
          <w:b/>
          <w:sz w:val="24"/>
          <w:szCs w:val="24"/>
        </w:rPr>
        <w:t>54</w:t>
      </w:r>
      <w:r w:rsidR="003042FE" w:rsidRPr="00FB20CC">
        <w:rPr>
          <w:rFonts w:ascii="Tms Rmn 12pt" w:hAnsi="Tms Rmn 12pt"/>
          <w:sz w:val="24"/>
          <w:szCs w:val="24"/>
        </w:rPr>
        <w:t xml:space="preserve"> 447-477</w:t>
      </w:r>
    </w:p>
    <w:p w14:paraId="39F85A61" w14:textId="77777777" w:rsidR="00850930" w:rsidRPr="00FB20CC" w:rsidRDefault="00814E1B" w:rsidP="00850930">
      <w:pPr>
        <w:rPr>
          <w:sz w:val="24"/>
          <w:szCs w:val="24"/>
        </w:rPr>
      </w:pPr>
      <w:r w:rsidRPr="00FB20CC">
        <w:rPr>
          <w:rFonts w:ascii="Tms Rmn 12pt" w:hAnsi="Tms Rmn 12pt"/>
          <w:sz w:val="24"/>
          <w:szCs w:val="24"/>
        </w:rPr>
        <w:t>Gregg W</w:t>
      </w:r>
      <w:r w:rsidR="00850930" w:rsidRPr="00FB20CC">
        <w:rPr>
          <w:rFonts w:ascii="Tms Rmn 12pt" w:hAnsi="Tms Rmn 12pt"/>
          <w:sz w:val="24"/>
          <w:szCs w:val="24"/>
        </w:rPr>
        <w:t xml:space="preserve"> and</w:t>
      </w:r>
      <w:r w:rsidRPr="00FB20CC">
        <w:rPr>
          <w:rFonts w:ascii="Tms Rmn 12pt" w:hAnsi="Tms Rmn 12pt"/>
          <w:sz w:val="24"/>
          <w:szCs w:val="24"/>
        </w:rPr>
        <w:t xml:space="preserve"> Casey N 2009 </w:t>
      </w:r>
      <w:r w:rsidRPr="00FB20CC">
        <w:rPr>
          <w:sz w:val="24"/>
          <w:szCs w:val="24"/>
        </w:rPr>
        <w:t xml:space="preserve">Skill assessment of a spectral ocean-atmosphere radiative model.  </w:t>
      </w:r>
    </w:p>
    <w:p w14:paraId="07B003B3" w14:textId="77777777" w:rsidR="00814E1B" w:rsidRPr="00FB20CC" w:rsidRDefault="00814E1B" w:rsidP="00850930">
      <w:pPr>
        <w:ind w:firstLine="720"/>
        <w:rPr>
          <w:sz w:val="24"/>
          <w:szCs w:val="24"/>
        </w:rPr>
      </w:pPr>
      <w:r w:rsidRPr="00FB20CC">
        <w:rPr>
          <w:sz w:val="24"/>
          <w:szCs w:val="24"/>
        </w:rPr>
        <w:t xml:space="preserve">Journal of Marine Systems </w:t>
      </w:r>
      <w:r w:rsidRPr="00FB20CC">
        <w:rPr>
          <w:b/>
          <w:sz w:val="24"/>
          <w:szCs w:val="24"/>
        </w:rPr>
        <w:t>76</w:t>
      </w:r>
      <w:r w:rsidR="003042FE" w:rsidRPr="00FB20CC">
        <w:rPr>
          <w:sz w:val="24"/>
          <w:szCs w:val="24"/>
        </w:rPr>
        <w:t xml:space="preserve"> 49-63</w:t>
      </w:r>
    </w:p>
    <w:p w14:paraId="068A8FF2" w14:textId="77777777" w:rsidR="00850930" w:rsidRPr="00FB20CC" w:rsidRDefault="005753FD" w:rsidP="00850930">
      <w:pPr>
        <w:tabs>
          <w:tab w:val="left" w:pos="-720"/>
        </w:tabs>
        <w:suppressAutoHyphens/>
        <w:jc w:val="both"/>
        <w:rPr>
          <w:sz w:val="24"/>
          <w:szCs w:val="24"/>
        </w:rPr>
      </w:pPr>
      <w:r w:rsidRPr="00FB20CC">
        <w:rPr>
          <w:sz w:val="24"/>
          <w:szCs w:val="24"/>
        </w:rPr>
        <w:t>Gregg</w:t>
      </w:r>
      <w:r w:rsidR="00850930" w:rsidRPr="00FB20CC">
        <w:rPr>
          <w:sz w:val="24"/>
          <w:szCs w:val="24"/>
        </w:rPr>
        <w:t xml:space="preserve"> W, 2008</w:t>
      </w:r>
      <w:r w:rsidRPr="00FB20CC">
        <w:rPr>
          <w:sz w:val="24"/>
          <w:szCs w:val="24"/>
        </w:rPr>
        <w:t xml:space="preserve">  Assimilation of SeaWiFS ocean chlorophyll data into a three-dimensional global </w:t>
      </w:r>
    </w:p>
    <w:p w14:paraId="0CC0E6F2" w14:textId="77777777" w:rsidR="005753FD" w:rsidRPr="00FB20CC" w:rsidRDefault="00850930" w:rsidP="00850930">
      <w:pPr>
        <w:tabs>
          <w:tab w:val="left" w:pos="-720"/>
        </w:tabs>
        <w:suppressAutoHyphens/>
        <w:jc w:val="both"/>
        <w:rPr>
          <w:sz w:val="24"/>
          <w:szCs w:val="24"/>
        </w:rPr>
      </w:pPr>
      <w:r w:rsidRPr="00FB20CC">
        <w:rPr>
          <w:sz w:val="24"/>
          <w:szCs w:val="24"/>
        </w:rPr>
        <w:tab/>
      </w:r>
      <w:r w:rsidR="005753FD" w:rsidRPr="00FB20CC">
        <w:rPr>
          <w:sz w:val="24"/>
          <w:szCs w:val="24"/>
        </w:rPr>
        <w:t xml:space="preserve">ocean model. </w:t>
      </w:r>
      <w:r w:rsidR="003042FE" w:rsidRPr="00FB20CC">
        <w:rPr>
          <w:sz w:val="24"/>
          <w:szCs w:val="24"/>
        </w:rPr>
        <w:t xml:space="preserve"> Journal of Marine Systems </w:t>
      </w:r>
      <w:r w:rsidR="003042FE" w:rsidRPr="00FB20CC">
        <w:rPr>
          <w:b/>
          <w:sz w:val="24"/>
          <w:szCs w:val="24"/>
        </w:rPr>
        <w:t>69</w:t>
      </w:r>
      <w:r w:rsidR="003042FE" w:rsidRPr="00FB20CC">
        <w:rPr>
          <w:sz w:val="24"/>
          <w:szCs w:val="24"/>
        </w:rPr>
        <w:t xml:space="preserve"> 205-225.</w:t>
      </w:r>
    </w:p>
    <w:p w14:paraId="5F6895F3" w14:textId="77777777" w:rsidR="00850930" w:rsidRPr="00FB20CC" w:rsidRDefault="00850930" w:rsidP="00850930">
      <w:pPr>
        <w:pStyle w:val="BodyText"/>
        <w:rPr>
          <w:rFonts w:ascii="Times New Roman" w:hAnsi="Times New Roman"/>
          <w:b w:val="0"/>
          <w:sz w:val="24"/>
          <w:szCs w:val="24"/>
        </w:rPr>
      </w:pPr>
      <w:r w:rsidRPr="00FB20CC">
        <w:rPr>
          <w:rFonts w:ascii="Times New Roman" w:hAnsi="Times New Roman"/>
          <w:b w:val="0"/>
          <w:sz w:val="24"/>
          <w:szCs w:val="24"/>
        </w:rPr>
        <w:t>Gregg W,</w:t>
      </w:r>
      <w:r w:rsidR="005753FD" w:rsidRPr="00FB20CC">
        <w:rPr>
          <w:rFonts w:ascii="Times New Roman" w:hAnsi="Times New Roman"/>
          <w:b w:val="0"/>
          <w:sz w:val="24"/>
          <w:szCs w:val="24"/>
        </w:rPr>
        <w:t xml:space="preserve"> Esaias</w:t>
      </w:r>
      <w:r w:rsidRPr="00FB20CC">
        <w:rPr>
          <w:rFonts w:ascii="Times New Roman" w:hAnsi="Times New Roman"/>
          <w:b w:val="0"/>
          <w:sz w:val="24"/>
          <w:szCs w:val="24"/>
        </w:rPr>
        <w:t xml:space="preserve"> W</w:t>
      </w:r>
      <w:r w:rsidR="005753FD" w:rsidRPr="00FB20CC">
        <w:rPr>
          <w:rFonts w:ascii="Times New Roman" w:hAnsi="Times New Roman"/>
          <w:b w:val="0"/>
          <w:sz w:val="24"/>
          <w:szCs w:val="24"/>
        </w:rPr>
        <w:t xml:space="preserve">, </w:t>
      </w:r>
      <w:r w:rsidRPr="00FB20CC">
        <w:rPr>
          <w:rFonts w:ascii="Times New Roman" w:hAnsi="Times New Roman"/>
          <w:b w:val="0"/>
          <w:sz w:val="24"/>
          <w:szCs w:val="24"/>
        </w:rPr>
        <w:t>Feldman G,</w:t>
      </w:r>
      <w:r w:rsidR="005753FD" w:rsidRPr="00FB20CC">
        <w:rPr>
          <w:rFonts w:ascii="Times New Roman" w:hAnsi="Times New Roman"/>
          <w:b w:val="0"/>
          <w:sz w:val="24"/>
          <w:szCs w:val="24"/>
        </w:rPr>
        <w:t xml:space="preserve"> </w:t>
      </w:r>
      <w:proofErr w:type="spellStart"/>
      <w:r w:rsidR="005753FD" w:rsidRPr="00FB20CC">
        <w:rPr>
          <w:rFonts w:ascii="Times New Roman" w:hAnsi="Times New Roman"/>
          <w:b w:val="0"/>
          <w:sz w:val="24"/>
          <w:szCs w:val="24"/>
        </w:rPr>
        <w:t>Frouin</w:t>
      </w:r>
      <w:proofErr w:type="spellEnd"/>
      <w:r w:rsidRPr="00FB20CC">
        <w:rPr>
          <w:rFonts w:ascii="Times New Roman" w:hAnsi="Times New Roman"/>
          <w:b w:val="0"/>
          <w:sz w:val="24"/>
          <w:szCs w:val="24"/>
        </w:rPr>
        <w:t xml:space="preserve"> R</w:t>
      </w:r>
      <w:r w:rsidR="005753FD" w:rsidRPr="00FB20CC">
        <w:rPr>
          <w:rFonts w:ascii="Times New Roman" w:hAnsi="Times New Roman"/>
          <w:b w:val="0"/>
          <w:sz w:val="24"/>
          <w:szCs w:val="24"/>
        </w:rPr>
        <w:t>, Hooker</w:t>
      </w:r>
      <w:r w:rsidRPr="00FB20CC">
        <w:rPr>
          <w:rFonts w:ascii="Times New Roman" w:hAnsi="Times New Roman"/>
          <w:b w:val="0"/>
          <w:sz w:val="24"/>
          <w:szCs w:val="24"/>
        </w:rPr>
        <w:t xml:space="preserve"> S</w:t>
      </w:r>
      <w:r w:rsidR="005753FD" w:rsidRPr="00FB20CC">
        <w:rPr>
          <w:rFonts w:ascii="Times New Roman" w:hAnsi="Times New Roman"/>
          <w:b w:val="0"/>
          <w:sz w:val="24"/>
          <w:szCs w:val="24"/>
        </w:rPr>
        <w:t>, McClain</w:t>
      </w:r>
      <w:r w:rsidRPr="00FB20CC">
        <w:rPr>
          <w:rFonts w:ascii="Times New Roman" w:hAnsi="Times New Roman"/>
          <w:b w:val="0"/>
          <w:sz w:val="24"/>
          <w:szCs w:val="24"/>
        </w:rPr>
        <w:t xml:space="preserve"> C</w:t>
      </w:r>
      <w:r w:rsidR="005753FD" w:rsidRPr="00FB20CC">
        <w:rPr>
          <w:rFonts w:ascii="Times New Roman" w:hAnsi="Times New Roman"/>
          <w:b w:val="0"/>
          <w:sz w:val="24"/>
          <w:szCs w:val="24"/>
        </w:rPr>
        <w:t xml:space="preserve">, </w:t>
      </w:r>
      <w:r w:rsidR="00D71687" w:rsidRPr="00FB20CC">
        <w:rPr>
          <w:rFonts w:ascii="Times New Roman" w:hAnsi="Times New Roman"/>
          <w:b w:val="0"/>
          <w:sz w:val="24"/>
          <w:szCs w:val="24"/>
        </w:rPr>
        <w:t>and</w:t>
      </w:r>
      <w:r w:rsidR="005753FD" w:rsidRPr="00FB20CC">
        <w:rPr>
          <w:rFonts w:ascii="Times New Roman" w:hAnsi="Times New Roman"/>
          <w:b w:val="0"/>
          <w:sz w:val="24"/>
          <w:szCs w:val="24"/>
        </w:rPr>
        <w:t xml:space="preserve"> </w:t>
      </w:r>
      <w:r w:rsidRPr="00FB20CC">
        <w:rPr>
          <w:rFonts w:ascii="Times New Roman" w:hAnsi="Times New Roman"/>
          <w:b w:val="0"/>
          <w:sz w:val="24"/>
          <w:szCs w:val="24"/>
        </w:rPr>
        <w:t xml:space="preserve">Woodward, R </w:t>
      </w:r>
      <w:r w:rsidR="005753FD" w:rsidRPr="00FB20CC">
        <w:rPr>
          <w:rFonts w:ascii="Times New Roman" w:hAnsi="Times New Roman"/>
          <w:b w:val="0"/>
          <w:sz w:val="24"/>
          <w:szCs w:val="24"/>
        </w:rPr>
        <w:t xml:space="preserve">1998  </w:t>
      </w:r>
    </w:p>
    <w:p w14:paraId="4A4D626B" w14:textId="77777777" w:rsidR="005753FD" w:rsidRPr="00FB20CC" w:rsidRDefault="005753FD" w:rsidP="00850930">
      <w:pPr>
        <w:pStyle w:val="BodyText"/>
        <w:ind w:left="720"/>
        <w:rPr>
          <w:rFonts w:ascii="Times New Roman" w:hAnsi="Times New Roman"/>
          <w:b w:val="0"/>
          <w:sz w:val="24"/>
          <w:szCs w:val="24"/>
        </w:rPr>
      </w:pPr>
      <w:r w:rsidRPr="00FB20CC">
        <w:rPr>
          <w:rFonts w:ascii="Times New Roman" w:hAnsi="Times New Roman"/>
          <w:b w:val="0"/>
          <w:sz w:val="24"/>
          <w:szCs w:val="24"/>
        </w:rPr>
        <w:t>Coverage opportunities for global ocean color in a multi-mission era.  IEEE Transactions on G</w:t>
      </w:r>
      <w:r w:rsidR="003042FE" w:rsidRPr="00FB20CC">
        <w:rPr>
          <w:rFonts w:ascii="Times New Roman" w:hAnsi="Times New Roman"/>
          <w:b w:val="0"/>
          <w:sz w:val="24"/>
          <w:szCs w:val="24"/>
        </w:rPr>
        <w:t xml:space="preserve">eoscience and Remote Sensing </w:t>
      </w:r>
      <w:r w:rsidR="003042FE" w:rsidRPr="00FB20CC">
        <w:rPr>
          <w:rFonts w:ascii="Times New Roman" w:hAnsi="Times New Roman"/>
          <w:sz w:val="24"/>
          <w:szCs w:val="24"/>
        </w:rPr>
        <w:t>36</w:t>
      </w:r>
      <w:r w:rsidR="003042FE" w:rsidRPr="00FB20CC">
        <w:rPr>
          <w:rFonts w:ascii="Times New Roman" w:hAnsi="Times New Roman"/>
          <w:b w:val="0"/>
          <w:sz w:val="24"/>
          <w:szCs w:val="24"/>
        </w:rPr>
        <w:t xml:space="preserve"> </w:t>
      </w:r>
      <w:r w:rsidRPr="00FB20CC">
        <w:rPr>
          <w:rFonts w:ascii="Times New Roman" w:hAnsi="Times New Roman"/>
          <w:b w:val="0"/>
          <w:sz w:val="24"/>
          <w:szCs w:val="24"/>
        </w:rPr>
        <w:t>1620-1627.</w:t>
      </w:r>
    </w:p>
    <w:p w14:paraId="15C5863B" w14:textId="77777777" w:rsidR="005753FD" w:rsidRPr="00FB20CC" w:rsidRDefault="0002322E" w:rsidP="005753FD">
      <w:pPr>
        <w:rPr>
          <w:rStyle w:val="articletitle"/>
          <w:sz w:val="24"/>
          <w:szCs w:val="24"/>
          <w:bdr w:val="none" w:sz="0" w:space="0" w:color="auto" w:frame="1"/>
        </w:rPr>
      </w:pPr>
      <w:r w:rsidRPr="00FB20CC">
        <w:rPr>
          <w:rStyle w:val="author"/>
          <w:sz w:val="24"/>
          <w:szCs w:val="24"/>
          <w:bdr w:val="none" w:sz="0" w:space="0" w:color="auto" w:frame="1"/>
        </w:rPr>
        <w:t>Gregg W</w:t>
      </w:r>
      <w:r w:rsidR="005753FD" w:rsidRPr="00FB20CC">
        <w:rPr>
          <w:rStyle w:val="HTMLCite"/>
          <w:i w:val="0"/>
          <w:sz w:val="24"/>
          <w:szCs w:val="24"/>
          <w:bdr w:val="none" w:sz="0" w:space="0" w:color="auto" w:frame="1"/>
        </w:rPr>
        <w:t xml:space="preserve"> </w:t>
      </w:r>
      <w:r w:rsidR="00D71687" w:rsidRPr="00FB20CC">
        <w:rPr>
          <w:rStyle w:val="HTMLCite"/>
          <w:i w:val="0"/>
          <w:sz w:val="24"/>
          <w:szCs w:val="24"/>
          <w:bdr w:val="none" w:sz="0" w:space="0" w:color="auto" w:frame="1"/>
        </w:rPr>
        <w:t>and</w:t>
      </w:r>
      <w:r w:rsidR="005753FD" w:rsidRPr="00FB20CC">
        <w:rPr>
          <w:rStyle w:val="HTMLCite"/>
          <w:i w:val="0"/>
          <w:sz w:val="24"/>
          <w:szCs w:val="24"/>
          <w:bdr w:val="none" w:sz="0" w:space="0" w:color="auto" w:frame="1"/>
        </w:rPr>
        <w:t> </w:t>
      </w:r>
      <w:r w:rsidR="005753FD" w:rsidRPr="00FB20CC">
        <w:rPr>
          <w:rStyle w:val="author"/>
          <w:sz w:val="24"/>
          <w:szCs w:val="24"/>
          <w:bdr w:val="none" w:sz="0" w:space="0" w:color="auto" w:frame="1"/>
        </w:rPr>
        <w:t>Rousseaux</w:t>
      </w:r>
      <w:r w:rsidR="005753FD" w:rsidRPr="00FB20CC">
        <w:rPr>
          <w:rStyle w:val="HTMLCite"/>
          <w:i w:val="0"/>
          <w:sz w:val="24"/>
          <w:szCs w:val="24"/>
          <w:bdr w:val="none" w:sz="0" w:space="0" w:color="auto" w:frame="1"/>
        </w:rPr>
        <w:t xml:space="preserve"> </w:t>
      </w:r>
      <w:r w:rsidRPr="00FB20CC">
        <w:rPr>
          <w:sz w:val="24"/>
          <w:szCs w:val="24"/>
        </w:rPr>
        <w:t xml:space="preserve">C </w:t>
      </w:r>
      <w:r w:rsidRPr="00FB20CC">
        <w:rPr>
          <w:rStyle w:val="pubyear"/>
          <w:sz w:val="24"/>
          <w:szCs w:val="24"/>
          <w:bdr w:val="none" w:sz="0" w:space="0" w:color="auto" w:frame="1"/>
        </w:rPr>
        <w:t>2014</w:t>
      </w:r>
      <w:r w:rsidR="005753FD" w:rsidRPr="00FB20CC">
        <w:rPr>
          <w:rStyle w:val="HTMLCite"/>
          <w:i w:val="0"/>
          <w:sz w:val="24"/>
          <w:szCs w:val="24"/>
          <w:bdr w:val="none" w:sz="0" w:space="0" w:color="auto" w:frame="1"/>
        </w:rPr>
        <w:t> </w:t>
      </w:r>
      <w:r w:rsidR="005753FD" w:rsidRPr="00FB20CC">
        <w:rPr>
          <w:rStyle w:val="articletitle"/>
          <w:sz w:val="24"/>
          <w:szCs w:val="24"/>
          <w:bdr w:val="none" w:sz="0" w:space="0" w:color="auto" w:frame="1"/>
        </w:rPr>
        <w:t xml:space="preserve">Decadal trends in global pelagic ocean chlorophyll: </w:t>
      </w:r>
    </w:p>
    <w:p w14:paraId="55BB335D" w14:textId="77777777" w:rsidR="005753FD" w:rsidRPr="00FB20CC" w:rsidRDefault="005753FD" w:rsidP="005753FD">
      <w:pPr>
        <w:ind w:left="720"/>
        <w:rPr>
          <w:rStyle w:val="HTMLCite"/>
          <w:i w:val="0"/>
          <w:sz w:val="24"/>
          <w:szCs w:val="24"/>
          <w:bdr w:val="none" w:sz="0" w:space="0" w:color="auto" w:frame="1"/>
        </w:rPr>
      </w:pPr>
      <w:r w:rsidRPr="00FB20CC">
        <w:rPr>
          <w:rStyle w:val="articletitle"/>
          <w:sz w:val="24"/>
          <w:szCs w:val="24"/>
          <w:bdr w:val="none" w:sz="0" w:space="0" w:color="auto" w:frame="1"/>
        </w:rPr>
        <w:t>A new assessment integrating multiple satellites, in situ data, and models</w:t>
      </w:r>
      <w:r w:rsidRPr="00FB20CC">
        <w:rPr>
          <w:rStyle w:val="HTMLCite"/>
          <w:i w:val="0"/>
          <w:sz w:val="24"/>
          <w:szCs w:val="24"/>
          <w:bdr w:val="none" w:sz="0" w:space="0" w:color="auto" w:frame="1"/>
        </w:rPr>
        <w:t>.  </w:t>
      </w:r>
      <w:r w:rsidRPr="00FB20CC">
        <w:rPr>
          <w:rStyle w:val="journaltitle"/>
          <w:sz w:val="24"/>
          <w:szCs w:val="24"/>
          <w:bdr w:val="none" w:sz="0" w:space="0" w:color="auto" w:frame="1"/>
        </w:rPr>
        <w:t>Journal of Geophysical Research Oceans</w:t>
      </w:r>
      <w:r w:rsidR="003042FE" w:rsidRPr="00FB20CC">
        <w:rPr>
          <w:rStyle w:val="journaltitle"/>
          <w:sz w:val="24"/>
          <w:szCs w:val="24"/>
          <w:bdr w:val="none" w:sz="0" w:space="0" w:color="auto" w:frame="1"/>
        </w:rPr>
        <w:t xml:space="preserve"> </w:t>
      </w:r>
      <w:r w:rsidRPr="00FB20CC">
        <w:rPr>
          <w:rStyle w:val="vol"/>
          <w:b/>
          <w:sz w:val="24"/>
          <w:szCs w:val="24"/>
          <w:bdr w:val="none" w:sz="0" w:space="0" w:color="auto" w:frame="1"/>
        </w:rPr>
        <w:t>119</w:t>
      </w:r>
      <w:r w:rsidRPr="00FB20CC">
        <w:rPr>
          <w:rStyle w:val="HTMLCite"/>
          <w:i w:val="0"/>
          <w:sz w:val="24"/>
          <w:szCs w:val="24"/>
          <w:bdr w:val="none" w:sz="0" w:space="0" w:color="auto" w:frame="1"/>
        </w:rPr>
        <w:t xml:space="preserve"> </w:t>
      </w:r>
      <w:r w:rsidR="003042FE" w:rsidRPr="00FB20CC">
        <w:rPr>
          <w:rStyle w:val="HTMLCite"/>
          <w:i w:val="0"/>
          <w:sz w:val="24"/>
          <w:szCs w:val="24"/>
          <w:bdr w:val="none" w:sz="0" w:space="0" w:color="auto" w:frame="1"/>
        </w:rPr>
        <w:t>1-13</w:t>
      </w:r>
      <w:r w:rsidRPr="00FB20CC">
        <w:rPr>
          <w:rStyle w:val="HTMLCite"/>
          <w:i w:val="0"/>
          <w:sz w:val="24"/>
          <w:szCs w:val="24"/>
          <w:bdr w:val="none" w:sz="0" w:space="0" w:color="auto" w:frame="1"/>
        </w:rPr>
        <w:t>.</w:t>
      </w:r>
    </w:p>
    <w:p w14:paraId="09AE5DE4" w14:textId="77777777" w:rsidR="0002322E" w:rsidRPr="00FB20CC" w:rsidRDefault="00061797" w:rsidP="0002322E">
      <w:pPr>
        <w:autoSpaceDE w:val="0"/>
        <w:autoSpaceDN w:val="0"/>
        <w:adjustRightInd w:val="0"/>
        <w:rPr>
          <w:rFonts w:eastAsiaTheme="minorHAnsi"/>
          <w:bCs/>
          <w:sz w:val="24"/>
          <w:szCs w:val="24"/>
        </w:rPr>
      </w:pPr>
      <w:proofErr w:type="spellStart"/>
      <w:r w:rsidRPr="00FB20CC">
        <w:rPr>
          <w:rFonts w:eastAsiaTheme="minorHAnsi"/>
          <w:sz w:val="24"/>
          <w:szCs w:val="24"/>
        </w:rPr>
        <w:t>Hausfath</w:t>
      </w:r>
      <w:r w:rsidR="0002322E" w:rsidRPr="00FB20CC">
        <w:rPr>
          <w:rFonts w:eastAsiaTheme="minorHAnsi"/>
          <w:sz w:val="24"/>
          <w:szCs w:val="24"/>
        </w:rPr>
        <w:t>er</w:t>
      </w:r>
      <w:proofErr w:type="spellEnd"/>
      <w:r w:rsidR="0002322E" w:rsidRPr="00FB20CC">
        <w:rPr>
          <w:rFonts w:eastAsiaTheme="minorHAnsi"/>
          <w:sz w:val="24"/>
          <w:szCs w:val="24"/>
        </w:rPr>
        <w:t xml:space="preserve"> Z, </w:t>
      </w:r>
      <w:proofErr w:type="spellStart"/>
      <w:r w:rsidR="0002322E" w:rsidRPr="00FB20CC">
        <w:rPr>
          <w:rFonts w:eastAsiaTheme="minorHAnsi"/>
          <w:sz w:val="24"/>
          <w:szCs w:val="24"/>
        </w:rPr>
        <w:t>Cowtan</w:t>
      </w:r>
      <w:proofErr w:type="spellEnd"/>
      <w:r w:rsidR="0002322E" w:rsidRPr="00FB20CC">
        <w:rPr>
          <w:rFonts w:eastAsiaTheme="minorHAnsi"/>
          <w:sz w:val="24"/>
          <w:szCs w:val="24"/>
        </w:rPr>
        <w:t xml:space="preserve"> K Clarke D, Jacobs P</w:t>
      </w:r>
      <w:r w:rsidR="00553801" w:rsidRPr="00FB20CC">
        <w:rPr>
          <w:rFonts w:eastAsiaTheme="minorHAnsi"/>
          <w:sz w:val="24"/>
          <w:szCs w:val="24"/>
        </w:rPr>
        <w:t>,</w:t>
      </w:r>
      <w:r w:rsidRPr="00FB20CC">
        <w:rPr>
          <w:rFonts w:eastAsiaTheme="minorHAnsi"/>
          <w:sz w:val="24"/>
          <w:szCs w:val="24"/>
        </w:rPr>
        <w:t xml:space="preserve"> R</w:t>
      </w:r>
      <w:r w:rsidR="0002322E" w:rsidRPr="00FB20CC">
        <w:rPr>
          <w:rFonts w:eastAsiaTheme="minorHAnsi"/>
          <w:sz w:val="24"/>
          <w:szCs w:val="24"/>
        </w:rPr>
        <w:t>ichardson M</w:t>
      </w:r>
      <w:r w:rsidRPr="00FB20CC">
        <w:rPr>
          <w:rFonts w:eastAsiaTheme="minorHAnsi"/>
          <w:sz w:val="24"/>
          <w:szCs w:val="24"/>
        </w:rPr>
        <w:t xml:space="preserve">, </w:t>
      </w:r>
      <w:r w:rsidR="00D71687" w:rsidRPr="00FB20CC">
        <w:rPr>
          <w:rFonts w:eastAsiaTheme="minorHAnsi"/>
          <w:sz w:val="24"/>
          <w:szCs w:val="24"/>
        </w:rPr>
        <w:t>and</w:t>
      </w:r>
      <w:r w:rsidR="0002322E" w:rsidRPr="00FB20CC">
        <w:rPr>
          <w:rFonts w:eastAsiaTheme="minorHAnsi"/>
          <w:sz w:val="24"/>
          <w:szCs w:val="24"/>
        </w:rPr>
        <w:t xml:space="preserve"> Rohde R</w:t>
      </w:r>
      <w:r w:rsidRPr="00FB20CC">
        <w:rPr>
          <w:rFonts w:eastAsiaTheme="minorHAnsi"/>
          <w:sz w:val="24"/>
          <w:szCs w:val="24"/>
        </w:rPr>
        <w:t xml:space="preserve"> </w:t>
      </w:r>
      <w:r w:rsidR="0002322E" w:rsidRPr="00FB20CC">
        <w:rPr>
          <w:rFonts w:eastAsiaTheme="minorHAnsi"/>
          <w:sz w:val="24"/>
          <w:szCs w:val="24"/>
        </w:rPr>
        <w:t>2017</w:t>
      </w:r>
      <w:r w:rsidRPr="00FB20CC">
        <w:rPr>
          <w:rFonts w:eastAsiaTheme="minorHAnsi"/>
          <w:bCs/>
          <w:sz w:val="24"/>
          <w:szCs w:val="24"/>
        </w:rPr>
        <w:t xml:space="preserve">Assessing recent </w:t>
      </w:r>
    </w:p>
    <w:p w14:paraId="0154A4E9" w14:textId="77777777" w:rsidR="00061797" w:rsidRPr="00FB20CC" w:rsidRDefault="00061797" w:rsidP="0002322E">
      <w:pPr>
        <w:autoSpaceDE w:val="0"/>
        <w:autoSpaceDN w:val="0"/>
        <w:adjustRightInd w:val="0"/>
        <w:ind w:left="720"/>
        <w:rPr>
          <w:rFonts w:eastAsiaTheme="minorHAnsi"/>
          <w:sz w:val="24"/>
          <w:szCs w:val="24"/>
        </w:rPr>
      </w:pPr>
      <w:r w:rsidRPr="00FB20CC">
        <w:rPr>
          <w:rFonts w:eastAsiaTheme="minorHAnsi"/>
          <w:bCs/>
          <w:sz w:val="24"/>
          <w:szCs w:val="24"/>
        </w:rPr>
        <w:t xml:space="preserve">warming using instrumentally homogeneous sea surface temperature.  </w:t>
      </w:r>
      <w:r w:rsidRPr="00FB20CC">
        <w:rPr>
          <w:rFonts w:eastAsiaTheme="minorHAnsi"/>
          <w:iCs/>
          <w:sz w:val="24"/>
          <w:szCs w:val="24"/>
        </w:rPr>
        <w:t xml:space="preserve">Science Advances </w:t>
      </w:r>
      <w:r w:rsidR="002D02CE" w:rsidRPr="00FB20CC">
        <w:rPr>
          <w:rFonts w:eastAsiaTheme="minorHAnsi"/>
          <w:b/>
          <w:bCs/>
          <w:sz w:val="24"/>
          <w:szCs w:val="24"/>
        </w:rPr>
        <w:t>3</w:t>
      </w:r>
      <w:r w:rsidR="002D02CE" w:rsidRPr="00FB20CC">
        <w:rPr>
          <w:rFonts w:eastAsiaTheme="minorHAnsi"/>
          <w:bCs/>
          <w:sz w:val="24"/>
          <w:szCs w:val="24"/>
        </w:rPr>
        <w:t xml:space="preserve"> </w:t>
      </w:r>
      <w:r w:rsidR="006A20A5" w:rsidRPr="00FB20CC">
        <w:rPr>
          <w:rFonts w:eastAsiaTheme="minorHAnsi"/>
          <w:bCs/>
          <w:sz w:val="24"/>
          <w:szCs w:val="24"/>
        </w:rPr>
        <w:t>1-13</w:t>
      </w:r>
      <w:r w:rsidRPr="00FB20CC">
        <w:rPr>
          <w:rFonts w:eastAsiaTheme="minorHAnsi"/>
          <w:sz w:val="24"/>
          <w:szCs w:val="24"/>
        </w:rPr>
        <w:t>.</w:t>
      </w:r>
    </w:p>
    <w:p w14:paraId="27473126" w14:textId="77777777" w:rsidR="00814E1B" w:rsidRPr="00FB20CC" w:rsidRDefault="00814E1B" w:rsidP="00814E1B">
      <w:pPr>
        <w:autoSpaceDE w:val="0"/>
        <w:autoSpaceDN w:val="0"/>
        <w:adjustRightInd w:val="0"/>
        <w:rPr>
          <w:rFonts w:eastAsiaTheme="minorHAnsi"/>
          <w:sz w:val="24"/>
          <w:szCs w:val="24"/>
        </w:rPr>
      </w:pPr>
      <w:r w:rsidRPr="00FB20CC">
        <w:rPr>
          <w:rFonts w:eastAsiaTheme="minorHAnsi"/>
          <w:sz w:val="24"/>
          <w:szCs w:val="24"/>
        </w:rPr>
        <w:t xml:space="preserve">Henson S, Beaulieu C </w:t>
      </w:r>
      <w:r w:rsidR="00D71687" w:rsidRPr="00FB20CC">
        <w:rPr>
          <w:rFonts w:eastAsiaTheme="minorHAnsi"/>
          <w:sz w:val="24"/>
          <w:szCs w:val="24"/>
        </w:rPr>
        <w:t>and</w:t>
      </w:r>
      <w:r w:rsidRPr="00FB20CC">
        <w:rPr>
          <w:rFonts w:eastAsiaTheme="minorHAnsi"/>
          <w:sz w:val="24"/>
          <w:szCs w:val="24"/>
        </w:rPr>
        <w:t xml:space="preserve"> </w:t>
      </w:r>
      <w:proofErr w:type="spellStart"/>
      <w:r w:rsidRPr="00FB20CC">
        <w:rPr>
          <w:rFonts w:eastAsiaTheme="minorHAnsi"/>
          <w:sz w:val="24"/>
          <w:szCs w:val="24"/>
        </w:rPr>
        <w:t>Lampitt</w:t>
      </w:r>
      <w:proofErr w:type="spellEnd"/>
      <w:r w:rsidRPr="00FB20CC">
        <w:rPr>
          <w:rFonts w:eastAsiaTheme="minorHAnsi"/>
          <w:sz w:val="24"/>
          <w:szCs w:val="24"/>
        </w:rPr>
        <w:t xml:space="preserve"> R 2016 Observing climate change trends in ocean</w:t>
      </w:r>
    </w:p>
    <w:p w14:paraId="7135429D" w14:textId="77777777" w:rsidR="00814E1B" w:rsidRPr="00FB20CC" w:rsidRDefault="00814E1B" w:rsidP="00814E1B">
      <w:pPr>
        <w:autoSpaceDE w:val="0"/>
        <w:autoSpaceDN w:val="0"/>
        <w:adjustRightInd w:val="0"/>
        <w:ind w:left="720"/>
        <w:rPr>
          <w:sz w:val="24"/>
          <w:szCs w:val="24"/>
        </w:rPr>
      </w:pPr>
      <w:r w:rsidRPr="00FB20CC">
        <w:rPr>
          <w:rFonts w:eastAsiaTheme="minorHAnsi"/>
          <w:sz w:val="24"/>
          <w:szCs w:val="24"/>
        </w:rPr>
        <w:t>biogeochemistry: when an</w:t>
      </w:r>
      <w:r w:rsidR="002D02CE" w:rsidRPr="00FB20CC">
        <w:rPr>
          <w:rFonts w:eastAsiaTheme="minorHAnsi"/>
          <w:sz w:val="24"/>
          <w:szCs w:val="24"/>
        </w:rPr>
        <w:t>d where.  Global Change Biology</w:t>
      </w:r>
      <w:r w:rsidRPr="00FB20CC">
        <w:rPr>
          <w:rFonts w:eastAsiaTheme="minorHAnsi"/>
          <w:sz w:val="24"/>
          <w:szCs w:val="24"/>
        </w:rPr>
        <w:t xml:space="preserve"> </w:t>
      </w:r>
      <w:r w:rsidRPr="00FB20CC">
        <w:rPr>
          <w:rFonts w:eastAsiaTheme="minorHAnsi"/>
          <w:b/>
          <w:sz w:val="24"/>
          <w:szCs w:val="24"/>
        </w:rPr>
        <w:t>22</w:t>
      </w:r>
      <w:r w:rsidRPr="00FB20CC">
        <w:rPr>
          <w:rFonts w:eastAsiaTheme="minorHAnsi"/>
          <w:sz w:val="24"/>
          <w:szCs w:val="24"/>
        </w:rPr>
        <w:t xml:space="preserve"> </w:t>
      </w:r>
      <w:r w:rsidR="00152DF7" w:rsidRPr="00FB20CC">
        <w:rPr>
          <w:rFonts w:eastAsiaTheme="minorHAnsi"/>
          <w:sz w:val="24"/>
          <w:szCs w:val="24"/>
        </w:rPr>
        <w:t>1561-1571.</w:t>
      </w:r>
    </w:p>
    <w:p w14:paraId="23497523" w14:textId="77777777" w:rsidR="005753FD" w:rsidRPr="00FB20CC" w:rsidRDefault="0002322E" w:rsidP="005753FD">
      <w:pPr>
        <w:autoSpaceDE w:val="0"/>
        <w:autoSpaceDN w:val="0"/>
        <w:adjustRightInd w:val="0"/>
        <w:rPr>
          <w:sz w:val="24"/>
          <w:szCs w:val="24"/>
        </w:rPr>
      </w:pPr>
      <w:r w:rsidRPr="00FB20CC">
        <w:rPr>
          <w:sz w:val="24"/>
          <w:szCs w:val="24"/>
        </w:rPr>
        <w:t>Hu</w:t>
      </w:r>
      <w:r w:rsidR="005753FD" w:rsidRPr="00FB20CC">
        <w:rPr>
          <w:sz w:val="24"/>
          <w:szCs w:val="24"/>
        </w:rPr>
        <w:t xml:space="preserve"> C</w:t>
      </w:r>
      <w:r w:rsidRPr="00FB20CC">
        <w:rPr>
          <w:sz w:val="24"/>
          <w:szCs w:val="24"/>
        </w:rPr>
        <w:t>, Lee</w:t>
      </w:r>
      <w:r w:rsidR="005753FD" w:rsidRPr="00FB20CC">
        <w:rPr>
          <w:sz w:val="24"/>
          <w:szCs w:val="24"/>
        </w:rPr>
        <w:t xml:space="preserve"> Z </w:t>
      </w:r>
      <w:r w:rsidR="00D71687" w:rsidRPr="00FB20CC">
        <w:rPr>
          <w:sz w:val="24"/>
          <w:szCs w:val="24"/>
        </w:rPr>
        <w:t>and</w:t>
      </w:r>
      <w:r w:rsidRPr="00FB20CC">
        <w:rPr>
          <w:sz w:val="24"/>
          <w:szCs w:val="24"/>
        </w:rPr>
        <w:t xml:space="preserve"> Franz, B 2012</w:t>
      </w:r>
      <w:r w:rsidR="005753FD" w:rsidRPr="00FB20CC">
        <w:rPr>
          <w:sz w:val="24"/>
          <w:szCs w:val="24"/>
        </w:rPr>
        <w:t xml:space="preserve"> Chlorophyll a algorithms for oligotrophic oceans: A </w:t>
      </w:r>
    </w:p>
    <w:p w14:paraId="541F97C1" w14:textId="77777777" w:rsidR="005753FD" w:rsidRPr="00FB20CC" w:rsidRDefault="005753FD" w:rsidP="005753FD">
      <w:pPr>
        <w:autoSpaceDE w:val="0"/>
        <w:autoSpaceDN w:val="0"/>
        <w:adjustRightInd w:val="0"/>
        <w:ind w:firstLine="720"/>
        <w:rPr>
          <w:sz w:val="24"/>
          <w:szCs w:val="24"/>
        </w:rPr>
      </w:pPr>
      <w:r w:rsidRPr="00FB20CC">
        <w:rPr>
          <w:sz w:val="24"/>
          <w:szCs w:val="24"/>
        </w:rPr>
        <w:t xml:space="preserve">novel approach based on three-band reflectance difference. Journal of Geophysical </w:t>
      </w:r>
    </w:p>
    <w:p w14:paraId="5B0DB15C" w14:textId="77777777" w:rsidR="005753FD" w:rsidRPr="00FB20CC" w:rsidRDefault="005753FD" w:rsidP="005753FD">
      <w:pPr>
        <w:autoSpaceDE w:val="0"/>
        <w:autoSpaceDN w:val="0"/>
        <w:adjustRightInd w:val="0"/>
        <w:ind w:firstLine="720"/>
        <w:rPr>
          <w:sz w:val="24"/>
          <w:szCs w:val="24"/>
        </w:rPr>
      </w:pPr>
      <w:r w:rsidRPr="00FB20CC">
        <w:rPr>
          <w:sz w:val="24"/>
          <w:szCs w:val="24"/>
        </w:rPr>
        <w:t xml:space="preserve">Research </w:t>
      </w:r>
      <w:r w:rsidRPr="00FB20CC">
        <w:rPr>
          <w:b/>
          <w:sz w:val="24"/>
          <w:szCs w:val="24"/>
        </w:rPr>
        <w:t>117</w:t>
      </w:r>
      <w:r w:rsidRPr="00FB20CC">
        <w:rPr>
          <w:sz w:val="24"/>
          <w:szCs w:val="24"/>
        </w:rPr>
        <w:t xml:space="preserve"> C01011, doi:10.1029/2011JC007395.</w:t>
      </w:r>
    </w:p>
    <w:p w14:paraId="375A05FE" w14:textId="77777777" w:rsidR="00553801" w:rsidRPr="00FB20CC" w:rsidRDefault="0002322E" w:rsidP="0002322E">
      <w:pPr>
        <w:autoSpaceDE w:val="0"/>
        <w:autoSpaceDN w:val="0"/>
        <w:adjustRightInd w:val="0"/>
        <w:rPr>
          <w:rFonts w:ascii="AdvPSTIM10-R" w:eastAsiaTheme="minorHAnsi" w:hAnsi="AdvPSTIM10-R" w:cs="AdvPSTIM10-R"/>
          <w:sz w:val="24"/>
          <w:szCs w:val="24"/>
        </w:rPr>
      </w:pPr>
      <w:r w:rsidRPr="00FB20CC">
        <w:rPr>
          <w:sz w:val="24"/>
          <w:szCs w:val="24"/>
        </w:rPr>
        <w:t>Huang</w:t>
      </w:r>
      <w:r w:rsidR="00061797" w:rsidRPr="00FB20CC">
        <w:rPr>
          <w:sz w:val="24"/>
          <w:szCs w:val="24"/>
        </w:rPr>
        <w:t xml:space="preserve"> </w:t>
      </w:r>
      <w:r w:rsidRPr="00FB20CC">
        <w:rPr>
          <w:rFonts w:ascii="AdvPSTIM10-R" w:eastAsiaTheme="minorHAnsi" w:hAnsi="AdvPSTIM10-R" w:cs="AdvPSTIM10-R"/>
          <w:sz w:val="24"/>
          <w:szCs w:val="24"/>
        </w:rPr>
        <w:t xml:space="preserve">B, Thorne P, </w:t>
      </w:r>
      <w:proofErr w:type="spellStart"/>
      <w:r w:rsidRPr="00FB20CC">
        <w:rPr>
          <w:rFonts w:ascii="AdvPSTIM10-R" w:eastAsiaTheme="minorHAnsi" w:hAnsi="AdvPSTIM10-R" w:cs="AdvPSTIM10-R"/>
          <w:sz w:val="24"/>
          <w:szCs w:val="24"/>
        </w:rPr>
        <w:t>Banzon</w:t>
      </w:r>
      <w:proofErr w:type="spellEnd"/>
      <w:r w:rsidRPr="00FB20CC">
        <w:rPr>
          <w:rFonts w:ascii="AdvPSTIM10-R" w:eastAsiaTheme="minorHAnsi" w:hAnsi="AdvPSTIM10-R" w:cs="AdvPSTIM10-R"/>
          <w:sz w:val="24"/>
          <w:szCs w:val="24"/>
        </w:rPr>
        <w:t xml:space="preserve"> V, Boyer T, </w:t>
      </w:r>
      <w:proofErr w:type="spellStart"/>
      <w:r w:rsidRPr="00FB20CC">
        <w:rPr>
          <w:rFonts w:ascii="AdvPSTIM10-R" w:eastAsiaTheme="minorHAnsi" w:hAnsi="AdvPSTIM10-R" w:cs="AdvPSTIM10-R"/>
          <w:sz w:val="24"/>
          <w:szCs w:val="24"/>
        </w:rPr>
        <w:t>Chepurin</w:t>
      </w:r>
      <w:proofErr w:type="spellEnd"/>
      <w:r w:rsidRPr="00FB20CC">
        <w:rPr>
          <w:rFonts w:ascii="AdvPSTIM10-R" w:eastAsiaTheme="minorHAnsi" w:hAnsi="AdvPSTIM10-R" w:cs="AdvPSTIM10-R"/>
          <w:sz w:val="24"/>
          <w:szCs w:val="24"/>
        </w:rPr>
        <w:t xml:space="preserve"> G, </w:t>
      </w:r>
      <w:proofErr w:type="spellStart"/>
      <w:r w:rsidRPr="00FB20CC">
        <w:rPr>
          <w:rFonts w:ascii="AdvPSTIM10-R" w:eastAsiaTheme="minorHAnsi" w:hAnsi="AdvPSTIM10-R" w:cs="AdvPSTIM10-R"/>
          <w:sz w:val="24"/>
          <w:szCs w:val="24"/>
        </w:rPr>
        <w:t>Lawrimore</w:t>
      </w:r>
      <w:proofErr w:type="spellEnd"/>
      <w:r w:rsidRPr="00FB20CC">
        <w:rPr>
          <w:rFonts w:ascii="AdvPSTIM10-R" w:eastAsiaTheme="minorHAnsi" w:hAnsi="AdvPSTIM10-R" w:cs="AdvPSTIM10-R"/>
          <w:sz w:val="24"/>
          <w:szCs w:val="24"/>
        </w:rPr>
        <w:t xml:space="preserve"> J, </w:t>
      </w:r>
      <w:proofErr w:type="spellStart"/>
      <w:r w:rsidRPr="00FB20CC">
        <w:rPr>
          <w:rFonts w:ascii="AdvPSTIM10-R" w:eastAsiaTheme="minorHAnsi" w:hAnsi="AdvPSTIM10-R" w:cs="AdvPSTIM10-R"/>
          <w:sz w:val="24"/>
          <w:szCs w:val="24"/>
        </w:rPr>
        <w:t>Menne</w:t>
      </w:r>
      <w:proofErr w:type="spellEnd"/>
      <w:r w:rsidRPr="00FB20CC">
        <w:rPr>
          <w:rFonts w:ascii="AdvPSTIM10-R" w:eastAsiaTheme="minorHAnsi" w:hAnsi="AdvPSTIM10-R" w:cs="AdvPSTIM10-R"/>
          <w:sz w:val="24"/>
          <w:szCs w:val="24"/>
        </w:rPr>
        <w:t xml:space="preserve"> M, Smith T, </w:t>
      </w:r>
      <w:proofErr w:type="spellStart"/>
      <w:r w:rsidRPr="00FB20CC">
        <w:rPr>
          <w:rFonts w:ascii="AdvPSTIM10-R" w:eastAsiaTheme="minorHAnsi" w:hAnsi="AdvPSTIM10-R" w:cs="AdvPSTIM10-R"/>
          <w:sz w:val="24"/>
          <w:szCs w:val="24"/>
        </w:rPr>
        <w:t>Vose</w:t>
      </w:r>
      <w:proofErr w:type="spellEnd"/>
      <w:r w:rsidR="00553801" w:rsidRPr="00FB20CC">
        <w:rPr>
          <w:rFonts w:ascii="AdvPSTIM10-R" w:eastAsiaTheme="minorHAnsi" w:hAnsi="AdvPSTIM10-R" w:cs="AdvPSTIM10-R"/>
          <w:sz w:val="24"/>
          <w:szCs w:val="24"/>
        </w:rPr>
        <w:t xml:space="preserve"> </w:t>
      </w:r>
    </w:p>
    <w:p w14:paraId="13A4A683" w14:textId="77777777" w:rsidR="00553801" w:rsidRPr="00FB20CC" w:rsidRDefault="00553801" w:rsidP="00553801">
      <w:pPr>
        <w:autoSpaceDE w:val="0"/>
        <w:autoSpaceDN w:val="0"/>
        <w:adjustRightInd w:val="0"/>
        <w:ind w:firstLine="720"/>
        <w:rPr>
          <w:rFonts w:ascii="AdvPSTIM10-B" w:eastAsiaTheme="minorHAnsi" w:hAnsi="AdvPSTIM10-B" w:cs="AdvPSTIM10-B"/>
          <w:sz w:val="24"/>
          <w:szCs w:val="24"/>
        </w:rPr>
      </w:pPr>
      <w:r w:rsidRPr="00FB20CC">
        <w:rPr>
          <w:rFonts w:ascii="AdvPSTIM10-R" w:eastAsiaTheme="minorHAnsi" w:hAnsi="AdvPSTIM10-R" w:cs="AdvPSTIM10-R"/>
          <w:sz w:val="24"/>
          <w:szCs w:val="24"/>
        </w:rPr>
        <w:t>and</w:t>
      </w:r>
      <w:r w:rsidR="00061797" w:rsidRPr="00FB20CC">
        <w:rPr>
          <w:rFonts w:ascii="AdvPSTIM10-R" w:eastAsiaTheme="minorHAnsi" w:hAnsi="AdvPSTIM10-R" w:cs="AdvPSTIM10-R"/>
          <w:sz w:val="24"/>
          <w:szCs w:val="24"/>
        </w:rPr>
        <w:t xml:space="preserve"> </w:t>
      </w:r>
      <w:r w:rsidR="0002322E" w:rsidRPr="00FB20CC">
        <w:rPr>
          <w:rFonts w:eastAsiaTheme="minorHAnsi"/>
          <w:sz w:val="24"/>
          <w:szCs w:val="24"/>
        </w:rPr>
        <w:t>Zhang H-M 2017</w:t>
      </w:r>
      <w:r w:rsidR="00061797" w:rsidRPr="00FB20CC">
        <w:rPr>
          <w:rFonts w:eastAsiaTheme="minorHAnsi"/>
          <w:sz w:val="24"/>
          <w:szCs w:val="24"/>
        </w:rPr>
        <w:t xml:space="preserve">  </w:t>
      </w:r>
      <w:r w:rsidR="00061797" w:rsidRPr="00FB20CC">
        <w:rPr>
          <w:rFonts w:ascii="AdvPSTIM10-B" w:eastAsiaTheme="minorHAnsi" w:hAnsi="AdvPSTIM10-B" w:cs="AdvPSTIM10-B"/>
          <w:sz w:val="24"/>
          <w:szCs w:val="24"/>
        </w:rPr>
        <w:t xml:space="preserve">Extended Reconstructed Sea Surface Temperature, Version 5 </w:t>
      </w:r>
    </w:p>
    <w:p w14:paraId="2E949CC6" w14:textId="77777777" w:rsidR="00061797" w:rsidRPr="00FB20CC" w:rsidRDefault="00061797" w:rsidP="00553801">
      <w:pPr>
        <w:autoSpaceDE w:val="0"/>
        <w:autoSpaceDN w:val="0"/>
        <w:adjustRightInd w:val="0"/>
        <w:ind w:left="720"/>
        <w:rPr>
          <w:rFonts w:eastAsiaTheme="minorHAnsi"/>
          <w:sz w:val="24"/>
          <w:szCs w:val="24"/>
        </w:rPr>
      </w:pPr>
      <w:r w:rsidRPr="00FB20CC">
        <w:rPr>
          <w:rFonts w:ascii="AdvPSTIM10-B" w:eastAsiaTheme="minorHAnsi" w:hAnsi="AdvPSTIM10-B" w:cs="AdvPSTIM10-B"/>
          <w:sz w:val="24"/>
          <w:szCs w:val="24"/>
        </w:rPr>
        <w:t>(ERSSTv5):Upgrades, Validations, and Interc</w:t>
      </w:r>
      <w:r w:rsidR="002D02CE" w:rsidRPr="00FB20CC">
        <w:rPr>
          <w:rFonts w:ascii="AdvPSTIM10-B" w:eastAsiaTheme="minorHAnsi" w:hAnsi="AdvPSTIM10-B" w:cs="AdvPSTIM10-B"/>
          <w:sz w:val="24"/>
          <w:szCs w:val="24"/>
        </w:rPr>
        <w:t>omparisons.  Journal of Climate</w:t>
      </w:r>
      <w:r w:rsidRPr="00FB20CC">
        <w:rPr>
          <w:rFonts w:ascii="AdvPSTIM10-B" w:eastAsiaTheme="minorHAnsi" w:hAnsi="AdvPSTIM10-B" w:cs="AdvPSTIM10-B"/>
          <w:sz w:val="24"/>
          <w:szCs w:val="24"/>
        </w:rPr>
        <w:t xml:space="preserve"> </w:t>
      </w:r>
      <w:r w:rsidRPr="00FB20CC">
        <w:rPr>
          <w:rFonts w:ascii="AdvPSTIM10-B" w:eastAsiaTheme="minorHAnsi" w:hAnsi="AdvPSTIM10-B" w:cs="AdvPSTIM10-B"/>
          <w:b/>
          <w:sz w:val="24"/>
          <w:szCs w:val="24"/>
        </w:rPr>
        <w:t>30</w:t>
      </w:r>
      <w:r w:rsidRPr="00FB20CC">
        <w:rPr>
          <w:rFonts w:ascii="AdvPSTIM10-B" w:eastAsiaTheme="minorHAnsi" w:hAnsi="AdvPSTIM10-B" w:cs="AdvPSTIM10-B"/>
          <w:sz w:val="24"/>
          <w:szCs w:val="24"/>
        </w:rPr>
        <w:t xml:space="preserve"> </w:t>
      </w:r>
      <w:r w:rsidR="00C7193D" w:rsidRPr="00FB20CC">
        <w:rPr>
          <w:rFonts w:eastAsiaTheme="minorHAnsi"/>
          <w:sz w:val="24"/>
          <w:szCs w:val="24"/>
        </w:rPr>
        <w:t>8179-8205</w:t>
      </w:r>
      <w:r w:rsidRPr="00FB20CC">
        <w:rPr>
          <w:rFonts w:eastAsiaTheme="minorHAnsi"/>
          <w:sz w:val="24"/>
          <w:szCs w:val="24"/>
        </w:rPr>
        <w:t>.</w:t>
      </w:r>
    </w:p>
    <w:p w14:paraId="164F1FB7" w14:textId="77777777" w:rsidR="00061797" w:rsidRPr="00FB20CC" w:rsidRDefault="0002322E" w:rsidP="00061797">
      <w:pPr>
        <w:pStyle w:val="Heading1"/>
        <w:rPr>
          <w:rFonts w:ascii="Times New Roman" w:hAnsi="Times New Roman"/>
          <w:b/>
          <w:i w:val="0"/>
          <w:szCs w:val="24"/>
        </w:rPr>
      </w:pPr>
      <w:r w:rsidRPr="00FB20CC">
        <w:rPr>
          <w:rFonts w:ascii="Times New Roman" w:hAnsi="Times New Roman"/>
          <w:i w:val="0"/>
          <w:szCs w:val="24"/>
        </w:rPr>
        <w:t xml:space="preserve">Kirk </w:t>
      </w:r>
      <w:r w:rsidR="00061797" w:rsidRPr="00FB20CC">
        <w:rPr>
          <w:rFonts w:ascii="Times New Roman" w:hAnsi="Times New Roman"/>
          <w:i w:val="0"/>
          <w:szCs w:val="24"/>
        </w:rPr>
        <w:t>J</w:t>
      </w:r>
      <w:r w:rsidRPr="00FB20CC">
        <w:rPr>
          <w:rFonts w:ascii="Times New Roman" w:hAnsi="Times New Roman"/>
          <w:i w:val="0"/>
          <w:szCs w:val="24"/>
        </w:rPr>
        <w:t xml:space="preserve"> 1992</w:t>
      </w:r>
      <w:r w:rsidR="00061797" w:rsidRPr="00FB20CC">
        <w:rPr>
          <w:rFonts w:ascii="Times New Roman" w:hAnsi="Times New Roman"/>
          <w:i w:val="0"/>
          <w:szCs w:val="24"/>
        </w:rPr>
        <w:t xml:space="preserve"> The nature and measurement of the light environment in the ocean. pp. 9-29 </w:t>
      </w:r>
    </w:p>
    <w:p w14:paraId="74806367" w14:textId="77777777" w:rsidR="00061797" w:rsidRPr="00FB20CC" w:rsidRDefault="00061797" w:rsidP="00061797">
      <w:pPr>
        <w:pStyle w:val="Heading1"/>
        <w:ind w:left="720"/>
        <w:rPr>
          <w:rFonts w:ascii="Times New Roman" w:hAnsi="Times New Roman"/>
          <w:b/>
          <w:i w:val="0"/>
          <w:szCs w:val="24"/>
        </w:rPr>
      </w:pPr>
      <w:r w:rsidRPr="00FB20CC">
        <w:rPr>
          <w:rFonts w:ascii="Times New Roman" w:hAnsi="Times New Roman"/>
          <w:i w:val="0"/>
          <w:szCs w:val="24"/>
        </w:rPr>
        <w:t xml:space="preserve">In: Primary Productivity and Biogeochemical Cycles in the Sea. </w:t>
      </w:r>
      <w:proofErr w:type="spellStart"/>
      <w:r w:rsidRPr="00FB20CC">
        <w:rPr>
          <w:rStyle w:val="addmd"/>
          <w:rFonts w:ascii="Times New Roman" w:hAnsi="Times New Roman"/>
          <w:i w:val="0"/>
          <w:szCs w:val="24"/>
        </w:rPr>
        <w:t>Falkowski</w:t>
      </w:r>
      <w:proofErr w:type="spellEnd"/>
      <w:r w:rsidRPr="00FB20CC">
        <w:rPr>
          <w:rStyle w:val="addmd"/>
          <w:rFonts w:ascii="Times New Roman" w:hAnsi="Times New Roman"/>
          <w:i w:val="0"/>
          <w:szCs w:val="24"/>
        </w:rPr>
        <w:t xml:space="preserve">, P.G. and Woodhead, A.D., Eds.  Springer </w:t>
      </w:r>
      <w:proofErr w:type="spellStart"/>
      <w:r w:rsidRPr="00FB20CC">
        <w:rPr>
          <w:rStyle w:val="addmd"/>
          <w:rFonts w:ascii="Times New Roman" w:hAnsi="Times New Roman"/>
          <w:i w:val="0"/>
          <w:szCs w:val="24"/>
        </w:rPr>
        <w:t>Science+Business</w:t>
      </w:r>
      <w:proofErr w:type="spellEnd"/>
      <w:r w:rsidRPr="00FB20CC">
        <w:rPr>
          <w:rStyle w:val="addmd"/>
          <w:rFonts w:ascii="Times New Roman" w:hAnsi="Times New Roman"/>
          <w:i w:val="0"/>
          <w:szCs w:val="24"/>
        </w:rPr>
        <w:t xml:space="preserve"> Media.</w:t>
      </w:r>
    </w:p>
    <w:p w14:paraId="7C7261E5" w14:textId="77777777" w:rsidR="00125E15" w:rsidRPr="00FB20CC" w:rsidRDefault="002A3FA0" w:rsidP="002A3FA0">
      <w:pPr>
        <w:autoSpaceDE w:val="0"/>
        <w:autoSpaceDN w:val="0"/>
        <w:adjustRightInd w:val="0"/>
        <w:rPr>
          <w:rFonts w:eastAsiaTheme="minorHAnsi"/>
          <w:sz w:val="24"/>
          <w:szCs w:val="24"/>
        </w:rPr>
      </w:pPr>
      <w:proofErr w:type="spellStart"/>
      <w:r w:rsidRPr="00FB20CC">
        <w:rPr>
          <w:rFonts w:eastAsiaTheme="minorHAnsi"/>
          <w:sz w:val="24"/>
          <w:szCs w:val="24"/>
        </w:rPr>
        <w:t>Kvale</w:t>
      </w:r>
      <w:proofErr w:type="spellEnd"/>
      <w:r w:rsidRPr="00FB20CC">
        <w:rPr>
          <w:rFonts w:eastAsiaTheme="minorHAnsi"/>
          <w:sz w:val="24"/>
          <w:szCs w:val="24"/>
        </w:rPr>
        <w:t xml:space="preserve"> K, Turner K, </w:t>
      </w:r>
      <w:proofErr w:type="spellStart"/>
      <w:r w:rsidRPr="00FB20CC">
        <w:rPr>
          <w:rFonts w:eastAsiaTheme="minorHAnsi"/>
          <w:sz w:val="24"/>
          <w:szCs w:val="24"/>
        </w:rPr>
        <w:t>Landolfi</w:t>
      </w:r>
      <w:proofErr w:type="spellEnd"/>
      <w:r w:rsidRPr="00FB20CC">
        <w:rPr>
          <w:rFonts w:eastAsiaTheme="minorHAnsi"/>
          <w:sz w:val="24"/>
          <w:szCs w:val="24"/>
        </w:rPr>
        <w:t xml:space="preserve"> A, Meissner K 2018 </w:t>
      </w:r>
      <w:r w:rsidR="00125E15" w:rsidRPr="00FB20CC">
        <w:rPr>
          <w:rFonts w:eastAsiaTheme="minorHAnsi"/>
          <w:sz w:val="24"/>
          <w:szCs w:val="24"/>
        </w:rPr>
        <w:t xml:space="preserve"> </w:t>
      </w:r>
      <w:r w:rsidRPr="00FB20CC">
        <w:rPr>
          <w:rFonts w:eastAsiaTheme="minorHAnsi"/>
          <w:sz w:val="24"/>
          <w:szCs w:val="24"/>
        </w:rPr>
        <w:t xml:space="preserve">Phytoplankton </w:t>
      </w:r>
      <w:proofErr w:type="spellStart"/>
      <w:r w:rsidRPr="00FB20CC">
        <w:rPr>
          <w:rFonts w:eastAsiaTheme="minorHAnsi"/>
          <w:sz w:val="24"/>
          <w:szCs w:val="24"/>
        </w:rPr>
        <w:t>calcifiers</w:t>
      </w:r>
      <w:proofErr w:type="spellEnd"/>
      <w:r w:rsidRPr="00FB20CC">
        <w:rPr>
          <w:rFonts w:eastAsiaTheme="minorHAnsi"/>
          <w:sz w:val="24"/>
          <w:szCs w:val="24"/>
        </w:rPr>
        <w:t xml:space="preserve"> control nitrate </w:t>
      </w:r>
    </w:p>
    <w:p w14:paraId="4B229B95" w14:textId="77777777" w:rsidR="002A3FA0" w:rsidRPr="00FB20CC" w:rsidRDefault="002A3FA0" w:rsidP="00FB20CC">
      <w:pPr>
        <w:autoSpaceDE w:val="0"/>
        <w:autoSpaceDN w:val="0"/>
        <w:adjustRightInd w:val="0"/>
        <w:ind w:left="720"/>
        <w:rPr>
          <w:rFonts w:eastAsiaTheme="minorHAnsi"/>
          <w:sz w:val="24"/>
          <w:szCs w:val="24"/>
        </w:rPr>
      </w:pPr>
      <w:r w:rsidRPr="00FB20CC">
        <w:rPr>
          <w:rFonts w:eastAsiaTheme="minorHAnsi"/>
          <w:sz w:val="24"/>
          <w:szCs w:val="24"/>
        </w:rPr>
        <w:t xml:space="preserve">cycling and the pace of transition in warming icehouse and cooling greenhouse climates.  </w:t>
      </w:r>
      <w:proofErr w:type="spellStart"/>
      <w:r w:rsidRPr="00FB20CC">
        <w:rPr>
          <w:rFonts w:eastAsiaTheme="minorHAnsi"/>
          <w:sz w:val="24"/>
          <w:szCs w:val="24"/>
        </w:rPr>
        <w:t>Biogeosciences</w:t>
      </w:r>
      <w:proofErr w:type="spellEnd"/>
      <w:r w:rsidR="00125E15" w:rsidRPr="00FB20CC">
        <w:rPr>
          <w:rFonts w:eastAsiaTheme="minorHAnsi"/>
          <w:sz w:val="24"/>
          <w:szCs w:val="24"/>
        </w:rPr>
        <w:t xml:space="preserve"> </w:t>
      </w:r>
      <w:r w:rsidR="00125E15" w:rsidRPr="00FB20CC">
        <w:rPr>
          <w:rFonts w:eastAsiaTheme="minorHAnsi"/>
          <w:b/>
          <w:sz w:val="24"/>
          <w:szCs w:val="24"/>
        </w:rPr>
        <w:t>16</w:t>
      </w:r>
      <w:r w:rsidRPr="00FB20CC">
        <w:rPr>
          <w:rFonts w:eastAsiaTheme="minorHAnsi"/>
          <w:sz w:val="24"/>
          <w:szCs w:val="24"/>
        </w:rPr>
        <w:t xml:space="preserve"> 1019–1034</w:t>
      </w:r>
    </w:p>
    <w:p w14:paraId="09B773AE" w14:textId="77777777" w:rsidR="004C6AC5" w:rsidRPr="00FB20CC" w:rsidRDefault="0002322E" w:rsidP="002A3FA0">
      <w:pPr>
        <w:autoSpaceDE w:val="0"/>
        <w:autoSpaceDN w:val="0"/>
        <w:adjustRightInd w:val="0"/>
        <w:rPr>
          <w:sz w:val="24"/>
          <w:szCs w:val="24"/>
        </w:rPr>
      </w:pPr>
      <w:r w:rsidRPr="00FB20CC">
        <w:rPr>
          <w:sz w:val="24"/>
          <w:szCs w:val="24"/>
        </w:rPr>
        <w:t>Kwiatkowski</w:t>
      </w:r>
      <w:r w:rsidR="00D31B40" w:rsidRPr="00FB20CC">
        <w:rPr>
          <w:sz w:val="24"/>
          <w:szCs w:val="24"/>
        </w:rPr>
        <w:t xml:space="preserve"> L, Bopp L, </w:t>
      </w:r>
      <w:proofErr w:type="spellStart"/>
      <w:r w:rsidR="00D31B40" w:rsidRPr="00FB20CC">
        <w:rPr>
          <w:sz w:val="24"/>
          <w:szCs w:val="24"/>
        </w:rPr>
        <w:t>Aumont</w:t>
      </w:r>
      <w:proofErr w:type="spellEnd"/>
      <w:r w:rsidR="00D31B40" w:rsidRPr="00FB20CC">
        <w:rPr>
          <w:sz w:val="24"/>
          <w:szCs w:val="24"/>
        </w:rPr>
        <w:t xml:space="preserve"> O, </w:t>
      </w:r>
      <w:proofErr w:type="spellStart"/>
      <w:r w:rsidR="00D31B40" w:rsidRPr="00FB20CC">
        <w:rPr>
          <w:sz w:val="24"/>
          <w:szCs w:val="24"/>
        </w:rPr>
        <w:t>Ciais</w:t>
      </w:r>
      <w:proofErr w:type="spellEnd"/>
      <w:r w:rsidR="00D31B40" w:rsidRPr="00FB20CC">
        <w:rPr>
          <w:sz w:val="24"/>
          <w:szCs w:val="24"/>
        </w:rPr>
        <w:t xml:space="preserve"> P, Cox P, Laufkötter C, Li Y, </w:t>
      </w:r>
      <w:proofErr w:type="spellStart"/>
      <w:r w:rsidR="00D31B40" w:rsidRPr="00FB20CC">
        <w:rPr>
          <w:sz w:val="24"/>
          <w:szCs w:val="24"/>
        </w:rPr>
        <w:t>Séférian</w:t>
      </w:r>
      <w:proofErr w:type="spellEnd"/>
      <w:r w:rsidR="002D02CE" w:rsidRPr="00FB20CC">
        <w:rPr>
          <w:sz w:val="24"/>
          <w:szCs w:val="24"/>
        </w:rPr>
        <w:t xml:space="preserve"> R</w:t>
      </w:r>
      <w:r w:rsidR="00D31B40" w:rsidRPr="00FB20CC">
        <w:rPr>
          <w:sz w:val="24"/>
          <w:szCs w:val="24"/>
        </w:rPr>
        <w:t xml:space="preserve"> 2017 </w:t>
      </w:r>
    </w:p>
    <w:p w14:paraId="5DDD97CD" w14:textId="77777777" w:rsidR="00D31B40" w:rsidRPr="00FB20CC" w:rsidRDefault="00D31B40" w:rsidP="004C6AC5">
      <w:pPr>
        <w:autoSpaceDE w:val="0"/>
        <w:autoSpaceDN w:val="0"/>
        <w:adjustRightInd w:val="0"/>
        <w:ind w:left="720"/>
        <w:rPr>
          <w:sz w:val="24"/>
          <w:szCs w:val="24"/>
        </w:rPr>
      </w:pPr>
      <w:r w:rsidRPr="00FB20CC">
        <w:rPr>
          <w:sz w:val="24"/>
          <w:szCs w:val="24"/>
        </w:rPr>
        <w:t>Emergent constraints on projections of declining primary production in the tropical oceans.  N</w:t>
      </w:r>
      <w:r w:rsidR="002D02CE" w:rsidRPr="00FB20CC">
        <w:rPr>
          <w:sz w:val="24"/>
          <w:szCs w:val="24"/>
        </w:rPr>
        <w:t>ature Climate Change</w:t>
      </w:r>
      <w:r w:rsidR="009E37E8" w:rsidRPr="00FB20CC">
        <w:rPr>
          <w:sz w:val="24"/>
          <w:szCs w:val="24"/>
        </w:rPr>
        <w:t xml:space="preserve"> </w:t>
      </w:r>
      <w:r w:rsidR="009E37E8" w:rsidRPr="00FB20CC">
        <w:rPr>
          <w:b/>
          <w:sz w:val="24"/>
          <w:szCs w:val="24"/>
        </w:rPr>
        <w:t>7</w:t>
      </w:r>
      <w:r w:rsidRPr="00FB20CC">
        <w:rPr>
          <w:sz w:val="24"/>
          <w:szCs w:val="24"/>
        </w:rPr>
        <w:t xml:space="preserve"> </w:t>
      </w:r>
      <w:r w:rsidR="00AA4539" w:rsidRPr="00FB20CC">
        <w:rPr>
          <w:sz w:val="24"/>
          <w:szCs w:val="24"/>
        </w:rPr>
        <w:t>355-358</w:t>
      </w:r>
      <w:r w:rsidRPr="00FB20CC">
        <w:rPr>
          <w:sz w:val="24"/>
          <w:szCs w:val="24"/>
        </w:rPr>
        <w:t>.</w:t>
      </w:r>
    </w:p>
    <w:p w14:paraId="19157927" w14:textId="77777777" w:rsidR="004C6AC5" w:rsidRPr="00FB20CC" w:rsidRDefault="005753FD" w:rsidP="004C6AC5">
      <w:pPr>
        <w:autoSpaceDE w:val="0"/>
        <w:autoSpaceDN w:val="0"/>
        <w:adjustRightInd w:val="0"/>
        <w:rPr>
          <w:bCs/>
          <w:sz w:val="24"/>
          <w:szCs w:val="24"/>
        </w:rPr>
      </w:pPr>
      <w:r w:rsidRPr="00FB20CC">
        <w:rPr>
          <w:bCs/>
          <w:sz w:val="24"/>
          <w:szCs w:val="24"/>
        </w:rPr>
        <w:t>Laufkötter</w:t>
      </w:r>
      <w:r w:rsidR="004C6AC5" w:rsidRPr="00FB20CC">
        <w:rPr>
          <w:bCs/>
          <w:sz w:val="24"/>
          <w:szCs w:val="24"/>
        </w:rPr>
        <w:t xml:space="preserve"> C</w:t>
      </w:r>
      <w:r w:rsidRPr="00FB20CC">
        <w:rPr>
          <w:bCs/>
          <w:sz w:val="24"/>
          <w:szCs w:val="24"/>
        </w:rPr>
        <w:t>, Vogt</w:t>
      </w:r>
      <w:r w:rsidR="004C6AC5" w:rsidRPr="00FB20CC">
        <w:rPr>
          <w:bCs/>
          <w:sz w:val="24"/>
          <w:szCs w:val="24"/>
        </w:rPr>
        <w:t xml:space="preserve"> M</w:t>
      </w:r>
      <w:r w:rsidRPr="00FB20CC">
        <w:rPr>
          <w:bCs/>
          <w:sz w:val="24"/>
          <w:szCs w:val="24"/>
        </w:rPr>
        <w:t>, Gruber</w:t>
      </w:r>
      <w:r w:rsidR="004C6AC5" w:rsidRPr="00FB20CC">
        <w:rPr>
          <w:bCs/>
          <w:sz w:val="24"/>
          <w:szCs w:val="24"/>
        </w:rPr>
        <w:t xml:space="preserve"> N, </w:t>
      </w:r>
      <w:proofErr w:type="spellStart"/>
      <w:r w:rsidR="004C6AC5" w:rsidRPr="00FB20CC">
        <w:rPr>
          <w:bCs/>
          <w:sz w:val="24"/>
          <w:szCs w:val="24"/>
        </w:rPr>
        <w:t>Aita</w:t>
      </w:r>
      <w:proofErr w:type="spellEnd"/>
      <w:r w:rsidR="004C6AC5" w:rsidRPr="00FB20CC">
        <w:rPr>
          <w:bCs/>
          <w:sz w:val="24"/>
          <w:szCs w:val="24"/>
        </w:rPr>
        <w:t xml:space="preserve">-Noguchi M, </w:t>
      </w:r>
      <w:proofErr w:type="spellStart"/>
      <w:r w:rsidR="004C6AC5" w:rsidRPr="00FB20CC">
        <w:rPr>
          <w:bCs/>
          <w:sz w:val="24"/>
          <w:szCs w:val="24"/>
        </w:rPr>
        <w:t>Aumont</w:t>
      </w:r>
      <w:proofErr w:type="spellEnd"/>
      <w:r w:rsidR="004C6AC5" w:rsidRPr="00FB20CC">
        <w:rPr>
          <w:bCs/>
          <w:sz w:val="24"/>
          <w:szCs w:val="24"/>
        </w:rPr>
        <w:t xml:space="preserve"> O</w:t>
      </w:r>
      <w:r w:rsidRPr="00FB20CC">
        <w:rPr>
          <w:bCs/>
          <w:sz w:val="24"/>
          <w:szCs w:val="24"/>
        </w:rPr>
        <w:t xml:space="preserve">, </w:t>
      </w:r>
      <w:r w:rsidRPr="00FB20CC">
        <w:rPr>
          <w:bCs/>
          <w:i/>
          <w:sz w:val="24"/>
          <w:szCs w:val="24"/>
        </w:rPr>
        <w:t>et al</w:t>
      </w:r>
      <w:r w:rsidRPr="00FB20CC">
        <w:rPr>
          <w:bCs/>
          <w:sz w:val="24"/>
          <w:szCs w:val="24"/>
        </w:rPr>
        <w:t>. 2015  Drivers</w:t>
      </w:r>
      <w:r w:rsidR="004C6AC5" w:rsidRPr="00FB20CC">
        <w:rPr>
          <w:bCs/>
          <w:sz w:val="24"/>
          <w:szCs w:val="24"/>
        </w:rPr>
        <w:t xml:space="preserve"> </w:t>
      </w:r>
      <w:r w:rsidRPr="00FB20CC">
        <w:rPr>
          <w:bCs/>
          <w:sz w:val="24"/>
          <w:szCs w:val="24"/>
        </w:rPr>
        <w:t xml:space="preserve">and </w:t>
      </w:r>
    </w:p>
    <w:p w14:paraId="67D5934C" w14:textId="77777777" w:rsidR="005753FD" w:rsidRPr="00FB20CC" w:rsidRDefault="005753FD" w:rsidP="004C6AC5">
      <w:pPr>
        <w:autoSpaceDE w:val="0"/>
        <w:autoSpaceDN w:val="0"/>
        <w:adjustRightInd w:val="0"/>
        <w:ind w:left="720"/>
        <w:rPr>
          <w:bCs/>
          <w:sz w:val="24"/>
          <w:szCs w:val="24"/>
        </w:rPr>
      </w:pPr>
      <w:r w:rsidRPr="00FB20CC">
        <w:rPr>
          <w:bCs/>
          <w:sz w:val="24"/>
          <w:szCs w:val="24"/>
        </w:rPr>
        <w:t>uncertainties of future global marine primary production in marine ecos</w:t>
      </w:r>
      <w:r w:rsidR="004C6AC5" w:rsidRPr="00FB20CC">
        <w:rPr>
          <w:bCs/>
          <w:sz w:val="24"/>
          <w:szCs w:val="24"/>
        </w:rPr>
        <w:t>ystem models</w:t>
      </w:r>
      <w:r w:rsidRPr="00FB20CC">
        <w:rPr>
          <w:bCs/>
          <w:sz w:val="24"/>
          <w:szCs w:val="24"/>
        </w:rPr>
        <w:t xml:space="preserve">  </w:t>
      </w:r>
      <w:proofErr w:type="spellStart"/>
      <w:r w:rsidR="002D02CE" w:rsidRPr="00FB20CC">
        <w:rPr>
          <w:sz w:val="24"/>
          <w:szCs w:val="24"/>
        </w:rPr>
        <w:t>Biogeosciences</w:t>
      </w:r>
      <w:proofErr w:type="spellEnd"/>
      <w:r w:rsidR="002D02CE" w:rsidRPr="00FB20CC">
        <w:rPr>
          <w:sz w:val="24"/>
          <w:szCs w:val="24"/>
        </w:rPr>
        <w:t xml:space="preserve"> </w:t>
      </w:r>
      <w:r w:rsidR="002D02CE" w:rsidRPr="00FB20CC">
        <w:rPr>
          <w:b/>
          <w:sz w:val="24"/>
          <w:szCs w:val="24"/>
        </w:rPr>
        <w:t>12</w:t>
      </w:r>
      <w:r w:rsidR="002D02CE" w:rsidRPr="00FB20CC">
        <w:rPr>
          <w:sz w:val="24"/>
          <w:szCs w:val="24"/>
        </w:rPr>
        <w:t xml:space="preserve"> </w:t>
      </w:r>
      <w:r w:rsidR="0005268A" w:rsidRPr="00FB20CC">
        <w:rPr>
          <w:sz w:val="24"/>
          <w:szCs w:val="24"/>
        </w:rPr>
        <w:t>6955-6984</w:t>
      </w:r>
    </w:p>
    <w:p w14:paraId="0780CB6A" w14:textId="77777777" w:rsidR="004C6AC5" w:rsidRPr="00FB20CC" w:rsidRDefault="00D5420E" w:rsidP="004C6AC5">
      <w:pPr>
        <w:autoSpaceDE w:val="0"/>
        <w:autoSpaceDN w:val="0"/>
        <w:adjustRightInd w:val="0"/>
        <w:rPr>
          <w:sz w:val="24"/>
          <w:szCs w:val="24"/>
        </w:rPr>
      </w:pPr>
      <w:r w:rsidRPr="00FB20CC">
        <w:rPr>
          <w:sz w:val="24"/>
          <w:szCs w:val="24"/>
        </w:rPr>
        <w:t>Laufkötter</w:t>
      </w:r>
      <w:r w:rsidR="004C6AC5" w:rsidRPr="00FB20CC">
        <w:rPr>
          <w:sz w:val="24"/>
          <w:szCs w:val="24"/>
        </w:rPr>
        <w:t xml:space="preserve"> C</w:t>
      </w:r>
      <w:r w:rsidRPr="00FB20CC">
        <w:rPr>
          <w:sz w:val="24"/>
          <w:szCs w:val="24"/>
        </w:rPr>
        <w:t>, Vogt</w:t>
      </w:r>
      <w:r w:rsidR="004C6AC5" w:rsidRPr="00FB20CC">
        <w:rPr>
          <w:sz w:val="24"/>
          <w:szCs w:val="24"/>
        </w:rPr>
        <w:t xml:space="preserve"> M</w:t>
      </w:r>
      <w:r w:rsidRPr="00FB20CC">
        <w:rPr>
          <w:sz w:val="24"/>
          <w:szCs w:val="24"/>
        </w:rPr>
        <w:t xml:space="preserve"> </w:t>
      </w:r>
      <w:r w:rsidR="00D71687" w:rsidRPr="00FB20CC">
        <w:rPr>
          <w:sz w:val="24"/>
          <w:szCs w:val="24"/>
        </w:rPr>
        <w:t>and</w:t>
      </w:r>
      <w:r w:rsidRPr="00FB20CC">
        <w:rPr>
          <w:sz w:val="24"/>
          <w:szCs w:val="24"/>
        </w:rPr>
        <w:t xml:space="preserve"> Gruber N. 2013</w:t>
      </w:r>
      <w:r w:rsidR="00700EDD" w:rsidRPr="00FB20CC">
        <w:rPr>
          <w:sz w:val="24"/>
          <w:szCs w:val="24"/>
        </w:rPr>
        <w:t>.</w:t>
      </w:r>
      <w:r w:rsidRPr="00FB20CC">
        <w:rPr>
          <w:sz w:val="24"/>
          <w:szCs w:val="24"/>
        </w:rPr>
        <w:t xml:space="preserve">  Long-term trends in ocean plankton</w:t>
      </w:r>
      <w:r w:rsidR="004C6AC5" w:rsidRPr="00FB20CC">
        <w:rPr>
          <w:sz w:val="24"/>
          <w:szCs w:val="24"/>
        </w:rPr>
        <w:t xml:space="preserve"> </w:t>
      </w:r>
      <w:r w:rsidRPr="00FB20CC">
        <w:rPr>
          <w:sz w:val="24"/>
          <w:szCs w:val="24"/>
        </w:rPr>
        <w:t xml:space="preserve">production and </w:t>
      </w:r>
    </w:p>
    <w:p w14:paraId="73085E32" w14:textId="77777777" w:rsidR="00D5420E" w:rsidRPr="00FB20CC" w:rsidRDefault="00D5420E" w:rsidP="004C6AC5">
      <w:pPr>
        <w:autoSpaceDE w:val="0"/>
        <w:autoSpaceDN w:val="0"/>
        <w:adjustRightInd w:val="0"/>
        <w:ind w:firstLine="720"/>
        <w:rPr>
          <w:sz w:val="24"/>
          <w:szCs w:val="24"/>
        </w:rPr>
      </w:pPr>
      <w:r w:rsidRPr="00FB20CC">
        <w:rPr>
          <w:sz w:val="24"/>
          <w:szCs w:val="24"/>
        </w:rPr>
        <w:t>particle export bet</w:t>
      </w:r>
      <w:r w:rsidR="00152DF7" w:rsidRPr="00FB20CC">
        <w:rPr>
          <w:sz w:val="24"/>
          <w:szCs w:val="24"/>
        </w:rPr>
        <w:t xml:space="preserve">ween 1960–2006.  </w:t>
      </w:r>
      <w:proofErr w:type="spellStart"/>
      <w:r w:rsidR="00152DF7" w:rsidRPr="00FB20CC">
        <w:rPr>
          <w:sz w:val="24"/>
          <w:szCs w:val="24"/>
        </w:rPr>
        <w:t>Biogeosciences</w:t>
      </w:r>
      <w:proofErr w:type="spellEnd"/>
      <w:r w:rsidR="0005268A" w:rsidRPr="00FB20CC">
        <w:rPr>
          <w:sz w:val="24"/>
          <w:szCs w:val="24"/>
        </w:rPr>
        <w:t xml:space="preserve"> </w:t>
      </w:r>
      <w:r w:rsidR="0005268A" w:rsidRPr="00FB20CC">
        <w:rPr>
          <w:b/>
          <w:sz w:val="24"/>
          <w:szCs w:val="24"/>
        </w:rPr>
        <w:t>10</w:t>
      </w:r>
      <w:r w:rsidR="0005268A" w:rsidRPr="00FB20CC">
        <w:rPr>
          <w:sz w:val="24"/>
          <w:szCs w:val="24"/>
        </w:rPr>
        <w:t xml:space="preserve"> </w:t>
      </w:r>
      <w:r w:rsidR="00152DF7" w:rsidRPr="00FB20CC">
        <w:rPr>
          <w:sz w:val="24"/>
          <w:szCs w:val="24"/>
        </w:rPr>
        <w:t>7373-7393</w:t>
      </w:r>
      <w:r w:rsidRPr="00FB20CC">
        <w:rPr>
          <w:sz w:val="24"/>
          <w:szCs w:val="24"/>
        </w:rPr>
        <w:t>.</w:t>
      </w:r>
    </w:p>
    <w:p w14:paraId="2312A950" w14:textId="77777777" w:rsidR="004C6AC5" w:rsidRPr="00FB20CC" w:rsidRDefault="00061797" w:rsidP="004C6AC5">
      <w:pPr>
        <w:autoSpaceDE w:val="0"/>
        <w:autoSpaceDN w:val="0"/>
        <w:adjustRightInd w:val="0"/>
        <w:rPr>
          <w:rFonts w:eastAsiaTheme="minorHAnsi"/>
          <w:sz w:val="24"/>
          <w:szCs w:val="24"/>
        </w:rPr>
      </w:pPr>
      <w:r w:rsidRPr="00FB20CC">
        <w:rPr>
          <w:rFonts w:eastAsiaTheme="minorHAnsi"/>
          <w:sz w:val="24"/>
          <w:szCs w:val="24"/>
        </w:rPr>
        <w:lastRenderedPageBreak/>
        <w:t xml:space="preserve">Lian T, Shen Z, Ying J, Tang Y, Li J </w:t>
      </w:r>
      <w:r w:rsidR="00D71687" w:rsidRPr="00FB20CC">
        <w:rPr>
          <w:rFonts w:eastAsiaTheme="minorHAnsi"/>
          <w:sz w:val="24"/>
          <w:szCs w:val="24"/>
        </w:rPr>
        <w:t>and</w:t>
      </w:r>
      <w:r w:rsidRPr="00FB20CC">
        <w:rPr>
          <w:rFonts w:eastAsiaTheme="minorHAnsi"/>
          <w:sz w:val="24"/>
          <w:szCs w:val="24"/>
        </w:rPr>
        <w:t xml:space="preserve"> Ling Z 2018</w:t>
      </w:r>
      <w:r w:rsidR="004C6AC5" w:rsidRPr="00FB20CC">
        <w:rPr>
          <w:rFonts w:eastAsiaTheme="minorHAnsi"/>
          <w:sz w:val="24"/>
          <w:szCs w:val="24"/>
        </w:rPr>
        <w:t xml:space="preserve"> </w:t>
      </w:r>
      <w:r w:rsidRPr="00FB20CC">
        <w:rPr>
          <w:rFonts w:eastAsiaTheme="minorHAnsi"/>
          <w:sz w:val="24"/>
          <w:szCs w:val="24"/>
        </w:rPr>
        <w:t>Investigating the uncertainty</w:t>
      </w:r>
      <w:r w:rsidR="004C6AC5" w:rsidRPr="00FB20CC">
        <w:rPr>
          <w:rFonts w:eastAsiaTheme="minorHAnsi"/>
          <w:sz w:val="24"/>
          <w:szCs w:val="24"/>
        </w:rPr>
        <w:t xml:space="preserve"> </w:t>
      </w:r>
      <w:r w:rsidRPr="00FB20CC">
        <w:rPr>
          <w:rFonts w:eastAsiaTheme="minorHAnsi"/>
          <w:sz w:val="24"/>
          <w:szCs w:val="24"/>
        </w:rPr>
        <w:t xml:space="preserve">in global </w:t>
      </w:r>
    </w:p>
    <w:p w14:paraId="1DF6335D" w14:textId="77777777" w:rsidR="00061797" w:rsidRPr="00FB20CC" w:rsidRDefault="00061797" w:rsidP="004C6AC5">
      <w:pPr>
        <w:autoSpaceDE w:val="0"/>
        <w:autoSpaceDN w:val="0"/>
        <w:adjustRightInd w:val="0"/>
        <w:ind w:left="720"/>
        <w:rPr>
          <w:rFonts w:eastAsiaTheme="minorHAnsi"/>
          <w:sz w:val="24"/>
          <w:szCs w:val="24"/>
        </w:rPr>
      </w:pPr>
      <w:r w:rsidRPr="00FB20CC">
        <w:rPr>
          <w:rFonts w:eastAsiaTheme="minorHAnsi"/>
          <w:sz w:val="24"/>
          <w:szCs w:val="24"/>
        </w:rPr>
        <w:t>SST trends due to internal variations us</w:t>
      </w:r>
      <w:r w:rsidR="004C6AC5" w:rsidRPr="00FB20CC">
        <w:rPr>
          <w:rFonts w:eastAsiaTheme="minorHAnsi"/>
          <w:sz w:val="24"/>
          <w:szCs w:val="24"/>
        </w:rPr>
        <w:t>ing an improved trend estimator</w:t>
      </w:r>
      <w:r w:rsidRPr="00FB20CC">
        <w:rPr>
          <w:rFonts w:eastAsiaTheme="minorHAnsi"/>
          <w:sz w:val="24"/>
          <w:szCs w:val="24"/>
        </w:rPr>
        <w:t xml:space="preserve"> Journal of Geophysical Research: Oceans </w:t>
      </w:r>
      <w:r w:rsidRPr="00FB20CC">
        <w:rPr>
          <w:rFonts w:eastAsiaTheme="minorHAnsi"/>
          <w:b/>
          <w:sz w:val="24"/>
          <w:szCs w:val="24"/>
        </w:rPr>
        <w:t>123</w:t>
      </w:r>
      <w:r w:rsidR="002D02CE" w:rsidRPr="00FB20CC">
        <w:rPr>
          <w:rFonts w:eastAsiaTheme="minorHAnsi"/>
          <w:sz w:val="24"/>
          <w:szCs w:val="24"/>
        </w:rPr>
        <w:t xml:space="preserve"> </w:t>
      </w:r>
      <w:r w:rsidR="00C7193D" w:rsidRPr="00FB20CC">
        <w:rPr>
          <w:rFonts w:eastAsiaTheme="minorHAnsi"/>
          <w:sz w:val="24"/>
          <w:szCs w:val="24"/>
        </w:rPr>
        <w:t>1877-1895</w:t>
      </w:r>
      <w:r w:rsidRPr="00FB20CC">
        <w:rPr>
          <w:rFonts w:eastAsiaTheme="minorHAnsi"/>
          <w:sz w:val="24"/>
          <w:szCs w:val="24"/>
        </w:rPr>
        <w:t>.</w:t>
      </w:r>
    </w:p>
    <w:p w14:paraId="091D2D56" w14:textId="77777777" w:rsidR="004C6AC5" w:rsidRPr="00FB20CC" w:rsidRDefault="005753FD" w:rsidP="004C6AC5">
      <w:pPr>
        <w:autoSpaceDE w:val="0"/>
        <w:autoSpaceDN w:val="0"/>
        <w:adjustRightInd w:val="0"/>
        <w:rPr>
          <w:sz w:val="24"/>
          <w:szCs w:val="24"/>
        </w:rPr>
      </w:pPr>
      <w:r w:rsidRPr="00FB20CC">
        <w:rPr>
          <w:sz w:val="24"/>
          <w:szCs w:val="24"/>
        </w:rPr>
        <w:t xml:space="preserve">Meister G </w:t>
      </w:r>
      <w:r w:rsidR="00D71687" w:rsidRPr="00FB20CC">
        <w:rPr>
          <w:sz w:val="24"/>
          <w:szCs w:val="24"/>
        </w:rPr>
        <w:t>and</w:t>
      </w:r>
      <w:r w:rsidRPr="00FB20CC">
        <w:rPr>
          <w:sz w:val="24"/>
          <w:szCs w:val="24"/>
        </w:rPr>
        <w:t xml:space="preserve"> Franz B 2014 Corrections to the MODIS Aqua calibration derived from MODIS </w:t>
      </w:r>
    </w:p>
    <w:p w14:paraId="3F60F8B6" w14:textId="77777777" w:rsidR="005753FD" w:rsidRPr="00FB20CC" w:rsidRDefault="005753FD" w:rsidP="004C6AC5">
      <w:pPr>
        <w:autoSpaceDE w:val="0"/>
        <w:autoSpaceDN w:val="0"/>
        <w:adjustRightInd w:val="0"/>
        <w:ind w:left="720"/>
        <w:rPr>
          <w:sz w:val="24"/>
          <w:szCs w:val="24"/>
        </w:rPr>
      </w:pPr>
      <w:r w:rsidRPr="00FB20CC">
        <w:rPr>
          <w:sz w:val="24"/>
          <w:szCs w:val="24"/>
        </w:rPr>
        <w:t xml:space="preserve">Aqua ocean color products. </w:t>
      </w:r>
      <w:r w:rsidRPr="00FB20CC">
        <w:rPr>
          <w:rStyle w:val="author"/>
          <w:sz w:val="24"/>
          <w:szCs w:val="24"/>
          <w:bdr w:val="none" w:sz="0" w:space="0" w:color="auto" w:frame="1"/>
        </w:rPr>
        <w:t xml:space="preserve"> </w:t>
      </w:r>
      <w:r w:rsidRPr="00FB20CC">
        <w:rPr>
          <w:sz w:val="24"/>
          <w:szCs w:val="24"/>
        </w:rPr>
        <w:t>IEEE Transactions o</w:t>
      </w:r>
      <w:r w:rsidR="002D02CE" w:rsidRPr="00FB20CC">
        <w:rPr>
          <w:sz w:val="24"/>
          <w:szCs w:val="24"/>
        </w:rPr>
        <w:t>n Geoscience and Remote Sensing</w:t>
      </w:r>
      <w:r w:rsidRPr="00FB20CC">
        <w:rPr>
          <w:sz w:val="24"/>
          <w:szCs w:val="24"/>
        </w:rPr>
        <w:t xml:space="preserve"> </w:t>
      </w:r>
      <w:r w:rsidRPr="00FB20CC">
        <w:rPr>
          <w:b/>
          <w:sz w:val="24"/>
          <w:szCs w:val="24"/>
        </w:rPr>
        <w:t>52</w:t>
      </w:r>
      <w:r w:rsidR="00A67555" w:rsidRPr="00FB20CC">
        <w:rPr>
          <w:sz w:val="24"/>
          <w:szCs w:val="24"/>
        </w:rPr>
        <w:t xml:space="preserve"> 6534-6541.</w:t>
      </w:r>
    </w:p>
    <w:p w14:paraId="06322800" w14:textId="77777777" w:rsidR="00333CB4" w:rsidRPr="00FB20CC" w:rsidRDefault="00333CB4" w:rsidP="00333CB4">
      <w:pPr>
        <w:rPr>
          <w:rFonts w:eastAsia="Times New Roman"/>
          <w:sz w:val="24"/>
          <w:szCs w:val="24"/>
        </w:rPr>
      </w:pPr>
      <w:r w:rsidRPr="00FB20CC">
        <w:rPr>
          <w:rFonts w:eastAsia="Times New Roman"/>
          <w:sz w:val="24"/>
          <w:szCs w:val="24"/>
        </w:rPr>
        <w:t>Moore J, Fu W</w:t>
      </w:r>
      <w:r w:rsidR="005753FD" w:rsidRPr="00FB20CC">
        <w:rPr>
          <w:rFonts w:eastAsia="Times New Roman"/>
          <w:sz w:val="24"/>
          <w:szCs w:val="24"/>
        </w:rPr>
        <w:t xml:space="preserve">, </w:t>
      </w:r>
      <w:proofErr w:type="spellStart"/>
      <w:r w:rsidR="005753FD" w:rsidRPr="00FB20CC">
        <w:rPr>
          <w:rFonts w:eastAsia="Times New Roman"/>
          <w:sz w:val="24"/>
          <w:szCs w:val="24"/>
        </w:rPr>
        <w:t>Primeau</w:t>
      </w:r>
      <w:proofErr w:type="spellEnd"/>
      <w:r w:rsidRPr="00FB20CC">
        <w:rPr>
          <w:rFonts w:eastAsia="Times New Roman"/>
          <w:sz w:val="24"/>
          <w:szCs w:val="24"/>
        </w:rPr>
        <w:t xml:space="preserve"> F, Britten G, Lindsay K, Long M, </w:t>
      </w:r>
      <w:proofErr w:type="spellStart"/>
      <w:r w:rsidRPr="00FB20CC">
        <w:rPr>
          <w:rFonts w:eastAsia="Times New Roman"/>
          <w:sz w:val="24"/>
          <w:szCs w:val="24"/>
        </w:rPr>
        <w:t>Doney</w:t>
      </w:r>
      <w:proofErr w:type="spellEnd"/>
      <w:r w:rsidRPr="00FB20CC">
        <w:rPr>
          <w:rFonts w:eastAsia="Times New Roman"/>
          <w:sz w:val="24"/>
          <w:szCs w:val="24"/>
        </w:rPr>
        <w:t>, S</w:t>
      </w:r>
      <w:r w:rsidR="005753FD" w:rsidRPr="00FB20CC">
        <w:rPr>
          <w:rFonts w:eastAsia="Times New Roman"/>
          <w:sz w:val="24"/>
          <w:szCs w:val="24"/>
        </w:rPr>
        <w:t>,</w:t>
      </w:r>
      <w:r w:rsidRPr="00FB20CC">
        <w:rPr>
          <w:rFonts w:eastAsia="Times New Roman"/>
          <w:sz w:val="24"/>
          <w:szCs w:val="24"/>
        </w:rPr>
        <w:t xml:space="preserve"> </w:t>
      </w:r>
      <w:proofErr w:type="spellStart"/>
      <w:r w:rsidRPr="00FB20CC">
        <w:rPr>
          <w:rFonts w:eastAsia="Times New Roman"/>
          <w:sz w:val="24"/>
          <w:szCs w:val="24"/>
        </w:rPr>
        <w:t>Mahowald</w:t>
      </w:r>
      <w:proofErr w:type="spellEnd"/>
      <w:r w:rsidRPr="00FB20CC">
        <w:rPr>
          <w:rFonts w:eastAsia="Times New Roman"/>
          <w:sz w:val="24"/>
          <w:szCs w:val="24"/>
        </w:rPr>
        <w:t xml:space="preserve"> N, Hoffman F</w:t>
      </w:r>
      <w:r w:rsidR="005753FD" w:rsidRPr="00FB20CC">
        <w:rPr>
          <w:rFonts w:eastAsia="Times New Roman"/>
          <w:sz w:val="24"/>
          <w:szCs w:val="24"/>
        </w:rPr>
        <w:t xml:space="preserve"> </w:t>
      </w:r>
    </w:p>
    <w:p w14:paraId="4D353F39" w14:textId="77777777" w:rsidR="005753FD" w:rsidRPr="00FB20CC" w:rsidRDefault="00D71687" w:rsidP="00333CB4">
      <w:pPr>
        <w:ind w:left="720"/>
        <w:rPr>
          <w:rFonts w:eastAsia="Times New Roman"/>
          <w:sz w:val="24"/>
          <w:szCs w:val="24"/>
        </w:rPr>
      </w:pPr>
      <w:r w:rsidRPr="00FB20CC">
        <w:rPr>
          <w:rFonts w:eastAsia="Times New Roman"/>
          <w:sz w:val="24"/>
          <w:szCs w:val="24"/>
        </w:rPr>
        <w:t>and</w:t>
      </w:r>
      <w:r w:rsidR="00333CB4" w:rsidRPr="00FB20CC">
        <w:rPr>
          <w:rFonts w:eastAsia="Times New Roman"/>
          <w:sz w:val="24"/>
          <w:szCs w:val="24"/>
        </w:rPr>
        <w:t xml:space="preserve"> </w:t>
      </w:r>
      <w:proofErr w:type="spellStart"/>
      <w:r w:rsidR="00333CB4" w:rsidRPr="00FB20CC">
        <w:rPr>
          <w:rFonts w:eastAsia="Times New Roman"/>
          <w:sz w:val="24"/>
          <w:szCs w:val="24"/>
        </w:rPr>
        <w:t>Randerson</w:t>
      </w:r>
      <w:proofErr w:type="spellEnd"/>
      <w:r w:rsidR="00333CB4" w:rsidRPr="00FB20CC">
        <w:rPr>
          <w:rFonts w:eastAsia="Times New Roman"/>
          <w:sz w:val="24"/>
          <w:szCs w:val="24"/>
        </w:rPr>
        <w:t xml:space="preserve"> J 2018</w:t>
      </w:r>
      <w:r w:rsidR="005753FD" w:rsidRPr="00FB20CC">
        <w:rPr>
          <w:rFonts w:eastAsia="Times New Roman"/>
        </w:rPr>
        <w:t xml:space="preserve">  </w:t>
      </w:r>
      <w:r w:rsidR="005753FD" w:rsidRPr="00FB20CC">
        <w:rPr>
          <w:rFonts w:eastAsia="Times New Roman"/>
          <w:sz w:val="24"/>
          <w:szCs w:val="24"/>
        </w:rPr>
        <w:t>Sustained climate warming drives declining marine bi</w:t>
      </w:r>
      <w:r w:rsidR="002D02CE" w:rsidRPr="00FB20CC">
        <w:rPr>
          <w:rFonts w:eastAsia="Times New Roman"/>
          <w:sz w:val="24"/>
          <w:szCs w:val="24"/>
        </w:rPr>
        <w:t>ological productivity.  Science</w:t>
      </w:r>
      <w:r w:rsidR="005753FD" w:rsidRPr="00FB20CC">
        <w:rPr>
          <w:rFonts w:eastAsia="Times New Roman"/>
          <w:sz w:val="24"/>
          <w:szCs w:val="24"/>
        </w:rPr>
        <w:t xml:space="preserve"> </w:t>
      </w:r>
      <w:r w:rsidR="005753FD" w:rsidRPr="00FB20CC">
        <w:rPr>
          <w:rFonts w:eastAsia="Times New Roman"/>
          <w:b/>
          <w:sz w:val="24"/>
          <w:szCs w:val="24"/>
        </w:rPr>
        <w:t>359</w:t>
      </w:r>
      <w:r w:rsidR="00C7193D" w:rsidRPr="00FB20CC">
        <w:rPr>
          <w:rFonts w:eastAsia="Times New Roman"/>
          <w:sz w:val="24"/>
          <w:szCs w:val="24"/>
        </w:rPr>
        <w:t xml:space="preserve"> 1139-1143.</w:t>
      </w:r>
    </w:p>
    <w:p w14:paraId="0EC74287" w14:textId="77777777" w:rsidR="000C6F17" w:rsidRPr="00FB20CC" w:rsidRDefault="00333CB4" w:rsidP="00061797">
      <w:pPr>
        <w:pStyle w:val="HTMLPreformatted"/>
        <w:rPr>
          <w:rFonts w:ascii="Times New Roman" w:hAnsi="Times New Roman" w:cs="Times New Roman"/>
          <w:sz w:val="24"/>
          <w:szCs w:val="24"/>
        </w:rPr>
      </w:pPr>
      <w:r w:rsidRPr="00FB20CC">
        <w:rPr>
          <w:rStyle w:val="pbauthors"/>
          <w:rFonts w:ascii="Times New Roman" w:hAnsi="Times New Roman" w:cs="Times New Roman"/>
          <w:sz w:val="24"/>
          <w:szCs w:val="24"/>
        </w:rPr>
        <w:t>Rousseaux C</w:t>
      </w:r>
      <w:r w:rsidR="00061797" w:rsidRPr="00FB20CC">
        <w:rPr>
          <w:rStyle w:val="pbauthors"/>
          <w:rFonts w:ascii="Times New Roman" w:hAnsi="Times New Roman" w:cs="Times New Roman"/>
          <w:sz w:val="24"/>
          <w:szCs w:val="24"/>
        </w:rPr>
        <w:t xml:space="preserve"> </w:t>
      </w:r>
      <w:r w:rsidR="00D71687" w:rsidRPr="00FB20CC">
        <w:rPr>
          <w:rStyle w:val="pbauthors"/>
          <w:rFonts w:ascii="Times New Roman" w:hAnsi="Times New Roman" w:cs="Times New Roman"/>
          <w:sz w:val="24"/>
          <w:szCs w:val="24"/>
        </w:rPr>
        <w:t>and</w:t>
      </w:r>
      <w:r w:rsidRPr="00FB20CC">
        <w:rPr>
          <w:rStyle w:val="pbauthors"/>
          <w:rFonts w:ascii="Times New Roman" w:hAnsi="Times New Roman" w:cs="Times New Roman"/>
          <w:sz w:val="24"/>
          <w:szCs w:val="24"/>
        </w:rPr>
        <w:t xml:space="preserve"> Gregg</w:t>
      </w:r>
      <w:r w:rsidR="00061797" w:rsidRPr="00FB20CC">
        <w:rPr>
          <w:rStyle w:val="pbauthors"/>
          <w:rFonts w:ascii="Times New Roman" w:hAnsi="Times New Roman" w:cs="Times New Roman"/>
          <w:sz w:val="24"/>
          <w:szCs w:val="24"/>
        </w:rPr>
        <w:t xml:space="preserve"> W 2014</w:t>
      </w:r>
      <w:r w:rsidRPr="00FB20CC">
        <w:rPr>
          <w:rStyle w:val="pbauthors"/>
          <w:rFonts w:ascii="Times New Roman" w:hAnsi="Times New Roman" w:cs="Times New Roman"/>
          <w:sz w:val="24"/>
          <w:szCs w:val="24"/>
        </w:rPr>
        <w:t xml:space="preserve"> </w:t>
      </w:r>
      <w:r w:rsidR="00061797" w:rsidRPr="00FB20CC">
        <w:rPr>
          <w:rStyle w:val="pbauthors"/>
          <w:rFonts w:ascii="Times New Roman" w:hAnsi="Times New Roman" w:cs="Times New Roman"/>
          <w:sz w:val="24"/>
          <w:szCs w:val="24"/>
        </w:rPr>
        <w:t xml:space="preserve"> </w:t>
      </w:r>
      <w:r w:rsidR="00061797" w:rsidRPr="00FB20CC">
        <w:rPr>
          <w:rFonts w:ascii="Times New Roman" w:hAnsi="Times New Roman" w:cs="Times New Roman"/>
          <w:sz w:val="24"/>
          <w:szCs w:val="24"/>
        </w:rPr>
        <w:t>Interannual variation in phytoplankton primary</w:t>
      </w:r>
      <w:r w:rsidR="000C6F17" w:rsidRPr="00FB20CC">
        <w:rPr>
          <w:rFonts w:ascii="Times New Roman" w:hAnsi="Times New Roman" w:cs="Times New Roman"/>
          <w:sz w:val="24"/>
          <w:szCs w:val="24"/>
        </w:rPr>
        <w:t xml:space="preserve"> </w:t>
      </w:r>
      <w:r w:rsidR="00061797" w:rsidRPr="00FB20CC">
        <w:rPr>
          <w:rFonts w:ascii="Times New Roman" w:hAnsi="Times New Roman" w:cs="Times New Roman"/>
          <w:sz w:val="24"/>
          <w:szCs w:val="24"/>
        </w:rPr>
        <w:t xml:space="preserve">production at a </w:t>
      </w:r>
    </w:p>
    <w:p w14:paraId="0D500033" w14:textId="77777777" w:rsidR="00061797" w:rsidRPr="00FB20CC" w:rsidRDefault="000C6F17" w:rsidP="00061797">
      <w:pPr>
        <w:pStyle w:val="HTMLPreformatted"/>
        <w:rPr>
          <w:rFonts w:ascii="Times New Roman" w:hAnsi="Times New Roman" w:cs="Times New Roman"/>
          <w:sz w:val="24"/>
          <w:szCs w:val="24"/>
        </w:rPr>
      </w:pPr>
      <w:r w:rsidRPr="00FB20CC">
        <w:rPr>
          <w:rFonts w:ascii="Times New Roman" w:hAnsi="Times New Roman" w:cs="Times New Roman"/>
          <w:sz w:val="24"/>
          <w:szCs w:val="24"/>
        </w:rPr>
        <w:tab/>
      </w:r>
      <w:r w:rsidR="00061797" w:rsidRPr="00FB20CC">
        <w:rPr>
          <w:rFonts w:ascii="Times New Roman" w:hAnsi="Times New Roman" w:cs="Times New Roman"/>
          <w:sz w:val="24"/>
          <w:szCs w:val="24"/>
        </w:rPr>
        <w:t>g</w:t>
      </w:r>
      <w:r w:rsidRPr="00FB20CC">
        <w:rPr>
          <w:rFonts w:ascii="Times New Roman" w:hAnsi="Times New Roman" w:cs="Times New Roman"/>
          <w:sz w:val="24"/>
          <w:szCs w:val="24"/>
        </w:rPr>
        <w:t xml:space="preserve">lobal scale.  Remote Sensing </w:t>
      </w:r>
      <w:r w:rsidRPr="00FB20CC">
        <w:rPr>
          <w:rFonts w:ascii="Times New Roman" w:hAnsi="Times New Roman" w:cs="Times New Roman"/>
          <w:b/>
          <w:sz w:val="24"/>
          <w:szCs w:val="24"/>
        </w:rPr>
        <w:t>6</w:t>
      </w:r>
      <w:r w:rsidR="00061797" w:rsidRPr="00FB20CC">
        <w:rPr>
          <w:rFonts w:ascii="Times New Roman" w:hAnsi="Times New Roman" w:cs="Times New Roman"/>
          <w:sz w:val="24"/>
          <w:szCs w:val="24"/>
        </w:rPr>
        <w:t xml:space="preserve"> </w:t>
      </w:r>
      <w:r w:rsidRPr="00FB20CC">
        <w:rPr>
          <w:rFonts w:ascii="TimesNewRoman" w:eastAsiaTheme="minorHAnsi" w:hAnsi="TimesNewRoman" w:cs="TimesNewRoman"/>
          <w:sz w:val="23"/>
          <w:szCs w:val="23"/>
        </w:rPr>
        <w:t>1-9</w:t>
      </w:r>
      <w:r w:rsidR="00061797" w:rsidRPr="00FB20CC">
        <w:rPr>
          <w:rFonts w:ascii="TimesNewRoman" w:eastAsiaTheme="minorHAnsi" w:hAnsi="TimesNewRoman" w:cs="TimesNewRoman"/>
          <w:sz w:val="23"/>
          <w:szCs w:val="23"/>
        </w:rPr>
        <w:t>.</w:t>
      </w:r>
    </w:p>
    <w:p w14:paraId="51245F1F" w14:textId="77777777" w:rsidR="000C6F17" w:rsidRPr="00FB20CC" w:rsidRDefault="00061797" w:rsidP="000C6F17">
      <w:pPr>
        <w:rPr>
          <w:sz w:val="24"/>
          <w:szCs w:val="24"/>
        </w:rPr>
      </w:pPr>
      <w:r w:rsidRPr="00FB20CC">
        <w:rPr>
          <w:rStyle w:val="author"/>
          <w:sz w:val="24"/>
          <w:szCs w:val="24"/>
          <w:bdr w:val="none" w:sz="0" w:space="0" w:color="auto" w:frame="1"/>
        </w:rPr>
        <w:t>Rousseaux</w:t>
      </w:r>
      <w:r w:rsidRPr="00FB20CC">
        <w:rPr>
          <w:rStyle w:val="HTMLCite"/>
          <w:i w:val="0"/>
          <w:sz w:val="24"/>
          <w:szCs w:val="24"/>
          <w:bdr w:val="none" w:sz="0" w:space="0" w:color="auto" w:frame="1"/>
        </w:rPr>
        <w:t xml:space="preserve"> </w:t>
      </w:r>
      <w:r w:rsidRPr="00FB20CC">
        <w:rPr>
          <w:rStyle w:val="author"/>
          <w:sz w:val="24"/>
          <w:szCs w:val="24"/>
          <w:bdr w:val="none" w:sz="0" w:space="0" w:color="auto" w:frame="1"/>
        </w:rPr>
        <w:t xml:space="preserve">C </w:t>
      </w:r>
      <w:r w:rsidR="00D71687" w:rsidRPr="00FB20CC">
        <w:rPr>
          <w:rStyle w:val="author"/>
          <w:sz w:val="24"/>
          <w:szCs w:val="24"/>
          <w:bdr w:val="none" w:sz="0" w:space="0" w:color="auto" w:frame="1"/>
        </w:rPr>
        <w:t>and</w:t>
      </w:r>
      <w:r w:rsidRPr="00FB20CC">
        <w:rPr>
          <w:rStyle w:val="author"/>
          <w:sz w:val="24"/>
          <w:szCs w:val="24"/>
          <w:bdr w:val="none" w:sz="0" w:space="0" w:color="auto" w:frame="1"/>
        </w:rPr>
        <w:t xml:space="preserve"> Gregg W </w:t>
      </w:r>
      <w:r w:rsidR="00333CB4" w:rsidRPr="00FB20CC">
        <w:rPr>
          <w:rStyle w:val="pubyear"/>
          <w:sz w:val="24"/>
          <w:szCs w:val="24"/>
          <w:bdr w:val="none" w:sz="0" w:space="0" w:color="auto" w:frame="1"/>
        </w:rPr>
        <w:t>2015</w:t>
      </w:r>
      <w:r w:rsidRPr="00FB20CC">
        <w:rPr>
          <w:rStyle w:val="pubyear"/>
          <w:sz w:val="24"/>
          <w:szCs w:val="24"/>
          <w:bdr w:val="none" w:sz="0" w:space="0" w:color="auto" w:frame="1"/>
        </w:rPr>
        <w:t xml:space="preserve"> </w:t>
      </w:r>
      <w:r w:rsidRPr="00FB20CC">
        <w:rPr>
          <w:sz w:val="24"/>
          <w:szCs w:val="24"/>
        </w:rPr>
        <w:t xml:space="preserve">Recent decadal trends in global phytoplankton composition.  </w:t>
      </w:r>
    </w:p>
    <w:p w14:paraId="7B6203BF" w14:textId="77777777" w:rsidR="00061797" w:rsidRPr="00FB20CC" w:rsidRDefault="00061797" w:rsidP="000C6F17">
      <w:pPr>
        <w:ind w:firstLine="720"/>
        <w:rPr>
          <w:sz w:val="24"/>
          <w:szCs w:val="24"/>
        </w:rPr>
      </w:pPr>
      <w:r w:rsidRPr="00FB20CC">
        <w:rPr>
          <w:sz w:val="24"/>
          <w:szCs w:val="24"/>
        </w:rPr>
        <w:t>Global Biogeochemical Cycles</w:t>
      </w:r>
      <w:r w:rsidR="002D02CE" w:rsidRPr="00FB20CC">
        <w:rPr>
          <w:sz w:val="24"/>
          <w:szCs w:val="24"/>
        </w:rPr>
        <w:t xml:space="preserve"> </w:t>
      </w:r>
      <w:r w:rsidR="002D02CE" w:rsidRPr="00FB20CC">
        <w:rPr>
          <w:b/>
          <w:sz w:val="24"/>
          <w:szCs w:val="24"/>
        </w:rPr>
        <w:t>29</w:t>
      </w:r>
      <w:r w:rsidR="009954AD" w:rsidRPr="00FB20CC">
        <w:rPr>
          <w:sz w:val="24"/>
          <w:szCs w:val="24"/>
        </w:rPr>
        <w:t xml:space="preserve"> 1674-1688.</w:t>
      </w:r>
    </w:p>
    <w:p w14:paraId="7A36AE45" w14:textId="77777777" w:rsidR="00553801" w:rsidRPr="00FB20CC" w:rsidRDefault="00B4661F" w:rsidP="00553801">
      <w:pPr>
        <w:autoSpaceDE w:val="0"/>
        <w:autoSpaceDN w:val="0"/>
        <w:adjustRightInd w:val="0"/>
        <w:rPr>
          <w:sz w:val="24"/>
          <w:szCs w:val="24"/>
        </w:rPr>
      </w:pPr>
      <w:r w:rsidRPr="00FB20CC">
        <w:rPr>
          <w:sz w:val="24"/>
          <w:szCs w:val="24"/>
        </w:rPr>
        <w:t>Roxy</w:t>
      </w:r>
      <w:r w:rsidR="00D77857" w:rsidRPr="00FB20CC">
        <w:rPr>
          <w:sz w:val="24"/>
          <w:szCs w:val="24"/>
        </w:rPr>
        <w:t xml:space="preserve"> M</w:t>
      </w:r>
      <w:r w:rsidRPr="00FB20CC">
        <w:rPr>
          <w:sz w:val="24"/>
          <w:szCs w:val="24"/>
        </w:rPr>
        <w:t>, Modi</w:t>
      </w:r>
      <w:r w:rsidR="00D77857" w:rsidRPr="00FB20CC">
        <w:rPr>
          <w:sz w:val="24"/>
          <w:szCs w:val="24"/>
        </w:rPr>
        <w:t xml:space="preserve"> A</w:t>
      </w:r>
      <w:r w:rsidRPr="00FB20CC">
        <w:rPr>
          <w:sz w:val="24"/>
          <w:szCs w:val="24"/>
        </w:rPr>
        <w:t xml:space="preserve">, </w:t>
      </w:r>
      <w:proofErr w:type="spellStart"/>
      <w:r w:rsidRPr="00FB20CC">
        <w:rPr>
          <w:sz w:val="24"/>
          <w:szCs w:val="24"/>
        </w:rPr>
        <w:t>Murtugudde</w:t>
      </w:r>
      <w:proofErr w:type="spellEnd"/>
      <w:r w:rsidR="00D77857" w:rsidRPr="00FB20CC">
        <w:rPr>
          <w:sz w:val="24"/>
          <w:szCs w:val="24"/>
        </w:rPr>
        <w:t xml:space="preserve"> R</w:t>
      </w:r>
      <w:r w:rsidRPr="00FB20CC">
        <w:rPr>
          <w:sz w:val="24"/>
          <w:szCs w:val="24"/>
        </w:rPr>
        <w:t xml:space="preserve">, </w:t>
      </w:r>
      <w:proofErr w:type="spellStart"/>
      <w:r w:rsidRPr="00FB20CC">
        <w:rPr>
          <w:sz w:val="24"/>
          <w:szCs w:val="24"/>
        </w:rPr>
        <w:t>Valsala</w:t>
      </w:r>
      <w:proofErr w:type="spellEnd"/>
      <w:r w:rsidRPr="00FB20CC">
        <w:rPr>
          <w:sz w:val="24"/>
          <w:szCs w:val="24"/>
        </w:rPr>
        <w:t xml:space="preserve"> V </w:t>
      </w:r>
      <w:proofErr w:type="spellStart"/>
      <w:r w:rsidRPr="00FB20CC">
        <w:rPr>
          <w:sz w:val="24"/>
          <w:szCs w:val="24"/>
        </w:rPr>
        <w:t>Panickal</w:t>
      </w:r>
      <w:proofErr w:type="spellEnd"/>
      <w:r w:rsidR="00D77857" w:rsidRPr="00FB20CC">
        <w:rPr>
          <w:sz w:val="24"/>
          <w:szCs w:val="24"/>
        </w:rPr>
        <w:t xml:space="preserve"> S</w:t>
      </w:r>
      <w:r w:rsidRPr="00FB20CC">
        <w:rPr>
          <w:sz w:val="24"/>
          <w:szCs w:val="24"/>
        </w:rPr>
        <w:t>, Kumar</w:t>
      </w:r>
      <w:r w:rsidR="00D77857" w:rsidRPr="00FB20CC">
        <w:rPr>
          <w:sz w:val="24"/>
          <w:szCs w:val="24"/>
        </w:rPr>
        <w:t xml:space="preserve"> S</w:t>
      </w:r>
      <w:r w:rsidRPr="00FB20CC">
        <w:rPr>
          <w:sz w:val="24"/>
          <w:szCs w:val="24"/>
        </w:rPr>
        <w:t xml:space="preserve">, Ravichandran M., </w:t>
      </w:r>
      <w:proofErr w:type="spellStart"/>
      <w:r w:rsidRPr="00FB20CC">
        <w:rPr>
          <w:sz w:val="24"/>
          <w:szCs w:val="24"/>
        </w:rPr>
        <w:t>Vichi</w:t>
      </w:r>
      <w:proofErr w:type="spellEnd"/>
      <w:r w:rsidR="00D77857" w:rsidRPr="00FB20CC">
        <w:rPr>
          <w:sz w:val="24"/>
          <w:szCs w:val="24"/>
        </w:rPr>
        <w:t xml:space="preserve"> M</w:t>
      </w:r>
      <w:r w:rsidR="00553801" w:rsidRPr="00FB20CC">
        <w:rPr>
          <w:sz w:val="24"/>
          <w:szCs w:val="24"/>
        </w:rPr>
        <w:t xml:space="preserve"> </w:t>
      </w:r>
    </w:p>
    <w:p w14:paraId="1EC87EE3" w14:textId="77777777" w:rsidR="00B4661F" w:rsidRPr="00FB20CC" w:rsidRDefault="00D71687" w:rsidP="00553801">
      <w:pPr>
        <w:autoSpaceDE w:val="0"/>
        <w:autoSpaceDN w:val="0"/>
        <w:adjustRightInd w:val="0"/>
        <w:ind w:left="720"/>
        <w:rPr>
          <w:sz w:val="24"/>
          <w:szCs w:val="24"/>
        </w:rPr>
      </w:pPr>
      <w:r w:rsidRPr="00FB20CC">
        <w:rPr>
          <w:sz w:val="24"/>
          <w:szCs w:val="24"/>
        </w:rPr>
        <w:t>and</w:t>
      </w:r>
      <w:r w:rsidR="00B4661F" w:rsidRPr="00FB20CC">
        <w:rPr>
          <w:sz w:val="24"/>
          <w:szCs w:val="24"/>
        </w:rPr>
        <w:t xml:space="preserve"> Lévy M 2016 A reduction in marine primary productivity driven by rapid warming over the tropical Indian Ocean. Geophysic</w:t>
      </w:r>
      <w:r w:rsidR="002D02CE" w:rsidRPr="00FB20CC">
        <w:rPr>
          <w:sz w:val="24"/>
          <w:szCs w:val="24"/>
        </w:rPr>
        <w:t>al Research Letters</w:t>
      </w:r>
      <w:r w:rsidR="009E37E8" w:rsidRPr="00FB20CC">
        <w:rPr>
          <w:sz w:val="24"/>
          <w:szCs w:val="24"/>
        </w:rPr>
        <w:t xml:space="preserve"> </w:t>
      </w:r>
      <w:r w:rsidR="009E37E8" w:rsidRPr="00FB20CC">
        <w:rPr>
          <w:b/>
          <w:sz w:val="24"/>
          <w:szCs w:val="24"/>
        </w:rPr>
        <w:t>43</w:t>
      </w:r>
      <w:r w:rsidR="002D02CE" w:rsidRPr="00FB20CC">
        <w:rPr>
          <w:sz w:val="24"/>
          <w:szCs w:val="24"/>
        </w:rPr>
        <w:t xml:space="preserve"> </w:t>
      </w:r>
      <w:r w:rsidR="00A67555" w:rsidRPr="00FB20CC">
        <w:rPr>
          <w:sz w:val="24"/>
          <w:szCs w:val="24"/>
        </w:rPr>
        <w:t>826-833</w:t>
      </w:r>
      <w:r w:rsidR="00B4661F" w:rsidRPr="00FB20CC">
        <w:rPr>
          <w:sz w:val="24"/>
          <w:szCs w:val="24"/>
        </w:rPr>
        <w:t>.</w:t>
      </w:r>
    </w:p>
    <w:p w14:paraId="0CB87AA6" w14:textId="77777777" w:rsidR="00D77857" w:rsidRPr="00FB20CC" w:rsidRDefault="00D77857" w:rsidP="00D77857">
      <w:pPr>
        <w:pStyle w:val="Default"/>
        <w:rPr>
          <w:color w:val="auto"/>
        </w:rPr>
      </w:pPr>
      <w:r w:rsidRPr="00FB20CC">
        <w:rPr>
          <w:color w:val="auto"/>
        </w:rPr>
        <w:t>Saba V</w:t>
      </w:r>
      <w:r w:rsidR="000E6A64" w:rsidRPr="00FB20CC">
        <w:rPr>
          <w:color w:val="auto"/>
        </w:rPr>
        <w:t xml:space="preserve"> </w:t>
      </w:r>
      <w:r w:rsidRPr="00FB20CC">
        <w:rPr>
          <w:i/>
          <w:color w:val="auto"/>
        </w:rPr>
        <w:t>et al</w:t>
      </w:r>
      <w:r w:rsidRPr="00FB20CC">
        <w:rPr>
          <w:color w:val="auto"/>
        </w:rPr>
        <w:t xml:space="preserve"> </w:t>
      </w:r>
      <w:r w:rsidR="000E6A64" w:rsidRPr="00FB20CC">
        <w:rPr>
          <w:color w:val="auto"/>
        </w:rPr>
        <w:t xml:space="preserve">2010  The challenges of modeling depth-integrated marine primary productivity </w:t>
      </w:r>
    </w:p>
    <w:p w14:paraId="1C45DDEA" w14:textId="77777777" w:rsidR="000E6A64" w:rsidRPr="00FB20CC" w:rsidRDefault="000E6A64" w:rsidP="00D77857">
      <w:pPr>
        <w:pStyle w:val="Default"/>
        <w:ind w:left="720"/>
        <w:rPr>
          <w:color w:val="auto"/>
        </w:rPr>
      </w:pPr>
      <w:r w:rsidRPr="00FB20CC">
        <w:rPr>
          <w:color w:val="auto"/>
        </w:rPr>
        <w:t xml:space="preserve">over multiple decades: A case study at BATS and HOT.  Global Biogeochemical Cycles, </w:t>
      </w:r>
      <w:r w:rsidRPr="00FB20CC">
        <w:rPr>
          <w:rStyle w:val="volumenum"/>
          <w:b/>
          <w:color w:val="auto"/>
        </w:rPr>
        <w:t>24</w:t>
      </w:r>
      <w:r w:rsidRPr="00FB20CC">
        <w:rPr>
          <w:rStyle w:val="volumenum"/>
          <w:color w:val="auto"/>
        </w:rPr>
        <w:t xml:space="preserve"> </w:t>
      </w:r>
      <w:r w:rsidRPr="00FB20CC">
        <w:rPr>
          <w:rStyle w:val="citationnum"/>
          <w:color w:val="auto"/>
        </w:rPr>
        <w:t xml:space="preserve">GB3020, </w:t>
      </w:r>
      <w:r w:rsidRPr="00FB20CC">
        <w:rPr>
          <w:rStyle w:val="doi"/>
          <w:color w:val="auto"/>
        </w:rPr>
        <w:t>doi:10.1029/2009GB003655</w:t>
      </w:r>
      <w:r w:rsidRPr="00FB20CC">
        <w:rPr>
          <w:color w:val="auto"/>
        </w:rPr>
        <w:t>.</w:t>
      </w:r>
    </w:p>
    <w:p w14:paraId="3F5F28E8" w14:textId="77777777" w:rsidR="00D77857" w:rsidRPr="00FB20CC" w:rsidRDefault="00D77857" w:rsidP="00D77857">
      <w:pPr>
        <w:autoSpaceDE w:val="0"/>
        <w:autoSpaceDN w:val="0"/>
        <w:adjustRightInd w:val="0"/>
        <w:rPr>
          <w:sz w:val="24"/>
          <w:szCs w:val="24"/>
        </w:rPr>
      </w:pPr>
      <w:r w:rsidRPr="00FB20CC">
        <w:rPr>
          <w:sz w:val="24"/>
          <w:szCs w:val="24"/>
        </w:rPr>
        <w:t>Stock</w:t>
      </w:r>
      <w:r w:rsidR="005753FD" w:rsidRPr="00FB20CC">
        <w:rPr>
          <w:sz w:val="24"/>
          <w:szCs w:val="24"/>
        </w:rPr>
        <w:t xml:space="preserve"> C</w:t>
      </w:r>
      <w:r w:rsidRPr="00FB20CC">
        <w:rPr>
          <w:sz w:val="24"/>
          <w:szCs w:val="24"/>
        </w:rPr>
        <w:t xml:space="preserve"> </w:t>
      </w:r>
      <w:r w:rsidRPr="00FB20CC">
        <w:rPr>
          <w:i/>
          <w:sz w:val="24"/>
          <w:szCs w:val="24"/>
        </w:rPr>
        <w:t>et al</w:t>
      </w:r>
      <w:r w:rsidRPr="00FB20CC">
        <w:rPr>
          <w:sz w:val="24"/>
          <w:szCs w:val="24"/>
        </w:rPr>
        <w:t xml:space="preserve"> 2017</w:t>
      </w:r>
      <w:r w:rsidR="005753FD" w:rsidRPr="00FB20CC">
        <w:rPr>
          <w:sz w:val="24"/>
          <w:szCs w:val="24"/>
        </w:rPr>
        <w:t xml:space="preserve"> Reconciling fisheries catch and ocean productivity.  Proceedings of the </w:t>
      </w:r>
    </w:p>
    <w:p w14:paraId="40B13063" w14:textId="77777777" w:rsidR="005753FD" w:rsidRPr="00FB20CC" w:rsidRDefault="005753FD" w:rsidP="00D77857">
      <w:pPr>
        <w:autoSpaceDE w:val="0"/>
        <w:autoSpaceDN w:val="0"/>
        <w:adjustRightInd w:val="0"/>
        <w:ind w:firstLine="720"/>
        <w:rPr>
          <w:sz w:val="24"/>
          <w:szCs w:val="24"/>
        </w:rPr>
      </w:pPr>
      <w:r w:rsidRPr="00FB20CC">
        <w:rPr>
          <w:sz w:val="24"/>
          <w:szCs w:val="24"/>
        </w:rPr>
        <w:t xml:space="preserve">National Academy of Sciences, 1-9, </w:t>
      </w:r>
      <w:proofErr w:type="spellStart"/>
      <w:r w:rsidRPr="00FB20CC">
        <w:rPr>
          <w:sz w:val="24"/>
          <w:szCs w:val="24"/>
        </w:rPr>
        <w:t>doi</w:t>
      </w:r>
      <w:proofErr w:type="spellEnd"/>
      <w:r w:rsidRPr="00FB20CC">
        <w:rPr>
          <w:sz w:val="24"/>
          <w:szCs w:val="24"/>
        </w:rPr>
        <w:t>: 0.1073/pnas.1610238114</w:t>
      </w:r>
    </w:p>
    <w:p w14:paraId="689A1337" w14:textId="77777777" w:rsidR="00061797" w:rsidRPr="00FB20CC" w:rsidRDefault="00061797" w:rsidP="00061797">
      <w:pPr>
        <w:autoSpaceDE w:val="0"/>
        <w:autoSpaceDN w:val="0"/>
        <w:adjustRightInd w:val="0"/>
        <w:rPr>
          <w:rFonts w:eastAsiaTheme="minorHAnsi"/>
          <w:sz w:val="24"/>
          <w:szCs w:val="24"/>
        </w:rPr>
      </w:pPr>
      <w:r w:rsidRPr="00FB20CC">
        <w:rPr>
          <w:rFonts w:eastAsiaTheme="minorHAnsi"/>
          <w:sz w:val="24"/>
          <w:szCs w:val="24"/>
        </w:rPr>
        <w:t>Swapna, P, Jyoti</w:t>
      </w:r>
      <w:r w:rsidR="00553801" w:rsidRPr="00FB20CC">
        <w:rPr>
          <w:rFonts w:eastAsiaTheme="minorHAnsi"/>
          <w:sz w:val="24"/>
          <w:szCs w:val="24"/>
        </w:rPr>
        <w:t>, J., Krishnan, R., Sandeep, N.</w:t>
      </w:r>
      <w:r w:rsidRPr="00FB20CC">
        <w:rPr>
          <w:rFonts w:eastAsiaTheme="minorHAnsi"/>
          <w:sz w:val="24"/>
          <w:szCs w:val="24"/>
        </w:rPr>
        <w:t xml:space="preserve"> </w:t>
      </w:r>
      <w:r w:rsidR="00D71687" w:rsidRPr="00FB20CC">
        <w:rPr>
          <w:rFonts w:eastAsiaTheme="minorHAnsi"/>
          <w:sz w:val="24"/>
          <w:szCs w:val="24"/>
        </w:rPr>
        <w:t>and</w:t>
      </w:r>
      <w:r w:rsidR="00553801" w:rsidRPr="00FB20CC">
        <w:rPr>
          <w:rFonts w:eastAsiaTheme="minorHAnsi"/>
          <w:sz w:val="24"/>
          <w:szCs w:val="24"/>
        </w:rPr>
        <w:t xml:space="preserve"> </w:t>
      </w:r>
      <w:proofErr w:type="spellStart"/>
      <w:r w:rsidR="00553801" w:rsidRPr="00FB20CC">
        <w:rPr>
          <w:rFonts w:eastAsiaTheme="minorHAnsi"/>
          <w:sz w:val="24"/>
          <w:szCs w:val="24"/>
        </w:rPr>
        <w:t>Griffies</w:t>
      </w:r>
      <w:proofErr w:type="spellEnd"/>
      <w:r w:rsidR="00553801" w:rsidRPr="00FB20CC">
        <w:rPr>
          <w:rFonts w:eastAsiaTheme="minorHAnsi"/>
          <w:sz w:val="24"/>
          <w:szCs w:val="24"/>
        </w:rPr>
        <w:t xml:space="preserve">, S.M. 2017 </w:t>
      </w:r>
      <w:r w:rsidRPr="00FB20CC">
        <w:rPr>
          <w:rFonts w:eastAsiaTheme="minorHAnsi"/>
          <w:sz w:val="24"/>
          <w:szCs w:val="24"/>
        </w:rPr>
        <w:t xml:space="preserve"> Multidecadal </w:t>
      </w:r>
    </w:p>
    <w:p w14:paraId="79E0093B" w14:textId="77777777" w:rsidR="00061797" w:rsidRPr="00FB20CC" w:rsidRDefault="00061797" w:rsidP="00061797">
      <w:pPr>
        <w:autoSpaceDE w:val="0"/>
        <w:autoSpaceDN w:val="0"/>
        <w:adjustRightInd w:val="0"/>
        <w:ind w:left="720"/>
        <w:rPr>
          <w:rFonts w:eastAsiaTheme="minorHAnsi"/>
          <w:sz w:val="24"/>
          <w:szCs w:val="24"/>
        </w:rPr>
      </w:pPr>
      <w:r w:rsidRPr="00FB20CC">
        <w:rPr>
          <w:rFonts w:eastAsiaTheme="minorHAnsi"/>
          <w:sz w:val="24"/>
          <w:szCs w:val="24"/>
        </w:rPr>
        <w:t>weakening of Indian summer monsoon circulation induces an increasing northern Indian Ocean sea leve</w:t>
      </w:r>
      <w:r w:rsidR="002D02CE" w:rsidRPr="00FB20CC">
        <w:rPr>
          <w:rFonts w:eastAsiaTheme="minorHAnsi"/>
          <w:sz w:val="24"/>
          <w:szCs w:val="24"/>
        </w:rPr>
        <w:t>l. Geophysical Research Letters</w:t>
      </w:r>
      <w:r w:rsidRPr="00FB20CC">
        <w:rPr>
          <w:rFonts w:eastAsiaTheme="minorHAnsi"/>
          <w:sz w:val="24"/>
          <w:szCs w:val="24"/>
        </w:rPr>
        <w:t xml:space="preserve"> </w:t>
      </w:r>
      <w:r w:rsidRPr="00FB20CC">
        <w:rPr>
          <w:rFonts w:eastAsiaTheme="minorHAnsi"/>
          <w:b/>
          <w:sz w:val="24"/>
          <w:szCs w:val="24"/>
        </w:rPr>
        <w:t>44</w:t>
      </w:r>
      <w:r w:rsidRPr="00FB20CC">
        <w:rPr>
          <w:rFonts w:eastAsiaTheme="minorHAnsi"/>
          <w:sz w:val="24"/>
          <w:szCs w:val="24"/>
        </w:rPr>
        <w:t xml:space="preserve"> </w:t>
      </w:r>
      <w:r w:rsidR="00FC2D19" w:rsidRPr="00FB20CC">
        <w:rPr>
          <w:rStyle w:val="Hyperlink"/>
          <w:rFonts w:eastAsiaTheme="minorHAnsi"/>
          <w:color w:val="auto"/>
          <w:sz w:val="24"/>
          <w:szCs w:val="24"/>
          <w:u w:val="none"/>
        </w:rPr>
        <w:t>10560-10572.</w:t>
      </w:r>
    </w:p>
    <w:p w14:paraId="22CF1DFD" w14:textId="77777777" w:rsidR="00850930" w:rsidRPr="00FB20CC" w:rsidRDefault="00A62C7D" w:rsidP="00850930">
      <w:pPr>
        <w:autoSpaceDE w:val="0"/>
        <w:autoSpaceDN w:val="0"/>
        <w:adjustRightInd w:val="0"/>
        <w:rPr>
          <w:rFonts w:eastAsiaTheme="minorHAnsi"/>
          <w:sz w:val="24"/>
          <w:szCs w:val="24"/>
        </w:rPr>
      </w:pPr>
      <w:proofErr w:type="spellStart"/>
      <w:r w:rsidRPr="00FB20CC">
        <w:rPr>
          <w:rFonts w:eastAsiaTheme="minorHAnsi"/>
          <w:sz w:val="24"/>
          <w:szCs w:val="24"/>
        </w:rPr>
        <w:t>Schopf</w:t>
      </w:r>
      <w:proofErr w:type="spellEnd"/>
      <w:r w:rsidR="00061797" w:rsidRPr="00FB20CC">
        <w:rPr>
          <w:rFonts w:eastAsiaTheme="minorHAnsi"/>
          <w:sz w:val="24"/>
          <w:szCs w:val="24"/>
        </w:rPr>
        <w:t xml:space="preserve"> P </w:t>
      </w:r>
      <w:r w:rsidR="00D71687" w:rsidRPr="00FB20CC">
        <w:rPr>
          <w:rFonts w:eastAsiaTheme="minorHAnsi"/>
          <w:sz w:val="24"/>
          <w:szCs w:val="24"/>
        </w:rPr>
        <w:t>and</w:t>
      </w:r>
      <w:r w:rsidR="00061797" w:rsidRPr="00FB20CC">
        <w:rPr>
          <w:rFonts w:eastAsiaTheme="minorHAnsi"/>
          <w:sz w:val="24"/>
          <w:szCs w:val="24"/>
        </w:rPr>
        <w:t xml:space="preserve"> </w:t>
      </w:r>
      <w:proofErr w:type="spellStart"/>
      <w:r w:rsidR="00061797" w:rsidRPr="00FB20CC">
        <w:rPr>
          <w:rFonts w:eastAsiaTheme="minorHAnsi"/>
          <w:sz w:val="24"/>
          <w:szCs w:val="24"/>
        </w:rPr>
        <w:t>Loughe</w:t>
      </w:r>
      <w:proofErr w:type="spellEnd"/>
      <w:r w:rsidR="00850930" w:rsidRPr="00FB20CC">
        <w:rPr>
          <w:rFonts w:eastAsiaTheme="minorHAnsi"/>
          <w:sz w:val="24"/>
          <w:szCs w:val="24"/>
        </w:rPr>
        <w:t xml:space="preserve"> </w:t>
      </w:r>
      <w:r w:rsidR="00061797" w:rsidRPr="00FB20CC">
        <w:rPr>
          <w:rFonts w:eastAsiaTheme="minorHAnsi"/>
          <w:sz w:val="24"/>
          <w:szCs w:val="24"/>
        </w:rPr>
        <w:t>A</w:t>
      </w:r>
      <w:r w:rsidR="00850930" w:rsidRPr="00FB20CC">
        <w:rPr>
          <w:rFonts w:eastAsiaTheme="minorHAnsi"/>
          <w:sz w:val="24"/>
          <w:szCs w:val="24"/>
        </w:rPr>
        <w:t xml:space="preserve"> </w:t>
      </w:r>
      <w:r w:rsidR="00061797" w:rsidRPr="00FB20CC">
        <w:rPr>
          <w:rFonts w:eastAsiaTheme="minorHAnsi"/>
          <w:sz w:val="24"/>
          <w:szCs w:val="24"/>
        </w:rPr>
        <w:t xml:space="preserve">1995 A reduced gravity </w:t>
      </w:r>
      <w:proofErr w:type="spellStart"/>
      <w:r w:rsidR="00061797" w:rsidRPr="00FB20CC">
        <w:rPr>
          <w:rFonts w:eastAsiaTheme="minorHAnsi"/>
          <w:sz w:val="24"/>
          <w:szCs w:val="24"/>
        </w:rPr>
        <w:t>isopycnal</w:t>
      </w:r>
      <w:proofErr w:type="spellEnd"/>
      <w:r w:rsidR="00061797" w:rsidRPr="00FB20CC">
        <w:rPr>
          <w:rFonts w:eastAsiaTheme="minorHAnsi"/>
          <w:sz w:val="24"/>
          <w:szCs w:val="24"/>
        </w:rPr>
        <w:t xml:space="preserve"> ocean model: Hindcasts of El Niño. </w:t>
      </w:r>
    </w:p>
    <w:p w14:paraId="7EBE28A1" w14:textId="77777777" w:rsidR="009954AD" w:rsidRPr="00FB20CC" w:rsidRDefault="00061797" w:rsidP="009954AD">
      <w:pPr>
        <w:autoSpaceDE w:val="0"/>
        <w:autoSpaceDN w:val="0"/>
        <w:adjustRightInd w:val="0"/>
        <w:ind w:firstLine="720"/>
        <w:rPr>
          <w:rFonts w:ascii="AdvTimes" w:eastAsiaTheme="minorHAnsi" w:hAnsi="AdvTimes" w:cs="AdvTimes"/>
          <w:sz w:val="16"/>
          <w:szCs w:val="16"/>
        </w:rPr>
      </w:pPr>
      <w:r w:rsidRPr="00FB20CC">
        <w:rPr>
          <w:rFonts w:eastAsiaTheme="minorHAnsi"/>
          <w:sz w:val="24"/>
          <w:szCs w:val="24"/>
        </w:rPr>
        <w:t xml:space="preserve">Monthly Weather Review </w:t>
      </w:r>
      <w:r w:rsidRPr="00FB20CC">
        <w:rPr>
          <w:rFonts w:eastAsiaTheme="minorHAnsi"/>
          <w:b/>
          <w:sz w:val="24"/>
          <w:szCs w:val="24"/>
        </w:rPr>
        <w:t>123</w:t>
      </w:r>
      <w:r w:rsidRPr="00FB20CC">
        <w:rPr>
          <w:rFonts w:eastAsiaTheme="minorHAnsi"/>
          <w:sz w:val="24"/>
          <w:szCs w:val="24"/>
        </w:rPr>
        <w:t xml:space="preserve"> 2839–2863</w:t>
      </w:r>
      <w:r w:rsidR="009954AD" w:rsidRPr="00FB20CC">
        <w:rPr>
          <w:rFonts w:ascii="AdvTimes" w:eastAsiaTheme="minorHAnsi" w:hAnsi="AdvTimes" w:cs="AdvTimes"/>
          <w:sz w:val="16"/>
          <w:szCs w:val="16"/>
        </w:rPr>
        <w:t>.</w:t>
      </w:r>
    </w:p>
    <w:p w14:paraId="6029B1C1" w14:textId="77777777" w:rsidR="00850930" w:rsidRPr="00FB20CC" w:rsidRDefault="00850930" w:rsidP="009954AD">
      <w:pPr>
        <w:autoSpaceDE w:val="0"/>
        <w:autoSpaceDN w:val="0"/>
        <w:adjustRightInd w:val="0"/>
        <w:rPr>
          <w:rFonts w:ascii="AdvTimes" w:eastAsiaTheme="minorHAnsi" w:hAnsi="AdvTimes" w:cs="AdvTimes"/>
          <w:sz w:val="16"/>
          <w:szCs w:val="16"/>
        </w:rPr>
      </w:pPr>
      <w:proofErr w:type="spellStart"/>
      <w:r w:rsidRPr="00FB20CC">
        <w:rPr>
          <w:sz w:val="24"/>
          <w:szCs w:val="24"/>
        </w:rPr>
        <w:t>Uitz</w:t>
      </w:r>
      <w:proofErr w:type="spellEnd"/>
      <w:r w:rsidRPr="00FB20CC">
        <w:rPr>
          <w:sz w:val="24"/>
          <w:szCs w:val="24"/>
        </w:rPr>
        <w:t xml:space="preserve"> J, </w:t>
      </w:r>
      <w:proofErr w:type="spellStart"/>
      <w:r w:rsidRPr="00FB20CC">
        <w:rPr>
          <w:sz w:val="24"/>
          <w:szCs w:val="24"/>
        </w:rPr>
        <w:t>Claustre</w:t>
      </w:r>
      <w:proofErr w:type="spellEnd"/>
      <w:r w:rsidRPr="00FB20CC">
        <w:rPr>
          <w:sz w:val="24"/>
          <w:szCs w:val="24"/>
        </w:rPr>
        <w:t xml:space="preserve"> H, </w:t>
      </w:r>
      <w:proofErr w:type="spellStart"/>
      <w:r w:rsidRPr="00FB20CC">
        <w:rPr>
          <w:sz w:val="24"/>
          <w:szCs w:val="24"/>
        </w:rPr>
        <w:t>Gentili</w:t>
      </w:r>
      <w:proofErr w:type="spellEnd"/>
      <w:r w:rsidRPr="00FB20CC">
        <w:rPr>
          <w:sz w:val="24"/>
          <w:szCs w:val="24"/>
        </w:rPr>
        <w:t xml:space="preserve"> B</w:t>
      </w:r>
      <w:r w:rsidR="00061797" w:rsidRPr="00FB20CC">
        <w:rPr>
          <w:sz w:val="24"/>
          <w:szCs w:val="24"/>
        </w:rPr>
        <w:t xml:space="preserve"> </w:t>
      </w:r>
      <w:r w:rsidR="00D71687" w:rsidRPr="00FB20CC">
        <w:rPr>
          <w:sz w:val="24"/>
          <w:szCs w:val="24"/>
        </w:rPr>
        <w:t>and</w:t>
      </w:r>
      <w:r w:rsidRPr="00FB20CC">
        <w:rPr>
          <w:sz w:val="24"/>
          <w:szCs w:val="24"/>
        </w:rPr>
        <w:t xml:space="preserve"> Stramski D</w:t>
      </w:r>
      <w:r w:rsidR="00061797" w:rsidRPr="00FB20CC">
        <w:rPr>
          <w:sz w:val="24"/>
          <w:szCs w:val="24"/>
        </w:rPr>
        <w:t xml:space="preserve"> </w:t>
      </w:r>
      <w:r w:rsidR="00061797" w:rsidRPr="00FB20CC">
        <w:rPr>
          <w:bCs/>
          <w:sz w:val="24"/>
          <w:szCs w:val="24"/>
        </w:rPr>
        <w:t>2010</w:t>
      </w:r>
      <w:r w:rsidR="00061797" w:rsidRPr="00FB20CC">
        <w:rPr>
          <w:b/>
          <w:bCs/>
          <w:sz w:val="24"/>
          <w:szCs w:val="24"/>
        </w:rPr>
        <w:t xml:space="preserve"> </w:t>
      </w:r>
      <w:r w:rsidR="00061797" w:rsidRPr="00FB20CC">
        <w:rPr>
          <w:sz w:val="24"/>
          <w:szCs w:val="24"/>
        </w:rPr>
        <w:t xml:space="preserve">Phytoplankton class-specific primary </w:t>
      </w:r>
    </w:p>
    <w:p w14:paraId="3A953053" w14:textId="77777777" w:rsidR="00061797" w:rsidRPr="00FB20CC" w:rsidRDefault="00061797" w:rsidP="00850930">
      <w:pPr>
        <w:autoSpaceDE w:val="0"/>
        <w:autoSpaceDN w:val="0"/>
        <w:adjustRightInd w:val="0"/>
        <w:ind w:left="720"/>
        <w:rPr>
          <w:sz w:val="24"/>
          <w:szCs w:val="24"/>
        </w:rPr>
      </w:pPr>
      <w:r w:rsidRPr="00FB20CC">
        <w:rPr>
          <w:sz w:val="24"/>
          <w:szCs w:val="24"/>
        </w:rPr>
        <w:t xml:space="preserve">production in the world’s oceans: Seasonal and interannual variability from satellite observations. </w:t>
      </w:r>
      <w:r w:rsidR="002D02CE" w:rsidRPr="00FB20CC">
        <w:rPr>
          <w:iCs/>
          <w:sz w:val="24"/>
          <w:szCs w:val="24"/>
        </w:rPr>
        <w:t>Global Biogeochemical Cycles</w:t>
      </w:r>
      <w:r w:rsidRPr="00FB20CC">
        <w:rPr>
          <w:sz w:val="24"/>
          <w:szCs w:val="24"/>
        </w:rPr>
        <w:t xml:space="preserve"> </w:t>
      </w:r>
      <w:r w:rsidRPr="00FB20CC">
        <w:rPr>
          <w:b/>
          <w:iCs/>
          <w:sz w:val="24"/>
          <w:szCs w:val="24"/>
        </w:rPr>
        <w:t>24</w:t>
      </w:r>
      <w:r w:rsidRPr="00FB20CC">
        <w:rPr>
          <w:sz w:val="24"/>
          <w:szCs w:val="24"/>
        </w:rPr>
        <w:t xml:space="preserve"> </w:t>
      </w:r>
      <w:r w:rsidR="009954AD" w:rsidRPr="00FB20CC">
        <w:rPr>
          <w:sz w:val="24"/>
          <w:szCs w:val="24"/>
        </w:rPr>
        <w:t>1-19.</w:t>
      </w:r>
    </w:p>
    <w:p w14:paraId="086BB99F" w14:textId="77777777" w:rsidR="00981D9E" w:rsidRPr="00FB20CC" w:rsidRDefault="00850930" w:rsidP="002A4A09">
      <w:pPr>
        <w:autoSpaceDE w:val="0"/>
        <w:autoSpaceDN w:val="0"/>
        <w:adjustRightInd w:val="0"/>
        <w:rPr>
          <w:rFonts w:ascii="AdvPSTIM10-B" w:eastAsiaTheme="minorHAnsi" w:hAnsi="AdvPSTIM10-B" w:cs="AdvPSTIM10-B"/>
          <w:sz w:val="24"/>
          <w:szCs w:val="24"/>
        </w:rPr>
      </w:pPr>
      <w:proofErr w:type="spellStart"/>
      <w:r w:rsidRPr="00FB20CC">
        <w:rPr>
          <w:sz w:val="24"/>
          <w:szCs w:val="24"/>
        </w:rPr>
        <w:t>Zar</w:t>
      </w:r>
      <w:proofErr w:type="spellEnd"/>
      <w:r w:rsidR="00061797" w:rsidRPr="00FB20CC">
        <w:rPr>
          <w:sz w:val="24"/>
          <w:szCs w:val="24"/>
        </w:rPr>
        <w:t xml:space="preserve"> J 1976 Biostatistical Analysis, 3rd ed., Prentice Hall, Upper Saddle River, N. J.</w:t>
      </w:r>
    </w:p>
    <w:p w14:paraId="27BCB798" w14:textId="429501F5" w:rsidR="009C47D2" w:rsidRDefault="009C47D2">
      <w:pPr>
        <w:rPr>
          <w:b/>
          <w:sz w:val="24"/>
          <w:szCs w:val="24"/>
        </w:rPr>
      </w:pPr>
      <w:r>
        <w:rPr>
          <w:b/>
          <w:sz w:val="24"/>
          <w:szCs w:val="24"/>
        </w:rPr>
        <w:br w:type="page"/>
      </w:r>
      <w:r>
        <w:rPr>
          <w:b/>
          <w:noProof/>
          <w:sz w:val="24"/>
          <w:szCs w:val="24"/>
        </w:rPr>
        <w:lastRenderedPageBreak/>
        <w:drawing>
          <wp:inline distT="0" distB="0" distL="0" distR="0" wp14:anchorId="6978F51C" wp14:editId="269CFA2F">
            <wp:extent cx="5734050" cy="194310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4050" cy="1943100"/>
                    </a:xfrm>
                    <a:prstGeom prst="rect">
                      <a:avLst/>
                    </a:prstGeom>
                  </pic:spPr>
                </pic:pic>
              </a:graphicData>
            </a:graphic>
          </wp:inline>
        </w:drawing>
      </w:r>
    </w:p>
    <w:p w14:paraId="48ECEC46" w14:textId="3B403571" w:rsidR="009C47D2" w:rsidRDefault="009C47D2" w:rsidP="00545A6A">
      <w:pPr>
        <w:rPr>
          <w:rStyle w:val="Strong"/>
          <w:rFonts w:ascii="Segoe UI" w:hAnsi="Segoe UI" w:cs="Segoe UI"/>
          <w:color w:val="333333"/>
          <w:bdr w:val="none" w:sz="0" w:space="0" w:color="auto" w:frame="1"/>
          <w:shd w:val="clear" w:color="auto" w:fill="FFFFFF"/>
        </w:rPr>
      </w:pPr>
      <w:r>
        <w:rPr>
          <w:rFonts w:ascii="Segoe UI" w:hAnsi="Segoe UI" w:cs="Segoe UI"/>
          <w:b/>
          <w:bCs/>
          <w:noProof/>
          <w:color w:val="333333"/>
          <w:bdr w:val="none" w:sz="0" w:space="0" w:color="auto" w:frame="1"/>
          <w:shd w:val="clear" w:color="auto" w:fill="FFFFFF"/>
        </w:rPr>
        <w:drawing>
          <wp:inline distT="0" distB="0" distL="0" distR="0" wp14:anchorId="294EFC08" wp14:editId="42C87D31">
            <wp:extent cx="5734050" cy="4362450"/>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4050" cy="4362450"/>
                    </a:xfrm>
                    <a:prstGeom prst="rect">
                      <a:avLst/>
                    </a:prstGeom>
                  </pic:spPr>
                </pic:pic>
              </a:graphicData>
            </a:graphic>
          </wp:inline>
        </w:drawing>
      </w:r>
    </w:p>
    <w:p w14:paraId="3ADDE0DD" w14:textId="5237FCE0" w:rsidR="00AF2156" w:rsidRDefault="009C47D2" w:rsidP="00545A6A">
      <w:pPr>
        <w:rPr>
          <w:rFonts w:ascii="Segoe UI" w:hAnsi="Segoe UI" w:cs="Segoe UI"/>
          <w:color w:val="333333"/>
          <w:shd w:val="clear" w:color="auto" w:fill="FFFFFF"/>
        </w:rPr>
      </w:pPr>
      <w:r>
        <w:rPr>
          <w:rStyle w:val="Strong"/>
          <w:rFonts w:ascii="Segoe UI" w:hAnsi="Segoe UI" w:cs="Segoe UI"/>
          <w:color w:val="333333"/>
          <w:bdr w:val="none" w:sz="0" w:space="0" w:color="auto" w:frame="1"/>
          <w:shd w:val="clear" w:color="auto" w:fill="FFFFFF"/>
        </w:rPr>
        <w:t>Figure 1.</w:t>
      </w:r>
      <w:r>
        <w:rPr>
          <w:rFonts w:ascii="Segoe UI" w:hAnsi="Segoe UI" w:cs="Segoe UI"/>
          <w:color w:val="333333"/>
          <w:shd w:val="clear" w:color="auto" w:fill="FFFFFF"/>
        </w:rPr>
        <w:t> (a) Global primary production trend for 1998–2015. The missing marker for 2015 indicates removal of this value from the trend analysis due to end-point bias correction. Error bars represent the standard deviation. Linear best-fit primary production trends are shown for (b) 1998 and (c) 2015.</w:t>
      </w:r>
    </w:p>
    <w:p w14:paraId="24D3A484" w14:textId="2E3F3F7B" w:rsidR="009C47D2" w:rsidRDefault="009C47D2" w:rsidP="00545A6A">
      <w:pPr>
        <w:rPr>
          <w:rFonts w:ascii="Segoe UI" w:hAnsi="Segoe UI" w:cs="Segoe UI"/>
          <w:color w:val="333333"/>
          <w:shd w:val="clear" w:color="auto" w:fill="FFFFFF"/>
        </w:rPr>
      </w:pPr>
    </w:p>
    <w:p w14:paraId="4B730B27" w14:textId="39560668" w:rsidR="009C47D2" w:rsidRDefault="009C47D2" w:rsidP="00545A6A">
      <w:pPr>
        <w:rPr>
          <w:rFonts w:ascii="Segoe UI" w:hAnsi="Segoe UI" w:cs="Segoe UI"/>
          <w:color w:val="333333"/>
          <w:shd w:val="clear" w:color="auto" w:fill="FFFFFF"/>
        </w:rPr>
      </w:pPr>
      <w:r>
        <w:rPr>
          <w:rFonts w:ascii="Segoe UI" w:hAnsi="Segoe UI" w:cs="Segoe UI"/>
          <w:noProof/>
          <w:color w:val="333333"/>
          <w:shd w:val="clear" w:color="auto" w:fill="FFFFFF"/>
        </w:rPr>
        <w:lastRenderedPageBreak/>
        <w:drawing>
          <wp:inline distT="0" distB="0" distL="0" distR="0" wp14:anchorId="3440947B" wp14:editId="5CF0E6E7">
            <wp:extent cx="3400425" cy="2324100"/>
            <wp:effectExtent l="0" t="0" r="9525"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400425" cy="2324100"/>
                    </a:xfrm>
                    <a:prstGeom prst="rect">
                      <a:avLst/>
                    </a:prstGeom>
                  </pic:spPr>
                </pic:pic>
              </a:graphicData>
            </a:graphic>
          </wp:inline>
        </w:drawing>
      </w:r>
    </w:p>
    <w:p w14:paraId="07882052" w14:textId="031782AC" w:rsidR="009C47D2" w:rsidRDefault="009C47D2" w:rsidP="00545A6A">
      <w:pPr>
        <w:rPr>
          <w:rFonts w:ascii="Segoe UI" w:hAnsi="Segoe UI" w:cs="Segoe UI"/>
          <w:color w:val="333333"/>
          <w:shd w:val="clear" w:color="auto" w:fill="FFFFFF"/>
        </w:rPr>
      </w:pPr>
      <w:r>
        <w:rPr>
          <w:rStyle w:val="Strong"/>
          <w:rFonts w:ascii="Segoe UI" w:hAnsi="Segoe UI" w:cs="Segoe UI"/>
          <w:color w:val="333333"/>
          <w:bdr w:val="none" w:sz="0" w:space="0" w:color="auto" w:frame="1"/>
          <w:shd w:val="clear" w:color="auto" w:fill="FFFFFF"/>
        </w:rPr>
        <w:t>Figure 2.</w:t>
      </w:r>
      <w:r>
        <w:rPr>
          <w:rFonts w:ascii="Segoe UI" w:hAnsi="Segoe UI" w:cs="Segoe UI"/>
          <w:color w:val="333333"/>
          <w:shd w:val="clear" w:color="auto" w:fill="FFFFFF"/>
        </w:rPr>
        <w:t> Global mixed layer depth trend for 1998–2015. The missing marker for 1998 indicates removal of this value from the trend analysis due to end-point bias correction. Error bars represent the standard deviation.</w:t>
      </w:r>
    </w:p>
    <w:p w14:paraId="37FCA832" w14:textId="399AFBE8" w:rsidR="009C47D2" w:rsidRDefault="009C47D2" w:rsidP="00545A6A">
      <w:pPr>
        <w:rPr>
          <w:rFonts w:ascii="Segoe UI" w:hAnsi="Segoe UI" w:cs="Segoe UI"/>
          <w:color w:val="333333"/>
          <w:shd w:val="clear" w:color="auto" w:fill="FFFFFF"/>
        </w:rPr>
      </w:pPr>
    </w:p>
    <w:p w14:paraId="544D6B16" w14:textId="2D59DFB4" w:rsidR="009C47D2" w:rsidRDefault="009C47D2" w:rsidP="00545A6A">
      <w:pPr>
        <w:rPr>
          <w:rStyle w:val="Strong"/>
          <w:rFonts w:ascii="Segoe UI" w:hAnsi="Segoe UI" w:cs="Segoe UI"/>
          <w:color w:val="333333"/>
          <w:bdr w:val="none" w:sz="0" w:space="0" w:color="auto" w:frame="1"/>
          <w:shd w:val="clear" w:color="auto" w:fill="FFFFFF"/>
        </w:rPr>
      </w:pPr>
      <w:r>
        <w:rPr>
          <w:rFonts w:ascii="Segoe UI" w:hAnsi="Segoe UI" w:cs="Segoe UI"/>
          <w:b/>
          <w:bCs/>
          <w:noProof/>
          <w:color w:val="333333"/>
          <w:bdr w:val="none" w:sz="0" w:space="0" w:color="auto" w:frame="1"/>
          <w:shd w:val="clear" w:color="auto" w:fill="FFFFFF"/>
        </w:rPr>
        <w:drawing>
          <wp:inline distT="0" distB="0" distL="0" distR="0" wp14:anchorId="6BE7B4A9" wp14:editId="2898571C">
            <wp:extent cx="5734050" cy="194310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4050" cy="1943100"/>
                    </a:xfrm>
                    <a:prstGeom prst="rect">
                      <a:avLst/>
                    </a:prstGeom>
                  </pic:spPr>
                </pic:pic>
              </a:graphicData>
            </a:graphic>
          </wp:inline>
        </w:drawing>
      </w:r>
    </w:p>
    <w:p w14:paraId="09BEC794" w14:textId="39357EC7" w:rsidR="009C47D2" w:rsidRDefault="009C47D2" w:rsidP="00545A6A">
      <w:pPr>
        <w:rPr>
          <w:rFonts w:ascii="Segoe UI" w:hAnsi="Segoe UI" w:cs="Segoe UI"/>
          <w:color w:val="333333"/>
          <w:shd w:val="clear" w:color="auto" w:fill="FFFFFF"/>
        </w:rPr>
      </w:pPr>
      <w:r>
        <w:rPr>
          <w:rStyle w:val="Strong"/>
          <w:rFonts w:ascii="Segoe UI" w:hAnsi="Segoe UI" w:cs="Segoe UI"/>
          <w:color w:val="333333"/>
          <w:bdr w:val="none" w:sz="0" w:space="0" w:color="auto" w:frame="1"/>
          <w:shd w:val="clear" w:color="auto" w:fill="FFFFFF"/>
        </w:rPr>
        <w:t>Figure 3.</w:t>
      </w:r>
      <w:r>
        <w:rPr>
          <w:rFonts w:ascii="Segoe UI" w:hAnsi="Segoe UI" w:cs="Segoe UI"/>
          <w:color w:val="333333"/>
          <w:shd w:val="clear" w:color="auto" w:fill="FFFFFF"/>
        </w:rPr>
        <w:t> Primary production linear trends are shown for (a) North Indian Ocean and (b) Equatorial Indian Ocean.</w:t>
      </w:r>
    </w:p>
    <w:p w14:paraId="3830A199" w14:textId="31263F98" w:rsidR="009C47D2" w:rsidRDefault="009C47D2" w:rsidP="00545A6A">
      <w:pPr>
        <w:rPr>
          <w:rFonts w:ascii="Segoe UI" w:hAnsi="Segoe UI" w:cs="Segoe UI"/>
          <w:color w:val="333333"/>
          <w:shd w:val="clear" w:color="auto" w:fill="FFFFFF"/>
        </w:rPr>
      </w:pPr>
    </w:p>
    <w:p w14:paraId="23626B7C" w14:textId="1A33AD3F" w:rsidR="009C47D2" w:rsidRDefault="009C47D2" w:rsidP="00545A6A">
      <w:pPr>
        <w:rPr>
          <w:rFonts w:ascii="Segoe UI" w:hAnsi="Segoe UI" w:cs="Segoe UI"/>
          <w:color w:val="333333"/>
          <w:shd w:val="clear" w:color="auto" w:fill="FFFFFF"/>
        </w:rPr>
      </w:pPr>
      <w:r>
        <w:rPr>
          <w:rFonts w:ascii="Segoe UI" w:hAnsi="Segoe UI" w:cs="Segoe UI"/>
          <w:noProof/>
          <w:color w:val="333333"/>
          <w:shd w:val="clear" w:color="auto" w:fill="FFFFFF"/>
        </w:rPr>
        <w:drawing>
          <wp:inline distT="0" distB="0" distL="0" distR="0" wp14:anchorId="4B8A15F0" wp14:editId="7F52563B">
            <wp:extent cx="3400425" cy="2324100"/>
            <wp:effectExtent l="0" t="0" r="9525"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400425" cy="2324100"/>
                    </a:xfrm>
                    <a:prstGeom prst="rect">
                      <a:avLst/>
                    </a:prstGeom>
                  </pic:spPr>
                </pic:pic>
              </a:graphicData>
            </a:graphic>
          </wp:inline>
        </w:drawing>
      </w:r>
    </w:p>
    <w:p w14:paraId="72261859" w14:textId="59F2500C" w:rsidR="009C47D2" w:rsidRDefault="009C47D2" w:rsidP="00545A6A">
      <w:pPr>
        <w:rPr>
          <w:rFonts w:ascii="Segoe UI" w:hAnsi="Segoe UI" w:cs="Segoe UI"/>
          <w:color w:val="333333"/>
          <w:shd w:val="clear" w:color="auto" w:fill="FFFFFF"/>
        </w:rPr>
      </w:pPr>
      <w:r>
        <w:rPr>
          <w:rStyle w:val="Strong"/>
          <w:rFonts w:ascii="Segoe UI" w:hAnsi="Segoe UI" w:cs="Segoe UI"/>
          <w:color w:val="333333"/>
          <w:bdr w:val="none" w:sz="0" w:space="0" w:color="auto" w:frame="1"/>
          <w:shd w:val="clear" w:color="auto" w:fill="FFFFFF"/>
        </w:rPr>
        <w:t>Figure 4.</w:t>
      </w:r>
      <w:r>
        <w:rPr>
          <w:rFonts w:ascii="Segoe UI" w:hAnsi="Segoe UI" w:cs="Segoe UI"/>
          <w:color w:val="333333"/>
          <w:shd w:val="clear" w:color="auto" w:fill="FFFFFF"/>
        </w:rPr>
        <w:t> Changes in phytoplankton contributions to total primary production in the Equatorial Indian Ocean 1998–2015. Start and end years are from best-fit linear trends, not the actual years.</w:t>
      </w:r>
    </w:p>
    <w:p w14:paraId="3FF5D0F3" w14:textId="7CC37249" w:rsidR="009C47D2" w:rsidRDefault="009C47D2" w:rsidP="00545A6A">
      <w:pPr>
        <w:rPr>
          <w:rFonts w:ascii="Segoe UI" w:hAnsi="Segoe UI" w:cs="Segoe UI"/>
          <w:color w:val="333333"/>
          <w:shd w:val="clear" w:color="auto" w:fill="FFFFFF"/>
        </w:rPr>
      </w:pPr>
      <w:r>
        <w:rPr>
          <w:rFonts w:ascii="Segoe UI" w:hAnsi="Segoe UI" w:cs="Segoe UI"/>
          <w:noProof/>
          <w:color w:val="333333"/>
          <w:shd w:val="clear" w:color="auto" w:fill="FFFFFF"/>
        </w:rPr>
        <w:lastRenderedPageBreak/>
        <w:drawing>
          <wp:inline distT="0" distB="0" distL="0" distR="0" wp14:anchorId="710450FA" wp14:editId="429E35ED">
            <wp:extent cx="5734050" cy="1971675"/>
            <wp:effectExtent l="0" t="0" r="0" b="9525"/>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4050" cy="1971675"/>
                    </a:xfrm>
                    <a:prstGeom prst="rect">
                      <a:avLst/>
                    </a:prstGeom>
                  </pic:spPr>
                </pic:pic>
              </a:graphicData>
            </a:graphic>
          </wp:inline>
        </w:drawing>
      </w:r>
    </w:p>
    <w:p w14:paraId="45E863D2" w14:textId="3546EA22" w:rsidR="009C47D2" w:rsidRDefault="009C47D2" w:rsidP="00545A6A">
      <w:pPr>
        <w:rPr>
          <w:rFonts w:ascii="Segoe UI" w:hAnsi="Segoe UI" w:cs="Segoe UI"/>
          <w:color w:val="333333"/>
          <w:shd w:val="clear" w:color="auto" w:fill="FFFFFF"/>
        </w:rPr>
      </w:pPr>
      <w:r>
        <w:rPr>
          <w:rStyle w:val="Strong"/>
          <w:rFonts w:ascii="Segoe UI" w:hAnsi="Segoe UI" w:cs="Segoe UI"/>
          <w:color w:val="333333"/>
          <w:bdr w:val="none" w:sz="0" w:space="0" w:color="auto" w:frame="1"/>
          <w:shd w:val="clear" w:color="auto" w:fill="FFFFFF"/>
        </w:rPr>
        <w:t>Figure 5.</w:t>
      </w:r>
      <w:r>
        <w:rPr>
          <w:rFonts w:ascii="Segoe UI" w:hAnsi="Segoe UI" w:cs="Segoe UI"/>
          <w:color w:val="333333"/>
          <w:shd w:val="clear" w:color="auto" w:fill="FFFFFF"/>
        </w:rPr>
        <w:t> Primary production trends in the (a) North and (b) North Central Pacific Oceans. The dashed line divides the two at 40</w:t>
      </w:r>
      <w:r>
        <w:rPr>
          <w:rFonts w:ascii="inherit" w:hAnsi="inherit" w:cs="Segoe UI"/>
          <w:color w:val="333333"/>
          <w:sz w:val="14"/>
          <w:szCs w:val="14"/>
          <w:bdr w:val="none" w:sz="0" w:space="0" w:color="auto" w:frame="1"/>
          <w:shd w:val="clear" w:color="auto" w:fill="FFFFFF"/>
          <w:vertAlign w:val="superscript"/>
        </w:rPr>
        <w:t>o</w:t>
      </w:r>
      <w:r>
        <w:rPr>
          <w:rFonts w:ascii="Segoe UI" w:hAnsi="Segoe UI" w:cs="Segoe UI"/>
          <w:color w:val="333333"/>
          <w:shd w:val="clear" w:color="auto" w:fill="FFFFFF"/>
        </w:rPr>
        <w:t>N latitude (note scale change from figure </w:t>
      </w:r>
      <w:hyperlink r:id="rId13" w:anchor="erlab4667f1" w:history="1">
        <w:r>
          <w:rPr>
            <w:rStyle w:val="Hyperlink"/>
            <w:rFonts w:ascii="Segoe UI" w:hAnsi="Segoe UI" w:cs="Segoe UI"/>
            <w:color w:val="006EB2"/>
            <w:bdr w:val="none" w:sz="0" w:space="0" w:color="auto" w:frame="1"/>
            <w:shd w:val="clear" w:color="auto" w:fill="FFFFFF"/>
          </w:rPr>
          <w:t>1</w:t>
        </w:r>
      </w:hyperlink>
      <w:r>
        <w:rPr>
          <w:rFonts w:ascii="Segoe UI" w:hAnsi="Segoe UI" w:cs="Segoe UI"/>
          <w:color w:val="333333"/>
          <w:shd w:val="clear" w:color="auto" w:fill="FFFFFF"/>
        </w:rPr>
        <w:t>). Linear trends for (c) North Pacific Ocean and (d) North Central Pacific.</w:t>
      </w:r>
    </w:p>
    <w:p w14:paraId="7C90FAEE" w14:textId="14959030" w:rsidR="009C47D2" w:rsidRDefault="009C47D2" w:rsidP="00545A6A">
      <w:pPr>
        <w:rPr>
          <w:rFonts w:ascii="Segoe UI" w:hAnsi="Segoe UI" w:cs="Segoe UI"/>
          <w:color w:val="333333"/>
          <w:shd w:val="clear" w:color="auto" w:fill="FFFFFF"/>
        </w:rPr>
      </w:pPr>
    </w:p>
    <w:p w14:paraId="48C947DF" w14:textId="59301C40" w:rsidR="009C47D2" w:rsidRDefault="009C47D2" w:rsidP="00545A6A">
      <w:pPr>
        <w:rPr>
          <w:rFonts w:ascii="Segoe UI" w:hAnsi="Segoe UI" w:cs="Segoe UI"/>
          <w:color w:val="333333"/>
          <w:shd w:val="clear" w:color="auto" w:fill="FFFFFF"/>
        </w:rPr>
      </w:pPr>
      <w:r>
        <w:rPr>
          <w:rFonts w:ascii="Segoe UI" w:hAnsi="Segoe UI" w:cs="Segoe UI"/>
          <w:noProof/>
          <w:color w:val="333333"/>
          <w:shd w:val="clear" w:color="auto" w:fill="FFFFFF"/>
        </w:rPr>
        <w:drawing>
          <wp:inline distT="0" distB="0" distL="0" distR="0" wp14:anchorId="25B8AF86" wp14:editId="3AF4CA28">
            <wp:extent cx="5734050" cy="2724150"/>
            <wp:effectExtent l="0" t="0" r="0" b="0"/>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5734050" cy="2724150"/>
                    </a:xfrm>
                    <a:prstGeom prst="rect">
                      <a:avLst/>
                    </a:prstGeom>
                  </pic:spPr>
                </pic:pic>
              </a:graphicData>
            </a:graphic>
          </wp:inline>
        </w:drawing>
      </w:r>
    </w:p>
    <w:p w14:paraId="012387F4" w14:textId="154F360A" w:rsidR="009C47D2" w:rsidRPr="00FB20CC" w:rsidRDefault="009C47D2" w:rsidP="00545A6A">
      <w:pPr>
        <w:rPr>
          <w:b/>
          <w:sz w:val="24"/>
          <w:szCs w:val="24"/>
        </w:rPr>
      </w:pPr>
      <w:r>
        <w:rPr>
          <w:rStyle w:val="Strong"/>
          <w:rFonts w:ascii="Segoe UI" w:hAnsi="Segoe UI" w:cs="Segoe UI"/>
          <w:color w:val="333333"/>
          <w:bdr w:val="none" w:sz="0" w:space="0" w:color="auto" w:frame="1"/>
          <w:shd w:val="clear" w:color="auto" w:fill="FFFFFF"/>
        </w:rPr>
        <w:t>Figure 6.</w:t>
      </w:r>
      <w:r>
        <w:rPr>
          <w:rFonts w:ascii="Segoe UI" w:hAnsi="Segoe UI" w:cs="Segoe UI"/>
          <w:color w:val="333333"/>
          <w:shd w:val="clear" w:color="auto" w:fill="FFFFFF"/>
        </w:rPr>
        <w:t> Geographical summary where total primary production showed significant trends For the period 1998–2015 along with associated trends from related physical and biological variables.</w:t>
      </w:r>
    </w:p>
    <w:sectPr w:rsidR="009C47D2" w:rsidRPr="00FB20CC" w:rsidSect="00FB20CC">
      <w:footerReference w:type="default" r:id="rId15"/>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D3698" w14:textId="77777777" w:rsidR="0031306E" w:rsidRDefault="0031306E" w:rsidP="00545A6A">
      <w:r>
        <w:separator/>
      </w:r>
    </w:p>
  </w:endnote>
  <w:endnote w:type="continuationSeparator" w:id="0">
    <w:p w14:paraId="60721328" w14:textId="77777777" w:rsidR="0031306E" w:rsidRDefault="0031306E" w:rsidP="0054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12pt">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vPSTIM10-B">
    <w:altName w:val="Cambria"/>
    <w:panose1 w:val="00000000000000000000"/>
    <w:charset w:val="00"/>
    <w:family w:val="roman"/>
    <w:notTrueType/>
    <w:pitch w:val="default"/>
    <w:sig w:usb0="00000003" w:usb1="00000000" w:usb2="00000000" w:usb3="00000000" w:csb0="00000001" w:csb1="00000000"/>
  </w:font>
  <w:font w:name="AdvTimes">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vTimes-i">
    <w:altName w:val="Cambria"/>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1" w:usb1="00000000" w:usb2="00000000" w:usb3="00000000" w:csb0="00000009" w:csb1="00000000"/>
  </w:font>
  <w:font w:name="AdvPSTIM10-R">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59859"/>
      <w:docPartObj>
        <w:docPartGallery w:val="Page Numbers (Bottom of Page)"/>
        <w:docPartUnique/>
      </w:docPartObj>
    </w:sdtPr>
    <w:sdtEndPr>
      <w:rPr>
        <w:noProof/>
      </w:rPr>
    </w:sdtEndPr>
    <w:sdtContent>
      <w:p w14:paraId="71ECC581" w14:textId="77777777" w:rsidR="00954684" w:rsidRDefault="00954684">
        <w:pPr>
          <w:pStyle w:val="Footer"/>
          <w:jc w:val="center"/>
        </w:pPr>
        <w:r>
          <w:fldChar w:fldCharType="begin"/>
        </w:r>
        <w:r>
          <w:instrText xml:space="preserve"> PAGE   \* MERGEFORMAT </w:instrText>
        </w:r>
        <w:r>
          <w:fldChar w:fldCharType="separate"/>
        </w:r>
        <w:r w:rsidR="00265EEA">
          <w:rPr>
            <w:noProof/>
          </w:rPr>
          <w:t>1</w:t>
        </w:r>
        <w:r>
          <w:rPr>
            <w:noProof/>
          </w:rPr>
          <w:fldChar w:fldCharType="end"/>
        </w:r>
      </w:p>
    </w:sdtContent>
  </w:sdt>
  <w:p w14:paraId="2361C998" w14:textId="77777777" w:rsidR="00954684" w:rsidRDefault="00954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6FC9C" w14:textId="77777777" w:rsidR="0031306E" w:rsidRDefault="0031306E" w:rsidP="00545A6A">
      <w:r>
        <w:separator/>
      </w:r>
    </w:p>
  </w:footnote>
  <w:footnote w:type="continuationSeparator" w:id="0">
    <w:p w14:paraId="59DFDFB5" w14:textId="77777777" w:rsidR="0031306E" w:rsidRDefault="0031306E" w:rsidP="00545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E3F2D"/>
    <w:multiLevelType w:val="hybridMultilevel"/>
    <w:tmpl w:val="458444C8"/>
    <w:lvl w:ilvl="0" w:tplc="B19A0F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84C9F"/>
    <w:multiLevelType w:val="hybridMultilevel"/>
    <w:tmpl w:val="BF98C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A6A"/>
    <w:rsid w:val="00005555"/>
    <w:rsid w:val="00013F0F"/>
    <w:rsid w:val="00017136"/>
    <w:rsid w:val="000216A4"/>
    <w:rsid w:val="0002322E"/>
    <w:rsid w:val="000264D0"/>
    <w:rsid w:val="000359B5"/>
    <w:rsid w:val="000362D8"/>
    <w:rsid w:val="0003739B"/>
    <w:rsid w:val="00042C4D"/>
    <w:rsid w:val="0004769A"/>
    <w:rsid w:val="0005268A"/>
    <w:rsid w:val="000541CC"/>
    <w:rsid w:val="000550A6"/>
    <w:rsid w:val="00061797"/>
    <w:rsid w:val="00061A9A"/>
    <w:rsid w:val="000626B4"/>
    <w:rsid w:val="000861E1"/>
    <w:rsid w:val="00090963"/>
    <w:rsid w:val="00096623"/>
    <w:rsid w:val="000A088C"/>
    <w:rsid w:val="000A1A48"/>
    <w:rsid w:val="000A2EB4"/>
    <w:rsid w:val="000A2ED9"/>
    <w:rsid w:val="000B62AA"/>
    <w:rsid w:val="000C1949"/>
    <w:rsid w:val="000C6A5A"/>
    <w:rsid w:val="000C6F17"/>
    <w:rsid w:val="000E6A64"/>
    <w:rsid w:val="000F002F"/>
    <w:rsid w:val="000F3063"/>
    <w:rsid w:val="000F4C98"/>
    <w:rsid w:val="000F7733"/>
    <w:rsid w:val="00110BC4"/>
    <w:rsid w:val="00116146"/>
    <w:rsid w:val="001219F0"/>
    <w:rsid w:val="0012558F"/>
    <w:rsid w:val="00125C41"/>
    <w:rsid w:val="00125CEF"/>
    <w:rsid w:val="00125E15"/>
    <w:rsid w:val="00126419"/>
    <w:rsid w:val="001271BE"/>
    <w:rsid w:val="0013256D"/>
    <w:rsid w:val="00133C1D"/>
    <w:rsid w:val="00137A9D"/>
    <w:rsid w:val="00137E21"/>
    <w:rsid w:val="00142068"/>
    <w:rsid w:val="001421EC"/>
    <w:rsid w:val="001428F6"/>
    <w:rsid w:val="00145080"/>
    <w:rsid w:val="00152DF7"/>
    <w:rsid w:val="00152EA2"/>
    <w:rsid w:val="00155684"/>
    <w:rsid w:val="00163F1B"/>
    <w:rsid w:val="0016617D"/>
    <w:rsid w:val="00171DC8"/>
    <w:rsid w:val="001822CE"/>
    <w:rsid w:val="00183BE3"/>
    <w:rsid w:val="00185AC3"/>
    <w:rsid w:val="00192011"/>
    <w:rsid w:val="00195F09"/>
    <w:rsid w:val="001977D8"/>
    <w:rsid w:val="001A433D"/>
    <w:rsid w:val="001A442F"/>
    <w:rsid w:val="001B3AB4"/>
    <w:rsid w:val="001B4C37"/>
    <w:rsid w:val="001C163C"/>
    <w:rsid w:val="001C350E"/>
    <w:rsid w:val="001C40FB"/>
    <w:rsid w:val="001D168F"/>
    <w:rsid w:val="001E0576"/>
    <w:rsid w:val="001E7CAF"/>
    <w:rsid w:val="001F48AE"/>
    <w:rsid w:val="001F7487"/>
    <w:rsid w:val="00201523"/>
    <w:rsid w:val="002048E8"/>
    <w:rsid w:val="002061F5"/>
    <w:rsid w:val="00207DBC"/>
    <w:rsid w:val="00211C98"/>
    <w:rsid w:val="00214A32"/>
    <w:rsid w:val="002157F9"/>
    <w:rsid w:val="00225450"/>
    <w:rsid w:val="0024210A"/>
    <w:rsid w:val="002448EE"/>
    <w:rsid w:val="00250D97"/>
    <w:rsid w:val="00253F77"/>
    <w:rsid w:val="00261E9F"/>
    <w:rsid w:val="00265EEA"/>
    <w:rsid w:val="00273D40"/>
    <w:rsid w:val="002801B7"/>
    <w:rsid w:val="002825CA"/>
    <w:rsid w:val="00284200"/>
    <w:rsid w:val="002872B7"/>
    <w:rsid w:val="00290202"/>
    <w:rsid w:val="002930A4"/>
    <w:rsid w:val="00293C88"/>
    <w:rsid w:val="002A3FA0"/>
    <w:rsid w:val="002A4A09"/>
    <w:rsid w:val="002B3870"/>
    <w:rsid w:val="002B6348"/>
    <w:rsid w:val="002B78D8"/>
    <w:rsid w:val="002C0C15"/>
    <w:rsid w:val="002C5C8A"/>
    <w:rsid w:val="002D02CE"/>
    <w:rsid w:val="002D53DF"/>
    <w:rsid w:val="002E5BC6"/>
    <w:rsid w:val="002E7E8C"/>
    <w:rsid w:val="00302AC8"/>
    <w:rsid w:val="003042FE"/>
    <w:rsid w:val="00306DDA"/>
    <w:rsid w:val="00311A03"/>
    <w:rsid w:val="0031247A"/>
    <w:rsid w:val="0031306E"/>
    <w:rsid w:val="00315D56"/>
    <w:rsid w:val="00333CB4"/>
    <w:rsid w:val="00337E71"/>
    <w:rsid w:val="00343FE7"/>
    <w:rsid w:val="00346A32"/>
    <w:rsid w:val="003522C4"/>
    <w:rsid w:val="00394A01"/>
    <w:rsid w:val="003A3D33"/>
    <w:rsid w:val="003B0821"/>
    <w:rsid w:val="003B376D"/>
    <w:rsid w:val="003B39ED"/>
    <w:rsid w:val="003B767F"/>
    <w:rsid w:val="003C23A4"/>
    <w:rsid w:val="003C39D0"/>
    <w:rsid w:val="003C3C7D"/>
    <w:rsid w:val="003C55E4"/>
    <w:rsid w:val="003C7083"/>
    <w:rsid w:val="003D27B0"/>
    <w:rsid w:val="003D6B45"/>
    <w:rsid w:val="003E4106"/>
    <w:rsid w:val="003F13E8"/>
    <w:rsid w:val="004033BF"/>
    <w:rsid w:val="004108D0"/>
    <w:rsid w:val="0041334F"/>
    <w:rsid w:val="004138E7"/>
    <w:rsid w:val="00420AFC"/>
    <w:rsid w:val="00420E2A"/>
    <w:rsid w:val="00421482"/>
    <w:rsid w:val="00421BEF"/>
    <w:rsid w:val="004256C4"/>
    <w:rsid w:val="00425BC8"/>
    <w:rsid w:val="004479D4"/>
    <w:rsid w:val="004508BE"/>
    <w:rsid w:val="00452EB5"/>
    <w:rsid w:val="00457BD6"/>
    <w:rsid w:val="0046459F"/>
    <w:rsid w:val="00467CB5"/>
    <w:rsid w:val="00480289"/>
    <w:rsid w:val="004804DF"/>
    <w:rsid w:val="004877D1"/>
    <w:rsid w:val="00491AFE"/>
    <w:rsid w:val="004971F2"/>
    <w:rsid w:val="004A4966"/>
    <w:rsid w:val="004A7610"/>
    <w:rsid w:val="004B54FD"/>
    <w:rsid w:val="004C163D"/>
    <w:rsid w:val="004C51A3"/>
    <w:rsid w:val="004C6AC5"/>
    <w:rsid w:val="004E09CE"/>
    <w:rsid w:val="004E2813"/>
    <w:rsid w:val="004E2B5A"/>
    <w:rsid w:val="004F02D8"/>
    <w:rsid w:val="0051085E"/>
    <w:rsid w:val="00513020"/>
    <w:rsid w:val="005233B9"/>
    <w:rsid w:val="005234C7"/>
    <w:rsid w:val="00523A53"/>
    <w:rsid w:val="005357F3"/>
    <w:rsid w:val="00541309"/>
    <w:rsid w:val="00541989"/>
    <w:rsid w:val="005421F7"/>
    <w:rsid w:val="00543BC6"/>
    <w:rsid w:val="00545A6A"/>
    <w:rsid w:val="00546C3C"/>
    <w:rsid w:val="00550A96"/>
    <w:rsid w:val="005510ED"/>
    <w:rsid w:val="00552550"/>
    <w:rsid w:val="00553801"/>
    <w:rsid w:val="00560881"/>
    <w:rsid w:val="00562A35"/>
    <w:rsid w:val="005753FD"/>
    <w:rsid w:val="00582125"/>
    <w:rsid w:val="005915B8"/>
    <w:rsid w:val="00591AFE"/>
    <w:rsid w:val="00593325"/>
    <w:rsid w:val="005A3141"/>
    <w:rsid w:val="005B2428"/>
    <w:rsid w:val="005B3C34"/>
    <w:rsid w:val="005B7F5C"/>
    <w:rsid w:val="005C38E1"/>
    <w:rsid w:val="005C516D"/>
    <w:rsid w:val="005D2984"/>
    <w:rsid w:val="005D4CFB"/>
    <w:rsid w:val="005E688A"/>
    <w:rsid w:val="005F2569"/>
    <w:rsid w:val="006007CB"/>
    <w:rsid w:val="00604023"/>
    <w:rsid w:val="00605285"/>
    <w:rsid w:val="006327DF"/>
    <w:rsid w:val="00644CF7"/>
    <w:rsid w:val="00644D32"/>
    <w:rsid w:val="00653798"/>
    <w:rsid w:val="00657212"/>
    <w:rsid w:val="00657500"/>
    <w:rsid w:val="006579FA"/>
    <w:rsid w:val="00660B8E"/>
    <w:rsid w:val="00661627"/>
    <w:rsid w:val="00666474"/>
    <w:rsid w:val="006678A2"/>
    <w:rsid w:val="006762FA"/>
    <w:rsid w:val="00680519"/>
    <w:rsid w:val="00681267"/>
    <w:rsid w:val="00682AC0"/>
    <w:rsid w:val="006A20A5"/>
    <w:rsid w:val="006B0B0C"/>
    <w:rsid w:val="006C01BD"/>
    <w:rsid w:val="006C0C7C"/>
    <w:rsid w:val="006C335F"/>
    <w:rsid w:val="006C59BA"/>
    <w:rsid w:val="006D1BEA"/>
    <w:rsid w:val="006D1D65"/>
    <w:rsid w:val="006D6215"/>
    <w:rsid w:val="006D7DD2"/>
    <w:rsid w:val="006E072C"/>
    <w:rsid w:val="006E3834"/>
    <w:rsid w:val="00700D2E"/>
    <w:rsid w:val="00700EDD"/>
    <w:rsid w:val="00701C7A"/>
    <w:rsid w:val="00701DCA"/>
    <w:rsid w:val="00704A03"/>
    <w:rsid w:val="007161F6"/>
    <w:rsid w:val="0072208C"/>
    <w:rsid w:val="00724D8B"/>
    <w:rsid w:val="00746F2F"/>
    <w:rsid w:val="0075328C"/>
    <w:rsid w:val="00756F3E"/>
    <w:rsid w:val="00765F63"/>
    <w:rsid w:val="00766227"/>
    <w:rsid w:val="0077568E"/>
    <w:rsid w:val="00786DC3"/>
    <w:rsid w:val="00791D31"/>
    <w:rsid w:val="0079222F"/>
    <w:rsid w:val="00793231"/>
    <w:rsid w:val="00794A6D"/>
    <w:rsid w:val="00796B9B"/>
    <w:rsid w:val="007A32B8"/>
    <w:rsid w:val="007A5FDE"/>
    <w:rsid w:val="007B266B"/>
    <w:rsid w:val="007B29B8"/>
    <w:rsid w:val="007C6230"/>
    <w:rsid w:val="007D1361"/>
    <w:rsid w:val="007E19B0"/>
    <w:rsid w:val="007E6055"/>
    <w:rsid w:val="007E74D1"/>
    <w:rsid w:val="007E79FA"/>
    <w:rsid w:val="007F2577"/>
    <w:rsid w:val="00806225"/>
    <w:rsid w:val="00806683"/>
    <w:rsid w:val="00814E1B"/>
    <w:rsid w:val="00821A2A"/>
    <w:rsid w:val="00821C26"/>
    <w:rsid w:val="00823EB2"/>
    <w:rsid w:val="00835400"/>
    <w:rsid w:val="008400B2"/>
    <w:rsid w:val="00843241"/>
    <w:rsid w:val="0084422F"/>
    <w:rsid w:val="008477E0"/>
    <w:rsid w:val="00850930"/>
    <w:rsid w:val="0088676C"/>
    <w:rsid w:val="00887CBF"/>
    <w:rsid w:val="0089325F"/>
    <w:rsid w:val="008952DC"/>
    <w:rsid w:val="008A04E4"/>
    <w:rsid w:val="008B7566"/>
    <w:rsid w:val="008C38A5"/>
    <w:rsid w:val="008D0A99"/>
    <w:rsid w:val="008D4D79"/>
    <w:rsid w:val="00900FA3"/>
    <w:rsid w:val="00916CF7"/>
    <w:rsid w:val="009228D2"/>
    <w:rsid w:val="00927EBF"/>
    <w:rsid w:val="009303DB"/>
    <w:rsid w:val="00931587"/>
    <w:rsid w:val="00941A9A"/>
    <w:rsid w:val="009468F8"/>
    <w:rsid w:val="00950407"/>
    <w:rsid w:val="00954684"/>
    <w:rsid w:val="00965873"/>
    <w:rsid w:val="00966CCB"/>
    <w:rsid w:val="00967C74"/>
    <w:rsid w:val="00967DC1"/>
    <w:rsid w:val="00967EF0"/>
    <w:rsid w:val="00975AC5"/>
    <w:rsid w:val="00981D9E"/>
    <w:rsid w:val="00991D62"/>
    <w:rsid w:val="009954AD"/>
    <w:rsid w:val="009A38A6"/>
    <w:rsid w:val="009C13A0"/>
    <w:rsid w:val="009C4347"/>
    <w:rsid w:val="009C45D0"/>
    <w:rsid w:val="009C47D2"/>
    <w:rsid w:val="009D0B5D"/>
    <w:rsid w:val="009D0E21"/>
    <w:rsid w:val="009D2EE2"/>
    <w:rsid w:val="009D3E8A"/>
    <w:rsid w:val="009D4AA4"/>
    <w:rsid w:val="009E37E8"/>
    <w:rsid w:val="009E6512"/>
    <w:rsid w:val="00A03B77"/>
    <w:rsid w:val="00A1438B"/>
    <w:rsid w:val="00A16ECE"/>
    <w:rsid w:val="00A229FE"/>
    <w:rsid w:val="00A26E5B"/>
    <w:rsid w:val="00A31DF7"/>
    <w:rsid w:val="00A345DE"/>
    <w:rsid w:val="00A4067E"/>
    <w:rsid w:val="00A447F9"/>
    <w:rsid w:val="00A60B5C"/>
    <w:rsid w:val="00A619D1"/>
    <w:rsid w:val="00A62C7D"/>
    <w:rsid w:val="00A65A9C"/>
    <w:rsid w:val="00A67555"/>
    <w:rsid w:val="00A750E7"/>
    <w:rsid w:val="00A76C02"/>
    <w:rsid w:val="00A97428"/>
    <w:rsid w:val="00AA4193"/>
    <w:rsid w:val="00AA4539"/>
    <w:rsid w:val="00AB07DB"/>
    <w:rsid w:val="00AB6912"/>
    <w:rsid w:val="00AB7B39"/>
    <w:rsid w:val="00AC03FB"/>
    <w:rsid w:val="00AC5915"/>
    <w:rsid w:val="00AD2B35"/>
    <w:rsid w:val="00AD57D5"/>
    <w:rsid w:val="00AD6EC0"/>
    <w:rsid w:val="00AD7D40"/>
    <w:rsid w:val="00AE4E08"/>
    <w:rsid w:val="00AF1112"/>
    <w:rsid w:val="00AF2156"/>
    <w:rsid w:val="00AF3BC1"/>
    <w:rsid w:val="00AF5A6A"/>
    <w:rsid w:val="00B062B4"/>
    <w:rsid w:val="00B15750"/>
    <w:rsid w:val="00B238DC"/>
    <w:rsid w:val="00B25EC7"/>
    <w:rsid w:val="00B26D3C"/>
    <w:rsid w:val="00B322B7"/>
    <w:rsid w:val="00B37F6F"/>
    <w:rsid w:val="00B40723"/>
    <w:rsid w:val="00B42388"/>
    <w:rsid w:val="00B4661F"/>
    <w:rsid w:val="00B656CF"/>
    <w:rsid w:val="00B721F1"/>
    <w:rsid w:val="00B74085"/>
    <w:rsid w:val="00B77B5B"/>
    <w:rsid w:val="00B8059D"/>
    <w:rsid w:val="00B87947"/>
    <w:rsid w:val="00B94EAC"/>
    <w:rsid w:val="00BA3B91"/>
    <w:rsid w:val="00BB5011"/>
    <w:rsid w:val="00BE4A85"/>
    <w:rsid w:val="00C1130A"/>
    <w:rsid w:val="00C1286A"/>
    <w:rsid w:val="00C206E6"/>
    <w:rsid w:val="00C20E41"/>
    <w:rsid w:val="00C337E7"/>
    <w:rsid w:val="00C35A3D"/>
    <w:rsid w:val="00C51EAB"/>
    <w:rsid w:val="00C70456"/>
    <w:rsid w:val="00C7193D"/>
    <w:rsid w:val="00C815DF"/>
    <w:rsid w:val="00C848F7"/>
    <w:rsid w:val="00C852DE"/>
    <w:rsid w:val="00C91AF1"/>
    <w:rsid w:val="00C923FA"/>
    <w:rsid w:val="00C935FD"/>
    <w:rsid w:val="00C95B74"/>
    <w:rsid w:val="00CA0CA1"/>
    <w:rsid w:val="00CB68E1"/>
    <w:rsid w:val="00CB7DF5"/>
    <w:rsid w:val="00CC01A4"/>
    <w:rsid w:val="00CC0736"/>
    <w:rsid w:val="00CC15CC"/>
    <w:rsid w:val="00CC47A5"/>
    <w:rsid w:val="00CD7E59"/>
    <w:rsid w:val="00CE041B"/>
    <w:rsid w:val="00CE0ACE"/>
    <w:rsid w:val="00CE369E"/>
    <w:rsid w:val="00CF3A9D"/>
    <w:rsid w:val="00CF3AE6"/>
    <w:rsid w:val="00CF5216"/>
    <w:rsid w:val="00CF6334"/>
    <w:rsid w:val="00D025A5"/>
    <w:rsid w:val="00D0274A"/>
    <w:rsid w:val="00D05B74"/>
    <w:rsid w:val="00D12241"/>
    <w:rsid w:val="00D2167B"/>
    <w:rsid w:val="00D22BEF"/>
    <w:rsid w:val="00D2458B"/>
    <w:rsid w:val="00D31B40"/>
    <w:rsid w:val="00D50BF0"/>
    <w:rsid w:val="00D5420E"/>
    <w:rsid w:val="00D61B9F"/>
    <w:rsid w:val="00D630D6"/>
    <w:rsid w:val="00D66CF0"/>
    <w:rsid w:val="00D67EC3"/>
    <w:rsid w:val="00D71687"/>
    <w:rsid w:val="00D7257B"/>
    <w:rsid w:val="00D76530"/>
    <w:rsid w:val="00D77857"/>
    <w:rsid w:val="00D80FEF"/>
    <w:rsid w:val="00D82965"/>
    <w:rsid w:val="00D90ED2"/>
    <w:rsid w:val="00D96D9B"/>
    <w:rsid w:val="00DA4A28"/>
    <w:rsid w:val="00DB2ABE"/>
    <w:rsid w:val="00DB4785"/>
    <w:rsid w:val="00DB7535"/>
    <w:rsid w:val="00DC463C"/>
    <w:rsid w:val="00DD2930"/>
    <w:rsid w:val="00DD5791"/>
    <w:rsid w:val="00DE1697"/>
    <w:rsid w:val="00DF2288"/>
    <w:rsid w:val="00DF2F99"/>
    <w:rsid w:val="00DF5DED"/>
    <w:rsid w:val="00E00246"/>
    <w:rsid w:val="00E0045F"/>
    <w:rsid w:val="00E00826"/>
    <w:rsid w:val="00E027E8"/>
    <w:rsid w:val="00E11D10"/>
    <w:rsid w:val="00E131E6"/>
    <w:rsid w:val="00E1754B"/>
    <w:rsid w:val="00E36F18"/>
    <w:rsid w:val="00E42D00"/>
    <w:rsid w:val="00E42D6F"/>
    <w:rsid w:val="00E4668D"/>
    <w:rsid w:val="00E46805"/>
    <w:rsid w:val="00E512A0"/>
    <w:rsid w:val="00E64823"/>
    <w:rsid w:val="00E65664"/>
    <w:rsid w:val="00E66932"/>
    <w:rsid w:val="00E72142"/>
    <w:rsid w:val="00E72A6F"/>
    <w:rsid w:val="00E83418"/>
    <w:rsid w:val="00E85C52"/>
    <w:rsid w:val="00E9362F"/>
    <w:rsid w:val="00E94491"/>
    <w:rsid w:val="00EA03AA"/>
    <w:rsid w:val="00EA35AA"/>
    <w:rsid w:val="00EA6A74"/>
    <w:rsid w:val="00EB78CA"/>
    <w:rsid w:val="00EC0CCD"/>
    <w:rsid w:val="00EC1015"/>
    <w:rsid w:val="00EC1108"/>
    <w:rsid w:val="00EC3F61"/>
    <w:rsid w:val="00EC43F8"/>
    <w:rsid w:val="00EC57E0"/>
    <w:rsid w:val="00EC735C"/>
    <w:rsid w:val="00ED3FAE"/>
    <w:rsid w:val="00EE0227"/>
    <w:rsid w:val="00EF636C"/>
    <w:rsid w:val="00F04253"/>
    <w:rsid w:val="00F156EE"/>
    <w:rsid w:val="00F15E95"/>
    <w:rsid w:val="00F23B34"/>
    <w:rsid w:val="00F34604"/>
    <w:rsid w:val="00F41350"/>
    <w:rsid w:val="00F415B0"/>
    <w:rsid w:val="00F41DC3"/>
    <w:rsid w:val="00F47D95"/>
    <w:rsid w:val="00F55B40"/>
    <w:rsid w:val="00F57714"/>
    <w:rsid w:val="00F63039"/>
    <w:rsid w:val="00F659F1"/>
    <w:rsid w:val="00F71CDD"/>
    <w:rsid w:val="00F73AE8"/>
    <w:rsid w:val="00F761EE"/>
    <w:rsid w:val="00F76B1F"/>
    <w:rsid w:val="00F84F5C"/>
    <w:rsid w:val="00F914C4"/>
    <w:rsid w:val="00F91D1C"/>
    <w:rsid w:val="00F91E1B"/>
    <w:rsid w:val="00FA3A75"/>
    <w:rsid w:val="00FA69A4"/>
    <w:rsid w:val="00FB20CC"/>
    <w:rsid w:val="00FC2D19"/>
    <w:rsid w:val="00FD04F7"/>
    <w:rsid w:val="00FD7F80"/>
    <w:rsid w:val="00FE0652"/>
    <w:rsid w:val="00FE1D06"/>
    <w:rsid w:val="00FE2CF8"/>
    <w:rsid w:val="00FE63D5"/>
    <w:rsid w:val="00FF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3EDF"/>
  <w15:docId w15:val="{383FD111-3A2D-4756-84F5-34E03B17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A6A"/>
    <w:rPr>
      <w:rFonts w:eastAsia="Calibri"/>
      <w:sz w:val="20"/>
      <w:szCs w:val="20"/>
    </w:rPr>
  </w:style>
  <w:style w:type="paragraph" w:styleId="Heading1">
    <w:name w:val="heading 1"/>
    <w:basedOn w:val="Normal"/>
    <w:next w:val="Normal"/>
    <w:link w:val="Heading1Char"/>
    <w:qFormat/>
    <w:rsid w:val="00545A6A"/>
    <w:pPr>
      <w:keepNext/>
      <w:tabs>
        <w:tab w:val="left" w:pos="-720"/>
      </w:tabs>
      <w:suppressAutoHyphens/>
      <w:jc w:val="both"/>
      <w:outlineLvl w:val="0"/>
    </w:pPr>
    <w:rPr>
      <w:rFonts w:ascii="Tms Rmn 12pt" w:eastAsia="Times New Roman" w:hAnsi="Tms Rmn 12pt"/>
      <w:i/>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A6A"/>
    <w:pPr>
      <w:tabs>
        <w:tab w:val="center" w:pos="4680"/>
        <w:tab w:val="right" w:pos="9360"/>
      </w:tabs>
    </w:pPr>
    <w:rPr>
      <w:rFonts w:eastAsiaTheme="minorHAnsi"/>
      <w:sz w:val="24"/>
      <w:szCs w:val="24"/>
    </w:rPr>
  </w:style>
  <w:style w:type="character" w:customStyle="1" w:styleId="HeaderChar">
    <w:name w:val="Header Char"/>
    <w:basedOn w:val="DefaultParagraphFont"/>
    <w:link w:val="Header"/>
    <w:uiPriority w:val="99"/>
    <w:rsid w:val="00545A6A"/>
  </w:style>
  <w:style w:type="paragraph" w:styleId="Footer">
    <w:name w:val="footer"/>
    <w:basedOn w:val="Normal"/>
    <w:link w:val="FooterChar"/>
    <w:uiPriority w:val="99"/>
    <w:unhideWhenUsed/>
    <w:rsid w:val="00545A6A"/>
    <w:pPr>
      <w:tabs>
        <w:tab w:val="center" w:pos="4680"/>
        <w:tab w:val="right" w:pos="9360"/>
      </w:tabs>
    </w:pPr>
    <w:rPr>
      <w:rFonts w:eastAsiaTheme="minorHAnsi"/>
      <w:sz w:val="24"/>
      <w:szCs w:val="24"/>
    </w:rPr>
  </w:style>
  <w:style w:type="character" w:customStyle="1" w:styleId="FooterChar">
    <w:name w:val="Footer Char"/>
    <w:basedOn w:val="DefaultParagraphFont"/>
    <w:link w:val="Footer"/>
    <w:uiPriority w:val="99"/>
    <w:rsid w:val="00545A6A"/>
  </w:style>
  <w:style w:type="paragraph" w:customStyle="1" w:styleId="Authors">
    <w:name w:val="Authors"/>
    <w:basedOn w:val="Normal"/>
    <w:rsid w:val="00545A6A"/>
    <w:pPr>
      <w:spacing w:before="120" w:after="360"/>
    </w:pPr>
    <w:rPr>
      <w:rFonts w:eastAsia="Times New Roman"/>
      <w:b/>
      <w:sz w:val="24"/>
      <w:szCs w:val="24"/>
    </w:rPr>
  </w:style>
  <w:style w:type="character" w:styleId="Hyperlink">
    <w:name w:val="Hyperlink"/>
    <w:uiPriority w:val="99"/>
    <w:rsid w:val="00545A6A"/>
    <w:rPr>
      <w:color w:val="0000FF"/>
      <w:u w:val="single"/>
    </w:rPr>
  </w:style>
  <w:style w:type="paragraph" w:customStyle="1" w:styleId="Affiliation">
    <w:name w:val="Affiliation"/>
    <w:basedOn w:val="Normal"/>
    <w:qFormat/>
    <w:rsid w:val="00545A6A"/>
    <w:pPr>
      <w:spacing w:before="120"/>
    </w:pPr>
    <w:rPr>
      <w:rFonts w:eastAsia="Times New Roman"/>
      <w:sz w:val="24"/>
      <w:szCs w:val="24"/>
    </w:rPr>
  </w:style>
  <w:style w:type="paragraph" w:customStyle="1" w:styleId="Note">
    <w:name w:val="Note"/>
    <w:basedOn w:val="Normal"/>
    <w:qFormat/>
    <w:rsid w:val="00545A6A"/>
    <w:pPr>
      <w:spacing w:before="240" w:after="240"/>
    </w:pPr>
    <w:rPr>
      <w:color w:val="00B0F0"/>
    </w:rPr>
  </w:style>
  <w:style w:type="paragraph" w:customStyle="1" w:styleId="Heading-Main">
    <w:name w:val="Heading-Main"/>
    <w:basedOn w:val="Normal"/>
    <w:rsid w:val="00545A6A"/>
    <w:pPr>
      <w:keepNext/>
      <w:spacing w:before="240" w:after="120"/>
      <w:outlineLvl w:val="0"/>
    </w:pPr>
    <w:rPr>
      <w:rFonts w:eastAsia="Times New Roman"/>
      <w:b/>
      <w:bCs/>
      <w:kern w:val="28"/>
      <w:sz w:val="24"/>
      <w:szCs w:val="24"/>
    </w:rPr>
  </w:style>
  <w:style w:type="character" w:customStyle="1" w:styleId="Heading1Char">
    <w:name w:val="Heading 1 Char"/>
    <w:basedOn w:val="DefaultParagraphFont"/>
    <w:link w:val="Heading1"/>
    <w:rsid w:val="00545A6A"/>
    <w:rPr>
      <w:rFonts w:ascii="Tms Rmn 12pt" w:eastAsia="Times New Roman" w:hAnsi="Tms Rmn 12pt"/>
      <w:i/>
      <w:spacing w:val="-3"/>
      <w:szCs w:val="20"/>
    </w:rPr>
  </w:style>
  <w:style w:type="paragraph" w:styleId="BalloonText">
    <w:name w:val="Balloon Text"/>
    <w:basedOn w:val="Normal"/>
    <w:link w:val="BalloonTextChar"/>
    <w:uiPriority w:val="99"/>
    <w:semiHidden/>
    <w:unhideWhenUsed/>
    <w:rsid w:val="00545A6A"/>
    <w:rPr>
      <w:rFonts w:ascii="Tahoma" w:hAnsi="Tahoma" w:cs="Tahoma"/>
      <w:sz w:val="16"/>
      <w:szCs w:val="16"/>
    </w:rPr>
  </w:style>
  <w:style w:type="character" w:customStyle="1" w:styleId="BalloonTextChar">
    <w:name w:val="Balloon Text Char"/>
    <w:basedOn w:val="DefaultParagraphFont"/>
    <w:link w:val="BalloonText"/>
    <w:uiPriority w:val="99"/>
    <w:semiHidden/>
    <w:rsid w:val="00545A6A"/>
    <w:rPr>
      <w:rFonts w:ascii="Tahoma" w:eastAsia="Calibri" w:hAnsi="Tahoma" w:cs="Tahoma"/>
      <w:sz w:val="16"/>
      <w:szCs w:val="16"/>
    </w:rPr>
  </w:style>
  <w:style w:type="character" w:styleId="HTMLCite">
    <w:name w:val="HTML Cite"/>
    <w:basedOn w:val="DefaultParagraphFont"/>
    <w:rsid w:val="00545A6A"/>
    <w:rPr>
      <w:i/>
      <w:iCs/>
    </w:rPr>
  </w:style>
  <w:style w:type="character" w:customStyle="1" w:styleId="author">
    <w:name w:val="author"/>
    <w:basedOn w:val="DefaultParagraphFont"/>
    <w:rsid w:val="00545A6A"/>
  </w:style>
  <w:style w:type="character" w:customStyle="1" w:styleId="pubyear">
    <w:name w:val="pubyear"/>
    <w:basedOn w:val="DefaultParagraphFont"/>
    <w:rsid w:val="00545A6A"/>
  </w:style>
  <w:style w:type="character" w:customStyle="1" w:styleId="articletitle">
    <w:name w:val="articletitle"/>
    <w:basedOn w:val="DefaultParagraphFont"/>
    <w:rsid w:val="00545A6A"/>
  </w:style>
  <w:style w:type="character" w:customStyle="1" w:styleId="journaltitle">
    <w:name w:val="journaltitle"/>
    <w:basedOn w:val="DefaultParagraphFont"/>
    <w:rsid w:val="00545A6A"/>
  </w:style>
  <w:style w:type="character" w:customStyle="1" w:styleId="vol">
    <w:name w:val="vol"/>
    <w:basedOn w:val="DefaultParagraphFont"/>
    <w:rsid w:val="00545A6A"/>
  </w:style>
  <w:style w:type="paragraph" w:styleId="HTMLPreformatted">
    <w:name w:val="HTML Preformatted"/>
    <w:basedOn w:val="Normal"/>
    <w:link w:val="HTMLPreformattedChar"/>
    <w:rsid w:val="00545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rsid w:val="00545A6A"/>
    <w:rPr>
      <w:rFonts w:ascii="Courier New" w:eastAsia="Times New Roman" w:hAnsi="Courier New" w:cs="Courier New"/>
      <w:sz w:val="20"/>
      <w:szCs w:val="20"/>
    </w:rPr>
  </w:style>
  <w:style w:type="character" w:customStyle="1" w:styleId="pbauthors">
    <w:name w:val="pb_authors"/>
    <w:basedOn w:val="DefaultParagraphFont"/>
    <w:rsid w:val="00545A6A"/>
  </w:style>
  <w:style w:type="paragraph" w:customStyle="1" w:styleId="Document1">
    <w:name w:val="Document 1"/>
    <w:rsid w:val="00545A6A"/>
    <w:pPr>
      <w:keepNext/>
      <w:keepLines/>
      <w:widowControl w:val="0"/>
      <w:tabs>
        <w:tab w:val="left" w:pos="-720"/>
      </w:tabs>
      <w:suppressAutoHyphens/>
    </w:pPr>
    <w:rPr>
      <w:rFonts w:ascii="Courier New" w:eastAsia="Times New Roman" w:hAnsi="Courier New"/>
      <w:szCs w:val="20"/>
    </w:rPr>
  </w:style>
  <w:style w:type="character" w:customStyle="1" w:styleId="addmd">
    <w:name w:val="addmd"/>
    <w:basedOn w:val="DefaultParagraphFont"/>
    <w:rsid w:val="00545A6A"/>
  </w:style>
  <w:style w:type="table" w:styleId="TableGrid">
    <w:name w:val="Table Grid"/>
    <w:basedOn w:val="TableNormal"/>
    <w:uiPriority w:val="59"/>
    <w:rsid w:val="00545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headermeta-info-data">
    <w:name w:val="article-header__meta-info-data"/>
    <w:basedOn w:val="DefaultParagraphFont"/>
    <w:rsid w:val="00545A6A"/>
  </w:style>
  <w:style w:type="character" w:customStyle="1" w:styleId="st">
    <w:name w:val="st"/>
    <w:basedOn w:val="DefaultParagraphFont"/>
    <w:rsid w:val="00545A6A"/>
  </w:style>
  <w:style w:type="paragraph" w:customStyle="1" w:styleId="Default">
    <w:name w:val="Default"/>
    <w:rsid w:val="00C1130A"/>
    <w:pPr>
      <w:autoSpaceDE w:val="0"/>
      <w:autoSpaceDN w:val="0"/>
      <w:adjustRightInd w:val="0"/>
    </w:pPr>
    <w:rPr>
      <w:rFonts w:eastAsia="Times New Roman"/>
      <w:color w:val="000000"/>
    </w:rPr>
  </w:style>
  <w:style w:type="character" w:customStyle="1" w:styleId="volumenum">
    <w:name w:val="volumenum"/>
    <w:basedOn w:val="DefaultParagraphFont"/>
    <w:rsid w:val="00C1130A"/>
  </w:style>
  <w:style w:type="character" w:customStyle="1" w:styleId="citationnum">
    <w:name w:val="citationnum"/>
    <w:basedOn w:val="DefaultParagraphFont"/>
    <w:rsid w:val="00C1130A"/>
  </w:style>
  <w:style w:type="character" w:customStyle="1" w:styleId="doi">
    <w:name w:val="doi"/>
    <w:basedOn w:val="DefaultParagraphFont"/>
    <w:rsid w:val="00C1130A"/>
  </w:style>
  <w:style w:type="paragraph" w:styleId="ListParagraph">
    <w:name w:val="List Paragraph"/>
    <w:basedOn w:val="Normal"/>
    <w:uiPriority w:val="34"/>
    <w:qFormat/>
    <w:rsid w:val="00D31B40"/>
    <w:pPr>
      <w:ind w:left="720"/>
      <w:contextualSpacing/>
    </w:pPr>
  </w:style>
  <w:style w:type="paragraph" w:styleId="BodyText">
    <w:name w:val="Body Text"/>
    <w:basedOn w:val="Normal"/>
    <w:link w:val="BodyTextChar"/>
    <w:rsid w:val="00682AC0"/>
    <w:rPr>
      <w:rFonts w:ascii="Arial" w:eastAsia="Times New Roman" w:hAnsi="Arial"/>
      <w:b/>
    </w:rPr>
  </w:style>
  <w:style w:type="character" w:customStyle="1" w:styleId="BodyTextChar">
    <w:name w:val="Body Text Char"/>
    <w:basedOn w:val="DefaultParagraphFont"/>
    <w:link w:val="BodyText"/>
    <w:rsid w:val="00682AC0"/>
    <w:rPr>
      <w:rFonts w:ascii="Arial" w:eastAsia="Times New Roman" w:hAnsi="Arial"/>
      <w:b/>
      <w:sz w:val="20"/>
      <w:szCs w:val="20"/>
    </w:rPr>
  </w:style>
  <w:style w:type="paragraph" w:styleId="BodyTextIndent">
    <w:name w:val="Body Text Indent"/>
    <w:basedOn w:val="Normal"/>
    <w:link w:val="BodyTextIndentChar"/>
    <w:rsid w:val="00682AC0"/>
    <w:pPr>
      <w:widowControl w:val="0"/>
      <w:suppressAutoHyphens/>
      <w:ind w:left="720"/>
      <w:jc w:val="both"/>
    </w:pPr>
    <w:rPr>
      <w:rFonts w:eastAsia="Times New Roman"/>
      <w:sz w:val="24"/>
    </w:rPr>
  </w:style>
  <w:style w:type="character" w:customStyle="1" w:styleId="BodyTextIndentChar">
    <w:name w:val="Body Text Indent Char"/>
    <w:basedOn w:val="DefaultParagraphFont"/>
    <w:link w:val="BodyTextIndent"/>
    <w:rsid w:val="00682AC0"/>
    <w:rPr>
      <w:rFonts w:eastAsia="Times New Roman"/>
      <w:szCs w:val="20"/>
    </w:rPr>
  </w:style>
  <w:style w:type="character" w:styleId="LineNumber">
    <w:name w:val="line number"/>
    <w:basedOn w:val="DefaultParagraphFont"/>
    <w:uiPriority w:val="99"/>
    <w:semiHidden/>
    <w:unhideWhenUsed/>
    <w:rsid w:val="009D3E8A"/>
  </w:style>
  <w:style w:type="paragraph" w:styleId="NormalWeb">
    <w:name w:val="Normal (Web)"/>
    <w:basedOn w:val="Normal"/>
    <w:uiPriority w:val="99"/>
    <w:semiHidden/>
    <w:unhideWhenUsed/>
    <w:rsid w:val="002801B7"/>
    <w:pPr>
      <w:spacing w:before="100" w:beforeAutospacing="1" w:after="100" w:afterAutospacing="1"/>
    </w:pPr>
    <w:rPr>
      <w:rFonts w:eastAsiaTheme="minorEastAsia"/>
      <w:sz w:val="24"/>
      <w:szCs w:val="24"/>
    </w:rPr>
  </w:style>
  <w:style w:type="character" w:styleId="Strong">
    <w:name w:val="Strong"/>
    <w:basedOn w:val="DefaultParagraphFont"/>
    <w:uiPriority w:val="22"/>
    <w:qFormat/>
    <w:rsid w:val="009C4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06815">
      <w:bodyDiv w:val="1"/>
      <w:marLeft w:val="0"/>
      <w:marRight w:val="0"/>
      <w:marTop w:val="0"/>
      <w:marBottom w:val="0"/>
      <w:divBdr>
        <w:top w:val="none" w:sz="0" w:space="0" w:color="auto"/>
        <w:left w:val="none" w:sz="0" w:space="0" w:color="auto"/>
        <w:bottom w:val="none" w:sz="0" w:space="0" w:color="auto"/>
        <w:right w:val="none" w:sz="0" w:space="0" w:color="auto"/>
      </w:divBdr>
      <w:divsChild>
        <w:div w:id="2062750038">
          <w:marLeft w:val="0"/>
          <w:marRight w:val="0"/>
          <w:marTop w:val="0"/>
          <w:marBottom w:val="0"/>
          <w:divBdr>
            <w:top w:val="none" w:sz="0" w:space="0" w:color="auto"/>
            <w:left w:val="none" w:sz="0" w:space="0" w:color="auto"/>
            <w:bottom w:val="none" w:sz="0" w:space="0" w:color="auto"/>
            <w:right w:val="none" w:sz="0" w:space="0" w:color="auto"/>
          </w:divBdr>
        </w:div>
        <w:div w:id="607126299">
          <w:marLeft w:val="0"/>
          <w:marRight w:val="0"/>
          <w:marTop w:val="0"/>
          <w:marBottom w:val="0"/>
          <w:divBdr>
            <w:top w:val="none" w:sz="0" w:space="0" w:color="auto"/>
            <w:left w:val="none" w:sz="0" w:space="0" w:color="auto"/>
            <w:bottom w:val="none" w:sz="0" w:space="0" w:color="auto"/>
            <w:right w:val="none" w:sz="0" w:space="0" w:color="auto"/>
          </w:divBdr>
        </w:div>
        <w:div w:id="484973720">
          <w:marLeft w:val="0"/>
          <w:marRight w:val="0"/>
          <w:marTop w:val="0"/>
          <w:marBottom w:val="0"/>
          <w:divBdr>
            <w:top w:val="none" w:sz="0" w:space="0" w:color="auto"/>
            <w:left w:val="none" w:sz="0" w:space="0" w:color="auto"/>
            <w:bottom w:val="none" w:sz="0" w:space="0" w:color="auto"/>
            <w:right w:val="none" w:sz="0" w:space="0" w:color="auto"/>
          </w:divBdr>
        </w:div>
        <w:div w:id="2118325896">
          <w:marLeft w:val="0"/>
          <w:marRight w:val="0"/>
          <w:marTop w:val="0"/>
          <w:marBottom w:val="0"/>
          <w:divBdr>
            <w:top w:val="none" w:sz="0" w:space="0" w:color="auto"/>
            <w:left w:val="none" w:sz="0" w:space="0" w:color="auto"/>
            <w:bottom w:val="none" w:sz="0" w:space="0" w:color="auto"/>
            <w:right w:val="none" w:sz="0" w:space="0" w:color="auto"/>
          </w:divBdr>
        </w:div>
        <w:div w:id="1684896954">
          <w:marLeft w:val="0"/>
          <w:marRight w:val="0"/>
          <w:marTop w:val="0"/>
          <w:marBottom w:val="0"/>
          <w:divBdr>
            <w:top w:val="none" w:sz="0" w:space="0" w:color="auto"/>
            <w:left w:val="none" w:sz="0" w:space="0" w:color="auto"/>
            <w:bottom w:val="none" w:sz="0" w:space="0" w:color="auto"/>
            <w:right w:val="none" w:sz="0" w:space="0" w:color="auto"/>
          </w:divBdr>
        </w:div>
        <w:div w:id="724640578">
          <w:marLeft w:val="0"/>
          <w:marRight w:val="0"/>
          <w:marTop w:val="0"/>
          <w:marBottom w:val="0"/>
          <w:divBdr>
            <w:top w:val="none" w:sz="0" w:space="0" w:color="auto"/>
            <w:left w:val="none" w:sz="0" w:space="0" w:color="auto"/>
            <w:bottom w:val="none" w:sz="0" w:space="0" w:color="auto"/>
            <w:right w:val="none" w:sz="0" w:space="0" w:color="auto"/>
          </w:divBdr>
        </w:div>
        <w:div w:id="946233690">
          <w:marLeft w:val="0"/>
          <w:marRight w:val="0"/>
          <w:marTop w:val="0"/>
          <w:marBottom w:val="0"/>
          <w:divBdr>
            <w:top w:val="none" w:sz="0" w:space="0" w:color="auto"/>
            <w:left w:val="none" w:sz="0" w:space="0" w:color="auto"/>
            <w:bottom w:val="none" w:sz="0" w:space="0" w:color="auto"/>
            <w:right w:val="none" w:sz="0" w:space="0" w:color="auto"/>
          </w:divBdr>
        </w:div>
        <w:div w:id="1668240504">
          <w:marLeft w:val="0"/>
          <w:marRight w:val="0"/>
          <w:marTop w:val="0"/>
          <w:marBottom w:val="0"/>
          <w:divBdr>
            <w:top w:val="none" w:sz="0" w:space="0" w:color="auto"/>
            <w:left w:val="none" w:sz="0" w:space="0" w:color="auto"/>
            <w:bottom w:val="none" w:sz="0" w:space="0" w:color="auto"/>
            <w:right w:val="none" w:sz="0" w:space="0" w:color="auto"/>
          </w:divBdr>
        </w:div>
        <w:div w:id="641076416">
          <w:marLeft w:val="0"/>
          <w:marRight w:val="0"/>
          <w:marTop w:val="0"/>
          <w:marBottom w:val="0"/>
          <w:divBdr>
            <w:top w:val="none" w:sz="0" w:space="0" w:color="auto"/>
            <w:left w:val="none" w:sz="0" w:space="0" w:color="auto"/>
            <w:bottom w:val="none" w:sz="0" w:space="0" w:color="auto"/>
            <w:right w:val="none" w:sz="0" w:space="0" w:color="auto"/>
          </w:divBdr>
        </w:div>
        <w:div w:id="1034306523">
          <w:marLeft w:val="0"/>
          <w:marRight w:val="0"/>
          <w:marTop w:val="0"/>
          <w:marBottom w:val="0"/>
          <w:divBdr>
            <w:top w:val="none" w:sz="0" w:space="0" w:color="auto"/>
            <w:left w:val="none" w:sz="0" w:space="0" w:color="auto"/>
            <w:bottom w:val="none" w:sz="0" w:space="0" w:color="auto"/>
            <w:right w:val="none" w:sz="0" w:space="0" w:color="auto"/>
          </w:divBdr>
        </w:div>
        <w:div w:id="1153369809">
          <w:marLeft w:val="0"/>
          <w:marRight w:val="0"/>
          <w:marTop w:val="0"/>
          <w:marBottom w:val="0"/>
          <w:divBdr>
            <w:top w:val="none" w:sz="0" w:space="0" w:color="auto"/>
            <w:left w:val="none" w:sz="0" w:space="0" w:color="auto"/>
            <w:bottom w:val="none" w:sz="0" w:space="0" w:color="auto"/>
            <w:right w:val="none" w:sz="0" w:space="0" w:color="auto"/>
          </w:divBdr>
        </w:div>
        <w:div w:id="51278229">
          <w:marLeft w:val="0"/>
          <w:marRight w:val="0"/>
          <w:marTop w:val="0"/>
          <w:marBottom w:val="0"/>
          <w:divBdr>
            <w:top w:val="none" w:sz="0" w:space="0" w:color="auto"/>
            <w:left w:val="none" w:sz="0" w:space="0" w:color="auto"/>
            <w:bottom w:val="none" w:sz="0" w:space="0" w:color="auto"/>
            <w:right w:val="none" w:sz="0" w:space="0" w:color="auto"/>
          </w:divBdr>
        </w:div>
        <w:div w:id="420763708">
          <w:marLeft w:val="0"/>
          <w:marRight w:val="0"/>
          <w:marTop w:val="0"/>
          <w:marBottom w:val="0"/>
          <w:divBdr>
            <w:top w:val="none" w:sz="0" w:space="0" w:color="auto"/>
            <w:left w:val="none" w:sz="0" w:space="0" w:color="auto"/>
            <w:bottom w:val="none" w:sz="0" w:space="0" w:color="auto"/>
            <w:right w:val="none" w:sz="0" w:space="0" w:color="auto"/>
          </w:divBdr>
        </w:div>
        <w:div w:id="651836765">
          <w:marLeft w:val="0"/>
          <w:marRight w:val="0"/>
          <w:marTop w:val="0"/>
          <w:marBottom w:val="0"/>
          <w:divBdr>
            <w:top w:val="none" w:sz="0" w:space="0" w:color="auto"/>
            <w:left w:val="none" w:sz="0" w:space="0" w:color="auto"/>
            <w:bottom w:val="none" w:sz="0" w:space="0" w:color="auto"/>
            <w:right w:val="none" w:sz="0" w:space="0" w:color="auto"/>
          </w:divBdr>
        </w:div>
        <w:div w:id="938098221">
          <w:marLeft w:val="0"/>
          <w:marRight w:val="0"/>
          <w:marTop w:val="0"/>
          <w:marBottom w:val="0"/>
          <w:divBdr>
            <w:top w:val="none" w:sz="0" w:space="0" w:color="auto"/>
            <w:left w:val="none" w:sz="0" w:space="0" w:color="auto"/>
            <w:bottom w:val="none" w:sz="0" w:space="0" w:color="auto"/>
            <w:right w:val="none" w:sz="0" w:space="0" w:color="auto"/>
          </w:divBdr>
        </w:div>
        <w:div w:id="1766923291">
          <w:marLeft w:val="0"/>
          <w:marRight w:val="0"/>
          <w:marTop w:val="0"/>
          <w:marBottom w:val="0"/>
          <w:divBdr>
            <w:top w:val="none" w:sz="0" w:space="0" w:color="auto"/>
            <w:left w:val="none" w:sz="0" w:space="0" w:color="auto"/>
            <w:bottom w:val="none" w:sz="0" w:space="0" w:color="auto"/>
            <w:right w:val="none" w:sz="0" w:space="0" w:color="auto"/>
          </w:divBdr>
        </w:div>
        <w:div w:id="1478914008">
          <w:marLeft w:val="0"/>
          <w:marRight w:val="0"/>
          <w:marTop w:val="0"/>
          <w:marBottom w:val="0"/>
          <w:divBdr>
            <w:top w:val="none" w:sz="0" w:space="0" w:color="auto"/>
            <w:left w:val="none" w:sz="0" w:space="0" w:color="auto"/>
            <w:bottom w:val="none" w:sz="0" w:space="0" w:color="auto"/>
            <w:right w:val="none" w:sz="0" w:space="0" w:color="auto"/>
          </w:divBdr>
        </w:div>
        <w:div w:id="1802528001">
          <w:marLeft w:val="0"/>
          <w:marRight w:val="0"/>
          <w:marTop w:val="0"/>
          <w:marBottom w:val="0"/>
          <w:divBdr>
            <w:top w:val="none" w:sz="0" w:space="0" w:color="auto"/>
            <w:left w:val="none" w:sz="0" w:space="0" w:color="auto"/>
            <w:bottom w:val="none" w:sz="0" w:space="0" w:color="auto"/>
            <w:right w:val="none" w:sz="0" w:space="0" w:color="auto"/>
          </w:divBdr>
        </w:div>
        <w:div w:id="218177596">
          <w:marLeft w:val="0"/>
          <w:marRight w:val="0"/>
          <w:marTop w:val="0"/>
          <w:marBottom w:val="0"/>
          <w:divBdr>
            <w:top w:val="none" w:sz="0" w:space="0" w:color="auto"/>
            <w:left w:val="none" w:sz="0" w:space="0" w:color="auto"/>
            <w:bottom w:val="none" w:sz="0" w:space="0" w:color="auto"/>
            <w:right w:val="none" w:sz="0" w:space="0" w:color="auto"/>
          </w:divBdr>
        </w:div>
        <w:div w:id="671370284">
          <w:marLeft w:val="0"/>
          <w:marRight w:val="0"/>
          <w:marTop w:val="0"/>
          <w:marBottom w:val="0"/>
          <w:divBdr>
            <w:top w:val="none" w:sz="0" w:space="0" w:color="auto"/>
            <w:left w:val="none" w:sz="0" w:space="0" w:color="auto"/>
            <w:bottom w:val="none" w:sz="0" w:space="0" w:color="auto"/>
            <w:right w:val="none" w:sz="0" w:space="0" w:color="auto"/>
          </w:divBdr>
        </w:div>
        <w:div w:id="1629512996">
          <w:marLeft w:val="0"/>
          <w:marRight w:val="0"/>
          <w:marTop w:val="0"/>
          <w:marBottom w:val="0"/>
          <w:divBdr>
            <w:top w:val="none" w:sz="0" w:space="0" w:color="auto"/>
            <w:left w:val="none" w:sz="0" w:space="0" w:color="auto"/>
            <w:bottom w:val="none" w:sz="0" w:space="0" w:color="auto"/>
            <w:right w:val="none" w:sz="0" w:space="0" w:color="auto"/>
          </w:divBdr>
        </w:div>
        <w:div w:id="1199513378">
          <w:marLeft w:val="0"/>
          <w:marRight w:val="0"/>
          <w:marTop w:val="0"/>
          <w:marBottom w:val="0"/>
          <w:divBdr>
            <w:top w:val="none" w:sz="0" w:space="0" w:color="auto"/>
            <w:left w:val="none" w:sz="0" w:space="0" w:color="auto"/>
            <w:bottom w:val="none" w:sz="0" w:space="0" w:color="auto"/>
            <w:right w:val="none" w:sz="0" w:space="0" w:color="auto"/>
          </w:divBdr>
        </w:div>
        <w:div w:id="2058234230">
          <w:marLeft w:val="0"/>
          <w:marRight w:val="0"/>
          <w:marTop w:val="0"/>
          <w:marBottom w:val="0"/>
          <w:divBdr>
            <w:top w:val="none" w:sz="0" w:space="0" w:color="auto"/>
            <w:left w:val="none" w:sz="0" w:space="0" w:color="auto"/>
            <w:bottom w:val="none" w:sz="0" w:space="0" w:color="auto"/>
            <w:right w:val="none" w:sz="0" w:space="0" w:color="auto"/>
          </w:divBdr>
        </w:div>
        <w:div w:id="976571064">
          <w:marLeft w:val="0"/>
          <w:marRight w:val="0"/>
          <w:marTop w:val="0"/>
          <w:marBottom w:val="0"/>
          <w:divBdr>
            <w:top w:val="none" w:sz="0" w:space="0" w:color="auto"/>
            <w:left w:val="none" w:sz="0" w:space="0" w:color="auto"/>
            <w:bottom w:val="none" w:sz="0" w:space="0" w:color="auto"/>
            <w:right w:val="none" w:sz="0" w:space="0" w:color="auto"/>
          </w:divBdr>
        </w:div>
        <w:div w:id="580796989">
          <w:marLeft w:val="0"/>
          <w:marRight w:val="0"/>
          <w:marTop w:val="0"/>
          <w:marBottom w:val="0"/>
          <w:divBdr>
            <w:top w:val="none" w:sz="0" w:space="0" w:color="auto"/>
            <w:left w:val="none" w:sz="0" w:space="0" w:color="auto"/>
            <w:bottom w:val="none" w:sz="0" w:space="0" w:color="auto"/>
            <w:right w:val="none" w:sz="0" w:space="0" w:color="auto"/>
          </w:divBdr>
        </w:div>
        <w:div w:id="1112364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opscience.iop.org/article/10.1088/1748-9326/ab4667" TargetMode="External"/><Relationship Id="rId3" Type="http://schemas.openxmlformats.org/officeDocument/2006/relationships/settings" Target="settings.xml"/><Relationship Id="rId7" Type="http://schemas.openxmlformats.org/officeDocument/2006/relationships/hyperlink" Target="mailto:watson.gregg@nasa.gov)" TargetMode="Externa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5919</Words>
  <Characters>33744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dc:creator>
  <cp:lastModifiedBy>Rousseaux, Cecile S. (GSFC-610.1)[UNIVERSITIES SPACE RESEARCH ASSOCIATION]</cp:lastModifiedBy>
  <cp:revision>2</cp:revision>
  <cp:lastPrinted>2019-05-06T16:31:00Z</cp:lastPrinted>
  <dcterms:created xsi:type="dcterms:W3CDTF">2021-04-14T14:24:00Z</dcterms:created>
  <dcterms:modified xsi:type="dcterms:W3CDTF">2021-04-14T14:24:00Z</dcterms:modified>
</cp:coreProperties>
</file>