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BFB139" w14:textId="06FDD981" w:rsidR="00F565BA" w:rsidRPr="006B42CE" w:rsidRDefault="002E771E" w:rsidP="00143CD2">
      <w:pPr>
        <w:pStyle w:val="Title"/>
        <w:rPr>
          <w:sz w:val="48"/>
          <w:szCs w:val="48"/>
        </w:rPr>
      </w:pPr>
      <w:r>
        <w:rPr>
          <w:sz w:val="48"/>
          <w:szCs w:val="48"/>
        </w:rPr>
        <w:t>Utilizing</w:t>
      </w:r>
      <w:r w:rsidRPr="002E771E">
        <w:rPr>
          <w:sz w:val="48"/>
          <w:szCs w:val="48"/>
        </w:rPr>
        <w:t xml:space="preserve"> </w:t>
      </w:r>
      <w:r w:rsidRPr="002E771E">
        <w:rPr>
          <w:bCs/>
          <w:sz w:val="48"/>
          <w:szCs w:val="48"/>
        </w:rPr>
        <w:t>Gaps and Key Performance Parameters to Inform NASA Environmental Control and Life Support and Human Health and Performance Capability Technology</w:t>
      </w:r>
      <w:r w:rsidRPr="00222495">
        <w:rPr>
          <w:bCs/>
          <w:szCs w:val="36"/>
        </w:rPr>
        <w:t xml:space="preserve"> </w:t>
      </w:r>
      <w:r>
        <w:rPr>
          <w:sz w:val="48"/>
          <w:szCs w:val="48"/>
        </w:rPr>
        <w:t>Decisions</w:t>
      </w:r>
    </w:p>
    <w:p w14:paraId="38BFB13A" w14:textId="3EA41853" w:rsidR="00F565BA" w:rsidRPr="006B42CE" w:rsidRDefault="002E771E" w:rsidP="00F565BA">
      <w:pPr>
        <w:jc w:val="center"/>
        <w:rPr>
          <w:sz w:val="32"/>
          <w:szCs w:val="32"/>
        </w:rPr>
      </w:pPr>
      <w:r>
        <w:rPr>
          <w:sz w:val="32"/>
          <w:szCs w:val="32"/>
        </w:rPr>
        <w:t>James L. Broyan, Jr.</w:t>
      </w:r>
      <w:r w:rsidR="00F565BA" w:rsidRPr="006B42CE">
        <w:rPr>
          <w:sz w:val="32"/>
          <w:szCs w:val="32"/>
          <w:vertAlign w:val="superscript"/>
        </w:rPr>
        <w:footnoteReference w:id="1"/>
      </w:r>
      <w:r w:rsidR="00F565BA" w:rsidRPr="006B42CE">
        <w:rPr>
          <w:sz w:val="32"/>
          <w:szCs w:val="32"/>
        </w:rPr>
        <w:t xml:space="preserve">  and </w:t>
      </w:r>
      <w:proofErr w:type="spellStart"/>
      <w:r>
        <w:rPr>
          <w:sz w:val="32"/>
          <w:szCs w:val="32"/>
        </w:rPr>
        <w:t>Sharmila</w:t>
      </w:r>
      <w:proofErr w:type="spellEnd"/>
      <w:r>
        <w:rPr>
          <w:sz w:val="32"/>
          <w:szCs w:val="32"/>
        </w:rPr>
        <w:t xml:space="preserve"> D. Watkins</w:t>
      </w:r>
      <w:r w:rsidR="005C5167">
        <w:rPr>
          <w:sz w:val="32"/>
          <w:szCs w:val="32"/>
        </w:rPr>
        <w:t>, M.D., M.P.H.</w:t>
      </w:r>
      <w:r w:rsidR="00F565BA" w:rsidRPr="006B42CE">
        <w:rPr>
          <w:sz w:val="32"/>
          <w:szCs w:val="32"/>
          <w:vertAlign w:val="superscript"/>
        </w:rPr>
        <w:footnoteReference w:id="2"/>
      </w:r>
    </w:p>
    <w:p w14:paraId="38BFB13B" w14:textId="6AFEFFC8" w:rsidR="00F565BA" w:rsidRPr="0001090C" w:rsidRDefault="002E771E" w:rsidP="00F565BA">
      <w:pPr>
        <w:spacing w:after="240"/>
        <w:jc w:val="center"/>
        <w:rPr>
          <w:i/>
          <w:sz w:val="24"/>
          <w:szCs w:val="24"/>
        </w:rPr>
      </w:pPr>
      <w:r w:rsidRPr="0001090C">
        <w:rPr>
          <w:i/>
          <w:sz w:val="24"/>
          <w:szCs w:val="24"/>
        </w:rPr>
        <w:t>NASA Johnson Space Center, 2101 NASA Parkway, Houston, TX, 77058</w:t>
      </w:r>
    </w:p>
    <w:p w14:paraId="38BFB13C" w14:textId="587DB4E4" w:rsidR="00F565BA" w:rsidRPr="006B42CE" w:rsidRDefault="002E771E" w:rsidP="00F565BA">
      <w:pPr>
        <w:jc w:val="center"/>
        <w:rPr>
          <w:sz w:val="32"/>
          <w:szCs w:val="32"/>
        </w:rPr>
      </w:pPr>
      <w:r>
        <w:rPr>
          <w:sz w:val="32"/>
          <w:szCs w:val="32"/>
        </w:rPr>
        <w:t>Morgan B. Abney</w:t>
      </w:r>
      <w:r w:rsidR="005C5167">
        <w:rPr>
          <w:sz w:val="32"/>
          <w:szCs w:val="32"/>
        </w:rPr>
        <w:t>, Ph.D.</w:t>
      </w:r>
      <w:r w:rsidR="00F565BA" w:rsidRPr="006B42CE">
        <w:rPr>
          <w:sz w:val="32"/>
          <w:szCs w:val="32"/>
          <w:vertAlign w:val="superscript"/>
        </w:rPr>
        <w:footnoteReference w:id="3"/>
      </w:r>
    </w:p>
    <w:p w14:paraId="38F72016" w14:textId="77777777" w:rsidR="002E771E" w:rsidRPr="002E771E" w:rsidRDefault="002E771E" w:rsidP="002E771E">
      <w:pPr>
        <w:pStyle w:val="AuthorAffiliations"/>
        <w:rPr>
          <w:sz w:val="24"/>
        </w:rPr>
      </w:pPr>
      <w:r w:rsidRPr="002E771E">
        <w:rPr>
          <w:sz w:val="24"/>
        </w:rPr>
        <w:t>NASA Langley Research Center, Hampton, VA 23681</w:t>
      </w:r>
    </w:p>
    <w:p w14:paraId="38BFB13E" w14:textId="2F43825E" w:rsidR="00F565BA" w:rsidRPr="006B42CE" w:rsidRDefault="002E771E" w:rsidP="00F565BA">
      <w:pPr>
        <w:jc w:val="center"/>
        <w:rPr>
          <w:sz w:val="32"/>
          <w:szCs w:val="32"/>
        </w:rPr>
      </w:pPr>
      <w:r>
        <w:rPr>
          <w:sz w:val="32"/>
          <w:szCs w:val="32"/>
        </w:rPr>
        <w:t>Robyn L. Gatens</w:t>
      </w:r>
      <w:r w:rsidR="00F565BA" w:rsidRPr="006B42CE">
        <w:rPr>
          <w:sz w:val="32"/>
          <w:szCs w:val="32"/>
          <w:vertAlign w:val="superscript"/>
        </w:rPr>
        <w:footnoteReference w:id="4"/>
      </w:r>
    </w:p>
    <w:p w14:paraId="61F319E0" w14:textId="538327DC" w:rsidR="002E771E" w:rsidRDefault="002E771E" w:rsidP="002E771E">
      <w:pPr>
        <w:pStyle w:val="AuthorAffiliations"/>
        <w:rPr>
          <w:iCs/>
          <w:color w:val="000000"/>
          <w:sz w:val="24"/>
        </w:rPr>
      </w:pPr>
      <w:r w:rsidRPr="002E771E">
        <w:rPr>
          <w:iCs/>
          <w:color w:val="000000"/>
          <w:sz w:val="24"/>
        </w:rPr>
        <w:t>NASA Headquarters, Washington, D.C. 20546</w:t>
      </w:r>
    </w:p>
    <w:p w14:paraId="276CC07A" w14:textId="5E36A74E" w:rsidR="002E771E" w:rsidRPr="006B42CE" w:rsidRDefault="002E771E" w:rsidP="002E771E">
      <w:pPr>
        <w:jc w:val="center"/>
        <w:rPr>
          <w:sz w:val="32"/>
          <w:szCs w:val="32"/>
        </w:rPr>
      </w:pPr>
      <w:r>
        <w:rPr>
          <w:sz w:val="32"/>
          <w:szCs w:val="32"/>
        </w:rPr>
        <w:t>Darcy E. Elburn</w:t>
      </w:r>
      <w:r w:rsidRPr="006B42CE">
        <w:rPr>
          <w:sz w:val="32"/>
          <w:szCs w:val="32"/>
          <w:vertAlign w:val="superscript"/>
        </w:rPr>
        <w:footnoteReference w:id="5"/>
      </w:r>
    </w:p>
    <w:p w14:paraId="1220C8D6" w14:textId="5CA69B93" w:rsidR="002E771E" w:rsidRDefault="006D00FC" w:rsidP="002E771E">
      <w:pPr>
        <w:pStyle w:val="AuthorAffiliations"/>
        <w:rPr>
          <w:iCs/>
          <w:color w:val="000000"/>
          <w:sz w:val="24"/>
        </w:rPr>
      </w:pPr>
      <w:r>
        <w:rPr>
          <w:iCs/>
          <w:color w:val="000000"/>
          <w:sz w:val="24"/>
        </w:rPr>
        <w:t xml:space="preserve">Freedom Information Systems, 1211 N. </w:t>
      </w:r>
      <w:proofErr w:type="spellStart"/>
      <w:r>
        <w:rPr>
          <w:iCs/>
          <w:color w:val="000000"/>
          <w:sz w:val="24"/>
        </w:rPr>
        <w:t>Westshore</w:t>
      </w:r>
      <w:proofErr w:type="spellEnd"/>
      <w:r>
        <w:rPr>
          <w:iCs/>
          <w:color w:val="000000"/>
          <w:sz w:val="24"/>
        </w:rPr>
        <w:t xml:space="preserve"> Blvd, Suit 41, Tampa, FL 33607</w:t>
      </w:r>
    </w:p>
    <w:p w14:paraId="3F61CBEF" w14:textId="6BE72699" w:rsidR="002E771E" w:rsidRPr="006B42CE" w:rsidRDefault="002E771E" w:rsidP="002E771E">
      <w:pPr>
        <w:jc w:val="center"/>
        <w:rPr>
          <w:sz w:val="32"/>
          <w:szCs w:val="32"/>
        </w:rPr>
      </w:pPr>
      <w:r>
        <w:rPr>
          <w:sz w:val="32"/>
          <w:szCs w:val="32"/>
        </w:rPr>
        <w:t>Alexander Burg</w:t>
      </w:r>
      <w:r w:rsidRPr="006B42CE">
        <w:rPr>
          <w:sz w:val="32"/>
          <w:szCs w:val="32"/>
          <w:vertAlign w:val="superscript"/>
        </w:rPr>
        <w:footnoteReference w:id="6"/>
      </w:r>
    </w:p>
    <w:p w14:paraId="699D1110" w14:textId="4D8E85F2" w:rsidR="002E771E" w:rsidRPr="002E771E" w:rsidRDefault="002E771E" w:rsidP="002E771E">
      <w:pPr>
        <w:pStyle w:val="AuthorAffiliations"/>
        <w:rPr>
          <w:iCs/>
          <w:color w:val="000000"/>
          <w:sz w:val="24"/>
        </w:rPr>
      </w:pPr>
      <w:r>
        <w:rPr>
          <w:iCs/>
          <w:color w:val="000000"/>
          <w:sz w:val="24"/>
        </w:rPr>
        <w:t>Bryce Space and Technology</w:t>
      </w:r>
      <w:r w:rsidRPr="002E771E">
        <w:rPr>
          <w:iCs/>
          <w:color w:val="000000"/>
          <w:sz w:val="24"/>
        </w:rPr>
        <w:t xml:space="preserve">, </w:t>
      </w:r>
      <w:r w:rsidR="006D00FC">
        <w:rPr>
          <w:iCs/>
          <w:color w:val="000000"/>
          <w:sz w:val="24"/>
        </w:rPr>
        <w:t>1199 North Fairfax Suite, Suite 800, Alexandria, VA 22314</w:t>
      </w:r>
    </w:p>
    <w:p w14:paraId="329DE042" w14:textId="77777777" w:rsidR="002E771E" w:rsidRPr="002E771E" w:rsidRDefault="002E771E" w:rsidP="002E771E">
      <w:pPr>
        <w:pStyle w:val="AuthorNames"/>
      </w:pPr>
    </w:p>
    <w:p w14:paraId="219C6019" w14:textId="45179FA3" w:rsidR="002E771E" w:rsidRDefault="002E771E" w:rsidP="002E771E">
      <w:pPr>
        <w:rPr>
          <w:bCs/>
        </w:rPr>
      </w:pPr>
      <w:r w:rsidRPr="00CA64F9">
        <w:rPr>
          <w:bCs/>
        </w:rPr>
        <w:t xml:space="preserve">Human spaceflight is a complex endeavor requiring a multitude of capabilities for transportation, crew health, scientific goals, and safe return to Earth.  The difference between spaceflight proven capabilities and those needed for a particular mission is defined as a capability gap.  Capability gaps are not technology specific.  Each capability gap is approachable with a wide array of technologies that have unique benefits and challenges.  Determining what a capability’s relevant and distinguishing key performance parameters (KPPs) are for a mission is critical.  Mass, power, and volume are always constrained and important, but defining these in a way normalized by performance is challenging.  Additionally, KPP definition for reliability, dormancy, and integration needs are very important and still evolving. This paper provides the approach of the Environmental Control and Life Support – Crew Health and Performance (ECLSS-CHP) System Capability Leadership Team (SCLT) to defining gaps and KPPs in support of the NASA’s Capabilities Integration Team data call objectives.  The nine ECLSS-CHP capability areas are decomposed to capabilities, gaps, and KPPs. Rather than defining very detailed gaps, ECLSS-CHP defines high-level gaps to be technology agnostic.  Within a gap, detailed KPPs are defined to both compare technologies and measure progress within a technology over time.  Ideally, KPPs are clearly defined, widely communicated both internally and externally, and provide a common nomenclature to describe the state of the art and the degree of improvement required for exploration missions.  KPPs help define when the gap is closed and the core mission objectives can be accomplished.  </w:t>
      </w:r>
      <w:r w:rsidRPr="00CA64F9">
        <w:rPr>
          <w:bCs/>
        </w:rPr>
        <w:lastRenderedPageBreak/>
        <w:t xml:space="preserve">Further technology improvements to enhance the capability, as measured by improved KPPs, must then be weighed against investments in open capability gaps that prevent NASA from achieving its exploration missions.  It is uncommon that a technology maturation </w:t>
      </w:r>
      <w:r w:rsidR="00F438FF">
        <w:rPr>
          <w:bCs/>
        </w:rPr>
        <w:t>will</w:t>
      </w:r>
      <w:r w:rsidRPr="00CA64F9">
        <w:rPr>
          <w:bCs/>
        </w:rPr>
        <w:t xml:space="preserve"> improve all the relevant KPPs simultaneously but using KPPs is a critical technology investment decision making component.  In addition to traditional technology selections, KPPs are informing how investments in ground testing prior to and in parallel with ISS technology demonstrations are required to improve reliability KPPs.  The collection of all major technology activities within a capability area are captured on technology roadmaps to communicate how diverse program </w:t>
      </w:r>
      <w:r w:rsidRPr="00370FD9">
        <w:rPr>
          <w:bCs/>
        </w:rPr>
        <w:t xml:space="preserve">activities are coordinated to close gaps and infuse into exploration mission needs. A selection of ECLSS-CHP gaps and KPPs and their formulation, current state, and how they inform capability roadmap planning are discussed.  </w:t>
      </w:r>
    </w:p>
    <w:p w14:paraId="612D13FD" w14:textId="77777777" w:rsidR="007A1731" w:rsidRPr="00370FD9" w:rsidRDefault="007A1731" w:rsidP="002E771E">
      <w:pPr>
        <w:rPr>
          <w:bCs/>
        </w:rPr>
      </w:pPr>
    </w:p>
    <w:p w14:paraId="38BFB140" w14:textId="68A48866" w:rsidR="00F565BA" w:rsidRPr="002E771E" w:rsidRDefault="002E771E" w:rsidP="002E771E">
      <w:pPr>
        <w:rPr>
          <w:bCs/>
        </w:rPr>
      </w:pPr>
      <w:r w:rsidRPr="00370FD9">
        <w:rPr>
          <w:bCs/>
        </w:rPr>
        <w:t xml:space="preserve">The paper will contain a summary of the approximately 60 gaps.  Gaps are classified as to their type (architecture, knowledge, technology, developmental, or engineering) depending on the magnitude of the gap.  The paper will provide brief overviews of a few major technology challenges and the technologies being considered, but will reference detailed </w:t>
      </w:r>
      <w:proofErr w:type="gramStart"/>
      <w:r w:rsidRPr="00370FD9">
        <w:rPr>
          <w:bCs/>
        </w:rPr>
        <w:t>papers</w:t>
      </w:r>
      <w:r w:rsidRPr="002E771E">
        <w:rPr>
          <w:bCs/>
          <w:vertAlign w:val="superscript"/>
        </w:rPr>
        <w:t>1(</w:t>
      </w:r>
      <w:proofErr w:type="gramEnd"/>
      <w:r w:rsidRPr="002E771E">
        <w:rPr>
          <w:bCs/>
          <w:vertAlign w:val="superscript"/>
        </w:rPr>
        <w:t>example)</w:t>
      </w:r>
      <w:r w:rsidRPr="00370FD9">
        <w:rPr>
          <w:bCs/>
        </w:rPr>
        <w:t xml:space="preserve"> for a more thorough treatment of the challenges and state of the art. Data analysis of the gaps is in work and results are not currently available for this abstract. It is anticipated the paper will include examples of select KPPs with descriptions as to why these are the relevant measures.  Additionally some KPPs will be graphically presented over tim</w:t>
      </w:r>
      <w:bookmarkStart w:id="0" w:name="_GoBack"/>
      <w:bookmarkEnd w:id="0"/>
      <w:r w:rsidRPr="00370FD9">
        <w:rPr>
          <w:bCs/>
        </w:rPr>
        <w:t xml:space="preserve">e to show progress to date and when performance targets need to be achieved to support exploration missions.  Graphical summaries of how gaps closures </w:t>
      </w:r>
      <w:r w:rsidR="00F438FF">
        <w:rPr>
          <w:bCs/>
        </w:rPr>
        <w:t>for</w:t>
      </w:r>
      <w:r w:rsidRPr="00370FD9">
        <w:rPr>
          <w:bCs/>
        </w:rPr>
        <w:t xml:space="preserve"> near term mission elements support follow-on mission elements will be provided.  </w:t>
      </w:r>
    </w:p>
    <w:p w14:paraId="38BFB151" w14:textId="23BEBF76" w:rsidR="002E771E" w:rsidRPr="00FE0832" w:rsidRDefault="00E11369" w:rsidP="002E771E">
      <w:pPr>
        <w:tabs>
          <w:tab w:val="left" w:pos="288"/>
        </w:tabs>
      </w:pPr>
      <w:r>
        <w:tab/>
      </w:r>
    </w:p>
    <w:p w14:paraId="2B984B9E" w14:textId="77777777" w:rsidR="00AD17CD" w:rsidRPr="00F565BA" w:rsidRDefault="00AD17CD" w:rsidP="00F94E5E">
      <w:pPr>
        <w:tabs>
          <w:tab w:val="left" w:pos="288"/>
        </w:tabs>
        <w:ind w:firstLine="288"/>
      </w:pPr>
    </w:p>
    <w:p w14:paraId="38BFB15A" w14:textId="21449D26" w:rsidR="00F565BA" w:rsidRPr="00F565BA" w:rsidRDefault="00270344" w:rsidP="00F565BA">
      <w:pPr>
        <w:numPr>
          <w:ilvl w:val="0"/>
          <w:numId w:val="3"/>
        </w:numPr>
        <w:tabs>
          <w:tab w:val="left" w:pos="288"/>
        </w:tabs>
        <w:spacing w:before="240"/>
        <w:outlineLvl w:val="1"/>
        <w:rPr>
          <w:b/>
        </w:rPr>
      </w:pPr>
      <w:r>
        <w:rPr>
          <w:b/>
        </w:rPr>
        <w:t>References</w:t>
      </w:r>
    </w:p>
    <w:p w14:paraId="574C07FD" w14:textId="291F7403" w:rsidR="0089193D" w:rsidRDefault="0089193D" w:rsidP="00F565BA">
      <w:pPr>
        <w:tabs>
          <w:tab w:val="left" w:pos="288"/>
        </w:tabs>
        <w:ind w:firstLine="288"/>
      </w:pPr>
    </w:p>
    <w:p w14:paraId="5397F904" w14:textId="3CEEE170" w:rsidR="009E7BE0" w:rsidRPr="00B92135" w:rsidRDefault="005C5167" w:rsidP="00B125AD">
      <w:pPr>
        <w:pStyle w:val="ListParagraph"/>
        <w:numPr>
          <w:ilvl w:val="0"/>
          <w:numId w:val="28"/>
        </w:numPr>
        <w:tabs>
          <w:tab w:val="left" w:pos="288"/>
        </w:tabs>
        <w:ind w:left="288" w:hanging="288"/>
        <w:rPr>
          <w:rFonts w:ascii="Times New Roman" w:hAnsi="Times New Roman"/>
          <w:sz w:val="20"/>
          <w:szCs w:val="24"/>
        </w:rPr>
      </w:pPr>
      <w:r w:rsidRPr="005C5167">
        <w:rPr>
          <w:rFonts w:ascii="Times New Roman" w:hAnsi="Times New Roman"/>
          <w:sz w:val="20"/>
          <w:szCs w:val="24"/>
        </w:rPr>
        <w:t>Broyan, J. L., Shaw, L., McKinley, M., Ewert, M.K., C., Meyer, Schneider, W. F., Meyer, M., R</w:t>
      </w:r>
      <w:r>
        <w:rPr>
          <w:rFonts w:ascii="Times New Roman" w:hAnsi="Times New Roman"/>
          <w:sz w:val="20"/>
          <w:szCs w:val="24"/>
        </w:rPr>
        <w:t xml:space="preserve">uff, G., Owens, Gatens, R. L., </w:t>
      </w:r>
      <w:r w:rsidRPr="005C5167">
        <w:rPr>
          <w:rFonts w:ascii="Times New Roman" w:hAnsi="Times New Roman"/>
          <w:i/>
          <w:sz w:val="20"/>
          <w:szCs w:val="24"/>
        </w:rPr>
        <w:t>NASA Environmental Control and Life Support Technology Development and Maturation for Exploration: 2020 to 2021 Overview</w:t>
      </w:r>
      <w:r>
        <w:rPr>
          <w:rFonts w:ascii="Times New Roman" w:hAnsi="Times New Roman"/>
          <w:sz w:val="20"/>
          <w:szCs w:val="24"/>
        </w:rPr>
        <w:t>,</w:t>
      </w:r>
      <w:r w:rsidRPr="005C5167">
        <w:rPr>
          <w:rFonts w:ascii="Times New Roman" w:hAnsi="Times New Roman"/>
          <w:sz w:val="20"/>
          <w:szCs w:val="24"/>
        </w:rPr>
        <w:t xml:space="preserve"> 51th(virtual) International Conference on Environmental Systems, ICES-2021-384, July 12-15, 2021.</w:t>
      </w:r>
    </w:p>
    <w:p w14:paraId="21A19DA4" w14:textId="58AB8FF2" w:rsidR="00356D7E" w:rsidRPr="00356D7E" w:rsidRDefault="00356D7E" w:rsidP="00356D7E">
      <w:pPr>
        <w:pStyle w:val="ListParagraph"/>
        <w:numPr>
          <w:ilvl w:val="0"/>
          <w:numId w:val="28"/>
        </w:numPr>
        <w:tabs>
          <w:tab w:val="left" w:pos="288"/>
        </w:tabs>
        <w:ind w:left="288" w:hanging="288"/>
        <w:rPr>
          <w:rFonts w:ascii="Times New Roman" w:hAnsi="Times New Roman"/>
          <w:sz w:val="20"/>
          <w:szCs w:val="20"/>
        </w:rPr>
      </w:pPr>
    </w:p>
    <w:sectPr w:rsidR="00356D7E" w:rsidRPr="00356D7E" w:rsidSect="00594FA6">
      <w:headerReference w:type="default" r:id="rId8"/>
      <w:footerReference w:type="even" r:id="rId9"/>
      <w:footerReference w:type="default" r:id="rId10"/>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E64C2" w14:textId="77777777" w:rsidR="00144EE4" w:rsidRDefault="00144EE4">
      <w:r>
        <w:separator/>
      </w:r>
    </w:p>
  </w:endnote>
  <w:endnote w:type="continuationSeparator" w:id="0">
    <w:p w14:paraId="11C18F2B" w14:textId="77777777" w:rsidR="00144EE4" w:rsidRDefault="00144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FB1E6" w14:textId="77777777"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BFB1E7"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580995"/>
      <w:docPartObj>
        <w:docPartGallery w:val="Page Numbers (Bottom of Page)"/>
        <w:docPartUnique/>
      </w:docPartObj>
    </w:sdtPr>
    <w:sdtEndPr>
      <w:rPr>
        <w:noProof/>
      </w:rPr>
    </w:sdtEndPr>
    <w:sdtContent>
      <w:p w14:paraId="38BFB1E8" w14:textId="46275CD8" w:rsidR="000C353C" w:rsidRDefault="000C353C">
        <w:pPr>
          <w:pStyle w:val="Footer"/>
          <w:jc w:val="center"/>
        </w:pPr>
        <w:r>
          <w:fldChar w:fldCharType="begin"/>
        </w:r>
        <w:r>
          <w:instrText xml:space="preserve"> PAGE   \* MERGEFORMAT </w:instrText>
        </w:r>
        <w:r>
          <w:fldChar w:fldCharType="separate"/>
        </w:r>
        <w:r w:rsidR="00F438FF">
          <w:rPr>
            <w:noProof/>
          </w:rPr>
          <w:t>2</w:t>
        </w:r>
        <w:r>
          <w:rPr>
            <w:noProof/>
          </w:rPr>
          <w:fldChar w:fldCharType="end"/>
        </w:r>
      </w:p>
    </w:sdtContent>
  </w:sdt>
  <w:p w14:paraId="38BFB1E9"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BE9AB2" w14:textId="77777777" w:rsidR="00144EE4" w:rsidRDefault="00144EE4">
      <w:r>
        <w:separator/>
      </w:r>
    </w:p>
  </w:footnote>
  <w:footnote w:type="continuationSeparator" w:id="0">
    <w:p w14:paraId="4939ED35" w14:textId="77777777" w:rsidR="00144EE4" w:rsidRDefault="00144EE4">
      <w:r>
        <w:continuationSeparator/>
      </w:r>
    </w:p>
  </w:footnote>
  <w:footnote w:id="1">
    <w:p w14:paraId="38BFB1EA" w14:textId="1606DBAA" w:rsidR="00B636E4" w:rsidRDefault="00B636E4" w:rsidP="00F565BA">
      <w:r>
        <w:rPr>
          <w:rStyle w:val="FootnoteReference"/>
        </w:rPr>
        <w:footnoteRef/>
      </w:r>
      <w:r>
        <w:t xml:space="preserve"> </w:t>
      </w:r>
      <w:r w:rsidR="002E771E" w:rsidRPr="000C5BC9">
        <w:t>ECLS</w:t>
      </w:r>
      <w:r w:rsidR="002E771E">
        <w:t>S-CHP</w:t>
      </w:r>
      <w:r w:rsidR="002E771E" w:rsidRPr="000C5BC9">
        <w:t xml:space="preserve"> Systems Capability Lead</w:t>
      </w:r>
      <w:r w:rsidR="002E771E">
        <w:t xml:space="preserve"> Deputy</w:t>
      </w:r>
      <w:r>
        <w:t xml:space="preserve">, </w:t>
      </w:r>
      <w:r w:rsidR="002E771E">
        <w:t xml:space="preserve">Crew and Thermal Systems Division, </w:t>
      </w:r>
      <w:r>
        <w:t>AIAA M</w:t>
      </w:r>
      <w:r w:rsidR="002E771E">
        <w:t>ember</w:t>
      </w:r>
      <w:r>
        <w:t>.</w:t>
      </w:r>
    </w:p>
  </w:footnote>
  <w:footnote w:id="2">
    <w:p w14:paraId="38BFB1EB" w14:textId="34917446" w:rsidR="00B636E4" w:rsidRDefault="00B636E4" w:rsidP="00F565BA">
      <w:r>
        <w:rPr>
          <w:rStyle w:val="FootnoteReference"/>
        </w:rPr>
        <w:footnoteRef/>
      </w:r>
      <w:r>
        <w:t xml:space="preserve"> </w:t>
      </w:r>
      <w:r w:rsidR="005C5167">
        <w:t>Assistant Director for Exploration, Human Health and Performance Directorate</w:t>
      </w:r>
      <w:r>
        <w:t>, and AIAA Member Grade (</w:t>
      </w:r>
      <w:r w:rsidR="006D00FC">
        <w:t>TBD</w:t>
      </w:r>
      <w:r>
        <w:t>).</w:t>
      </w:r>
    </w:p>
  </w:footnote>
  <w:footnote w:id="3">
    <w:p w14:paraId="38BFB1EC" w14:textId="5C5769AF" w:rsidR="00B636E4" w:rsidRDefault="00B636E4" w:rsidP="00F565BA">
      <w:pPr>
        <w:pStyle w:val="FootnoteText"/>
      </w:pPr>
      <w:r>
        <w:rPr>
          <w:rStyle w:val="FootnoteReference"/>
        </w:rPr>
        <w:footnoteRef/>
      </w:r>
      <w:r>
        <w:t xml:space="preserve"> </w:t>
      </w:r>
      <w:r w:rsidR="0001090C">
        <w:t>ECLSS Technical Fellow, NASA Engineering and Safety Center</w:t>
      </w:r>
      <w:r>
        <w:t xml:space="preserve">, and AIAA Member </w:t>
      </w:r>
      <w:r w:rsidR="006D00FC">
        <w:t>Grade (TBD).</w:t>
      </w:r>
    </w:p>
  </w:footnote>
  <w:footnote w:id="4">
    <w:p w14:paraId="38BFB1ED" w14:textId="5E97E009" w:rsidR="00B636E4" w:rsidRDefault="00B636E4" w:rsidP="00F565BA">
      <w:r>
        <w:rPr>
          <w:rStyle w:val="FootnoteReference"/>
        </w:rPr>
        <w:footnoteRef/>
      </w:r>
      <w:r>
        <w:t xml:space="preserve"> </w:t>
      </w:r>
      <w:r w:rsidR="0001090C" w:rsidRPr="000C5BC9">
        <w:t>ECLS</w:t>
      </w:r>
      <w:r w:rsidR="0001090C">
        <w:t>S-CHP</w:t>
      </w:r>
      <w:r w:rsidR="0001090C" w:rsidRPr="000C5BC9">
        <w:t xml:space="preserve"> Systems Capability Lead</w:t>
      </w:r>
      <w:r>
        <w:t xml:space="preserve">, and AIAA Member </w:t>
      </w:r>
      <w:r w:rsidR="006D00FC">
        <w:t>Grade (TBD).</w:t>
      </w:r>
    </w:p>
  </w:footnote>
  <w:footnote w:id="5">
    <w:p w14:paraId="0EC57C48" w14:textId="724B96A7" w:rsidR="002E771E" w:rsidRDefault="002E771E" w:rsidP="002E771E">
      <w:r>
        <w:rPr>
          <w:rStyle w:val="FootnoteReference"/>
        </w:rPr>
        <w:footnoteRef/>
      </w:r>
      <w:r w:rsidR="005C5167">
        <w:t>Strategic Communications Lead</w:t>
      </w:r>
      <w:r>
        <w:t xml:space="preserve">, </w:t>
      </w:r>
      <w:r w:rsidR="005C5167">
        <w:t>Advanced Exploration Systems</w:t>
      </w:r>
      <w:r>
        <w:t xml:space="preserve">, and AIAA Member </w:t>
      </w:r>
      <w:r w:rsidR="006D00FC">
        <w:t>Grade (TBD).</w:t>
      </w:r>
    </w:p>
  </w:footnote>
  <w:footnote w:id="6">
    <w:p w14:paraId="1E504C1C" w14:textId="21B7C043" w:rsidR="002E771E" w:rsidRDefault="002E771E" w:rsidP="002E771E">
      <w:r>
        <w:rPr>
          <w:rStyle w:val="FootnoteReference"/>
        </w:rPr>
        <w:footnoteRef/>
      </w:r>
      <w:r>
        <w:t xml:space="preserve"> </w:t>
      </w:r>
      <w:r w:rsidR="005C5167">
        <w:t>Senior Engineer</w:t>
      </w:r>
      <w:r>
        <w:t xml:space="preserve">, </w:t>
      </w:r>
      <w:r w:rsidR="005C5167">
        <w:t>Capability Integration Team</w:t>
      </w:r>
      <w:r>
        <w:t xml:space="preserve">, and AIAA Member Grade </w:t>
      </w:r>
      <w:r w:rsidR="006D00FC">
        <w:t>(TBD).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4DC4A" w14:textId="1AE3CF06" w:rsidR="00C31001" w:rsidRDefault="00ED099F" w:rsidP="00C31001">
    <w:pPr>
      <w:pStyle w:val="Header"/>
      <w:tabs>
        <w:tab w:val="clear" w:pos="4320"/>
        <w:tab w:val="clear" w:pos="8640"/>
        <w:tab w:val="center" w:pos="4680"/>
        <w:tab w:val="right" w:pos="9360"/>
      </w:tabs>
    </w:pPr>
    <w:r>
      <w:t>2021</w:t>
    </w:r>
    <w:r>
      <w:tab/>
      <w:t>ASCEND Abstract</w:t>
    </w:r>
    <w:r>
      <w:tab/>
      <w:t>AIAA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5172"/>
    <w:multiLevelType w:val="hybridMultilevel"/>
    <w:tmpl w:val="C2D4DF7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F32DF4"/>
    <w:multiLevelType w:val="hybridMultilevel"/>
    <w:tmpl w:val="2DCC4640"/>
    <w:lvl w:ilvl="0" w:tplc="6CFC70AA">
      <w:start w:val="1"/>
      <w:numFmt w:val="decimal"/>
      <w:lvlText w:val="[%1]"/>
      <w:lvlJc w:val="left"/>
      <w:pPr>
        <w:ind w:left="1008" w:hanging="360"/>
      </w:pPr>
      <w:rPr>
        <w:rFonts w:ascii="Times New Roman" w:hAnsi="Times New Roman" w:hint="default"/>
        <w:sz w:val="20"/>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17317306"/>
    <w:multiLevelType w:val="hybridMultilevel"/>
    <w:tmpl w:val="8EA4CA72"/>
    <w:lvl w:ilvl="0" w:tplc="6CFC70AA">
      <w:start w:val="1"/>
      <w:numFmt w:val="decimal"/>
      <w:lvlText w:val="[%1]"/>
      <w:lvlJc w:val="left"/>
      <w:pPr>
        <w:ind w:left="360" w:hanging="360"/>
      </w:pPr>
      <w:rPr>
        <w:rFonts w:ascii="Times New Roman" w:hAnsi="Times New Roman"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7"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8"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9"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4"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6"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8"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0"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2"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4"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9"/>
  </w:num>
  <w:num w:numId="2">
    <w:abstractNumId w:val="10"/>
  </w:num>
  <w:num w:numId="3">
    <w:abstractNumId w:val="3"/>
  </w:num>
  <w:num w:numId="4">
    <w:abstractNumId w:val="18"/>
  </w:num>
  <w:num w:numId="5">
    <w:abstractNumId w:val="3"/>
    <w:lvlOverride w:ilvl="0">
      <w:startOverride w:val="1"/>
    </w:lvlOverride>
  </w:num>
  <w:num w:numId="6">
    <w:abstractNumId w:val="12"/>
  </w:num>
  <w:num w:numId="7">
    <w:abstractNumId w:val="14"/>
  </w:num>
  <w:num w:numId="8">
    <w:abstractNumId w:val="17"/>
  </w:num>
  <w:num w:numId="9">
    <w:abstractNumId w:val="20"/>
  </w:num>
  <w:num w:numId="10">
    <w:abstractNumId w:val="13"/>
  </w:num>
  <w:num w:numId="11">
    <w:abstractNumId w:val="21"/>
  </w:num>
  <w:num w:numId="12">
    <w:abstractNumId w:val="2"/>
  </w:num>
  <w:num w:numId="13">
    <w:abstractNumId w:val="7"/>
  </w:num>
  <w:num w:numId="14">
    <w:abstractNumId w:val="23"/>
  </w:num>
  <w:num w:numId="15">
    <w:abstractNumId w:val="8"/>
  </w:num>
  <w:num w:numId="16">
    <w:abstractNumId w:val="24"/>
  </w:num>
  <w:num w:numId="17">
    <w:abstractNumId w:val="1"/>
  </w:num>
  <w:num w:numId="18">
    <w:abstractNumId w:val="3"/>
    <w:lvlOverride w:ilvl="0">
      <w:startOverride w:val="1"/>
    </w:lvlOverride>
  </w:num>
  <w:num w:numId="19">
    <w:abstractNumId w:val="3"/>
    <w:lvlOverride w:ilvl="0">
      <w:startOverride w:val="1"/>
    </w:lvlOverride>
  </w:num>
  <w:num w:numId="20">
    <w:abstractNumId w:val="3"/>
  </w:num>
  <w:num w:numId="21">
    <w:abstractNumId w:val="3"/>
    <w:lvlOverride w:ilvl="0">
      <w:startOverride w:val="1"/>
    </w:lvlOverride>
  </w:num>
  <w:num w:numId="22">
    <w:abstractNumId w:val="19"/>
  </w:num>
  <w:num w:numId="23">
    <w:abstractNumId w:val="6"/>
  </w:num>
  <w:num w:numId="24">
    <w:abstractNumId w:val="16"/>
  </w:num>
  <w:num w:numId="25">
    <w:abstractNumId w:val="15"/>
  </w:num>
  <w:num w:numId="26">
    <w:abstractNumId w:val="11"/>
  </w:num>
  <w:num w:numId="27">
    <w:abstractNumId w:val="22"/>
  </w:num>
  <w:num w:numId="28">
    <w:abstractNumId w:val="5"/>
  </w:num>
  <w:num w:numId="29">
    <w:abstractNumId w:val="0"/>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69B"/>
    <w:rsid w:val="00007726"/>
    <w:rsid w:val="0001090C"/>
    <w:rsid w:val="00023250"/>
    <w:rsid w:val="00024843"/>
    <w:rsid w:val="0003458B"/>
    <w:rsid w:val="00044818"/>
    <w:rsid w:val="00057A37"/>
    <w:rsid w:val="00065254"/>
    <w:rsid w:val="00082135"/>
    <w:rsid w:val="00082252"/>
    <w:rsid w:val="000837F5"/>
    <w:rsid w:val="00086AAF"/>
    <w:rsid w:val="00094B0F"/>
    <w:rsid w:val="000A2BBF"/>
    <w:rsid w:val="000A32CD"/>
    <w:rsid w:val="000C0FC0"/>
    <w:rsid w:val="000C295D"/>
    <w:rsid w:val="000C353C"/>
    <w:rsid w:val="000E7B82"/>
    <w:rsid w:val="000F2801"/>
    <w:rsid w:val="000F3AC0"/>
    <w:rsid w:val="0010128E"/>
    <w:rsid w:val="00116CE7"/>
    <w:rsid w:val="001230FB"/>
    <w:rsid w:val="001401DA"/>
    <w:rsid w:val="00143CD2"/>
    <w:rsid w:val="00144EE4"/>
    <w:rsid w:val="0018127F"/>
    <w:rsid w:val="00191942"/>
    <w:rsid w:val="001D364F"/>
    <w:rsid w:val="001D6DFF"/>
    <w:rsid w:val="001F3D51"/>
    <w:rsid w:val="001F56D5"/>
    <w:rsid w:val="002121E3"/>
    <w:rsid w:val="0021563F"/>
    <w:rsid w:val="00223D1F"/>
    <w:rsid w:val="00224C00"/>
    <w:rsid w:val="002550ED"/>
    <w:rsid w:val="00267C12"/>
    <w:rsid w:val="00270344"/>
    <w:rsid w:val="0029228A"/>
    <w:rsid w:val="00293986"/>
    <w:rsid w:val="002C5247"/>
    <w:rsid w:val="002D33F7"/>
    <w:rsid w:val="002E771E"/>
    <w:rsid w:val="002F0274"/>
    <w:rsid w:val="002F54F8"/>
    <w:rsid w:val="002F6CC6"/>
    <w:rsid w:val="003204C9"/>
    <w:rsid w:val="00333ED6"/>
    <w:rsid w:val="00343E05"/>
    <w:rsid w:val="00354078"/>
    <w:rsid w:val="00355FC0"/>
    <w:rsid w:val="00356D7E"/>
    <w:rsid w:val="00360519"/>
    <w:rsid w:val="003757F0"/>
    <w:rsid w:val="00385C02"/>
    <w:rsid w:val="00397B90"/>
    <w:rsid w:val="003A3AAD"/>
    <w:rsid w:val="003C01D6"/>
    <w:rsid w:val="003C2CDC"/>
    <w:rsid w:val="003C7F0D"/>
    <w:rsid w:val="003E1F4A"/>
    <w:rsid w:val="003F167B"/>
    <w:rsid w:val="003F54C3"/>
    <w:rsid w:val="003F574B"/>
    <w:rsid w:val="003F678D"/>
    <w:rsid w:val="00403168"/>
    <w:rsid w:val="00403A5D"/>
    <w:rsid w:val="00406BDD"/>
    <w:rsid w:val="00420006"/>
    <w:rsid w:val="00427E16"/>
    <w:rsid w:val="00433AE7"/>
    <w:rsid w:val="0044604D"/>
    <w:rsid w:val="00453FD0"/>
    <w:rsid w:val="00475ED5"/>
    <w:rsid w:val="0048661A"/>
    <w:rsid w:val="00490BF1"/>
    <w:rsid w:val="00493A6F"/>
    <w:rsid w:val="004A6F40"/>
    <w:rsid w:val="004C1C92"/>
    <w:rsid w:val="004C23C9"/>
    <w:rsid w:val="004D25CC"/>
    <w:rsid w:val="004D7E71"/>
    <w:rsid w:val="004E0666"/>
    <w:rsid w:val="004E06E9"/>
    <w:rsid w:val="004E15B0"/>
    <w:rsid w:val="005119F8"/>
    <w:rsid w:val="00514FCC"/>
    <w:rsid w:val="00515DA2"/>
    <w:rsid w:val="00516FDA"/>
    <w:rsid w:val="00535292"/>
    <w:rsid w:val="0055113E"/>
    <w:rsid w:val="0055657E"/>
    <w:rsid w:val="00594FA6"/>
    <w:rsid w:val="005A571C"/>
    <w:rsid w:val="005B5BE2"/>
    <w:rsid w:val="005C34B2"/>
    <w:rsid w:val="005C5167"/>
    <w:rsid w:val="005D0104"/>
    <w:rsid w:val="005E64BE"/>
    <w:rsid w:val="0060300A"/>
    <w:rsid w:val="006042E9"/>
    <w:rsid w:val="0061205C"/>
    <w:rsid w:val="006170CA"/>
    <w:rsid w:val="00635C7A"/>
    <w:rsid w:val="00642899"/>
    <w:rsid w:val="00643F9E"/>
    <w:rsid w:val="00646CCC"/>
    <w:rsid w:val="00647819"/>
    <w:rsid w:val="00695C90"/>
    <w:rsid w:val="006B42CE"/>
    <w:rsid w:val="006D00FC"/>
    <w:rsid w:val="006E47D9"/>
    <w:rsid w:val="00702BAE"/>
    <w:rsid w:val="00712CB5"/>
    <w:rsid w:val="00720947"/>
    <w:rsid w:val="00727F41"/>
    <w:rsid w:val="007378C6"/>
    <w:rsid w:val="0074265B"/>
    <w:rsid w:val="00743D48"/>
    <w:rsid w:val="00750ED5"/>
    <w:rsid w:val="007626CF"/>
    <w:rsid w:val="00772382"/>
    <w:rsid w:val="00780BC0"/>
    <w:rsid w:val="0078368E"/>
    <w:rsid w:val="00790C1A"/>
    <w:rsid w:val="00795FE9"/>
    <w:rsid w:val="007A169B"/>
    <w:rsid w:val="007A1731"/>
    <w:rsid w:val="007B6661"/>
    <w:rsid w:val="007C0A27"/>
    <w:rsid w:val="007C5B35"/>
    <w:rsid w:val="007D3602"/>
    <w:rsid w:val="007D64ED"/>
    <w:rsid w:val="007E7DFE"/>
    <w:rsid w:val="007F7477"/>
    <w:rsid w:val="0080568A"/>
    <w:rsid w:val="008105EF"/>
    <w:rsid w:val="00815EA1"/>
    <w:rsid w:val="008231FD"/>
    <w:rsid w:val="00826986"/>
    <w:rsid w:val="00835AF5"/>
    <w:rsid w:val="00836FE2"/>
    <w:rsid w:val="00852A36"/>
    <w:rsid w:val="0086727D"/>
    <w:rsid w:val="008878C8"/>
    <w:rsid w:val="0089193D"/>
    <w:rsid w:val="008C5B8F"/>
    <w:rsid w:val="008C7D7F"/>
    <w:rsid w:val="008D058E"/>
    <w:rsid w:val="008D0787"/>
    <w:rsid w:val="008F5C75"/>
    <w:rsid w:val="00906D5A"/>
    <w:rsid w:val="0092421F"/>
    <w:rsid w:val="00931ACE"/>
    <w:rsid w:val="0094306D"/>
    <w:rsid w:val="00946D55"/>
    <w:rsid w:val="00954902"/>
    <w:rsid w:val="0095602A"/>
    <w:rsid w:val="00966F73"/>
    <w:rsid w:val="00981523"/>
    <w:rsid w:val="009830C8"/>
    <w:rsid w:val="009849A1"/>
    <w:rsid w:val="009E0D9B"/>
    <w:rsid w:val="009E62E1"/>
    <w:rsid w:val="009E7BE0"/>
    <w:rsid w:val="009F2C85"/>
    <w:rsid w:val="009F5456"/>
    <w:rsid w:val="00A058F8"/>
    <w:rsid w:val="00A06453"/>
    <w:rsid w:val="00A10340"/>
    <w:rsid w:val="00A1533D"/>
    <w:rsid w:val="00A16C1B"/>
    <w:rsid w:val="00A22E84"/>
    <w:rsid w:val="00A25100"/>
    <w:rsid w:val="00A370B9"/>
    <w:rsid w:val="00A44C29"/>
    <w:rsid w:val="00A4506C"/>
    <w:rsid w:val="00A477FE"/>
    <w:rsid w:val="00A533E5"/>
    <w:rsid w:val="00A53C02"/>
    <w:rsid w:val="00A53FF9"/>
    <w:rsid w:val="00A61C93"/>
    <w:rsid w:val="00A71665"/>
    <w:rsid w:val="00A91A9A"/>
    <w:rsid w:val="00AA1C43"/>
    <w:rsid w:val="00AA1E95"/>
    <w:rsid w:val="00AA77E8"/>
    <w:rsid w:val="00AD17CD"/>
    <w:rsid w:val="00AE1536"/>
    <w:rsid w:val="00AE28F2"/>
    <w:rsid w:val="00AE6E5D"/>
    <w:rsid w:val="00AF1AE6"/>
    <w:rsid w:val="00AF1B6C"/>
    <w:rsid w:val="00B01B84"/>
    <w:rsid w:val="00B131FC"/>
    <w:rsid w:val="00B14455"/>
    <w:rsid w:val="00B200A8"/>
    <w:rsid w:val="00B43CC2"/>
    <w:rsid w:val="00B6228B"/>
    <w:rsid w:val="00B636E4"/>
    <w:rsid w:val="00B6396F"/>
    <w:rsid w:val="00B77D8F"/>
    <w:rsid w:val="00B906D9"/>
    <w:rsid w:val="00B92135"/>
    <w:rsid w:val="00BA536E"/>
    <w:rsid w:val="00BA605E"/>
    <w:rsid w:val="00BC213C"/>
    <w:rsid w:val="00BE66D2"/>
    <w:rsid w:val="00BF25DE"/>
    <w:rsid w:val="00BF7719"/>
    <w:rsid w:val="00C05933"/>
    <w:rsid w:val="00C06A96"/>
    <w:rsid w:val="00C168CC"/>
    <w:rsid w:val="00C23793"/>
    <w:rsid w:val="00C267CE"/>
    <w:rsid w:val="00C26ABE"/>
    <w:rsid w:val="00C275D2"/>
    <w:rsid w:val="00C31001"/>
    <w:rsid w:val="00C37985"/>
    <w:rsid w:val="00C42827"/>
    <w:rsid w:val="00C643D6"/>
    <w:rsid w:val="00C70362"/>
    <w:rsid w:val="00C71CE7"/>
    <w:rsid w:val="00C723B9"/>
    <w:rsid w:val="00C81A5C"/>
    <w:rsid w:val="00C8562D"/>
    <w:rsid w:val="00C86782"/>
    <w:rsid w:val="00CD6E54"/>
    <w:rsid w:val="00CE0BE9"/>
    <w:rsid w:val="00CF46C1"/>
    <w:rsid w:val="00D16AC7"/>
    <w:rsid w:val="00D524E4"/>
    <w:rsid w:val="00D634EE"/>
    <w:rsid w:val="00DA5EA8"/>
    <w:rsid w:val="00DD0B90"/>
    <w:rsid w:val="00DF5D9A"/>
    <w:rsid w:val="00E01E43"/>
    <w:rsid w:val="00E044FE"/>
    <w:rsid w:val="00E11369"/>
    <w:rsid w:val="00E51300"/>
    <w:rsid w:val="00E60677"/>
    <w:rsid w:val="00E63CB5"/>
    <w:rsid w:val="00E72B45"/>
    <w:rsid w:val="00E83858"/>
    <w:rsid w:val="00EB1693"/>
    <w:rsid w:val="00EC547E"/>
    <w:rsid w:val="00EC60ED"/>
    <w:rsid w:val="00ED0565"/>
    <w:rsid w:val="00ED099F"/>
    <w:rsid w:val="00ED0E7D"/>
    <w:rsid w:val="00ED621C"/>
    <w:rsid w:val="00EE2F3C"/>
    <w:rsid w:val="00EF1DB0"/>
    <w:rsid w:val="00F02E4F"/>
    <w:rsid w:val="00F35C40"/>
    <w:rsid w:val="00F403F9"/>
    <w:rsid w:val="00F4074C"/>
    <w:rsid w:val="00F438FF"/>
    <w:rsid w:val="00F4760E"/>
    <w:rsid w:val="00F50571"/>
    <w:rsid w:val="00F565BA"/>
    <w:rsid w:val="00F602E9"/>
    <w:rsid w:val="00F61C22"/>
    <w:rsid w:val="00F93964"/>
    <w:rsid w:val="00F94E5E"/>
    <w:rsid w:val="00FA0B47"/>
    <w:rsid w:val="00FA5B8E"/>
    <w:rsid w:val="00FA629E"/>
    <w:rsid w:val="00FB5646"/>
    <w:rsid w:val="00FC40DE"/>
    <w:rsid w:val="00FC5B09"/>
    <w:rsid w:val="00FD71C3"/>
    <w:rsid w:val="00FE0832"/>
    <w:rsid w:val="00FE5878"/>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38BFB139"/>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customStyle="1" w:styleId="UnresolvedMention">
    <w:name w:val="Unresolved Mention"/>
    <w:basedOn w:val="DefaultParagraphFont"/>
    <w:uiPriority w:val="99"/>
    <w:semiHidden/>
    <w:unhideWhenUsed/>
    <w:rsid w:val="001F56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AC0BE-3B79-42D5-9600-C0C5E5551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4609</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Broyan, James L. (JSC-EC711)</cp:lastModifiedBy>
  <cp:revision>5</cp:revision>
  <cp:lastPrinted>2016-06-27T18:55:00Z</cp:lastPrinted>
  <dcterms:created xsi:type="dcterms:W3CDTF">2021-03-29T22:00:00Z</dcterms:created>
  <dcterms:modified xsi:type="dcterms:W3CDTF">2021-03-30T12:21:00Z</dcterms:modified>
  <cp:category/>
</cp:coreProperties>
</file>