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6D796" w14:textId="492B06FD" w:rsidR="004B5E05" w:rsidRDefault="0076628A" w:rsidP="00B36264">
      <w:pPr>
        <w:spacing w:afterLines="60" w:after="144"/>
        <w:rPr>
          <w:b/>
          <w:bCs/>
        </w:rPr>
      </w:pPr>
      <w:r>
        <w:rPr>
          <w:b/>
          <w:bCs/>
        </w:rPr>
        <w:t xml:space="preserve">Springer </w:t>
      </w:r>
      <w:r w:rsidR="00631AF0" w:rsidRPr="00543760">
        <w:rPr>
          <w:b/>
          <w:bCs/>
        </w:rPr>
        <w:t>Book Title:</w:t>
      </w:r>
      <w:r w:rsidR="00A005FC" w:rsidRPr="00543760">
        <w:rPr>
          <w:b/>
          <w:bCs/>
        </w:rPr>
        <w:t xml:space="preserve"> </w:t>
      </w:r>
      <w:r w:rsidR="00BB1A56" w:rsidRPr="00543760">
        <w:rPr>
          <w:b/>
          <w:bCs/>
          <w:i/>
          <w:iCs/>
        </w:rPr>
        <w:t>Foresight, Strategy and Futures Studies for Defense and Security</w:t>
      </w:r>
    </w:p>
    <w:p w14:paraId="2B68B63D" w14:textId="3A512E27" w:rsidR="00631AF0" w:rsidRDefault="00631AF0" w:rsidP="00B36264">
      <w:pPr>
        <w:spacing w:afterLines="60" w:after="144"/>
        <w:rPr>
          <w:b/>
          <w:bCs/>
        </w:rPr>
      </w:pPr>
      <w:r w:rsidRPr="00543760">
        <w:rPr>
          <w:b/>
          <w:bCs/>
        </w:rPr>
        <w:t>Chapter Title: “NASA Strategy for Technology Development”</w:t>
      </w:r>
    </w:p>
    <w:p w14:paraId="57647438" w14:textId="30B14D49" w:rsidR="001F0990" w:rsidRDefault="001F0990" w:rsidP="00B36264">
      <w:pPr>
        <w:spacing w:afterLines="60" w:after="144"/>
        <w:rPr>
          <w:b/>
          <w:bCs/>
        </w:rPr>
      </w:pPr>
      <w:r>
        <w:rPr>
          <w:b/>
          <w:bCs/>
        </w:rPr>
        <w:t xml:space="preserve">Author: </w:t>
      </w:r>
      <w:r w:rsidRPr="001F0990">
        <w:rPr>
          <w:b/>
          <w:bCs/>
        </w:rPr>
        <w:t>Dr. Erica Rodgers</w:t>
      </w:r>
      <w:r>
        <w:rPr>
          <w:b/>
          <w:bCs/>
        </w:rPr>
        <w:t xml:space="preserve">, </w:t>
      </w:r>
      <w:r w:rsidRPr="001F0990">
        <w:rPr>
          <w:b/>
          <w:bCs/>
        </w:rPr>
        <w:t>Office of the Chief Technologist, NASA Headquarters</w:t>
      </w:r>
    </w:p>
    <w:p w14:paraId="1CEEA517" w14:textId="41EFCB5B" w:rsidR="00987EFA" w:rsidRPr="00655998" w:rsidRDefault="005E23FD" w:rsidP="00B36264">
      <w:pPr>
        <w:spacing w:afterLines="60" w:after="144"/>
        <w:rPr>
          <w:b/>
          <w:bCs/>
        </w:rPr>
      </w:pPr>
      <w:r>
        <w:rPr>
          <w:b/>
          <w:bCs/>
        </w:rPr>
        <w:t>Contributors</w:t>
      </w:r>
      <w:r w:rsidR="00987EFA">
        <w:rPr>
          <w:b/>
          <w:bCs/>
        </w:rPr>
        <w:t>: Jason Hay</w:t>
      </w:r>
      <w:r>
        <w:rPr>
          <w:b/>
          <w:bCs/>
        </w:rPr>
        <w:t>, BryceTech;</w:t>
      </w:r>
      <w:r w:rsidR="00987EFA">
        <w:rPr>
          <w:b/>
          <w:bCs/>
        </w:rPr>
        <w:t xml:space="preserve"> Racha</w:t>
      </w:r>
      <w:r w:rsidR="008A4D2C">
        <w:rPr>
          <w:b/>
          <w:bCs/>
        </w:rPr>
        <w:t>e</w:t>
      </w:r>
      <w:r w:rsidR="00987EFA">
        <w:rPr>
          <w:b/>
          <w:bCs/>
        </w:rPr>
        <w:t>l Lussos</w:t>
      </w:r>
      <w:r w:rsidR="00B93F24">
        <w:rPr>
          <w:b/>
          <w:bCs/>
        </w:rPr>
        <w:t xml:space="preserve">, </w:t>
      </w:r>
      <w:r w:rsidR="00B93F24" w:rsidRPr="00B93F24">
        <w:rPr>
          <w:b/>
          <w:bCs/>
        </w:rPr>
        <w:t>Adjunct Faculty, American University</w:t>
      </w:r>
      <w:r>
        <w:rPr>
          <w:b/>
          <w:bCs/>
        </w:rPr>
        <w:t xml:space="preserve"> </w:t>
      </w:r>
    </w:p>
    <w:p w14:paraId="1BFDEFDF" w14:textId="77777777" w:rsidR="00B17C9C" w:rsidRDefault="00B17C9C" w:rsidP="00B36264">
      <w:pPr>
        <w:spacing w:afterLines="60" w:after="144"/>
      </w:pPr>
    </w:p>
    <w:p w14:paraId="11D2CC89" w14:textId="0FA354FB" w:rsidR="00B93F24" w:rsidRDefault="00B93F24" w:rsidP="00B36264">
      <w:pPr>
        <w:spacing w:afterLines="60" w:after="144"/>
        <w:rPr>
          <w:b/>
          <w:bCs/>
        </w:rPr>
      </w:pPr>
      <w:r>
        <w:rPr>
          <w:b/>
          <w:bCs/>
        </w:rPr>
        <w:t>Abstract</w:t>
      </w:r>
    </w:p>
    <w:p w14:paraId="4369BB33" w14:textId="77777777" w:rsidR="00B93F24" w:rsidRPr="00262084" w:rsidRDefault="00B93F24" w:rsidP="00B93F24">
      <w:pPr>
        <w:spacing w:afterLines="60" w:after="144"/>
      </w:pPr>
      <w:r w:rsidRPr="00262084">
        <w:t xml:space="preserve">At the National Aeronautics and Space Administration (NASA), foresight is a coordinated, iterative, and continual process for making informed decisions. NASA faces diverse and relatively unique challenges and opportunities as the leading U.S. agency for aeronautics development, cutting-edge scientific discovery, and human space exploration. To address these challenges and leverage opportunities, NASA uses foresight to strategically plan technology development across four mission directorates: Aeronautics Research Mission Directorate, Space Technology Mission Directorate, Science Mission Directorate, and Human Exploration and Operations Mission Directorate. The mission directorates leverage a broad community of experts and partners to incorporate technology foresight into mission and program planning. Through this process NASA realizes tangible benefits to the agency’s science, technology, and exploration programs. </w:t>
      </w:r>
    </w:p>
    <w:p w14:paraId="4A3F5A09" w14:textId="77777777" w:rsidR="00B93F24" w:rsidRPr="00262084" w:rsidRDefault="00B93F24" w:rsidP="00B93F24">
      <w:pPr>
        <w:spacing w:afterLines="60" w:after="144"/>
      </w:pPr>
      <w:r w:rsidRPr="00262084">
        <w:t>As an independent office, NASA’s Office of the Chief Technologist (OCT) serves as a trusted authority to inform technology strategy and advocacy at the agency, enabling future missions and advancing U.S. economic competitiveness. Specifically, OCT coordinates and uses inputs from a broad community of experts, both internal and external to NASA, to inform decision making for technology plans, investments, and partnerships. OCT develops the NASA Technology Taxonomy to standardize communication across the agency’s diverse technology portfolio and the related Strategic Technology Investment Plan that integrates priorities and informs technology investment. Through these efforts, OCT has refined elements of foresight-informed strategic planning that may be applicable to other technology-driven industries where foresight is essential for resilience.</w:t>
      </w:r>
    </w:p>
    <w:p w14:paraId="2B1EEED3" w14:textId="7B6DE22F" w:rsidR="00B93F24" w:rsidRPr="00262084" w:rsidRDefault="00B93F24" w:rsidP="00B93F24">
      <w:pPr>
        <w:spacing w:afterLines="60" w:after="144"/>
      </w:pPr>
      <w:r w:rsidRPr="00262084">
        <w:t>This chapter describes the processes of foresight for technology development at NASA and provides insight into the value the agency derives from these processes. The chapter further describes the role of OCT as an independent advisory office that supports NASA’s efforts to capitalize on foresight and strategic technology planning. We present these examples with consideration for how organizations in defense, security, and other technology-driven industries can operationalize foresight in their own strategic technology development.</w:t>
      </w:r>
    </w:p>
    <w:p w14:paraId="3BA0B42D" w14:textId="07FFCD52" w:rsidR="00B93F24" w:rsidRDefault="00B93F24" w:rsidP="00B36264">
      <w:pPr>
        <w:spacing w:afterLines="60" w:after="144"/>
        <w:rPr>
          <w:b/>
          <w:bCs/>
        </w:rPr>
      </w:pPr>
    </w:p>
    <w:p w14:paraId="7B7475BD" w14:textId="65FFCF7B" w:rsidR="008A4D2C" w:rsidRDefault="008A4D2C" w:rsidP="00B36264">
      <w:pPr>
        <w:spacing w:afterLines="60" w:after="144"/>
        <w:rPr>
          <w:b/>
          <w:bCs/>
        </w:rPr>
      </w:pPr>
      <w:r>
        <w:rPr>
          <w:b/>
          <w:bCs/>
        </w:rPr>
        <w:t>Key Words</w:t>
      </w:r>
    </w:p>
    <w:p w14:paraId="21C798D2" w14:textId="3055688E" w:rsidR="008A4D2C" w:rsidRPr="008A4D2C" w:rsidRDefault="008A4D2C" w:rsidP="00B36264">
      <w:pPr>
        <w:spacing w:afterLines="60" w:after="144"/>
      </w:pPr>
      <w:r>
        <w:rPr>
          <w:b/>
          <w:bCs/>
        </w:rPr>
        <w:tab/>
      </w:r>
      <w:bookmarkStart w:id="0" w:name="_Hlk86064536"/>
      <w:r>
        <w:t xml:space="preserve">Foresight, Technology, Portfolio, Coordination, </w:t>
      </w:r>
      <w:r w:rsidR="0073540A">
        <w:t>NASA, Office of the Chief Technologist</w:t>
      </w:r>
      <w:bookmarkEnd w:id="0"/>
    </w:p>
    <w:p w14:paraId="08630397" w14:textId="5EFD6F39" w:rsidR="00096B6B" w:rsidRDefault="00754C23" w:rsidP="00B36264">
      <w:pPr>
        <w:spacing w:afterLines="60" w:after="144"/>
      </w:pPr>
      <w:r w:rsidRPr="00543760">
        <w:rPr>
          <w:b/>
          <w:bCs/>
        </w:rPr>
        <w:t>Introduction</w:t>
      </w:r>
    </w:p>
    <w:p w14:paraId="49BE72C4" w14:textId="197CCEB6" w:rsidR="00754C23" w:rsidRDefault="00096B6B" w:rsidP="00B36264">
      <w:pPr>
        <w:spacing w:afterLines="60" w:after="144"/>
      </w:pPr>
      <w:r>
        <w:tab/>
      </w:r>
      <w:r w:rsidR="00625049" w:rsidRPr="00754C23">
        <w:t xml:space="preserve">This chapter describes how </w:t>
      </w:r>
      <w:r w:rsidR="00AD6A61">
        <w:t>the National Aeronautics and Space Administration (</w:t>
      </w:r>
      <w:r w:rsidR="00625049" w:rsidRPr="00754C23">
        <w:t>NASA</w:t>
      </w:r>
      <w:r w:rsidR="00AD6A61">
        <w:t>)</w:t>
      </w:r>
      <w:r w:rsidR="00625049" w:rsidRPr="00754C23">
        <w:t xml:space="preserve"> </w:t>
      </w:r>
      <w:r w:rsidR="0097347E">
        <w:t xml:space="preserve">strategically plans </w:t>
      </w:r>
      <w:r w:rsidR="00625049" w:rsidRPr="00754C23">
        <w:t>technology development decades in advance of its intended use</w:t>
      </w:r>
      <w:r w:rsidR="00EA01D5" w:rsidRPr="00754C23">
        <w:t>.</w:t>
      </w:r>
      <w:r w:rsidR="00625049" w:rsidRPr="00754C23">
        <w:t xml:space="preserve"> </w:t>
      </w:r>
      <w:r w:rsidR="00C53917">
        <w:t xml:space="preserve">We suggest </w:t>
      </w:r>
      <w:r w:rsidR="00C53917">
        <w:lastRenderedPageBreak/>
        <w:t xml:space="preserve">that </w:t>
      </w:r>
      <w:r w:rsidR="00625049" w:rsidRPr="00754C23">
        <w:t>professionals</w:t>
      </w:r>
      <w:r w:rsidR="00754C23">
        <w:t>,</w:t>
      </w:r>
      <w:r w:rsidR="00625049" w:rsidRPr="00754C23">
        <w:t xml:space="preserve"> scholars, and policy makers </w:t>
      </w:r>
      <w:r w:rsidR="004F2CD4" w:rsidRPr="00754C23">
        <w:t xml:space="preserve">can use </w:t>
      </w:r>
      <w:r w:rsidR="00C53917">
        <w:t xml:space="preserve">elements of </w:t>
      </w:r>
      <w:r w:rsidR="004F2CD4" w:rsidRPr="00754C23">
        <w:t xml:space="preserve">NASA’s </w:t>
      </w:r>
      <w:r w:rsidR="00C53917">
        <w:t xml:space="preserve">approach when advising decision makers on strategic planning and development of technology </w:t>
      </w:r>
      <w:r w:rsidR="004F2CD4" w:rsidRPr="00754C23">
        <w:t xml:space="preserve">in defense, security, and other technology-driven industries where foresight is essential </w:t>
      </w:r>
      <w:r w:rsidR="0083333C" w:rsidRPr="00754C23">
        <w:t>f</w:t>
      </w:r>
      <w:r w:rsidR="004F2CD4" w:rsidRPr="00754C23">
        <w:t>or resilienc</w:t>
      </w:r>
      <w:r w:rsidR="0083333C" w:rsidRPr="00754C23">
        <w:t>e.</w:t>
      </w:r>
      <w:r w:rsidR="0018170F">
        <w:t xml:space="preserve">  Specifically, we see value in an independent office that can witness technology development across an organization and help apply foresight to increase the potential </w:t>
      </w:r>
      <w:r w:rsidR="00F41DD5">
        <w:t>f</w:t>
      </w:r>
      <w:r w:rsidR="0018170F">
        <w:t>or mission success.</w:t>
      </w:r>
    </w:p>
    <w:p w14:paraId="34AAF515" w14:textId="31A85802" w:rsidR="00096B6B" w:rsidRDefault="00096B6B" w:rsidP="00096B6B">
      <w:r>
        <w:tab/>
        <w:t xml:space="preserve">Developing technology is an essential </w:t>
      </w:r>
      <w:r w:rsidR="0018170F">
        <w:t xml:space="preserve">and enabling </w:t>
      </w:r>
      <w:r>
        <w:t>activity at NASA. Representing approximately 10</w:t>
      </w:r>
      <w:r w:rsidR="00EA59E1">
        <w:t xml:space="preserve"> percent </w:t>
      </w:r>
      <w:r>
        <w:t xml:space="preserve">of NASA’s budget, technology development involves the development of any </w:t>
      </w:r>
      <w:r>
        <w:rPr>
          <w:rFonts w:eastAsia="Calibri"/>
        </w:rPr>
        <w:t>“</w:t>
      </w:r>
      <w:r w:rsidR="0060534F" w:rsidRPr="0060534F">
        <w:rPr>
          <w:rFonts w:eastAsia="Calibri"/>
        </w:rPr>
        <w:t>solution that arises from applying the discipline of engineering science to synthesize a device, process, or subsystem, to enable a specific capability</w:t>
      </w:r>
      <w:r>
        <w:rPr>
          <w:rFonts w:eastAsia="Calibri"/>
        </w:rPr>
        <w:t>”</w:t>
      </w:r>
      <w:r w:rsidR="00E07EFD">
        <w:rPr>
          <w:rFonts w:eastAsia="Calibri"/>
        </w:rPr>
        <w:t xml:space="preserve"> (Con</w:t>
      </w:r>
      <w:r w:rsidR="009040A8">
        <w:rPr>
          <w:rFonts w:eastAsia="Calibri"/>
        </w:rPr>
        <w:t xml:space="preserve">de 2019; </w:t>
      </w:r>
      <w:r w:rsidR="00AA30E1">
        <w:rPr>
          <w:rFonts w:eastAsia="Calibri"/>
        </w:rPr>
        <w:t xml:space="preserve">NASA </w:t>
      </w:r>
      <w:r w:rsidR="00424A1C">
        <w:rPr>
          <w:rFonts w:eastAsia="Calibri"/>
        </w:rPr>
        <w:t>Office of the Chief Technologist 2017).</w:t>
      </w:r>
      <w:r>
        <w:rPr>
          <w:rFonts w:eastAsia="Calibri"/>
        </w:rPr>
        <w:t xml:space="preserve"> In pursuit of its vision to “</w:t>
      </w:r>
      <w:r w:rsidR="00C4104D" w:rsidRPr="00C4104D">
        <w:t>discover and expand knowledge for the benefit of humanity</w:t>
      </w:r>
      <w:r>
        <w:t>,” NASA develops technologies within its four mission directorates, each with its own purpose and plan for technology development</w:t>
      </w:r>
      <w:r w:rsidR="000D1085">
        <w:t xml:space="preserve"> (NASA 2021</w:t>
      </w:r>
      <w:r w:rsidR="00A648E3">
        <w:t>a</w:t>
      </w:r>
      <w:r w:rsidR="000D1085">
        <w:t xml:space="preserve">). </w:t>
      </w:r>
    </w:p>
    <w:p w14:paraId="4C0EE028" w14:textId="4E904AEB" w:rsidR="00096B6B" w:rsidRDefault="009D2939" w:rsidP="00096B6B">
      <w:pPr>
        <w:pStyle w:val="ListParagraph"/>
        <w:numPr>
          <w:ilvl w:val="0"/>
          <w:numId w:val="17"/>
        </w:numPr>
        <w:spacing w:afterLines="60" w:after="144"/>
      </w:pPr>
      <w:r>
        <w:t>Th</w:t>
      </w:r>
      <w:r w:rsidRPr="00F7435D">
        <w:t xml:space="preserve">e </w:t>
      </w:r>
      <w:bookmarkStart w:id="1" w:name="_Hlk68034976"/>
      <w:r w:rsidR="00096B6B" w:rsidRPr="00B15353">
        <w:rPr>
          <w:b/>
          <w:bCs/>
        </w:rPr>
        <w:t>Aeronautics Research Mission Directorate (ARMD)</w:t>
      </w:r>
      <w:bookmarkEnd w:id="1"/>
      <w:r>
        <w:rPr>
          <w:i/>
          <w:iCs/>
        </w:rPr>
        <w:t xml:space="preserve"> </w:t>
      </w:r>
      <w:r w:rsidR="00F7435D">
        <w:t>designs, develops, and tests technologies</w:t>
      </w:r>
      <w:r>
        <w:t xml:space="preserve"> to </w:t>
      </w:r>
      <w:r w:rsidR="00F7435D">
        <w:t xml:space="preserve">improve </w:t>
      </w:r>
      <w:r w:rsidR="00A1591C">
        <w:t xml:space="preserve">aircraft and </w:t>
      </w:r>
      <w:r w:rsidR="00F7435D">
        <w:t xml:space="preserve">air transportation systems for the benefit of the </w:t>
      </w:r>
      <w:r w:rsidR="00FE56DC">
        <w:t xml:space="preserve">American </w:t>
      </w:r>
      <w:r w:rsidR="00F7435D">
        <w:t>aviation industry, the passengers and businesses who rely on aviation, and the local and global environment affected by air transportation</w:t>
      </w:r>
      <w:r w:rsidR="00567207">
        <w:t xml:space="preserve"> (NASA ARMD 2020</w:t>
      </w:r>
      <w:r w:rsidR="00F67995">
        <w:t>a</w:t>
      </w:r>
      <w:r w:rsidR="00567207">
        <w:t>).</w:t>
      </w:r>
    </w:p>
    <w:p w14:paraId="14F323D0" w14:textId="275AA1D6" w:rsidR="00096B6B" w:rsidRDefault="00E3236F" w:rsidP="00096B6B">
      <w:pPr>
        <w:pStyle w:val="ListParagraph"/>
        <w:numPr>
          <w:ilvl w:val="0"/>
          <w:numId w:val="17"/>
        </w:numPr>
        <w:spacing w:afterLines="60" w:after="144"/>
      </w:pPr>
      <w:r>
        <w:t xml:space="preserve">The </w:t>
      </w:r>
      <w:bookmarkStart w:id="2" w:name="_Hlk68035013"/>
      <w:r w:rsidR="00096B6B" w:rsidRPr="00B15353">
        <w:rPr>
          <w:b/>
          <w:bCs/>
        </w:rPr>
        <w:t>Space Technology Mission Directorate (STMD)</w:t>
      </w:r>
      <w:r>
        <w:rPr>
          <w:b/>
          <w:bCs/>
        </w:rPr>
        <w:t xml:space="preserve"> </w:t>
      </w:r>
      <w:bookmarkEnd w:id="2"/>
      <w:r>
        <w:t xml:space="preserve">leads space technology research and development </w:t>
      </w:r>
      <w:r w:rsidR="00784FF1">
        <w:t>throughout the agency and with agency partners to enable exploration missions, such as missions planned for the Moon and Mars, and to enable technology transfer back in</w:t>
      </w:r>
      <w:r w:rsidR="007B6A95">
        <w:t>to</w:t>
      </w:r>
      <w:r w:rsidR="00784FF1">
        <w:t xml:space="preserve"> the U.S. economy</w:t>
      </w:r>
      <w:r w:rsidR="00FD4805">
        <w:t xml:space="preserve"> (NASA STMD 2020).</w:t>
      </w:r>
    </w:p>
    <w:p w14:paraId="0D556F75" w14:textId="112B6706" w:rsidR="00E3236F" w:rsidRDefault="00583B47" w:rsidP="00E3236F">
      <w:pPr>
        <w:pStyle w:val="ListParagraph"/>
        <w:numPr>
          <w:ilvl w:val="0"/>
          <w:numId w:val="17"/>
        </w:numPr>
        <w:spacing w:afterLines="60" w:after="144"/>
      </w:pPr>
      <w:r>
        <w:t xml:space="preserve">The </w:t>
      </w:r>
      <w:r w:rsidR="00096B6B" w:rsidRPr="00B15353">
        <w:rPr>
          <w:b/>
          <w:bCs/>
        </w:rPr>
        <w:t>Science Mission Directorate (SMD)</w:t>
      </w:r>
      <w:r>
        <w:rPr>
          <w:b/>
          <w:bCs/>
        </w:rPr>
        <w:t xml:space="preserve"> </w:t>
      </w:r>
      <w:r w:rsidR="00A048F8">
        <w:t>uses space-based observatories</w:t>
      </w:r>
      <w:r w:rsidR="00FE56DC">
        <w:t xml:space="preserve"> and robotic missions</w:t>
      </w:r>
      <w:r w:rsidR="00A048F8">
        <w:t xml:space="preserve"> to answer science questions related to five disciplines—Earth Science, Planetary Science, Heliophysics, Astrophysics, and </w:t>
      </w:r>
      <w:r w:rsidR="00A048F8" w:rsidRPr="00A048F8">
        <w:t>Biological and Physical Sciences</w:t>
      </w:r>
      <w:r w:rsidR="00A048F8">
        <w:t>—to fulfill national and international priorities for scientific discovery</w:t>
      </w:r>
      <w:r w:rsidR="00552ECA">
        <w:t>;</w:t>
      </w:r>
      <w:r w:rsidR="00E3236F">
        <w:t xml:space="preserve"> </w:t>
      </w:r>
      <w:r w:rsidR="009748C4">
        <w:t xml:space="preserve">inform </w:t>
      </w:r>
      <w:r w:rsidR="00E3236F">
        <w:t>future robotic and human space expeditions</w:t>
      </w:r>
      <w:r w:rsidR="00552ECA">
        <w:t>;</w:t>
      </w:r>
      <w:r w:rsidR="00A048F8">
        <w:t xml:space="preserve"> and </w:t>
      </w:r>
      <w:r w:rsidR="00E3236F">
        <w:t>inspire</w:t>
      </w:r>
      <w:r w:rsidR="00A048F8">
        <w:t xml:space="preserve"> </w:t>
      </w:r>
      <w:r w:rsidR="00552ECA">
        <w:t>science, technology, engineering, and math</w:t>
      </w:r>
      <w:r w:rsidR="00BB6A04">
        <w:t>ematics</w:t>
      </w:r>
      <w:r w:rsidR="00552ECA">
        <w:t xml:space="preserve"> (</w:t>
      </w:r>
      <w:r w:rsidR="00A048F8">
        <w:t>STEM</w:t>
      </w:r>
      <w:r w:rsidR="00552ECA">
        <w:t>)</w:t>
      </w:r>
      <w:r w:rsidR="00A048F8">
        <w:t xml:space="preserve"> education </w:t>
      </w:r>
      <w:r w:rsidR="009748C4">
        <w:t>nationwide</w:t>
      </w:r>
      <w:r w:rsidR="00E43107">
        <w:t xml:space="preserve"> (NASA SMD 2021).</w:t>
      </w:r>
    </w:p>
    <w:p w14:paraId="0CF022BE" w14:textId="528C96F8" w:rsidR="00D121EA" w:rsidRDefault="00E3236F" w:rsidP="00B15353">
      <w:pPr>
        <w:pStyle w:val="ListParagraph"/>
        <w:numPr>
          <w:ilvl w:val="0"/>
          <w:numId w:val="17"/>
        </w:numPr>
        <w:spacing w:afterLines="60" w:after="144"/>
      </w:pPr>
      <w:r>
        <w:t xml:space="preserve">The </w:t>
      </w:r>
      <w:r w:rsidR="00096B6B" w:rsidRPr="00B15353">
        <w:rPr>
          <w:b/>
          <w:bCs/>
        </w:rPr>
        <w:t>Human Exploration and Operations Mission Directorate (HEOMD)</w:t>
      </w:r>
      <w:r w:rsidRPr="00E3236F">
        <w:rPr>
          <w:b/>
          <w:bCs/>
        </w:rPr>
        <w:t xml:space="preserve"> </w:t>
      </w:r>
      <w:r>
        <w:t>manages</w:t>
      </w:r>
      <w:r w:rsidR="00FE56DC">
        <w:t xml:space="preserve"> current</w:t>
      </w:r>
      <w:r>
        <w:t xml:space="preserve"> space operations in low-Earth orbit</w:t>
      </w:r>
      <w:r w:rsidR="00D37A28">
        <w:t xml:space="preserve"> and beyond</w:t>
      </w:r>
      <w:r>
        <w:t>, including activities on the International Space Station (ISS)</w:t>
      </w:r>
      <w:r w:rsidR="00D37A28">
        <w:t>,</w:t>
      </w:r>
      <w:r>
        <w:t xml:space="preserve"> launch services,</w:t>
      </w:r>
      <w:r w:rsidR="00D37A28">
        <w:t xml:space="preserve"> </w:t>
      </w:r>
      <w:r>
        <w:t>commercial space transportation, human spaceflight capabilities, systems for human exploration in space and on planetary bodies, and transportation and communication for both human and robotic exploration programs</w:t>
      </w:r>
      <w:r w:rsidR="008D15DA">
        <w:t xml:space="preserve"> (NASA HEOMD 2021).</w:t>
      </w:r>
    </w:p>
    <w:p w14:paraId="01C2BF01" w14:textId="76889663" w:rsidR="00405482" w:rsidRDefault="0097347E" w:rsidP="00AD6A61">
      <w:pPr>
        <w:spacing w:afterLines="60" w:after="144"/>
      </w:pPr>
      <w:r>
        <w:tab/>
        <w:t>With a critical role in</w:t>
      </w:r>
      <w:r w:rsidR="007D3F43">
        <w:t xml:space="preserve"> connecting</w:t>
      </w:r>
      <w:r>
        <w:t xml:space="preserve"> technology development across all four mission directorates, </w:t>
      </w:r>
      <w:r w:rsidRPr="0097347E">
        <w:t xml:space="preserve">NASA’s Office of the Chief Technologist </w:t>
      </w:r>
      <w:r>
        <w:t>(OCT) coordinates and facilitates</w:t>
      </w:r>
      <w:r w:rsidRPr="0097347E">
        <w:t xml:space="preserve"> technology strategy</w:t>
      </w:r>
      <w:r>
        <w:t xml:space="preserve"> and policy for the agency</w:t>
      </w:r>
      <w:r w:rsidRPr="0097347E">
        <w:t>.</w:t>
      </w:r>
      <w:r>
        <w:t xml:space="preserve"> </w:t>
      </w:r>
      <w:r w:rsidR="00AD6A61">
        <w:t>As a</w:t>
      </w:r>
      <w:r>
        <w:t xml:space="preserve">n office </w:t>
      </w:r>
      <w:r w:rsidR="00AD6A61">
        <w:t xml:space="preserve">independent of </w:t>
      </w:r>
      <w:r w:rsidR="00BC7C5A">
        <w:t xml:space="preserve">the </w:t>
      </w:r>
      <w:r w:rsidR="00AD6A61">
        <w:t>mission directorate</w:t>
      </w:r>
      <w:r w:rsidR="00BC7C5A">
        <w:t>s</w:t>
      </w:r>
      <w:r w:rsidR="00AD6A61">
        <w:t xml:space="preserve">, OCT </w:t>
      </w:r>
      <w:r w:rsidR="00F233F1">
        <w:t>serves as</w:t>
      </w:r>
      <w:r w:rsidR="00AD6A61">
        <w:t xml:space="preserve"> </w:t>
      </w:r>
      <w:r w:rsidR="00752379">
        <w:t xml:space="preserve">a </w:t>
      </w:r>
      <w:r w:rsidR="00AD6A61" w:rsidRPr="00B810A7">
        <w:t xml:space="preserve">trusted authority </w:t>
      </w:r>
      <w:r w:rsidR="00752379">
        <w:t>to inform</w:t>
      </w:r>
      <w:r w:rsidR="00AD6A61" w:rsidRPr="00B810A7">
        <w:t xml:space="preserve"> technology strategy and advocacy</w:t>
      </w:r>
      <w:r w:rsidR="00752379">
        <w:t xml:space="preserve"> at the agency</w:t>
      </w:r>
      <w:r w:rsidR="00405482">
        <w:t xml:space="preserve">, </w:t>
      </w:r>
      <w:r w:rsidR="00405482" w:rsidRPr="00B810A7">
        <w:t>enabl</w:t>
      </w:r>
      <w:r w:rsidR="00752379">
        <w:t>ing</w:t>
      </w:r>
      <w:r w:rsidR="00405482" w:rsidRPr="00B810A7">
        <w:t xml:space="preserve"> future missions and advanc</w:t>
      </w:r>
      <w:r w:rsidR="00752379">
        <w:t>ing</w:t>
      </w:r>
      <w:r w:rsidR="00405482" w:rsidRPr="00B810A7">
        <w:t xml:space="preserve"> U</w:t>
      </w:r>
      <w:r w:rsidR="00405482">
        <w:t>.</w:t>
      </w:r>
      <w:r w:rsidR="00405482" w:rsidRPr="00B810A7">
        <w:t>S</w:t>
      </w:r>
      <w:r w:rsidR="00405482">
        <w:t>.</w:t>
      </w:r>
      <w:r w:rsidR="00405482" w:rsidRPr="00B810A7">
        <w:t xml:space="preserve"> economic competitiveness</w:t>
      </w:r>
      <w:r w:rsidR="00405482">
        <w:t>. Led by NASA’s Chief Technologist—“t</w:t>
      </w:r>
      <w:r w:rsidR="00AD6A61" w:rsidRPr="00AD6A61">
        <w:t>he Administrator</w:t>
      </w:r>
      <w:r w:rsidR="00405482">
        <w:t>’</w:t>
      </w:r>
      <w:r w:rsidR="00AD6A61" w:rsidRPr="00AD6A61">
        <w:t>s principal advisor and advocate on matters concerning agency-wide technology policy and programs</w:t>
      </w:r>
      <w:r w:rsidR="00405482">
        <w:t xml:space="preserve">”—OCT </w:t>
      </w:r>
      <w:r w:rsidR="00F54DD8">
        <w:t>coordinates internal and external input</w:t>
      </w:r>
      <w:r w:rsidR="00D121EA">
        <w:t>s on strategic technology development from a broad community of experts, including chief technologist</w:t>
      </w:r>
      <w:r w:rsidR="00FE56DC">
        <w:t>s</w:t>
      </w:r>
      <w:r w:rsidR="00D121EA">
        <w:t xml:space="preserve"> from each </w:t>
      </w:r>
      <w:r w:rsidR="00FE56DC">
        <w:t xml:space="preserve">NASA </w:t>
      </w:r>
      <w:r w:rsidR="00D121EA">
        <w:t>field center</w:t>
      </w:r>
      <w:r w:rsidR="005C0929">
        <w:t xml:space="preserve"> who</w:t>
      </w:r>
      <w:r w:rsidR="007B6A95">
        <w:t xml:space="preserve"> form</w:t>
      </w:r>
      <w:r w:rsidR="00D121EA">
        <w:t xml:space="preserve"> the</w:t>
      </w:r>
      <w:r w:rsidR="00D121EA" w:rsidRPr="00D121EA">
        <w:t xml:space="preserve"> </w:t>
      </w:r>
      <w:r w:rsidR="00D121EA">
        <w:t>Center Technology Council</w:t>
      </w:r>
      <w:r w:rsidR="00950193">
        <w:t xml:space="preserve"> (NASA OCT 2021)</w:t>
      </w:r>
      <w:r w:rsidR="00D121EA">
        <w:t>. OCT then facilitates and advises on the planning of technology development throughout the agency, ensuring that technology development aligns with agency and community needs while also accounting for both anticipated and unanticipated challenges and opportunities that arise with new discoveries. That is, as an independent</w:t>
      </w:r>
      <w:r>
        <w:t xml:space="preserve"> office</w:t>
      </w:r>
      <w:r w:rsidR="00D121EA">
        <w:t xml:space="preserve"> that </w:t>
      </w:r>
      <w:r w:rsidR="00D121EA">
        <w:lastRenderedPageBreak/>
        <w:t xml:space="preserve">coordinates, facilitates, and advises on technology </w:t>
      </w:r>
      <w:r w:rsidR="0023580A">
        <w:t>strategy and policy</w:t>
      </w:r>
      <w:r w:rsidR="00D121EA">
        <w:t>, OCT ensures that NASA’s approach to technology development operationalizes foresight.</w:t>
      </w:r>
    </w:p>
    <w:p w14:paraId="79A569CF" w14:textId="4B927260" w:rsidR="0051627F" w:rsidRDefault="00D121EA" w:rsidP="007656C9">
      <w:r>
        <w:tab/>
        <w:t>Th</w:t>
      </w:r>
      <w:r w:rsidR="007656C9">
        <w:t xml:space="preserve">e following sections detail how NASA ensures the use </w:t>
      </w:r>
      <w:r w:rsidR="00FE56DC">
        <w:t xml:space="preserve">of </w:t>
      </w:r>
      <w:r w:rsidR="007656C9">
        <w:t>foresight in its technology development. First, we</w:t>
      </w:r>
      <w:r>
        <w:t xml:space="preserve"> </w:t>
      </w:r>
      <w:r w:rsidR="007656C9">
        <w:t xml:space="preserve">define </w:t>
      </w:r>
      <w:r>
        <w:t xml:space="preserve">foresight at NASA, </w:t>
      </w:r>
      <w:r w:rsidR="007656C9">
        <w:t xml:space="preserve">providing </w:t>
      </w:r>
      <w:r w:rsidR="00AD6A61">
        <w:t xml:space="preserve">examples of how scientific and technological discoveries both account for and uncover challenges and opportunities for </w:t>
      </w:r>
      <w:r w:rsidR="007656C9">
        <w:t xml:space="preserve">conducting future discoveries. Next, we discuss how NASA approaches strategic technology development, </w:t>
      </w:r>
      <w:r w:rsidR="00AD6A61">
        <w:t xml:space="preserve">detailing the approach of each </w:t>
      </w:r>
      <w:r w:rsidR="007656C9">
        <w:t xml:space="preserve">of the four </w:t>
      </w:r>
      <w:r w:rsidR="00AD6A61">
        <w:t>mission directorate</w:t>
      </w:r>
      <w:r w:rsidR="007656C9">
        <w:t>s</w:t>
      </w:r>
      <w:r w:rsidR="00AD6A61">
        <w:t>.</w:t>
      </w:r>
      <w:r w:rsidR="007656C9">
        <w:t xml:space="preserve"> Then</w:t>
      </w:r>
      <w:r w:rsidR="00CD268D">
        <w:t>,</w:t>
      </w:r>
      <w:r w:rsidR="007656C9">
        <w:t xml:space="preserve"> we</w:t>
      </w:r>
      <w:r w:rsidR="00AD6A61">
        <w:t xml:space="preserve"> describe how OCT</w:t>
      </w:r>
      <w:r w:rsidR="007656C9">
        <w:t xml:space="preserve">’s </w:t>
      </w:r>
      <w:r w:rsidR="00AD6A61">
        <w:t xml:space="preserve">three </w:t>
      </w:r>
      <w:r w:rsidR="007656C9">
        <w:t xml:space="preserve">main </w:t>
      </w:r>
      <w:r w:rsidR="00AD6A61">
        <w:t>activities</w:t>
      </w:r>
      <w:r w:rsidR="007656C9">
        <w:t>—integration, partnership, and innovation—</w:t>
      </w:r>
      <w:r w:rsidR="00AD6A61">
        <w:t xml:space="preserve">enable the use of foresight in technology development </w:t>
      </w:r>
      <w:r w:rsidR="007656C9">
        <w:t>throughout</w:t>
      </w:r>
      <w:r w:rsidR="00AD6A61">
        <w:t xml:space="preserve"> NASA</w:t>
      </w:r>
      <w:r w:rsidR="007656C9">
        <w:t xml:space="preserve">. Finally, we provide recommendations </w:t>
      </w:r>
      <w:r w:rsidR="00AD6A61">
        <w:t xml:space="preserve">for organizations in </w:t>
      </w:r>
      <w:r w:rsidR="00AD6A61" w:rsidRPr="00754C23">
        <w:t>defense, security, and other technology-driven industries</w:t>
      </w:r>
      <w:r w:rsidR="00AD6A61">
        <w:t xml:space="preserve"> who want to </w:t>
      </w:r>
      <w:r w:rsidR="00185FFB">
        <w:t>i</w:t>
      </w:r>
      <w:r w:rsidR="00752379">
        <w:t>ngrain</w:t>
      </w:r>
      <w:r w:rsidR="00AD6A61">
        <w:t xml:space="preserve"> foresight in their own technology development</w:t>
      </w:r>
      <w:r w:rsidR="00752379">
        <w:t xml:space="preserve"> program</w:t>
      </w:r>
      <w:r w:rsidR="00F233F1">
        <w:t>s</w:t>
      </w:r>
      <w:r w:rsidR="00AD6A61">
        <w:t>.</w:t>
      </w:r>
    </w:p>
    <w:p w14:paraId="05376A86" w14:textId="77777777" w:rsidR="007656C9" w:rsidRDefault="007656C9" w:rsidP="00B15353"/>
    <w:p w14:paraId="4E9AB700" w14:textId="356023E7" w:rsidR="00754C23" w:rsidRPr="00543760" w:rsidRDefault="00754C23" w:rsidP="00B36264">
      <w:pPr>
        <w:spacing w:afterLines="60" w:after="144"/>
        <w:rPr>
          <w:b/>
          <w:bCs/>
        </w:rPr>
      </w:pPr>
      <w:r w:rsidRPr="00543760">
        <w:rPr>
          <w:b/>
          <w:bCs/>
        </w:rPr>
        <w:t>Foresight</w:t>
      </w:r>
      <w:r w:rsidR="00DB36CB">
        <w:rPr>
          <w:b/>
          <w:bCs/>
        </w:rPr>
        <w:t xml:space="preserve"> </w:t>
      </w:r>
      <w:r w:rsidR="0018170F">
        <w:rPr>
          <w:b/>
          <w:bCs/>
        </w:rPr>
        <w:t xml:space="preserve">Provides Tangible </w:t>
      </w:r>
      <w:r w:rsidR="00CC7A25">
        <w:rPr>
          <w:b/>
          <w:bCs/>
        </w:rPr>
        <w:t>Benefits</w:t>
      </w:r>
      <w:r w:rsidR="0018170F">
        <w:rPr>
          <w:b/>
          <w:bCs/>
        </w:rPr>
        <w:t xml:space="preserve"> </w:t>
      </w:r>
      <w:r w:rsidR="00025814">
        <w:rPr>
          <w:b/>
          <w:bCs/>
        </w:rPr>
        <w:t>at</w:t>
      </w:r>
      <w:r w:rsidRPr="00543760">
        <w:rPr>
          <w:b/>
          <w:bCs/>
        </w:rPr>
        <w:t xml:space="preserve"> NASA</w:t>
      </w:r>
    </w:p>
    <w:p w14:paraId="529C464F" w14:textId="3F739D5A" w:rsidR="002410BE" w:rsidRDefault="002410BE" w:rsidP="00B36264">
      <w:pPr>
        <w:spacing w:afterLines="60" w:after="144"/>
      </w:pPr>
      <w:r>
        <w:tab/>
      </w:r>
      <w:r w:rsidR="00DA63CF">
        <w:t xml:space="preserve">This section defines foresight </w:t>
      </w:r>
      <w:r w:rsidR="00DB36CB">
        <w:t>for</w:t>
      </w:r>
      <w:r w:rsidR="00DA63CF">
        <w:t xml:space="preserve"> technology development at NASA.</w:t>
      </w:r>
      <w:r>
        <w:t xml:space="preserve"> Throughout this section, note that “developing” technology at NASA encompasses both in-house technology development by NASA programs </w:t>
      </w:r>
      <w:r w:rsidR="00910BED">
        <w:t>and</w:t>
      </w:r>
      <w:r>
        <w:t xml:space="preserve"> investing in technology development outside the agency. As part of its mission to spur innovation and </w:t>
      </w:r>
      <w:r w:rsidR="005479C0">
        <w:t>support economic growth,</w:t>
      </w:r>
      <w:r>
        <w:t xml:space="preserve"> NASA invests in the development of ideas and technologies by academic and commercial partners and then purchases products or services from the developers at a later date. </w:t>
      </w:r>
      <w:r w:rsidR="009E6518">
        <w:t>Throughout this chapter, we return to the role of NASA’s community partners in strategic technology development.</w:t>
      </w:r>
    </w:p>
    <w:p w14:paraId="56707B0C" w14:textId="6DFCD8A3" w:rsidR="00576B1A" w:rsidRDefault="002410BE" w:rsidP="00B36264">
      <w:pPr>
        <w:spacing w:afterLines="60" w:after="144"/>
      </w:pPr>
      <w:r>
        <w:tab/>
      </w:r>
      <w:r w:rsidR="000B5D5C">
        <w:t>At NASA, f</w:t>
      </w:r>
      <w:r w:rsidR="00D91E6D" w:rsidRPr="00754C23">
        <w:t xml:space="preserve">oresight is a </w:t>
      </w:r>
      <w:r w:rsidR="006221B3">
        <w:t>coordinated</w:t>
      </w:r>
      <w:r w:rsidR="009468BE">
        <w:t>, iterative, and continual</w:t>
      </w:r>
      <w:r w:rsidR="0018135D">
        <w:t xml:space="preserve"> </w:t>
      </w:r>
      <w:r w:rsidR="00D91E6D" w:rsidRPr="00754C23">
        <w:t>process for making informed decisions</w:t>
      </w:r>
      <w:r w:rsidR="000B5D5C">
        <w:t>.</w:t>
      </w:r>
      <w:r w:rsidR="009E6518">
        <w:t xml:space="preserve"> </w:t>
      </w:r>
      <w:r w:rsidR="00300A6F">
        <w:t xml:space="preserve">Like </w:t>
      </w:r>
      <w:r w:rsidR="00443C0E">
        <w:t>many</w:t>
      </w:r>
      <w:r w:rsidR="00300A6F">
        <w:t xml:space="preserve"> technology-driven organizations, </w:t>
      </w:r>
      <w:r w:rsidR="00576B1A">
        <w:t>NASA must anticipate challenges and opportunities in technology development</w:t>
      </w:r>
      <w:r w:rsidR="00300A6F">
        <w:t>. However, as the leading agency in aeronautics development, cutting-edge scientific discovery, and human space exploration, NASA</w:t>
      </w:r>
      <w:r w:rsidR="00085B7D">
        <w:t xml:space="preserve"> faces </w:t>
      </w:r>
      <w:r w:rsidR="00BC7C5A">
        <w:t xml:space="preserve">diverse and </w:t>
      </w:r>
      <w:r w:rsidR="00085B7D">
        <w:t xml:space="preserve">relatively </w:t>
      </w:r>
      <w:r w:rsidR="00300A6F">
        <w:t xml:space="preserve">unique challenges and opportunities </w:t>
      </w:r>
      <w:r w:rsidR="00085B7D">
        <w:t xml:space="preserve">for technology development. </w:t>
      </w:r>
      <w:r w:rsidR="0057280B">
        <w:t xml:space="preserve">As these </w:t>
      </w:r>
      <w:r w:rsidR="00443C0E">
        <w:t xml:space="preserve">challenges and opportunities are often </w:t>
      </w:r>
      <w:r w:rsidR="00163CC8">
        <w:t>influenced by other missions and discoveries</w:t>
      </w:r>
      <w:r w:rsidR="00D82156">
        <w:t>,</w:t>
      </w:r>
      <w:r w:rsidR="00163CC8">
        <w:t xml:space="preserve"> </w:t>
      </w:r>
      <w:r w:rsidR="00443C0E">
        <w:t>NASA</w:t>
      </w:r>
      <w:r w:rsidR="00163CC8">
        <w:t xml:space="preserve"> must coordinate information from throughout a broad community of scientific and technical expertise to inform strategic decisions.</w:t>
      </w:r>
      <w:r w:rsidR="00FC30B1">
        <w:t xml:space="preserve"> </w:t>
      </w:r>
      <w:r w:rsidR="0018170F">
        <w:t xml:space="preserve">It is through these </w:t>
      </w:r>
      <w:r w:rsidR="00C365EB">
        <w:t>processes that NASA enables foresight in technology development.</w:t>
      </w:r>
    </w:p>
    <w:p w14:paraId="750897AF" w14:textId="468CFF7B" w:rsidR="0094199B" w:rsidRDefault="00576B1A" w:rsidP="00B36264">
      <w:pPr>
        <w:spacing w:afterLines="60" w:after="144"/>
      </w:pPr>
      <w:r>
        <w:tab/>
      </w:r>
      <w:r w:rsidR="005A6D8B">
        <w:t>In one</w:t>
      </w:r>
      <w:r w:rsidR="00FC30B1">
        <w:t xml:space="preserve"> example, NASA required an intensely coordinated effort for its 2018 InSight and MarCO missions, which combined technology demonstration with planetary science. The InSight mission involved landing a </w:t>
      </w:r>
      <w:r w:rsidR="005A6D8B">
        <w:t>robotic lander</w:t>
      </w:r>
      <w:r w:rsidR="00FC30B1">
        <w:t xml:space="preserve"> on Mars to expand our knowledge about</w:t>
      </w:r>
      <w:r w:rsidR="00FA4E14">
        <w:t xml:space="preserve"> rocky planet interiors</w:t>
      </w:r>
      <w:r w:rsidR="00EB63AC">
        <w:t>.</w:t>
      </w:r>
      <w:r w:rsidR="00172B6F">
        <w:t xml:space="preserve"> </w:t>
      </w:r>
      <w:r w:rsidR="001A05BF">
        <w:t>Specifically, InSight i</w:t>
      </w:r>
      <w:r w:rsidR="005A6D8B">
        <w:t xml:space="preserve">s the first mission with the instrumentation </w:t>
      </w:r>
      <w:r w:rsidR="001A05BF">
        <w:t>to measure</w:t>
      </w:r>
      <w:r w:rsidR="00B8561F">
        <w:t xml:space="preserve"> deep</w:t>
      </w:r>
      <w:r w:rsidR="001A05BF">
        <w:t xml:space="preserve"> </w:t>
      </w:r>
      <w:r w:rsidR="00CC7A25">
        <w:t>tremors</w:t>
      </w:r>
      <w:r w:rsidR="00C11F3C" w:rsidRPr="00C11F3C">
        <w:t xml:space="preserve"> </w:t>
      </w:r>
      <w:r w:rsidR="00C11F3C">
        <w:t>on Mars</w:t>
      </w:r>
      <w:r w:rsidR="005A6D8B">
        <w:t>,</w:t>
      </w:r>
      <w:r w:rsidR="00C11F3C">
        <w:t xml:space="preserve"> termed</w:t>
      </w:r>
      <w:r w:rsidR="005A6D8B">
        <w:t xml:space="preserve"> </w:t>
      </w:r>
      <w:r w:rsidR="00C11F3C">
        <w:t>mars</w:t>
      </w:r>
      <w:r w:rsidR="005A6D8B">
        <w:t>quakes</w:t>
      </w:r>
      <w:r w:rsidR="00757125">
        <w:t xml:space="preserve"> (NASA 2018</w:t>
      </w:r>
      <w:r w:rsidR="00AB1BCB">
        <w:t>a</w:t>
      </w:r>
      <w:r w:rsidR="00757125">
        <w:t>)</w:t>
      </w:r>
      <w:r w:rsidR="001A05BF">
        <w:t xml:space="preserve">. However, </w:t>
      </w:r>
      <w:r w:rsidR="000F48A8">
        <w:t>implementing</w:t>
      </w:r>
      <w:r w:rsidR="001A05BF">
        <w:t xml:space="preserve"> foresight, NASA used the flight for the InSight lander to also demonstrate the</w:t>
      </w:r>
      <w:r w:rsidR="00413409">
        <w:t xml:space="preserve"> new</w:t>
      </w:r>
      <w:r w:rsidR="001A05BF">
        <w:t xml:space="preserve"> </w:t>
      </w:r>
      <w:r w:rsidR="00413409">
        <w:t>application</w:t>
      </w:r>
      <w:r w:rsidR="001A05BF">
        <w:t xml:space="preserve"> of </w:t>
      </w:r>
      <w:r w:rsidR="00F77B96">
        <w:t>CubeSats</w:t>
      </w:r>
      <w:r w:rsidR="001A05BF">
        <w:t xml:space="preserve"> in </w:t>
      </w:r>
      <w:r w:rsidR="00F77B96">
        <w:t xml:space="preserve">deep </w:t>
      </w:r>
      <w:r w:rsidR="00B15353">
        <w:t>space</w:t>
      </w:r>
      <w:r w:rsidR="00881EB3">
        <w:t xml:space="preserve">. </w:t>
      </w:r>
      <w:r w:rsidR="0058087A">
        <w:t xml:space="preserve">Building on </w:t>
      </w:r>
      <w:r w:rsidR="00C26A3E">
        <w:t xml:space="preserve">the </w:t>
      </w:r>
      <w:r w:rsidR="0058087A">
        <w:t xml:space="preserve">success </w:t>
      </w:r>
      <w:r w:rsidR="00C26A3E">
        <w:t xml:space="preserve">of hundreds of </w:t>
      </w:r>
      <w:r w:rsidR="0058087A">
        <w:t>CubeSats in Earth orbit, t</w:t>
      </w:r>
      <w:r w:rsidR="00881EB3">
        <w:t xml:space="preserve">he Mars Cube One, or MarCO, </w:t>
      </w:r>
      <w:r w:rsidR="007C608D">
        <w:t xml:space="preserve">showed that </w:t>
      </w:r>
      <w:r w:rsidR="00881EB3" w:rsidRPr="00881EB3">
        <w:t>miniaturized deep space communication equipment</w:t>
      </w:r>
      <w:r w:rsidR="007C608D">
        <w:t xml:space="preserve"> can relay data from a planetary </w:t>
      </w:r>
      <w:r w:rsidR="00F77B96">
        <w:t xml:space="preserve">lander </w:t>
      </w:r>
      <w:r w:rsidR="007C608D">
        <w:t>to Earth</w:t>
      </w:r>
      <w:r w:rsidR="00F15A97">
        <w:t xml:space="preserve"> (NASA </w:t>
      </w:r>
      <w:r w:rsidR="009B74A4">
        <w:t>2021c</w:t>
      </w:r>
      <w:r w:rsidR="00F15A97">
        <w:t>)</w:t>
      </w:r>
      <w:r w:rsidR="001A05BF">
        <w:t>.</w:t>
      </w:r>
      <w:r w:rsidR="00413409">
        <w:t xml:space="preserve"> </w:t>
      </w:r>
      <w:r w:rsidR="009C7DD5">
        <w:t xml:space="preserve">In fact, for the first time, the two MarCO CubeSats relayed telemetry data near-continuously as InSight </w:t>
      </w:r>
      <w:r w:rsidR="00D9541E">
        <w:t xml:space="preserve">successfully </w:t>
      </w:r>
      <w:r w:rsidR="009C7DD5">
        <w:t xml:space="preserve">completed its entry, descent, and landing. </w:t>
      </w:r>
      <w:r w:rsidR="00413409">
        <w:t xml:space="preserve">The success of MarCO </w:t>
      </w:r>
      <w:r w:rsidR="000F48A8">
        <w:t>has since</w:t>
      </w:r>
      <w:r w:rsidR="00413409">
        <w:t xml:space="preserve"> </w:t>
      </w:r>
      <w:r w:rsidR="0058087A">
        <w:t>led to</w:t>
      </w:r>
      <w:r w:rsidR="00413409">
        <w:t xml:space="preserve"> new opportunities for scientific discovery using constellations of </w:t>
      </w:r>
      <w:r w:rsidR="00F77B96">
        <w:t>CubeSats</w:t>
      </w:r>
      <w:r w:rsidR="0094199B">
        <w:t>. The new SunRISE mission—</w:t>
      </w:r>
      <w:r w:rsidR="005C0C58">
        <w:t>in which a constellation of Cube</w:t>
      </w:r>
      <w:r w:rsidR="0094199B">
        <w:t>S</w:t>
      </w:r>
      <w:r w:rsidR="005C0C58">
        <w:t xml:space="preserve">ats work together as </w:t>
      </w:r>
      <w:r w:rsidR="00F77B96">
        <w:t>an aggregated</w:t>
      </w:r>
      <w:r w:rsidR="005C0C58">
        <w:t xml:space="preserve"> aperture </w:t>
      </w:r>
      <w:r w:rsidR="00F77B96">
        <w:t xml:space="preserve">for a </w:t>
      </w:r>
      <w:r w:rsidR="0045712B">
        <w:t>10</w:t>
      </w:r>
      <w:r w:rsidR="0057280B">
        <w:t xml:space="preserve"> </w:t>
      </w:r>
      <w:r w:rsidR="0045712B">
        <w:t xml:space="preserve">km-baseline </w:t>
      </w:r>
      <w:r w:rsidR="005C0C58">
        <w:t>radio telescope</w:t>
      </w:r>
      <w:r w:rsidR="0094199B">
        <w:t xml:space="preserve"> to</w:t>
      </w:r>
      <w:r w:rsidR="005C0C58">
        <w:t xml:space="preserve"> </w:t>
      </w:r>
      <w:r w:rsidR="00413409">
        <w:t>measur</w:t>
      </w:r>
      <w:r w:rsidR="0094199B">
        <w:t xml:space="preserve">e </w:t>
      </w:r>
      <w:r w:rsidR="005C0C58">
        <w:t xml:space="preserve">powerful eruptions </w:t>
      </w:r>
      <w:r w:rsidR="00F77B96">
        <w:t>from</w:t>
      </w:r>
      <w:r w:rsidR="005C0C58">
        <w:t xml:space="preserve"> the Sun’s </w:t>
      </w:r>
      <w:r w:rsidR="00F77B96">
        <w:t>atmosphere</w:t>
      </w:r>
      <w:r w:rsidR="0094199B">
        <w:t>—is the result of a</w:t>
      </w:r>
      <w:r w:rsidR="0058087A">
        <w:t>n</w:t>
      </w:r>
      <w:r w:rsidR="0094199B">
        <w:t xml:space="preserve"> opportunity made possible </w:t>
      </w:r>
      <w:r w:rsidR="003771C4">
        <w:t xml:space="preserve">with the use of </w:t>
      </w:r>
      <w:r w:rsidR="0094199B">
        <w:t>foresight</w:t>
      </w:r>
      <w:r w:rsidR="00D80F70">
        <w:t xml:space="preserve"> (University of Colorado Boulder 2020)</w:t>
      </w:r>
      <w:r w:rsidR="0094199B">
        <w:t>.</w:t>
      </w:r>
    </w:p>
    <w:p w14:paraId="09065AF0" w14:textId="097B3D36" w:rsidR="007C4F9D" w:rsidRDefault="0094199B" w:rsidP="00B36264">
      <w:pPr>
        <w:spacing w:afterLines="60" w:after="144"/>
      </w:pPr>
      <w:r>
        <w:lastRenderedPageBreak/>
        <w:tab/>
        <w:t xml:space="preserve">NASA also uses foresight when planning in response to new discoveries, such as </w:t>
      </w:r>
      <w:r w:rsidR="007C4F9D">
        <w:t xml:space="preserve">discoveries about the presence of water on the Moon. </w:t>
      </w:r>
      <w:r w:rsidR="00445342">
        <w:t xml:space="preserve">In 2008, with data from NASA’s </w:t>
      </w:r>
      <w:r w:rsidR="00445342" w:rsidRPr="00445342">
        <w:t>Moon Miner</w:t>
      </w:r>
      <w:r w:rsidR="009C7DD5">
        <w:t>a</w:t>
      </w:r>
      <w:r w:rsidR="00445342" w:rsidRPr="00445342">
        <w:t>logy Mapper (M</w:t>
      </w:r>
      <w:r w:rsidR="00445342" w:rsidRPr="00445342">
        <w:rPr>
          <w:vertAlign w:val="superscript"/>
        </w:rPr>
        <w:t>3</w:t>
      </w:r>
      <w:r w:rsidR="00445342" w:rsidRPr="00445342">
        <w:t>)</w:t>
      </w:r>
      <w:r w:rsidR="00445342">
        <w:t xml:space="preserve"> aboard India’s </w:t>
      </w:r>
      <w:r w:rsidR="00445342" w:rsidRPr="00445342">
        <w:t>Chandrayaan-1</w:t>
      </w:r>
      <w:r w:rsidR="00445342">
        <w:t>, NASA first confirmed the presence of ice in the permanently shadowed craters near the Moon’s poles</w:t>
      </w:r>
      <w:r w:rsidR="0082420F">
        <w:t xml:space="preserve"> (NASA 2018</w:t>
      </w:r>
      <w:r w:rsidR="00AB1BCB">
        <w:t>b</w:t>
      </w:r>
      <w:r w:rsidR="0082420F">
        <w:t>)</w:t>
      </w:r>
      <w:r w:rsidR="00445342">
        <w:t>. This discovery affected plans for future human exploration of the Moon, including developing technologies to extract water from the ice in the shadowed craters, where the temperature is</w:t>
      </w:r>
      <w:r w:rsidR="00E634D3">
        <w:t xml:space="preserve"> near</w:t>
      </w:r>
      <w:r w:rsidR="00445342">
        <w:t xml:space="preserve"> -250 degrees Fahrenheit. This discovery also inspired new </w:t>
      </w:r>
      <w:r w:rsidR="00EF5698">
        <w:t xml:space="preserve">uses for other NASA </w:t>
      </w:r>
      <w:r w:rsidR="00445342">
        <w:t xml:space="preserve">science missions, like the </w:t>
      </w:r>
      <w:r w:rsidR="00814D63">
        <w:t xml:space="preserve">first </w:t>
      </w:r>
      <w:r w:rsidR="00445342">
        <w:t xml:space="preserve">use of </w:t>
      </w:r>
      <w:r w:rsidR="0036119C">
        <w:t xml:space="preserve">the </w:t>
      </w:r>
      <w:r w:rsidR="00445342" w:rsidRPr="00445342">
        <w:t xml:space="preserve">Stratospheric Observatory for Infrared Astronomy (SOFIA) </w:t>
      </w:r>
      <w:r w:rsidR="00445342">
        <w:t xml:space="preserve">to investigate the </w:t>
      </w:r>
      <w:r w:rsidR="00814D63">
        <w:t>surface of</w:t>
      </w:r>
      <w:r w:rsidR="00445342">
        <w:t xml:space="preserve"> the Moon. </w:t>
      </w:r>
      <w:r w:rsidR="00814D63">
        <w:t>In 2020, SOFIA confirmed the presence of water molecules in sunlit areas of the Moon. In response to this better understanding of the presence of water on the Moon, human exploration architectures evolve</w:t>
      </w:r>
      <w:r w:rsidR="009468BE">
        <w:t>d</w:t>
      </w:r>
      <w:r w:rsidR="00814D63">
        <w:t xml:space="preserve"> again, considering different technologies for water extraction and different destinations for human settlement on the lunar surface, a NASA goal for the next 10 to 30 years. In addition, this</w:t>
      </w:r>
      <w:r>
        <w:t xml:space="preserve"> discovery </w:t>
      </w:r>
      <w:r w:rsidR="00EB63AC">
        <w:t>prompt</w:t>
      </w:r>
      <w:r>
        <w:t xml:space="preserve">ed </w:t>
      </w:r>
      <w:r w:rsidR="00814D63">
        <w:t xml:space="preserve">more </w:t>
      </w:r>
      <w:r w:rsidR="00EB63AC">
        <w:t>scientific inquiries</w:t>
      </w:r>
      <w:r w:rsidR="007C608D">
        <w:t>, including new questions about</w:t>
      </w:r>
      <w:r>
        <w:t xml:space="preserve"> </w:t>
      </w:r>
      <w:r w:rsidR="007C608D">
        <w:t xml:space="preserve">how water is created and </w:t>
      </w:r>
      <w:r w:rsidR="006A35D7">
        <w:t xml:space="preserve">how it </w:t>
      </w:r>
      <w:r w:rsidR="007C608D">
        <w:t>can persist in a harsh, airless environment</w:t>
      </w:r>
      <w:r w:rsidR="0079193B">
        <w:t xml:space="preserve"> (NASA 2020</w:t>
      </w:r>
      <w:r w:rsidR="004B101B">
        <w:t>a</w:t>
      </w:r>
      <w:r w:rsidR="0079193B">
        <w:t>)</w:t>
      </w:r>
      <w:r>
        <w:t xml:space="preserve">. </w:t>
      </w:r>
      <w:r w:rsidR="006C6E51">
        <w:t>T</w:t>
      </w:r>
      <w:r w:rsidR="000A5004">
        <w:t xml:space="preserve">hese inquiries thereby prompt new </w:t>
      </w:r>
      <w:r w:rsidR="006C6E51">
        <w:t xml:space="preserve">areas of research for upcoming </w:t>
      </w:r>
      <w:r w:rsidR="000A5004">
        <w:t xml:space="preserve">science missions, like the </w:t>
      </w:r>
      <w:r w:rsidR="000A5004" w:rsidRPr="000864F4">
        <w:t>Volatiles Investigating Polar Exploration Rover</w:t>
      </w:r>
      <w:r w:rsidR="000A5004">
        <w:t xml:space="preserve"> (VIPER) planned for 2023</w:t>
      </w:r>
      <w:r w:rsidR="00880B3A">
        <w:t xml:space="preserve"> (NASA 2020</w:t>
      </w:r>
      <w:r w:rsidR="004B101B">
        <w:t>b</w:t>
      </w:r>
      <w:r w:rsidR="00880B3A">
        <w:t>)</w:t>
      </w:r>
      <w:r w:rsidR="000A5004">
        <w:t xml:space="preserve">. </w:t>
      </w:r>
      <w:r w:rsidR="00065898">
        <w:t xml:space="preserve">To make decisions now when planning activities decades away, NASA must </w:t>
      </w:r>
      <w:r w:rsidR="009468BE">
        <w:t xml:space="preserve">continually </w:t>
      </w:r>
      <w:r w:rsidR="00065898">
        <w:t xml:space="preserve">coordinate </w:t>
      </w:r>
      <w:r w:rsidR="0023580A">
        <w:t xml:space="preserve">known information with </w:t>
      </w:r>
      <w:r w:rsidR="009468BE">
        <w:t>efforts to anticipate and validate new discoveries</w:t>
      </w:r>
      <w:r w:rsidR="0023580A">
        <w:t xml:space="preserve">. </w:t>
      </w:r>
    </w:p>
    <w:p w14:paraId="57B48A77" w14:textId="37D806B3" w:rsidR="000C036C" w:rsidRDefault="00AB7CC7" w:rsidP="00B36264">
      <w:pPr>
        <w:spacing w:afterLines="60" w:after="144"/>
      </w:pPr>
      <w:r>
        <w:tab/>
        <w:t xml:space="preserve">Given the nature of NASA’s cutting-edge missions, NASA must use foresight to develop technology that accounts for </w:t>
      </w:r>
      <w:r w:rsidR="00CC7285">
        <w:t>anticipated and unanticipated</w:t>
      </w:r>
      <w:r>
        <w:t xml:space="preserve"> challenge</w:t>
      </w:r>
      <w:r w:rsidR="00301DE8">
        <w:t>s</w:t>
      </w:r>
      <w:r>
        <w:t xml:space="preserve"> and opportunities over decades.</w:t>
      </w:r>
      <w:r w:rsidR="001D1D10">
        <w:t xml:space="preserve"> </w:t>
      </w:r>
      <w:r w:rsidR="003149A1">
        <w:t xml:space="preserve">NASA plans missions that have timelines 10 to </w:t>
      </w:r>
      <w:r w:rsidR="007C608D">
        <w:t xml:space="preserve">more than </w:t>
      </w:r>
      <w:r w:rsidR="003149A1">
        <w:t>30 years into the future</w:t>
      </w:r>
      <w:r w:rsidR="0023580A">
        <w:t>. M</w:t>
      </w:r>
      <w:r w:rsidR="008C199E">
        <w:t>any of these missions</w:t>
      </w:r>
      <w:r w:rsidR="003149A1">
        <w:t xml:space="preserve"> rely on technical and scientific discoveries </w:t>
      </w:r>
      <w:r w:rsidR="008C199E">
        <w:t xml:space="preserve">that have </w:t>
      </w:r>
      <w:r w:rsidR="003149A1">
        <w:t xml:space="preserve">yet to be realized. </w:t>
      </w:r>
      <w:r w:rsidR="0023580A">
        <w:t>With</w:t>
      </w:r>
      <w:r w:rsidR="008C199E">
        <w:t xml:space="preserve"> few organizations committed to decades of research about, for example, </w:t>
      </w:r>
      <w:r w:rsidR="006344FD">
        <w:t xml:space="preserve">in-space </w:t>
      </w:r>
      <w:r w:rsidR="0063539A">
        <w:t>transportation</w:t>
      </w:r>
      <w:r w:rsidR="006344FD">
        <w:t xml:space="preserve"> and </w:t>
      </w:r>
      <w:r w:rsidR="001A4E7B">
        <w:t xml:space="preserve">lunar </w:t>
      </w:r>
      <w:r w:rsidR="006344FD">
        <w:t>habitation</w:t>
      </w:r>
      <w:r w:rsidR="008C199E">
        <w:t xml:space="preserve">, </w:t>
      </w:r>
      <w:r w:rsidR="006344FD">
        <w:t xml:space="preserve">NASA is largely responsible </w:t>
      </w:r>
      <w:r w:rsidR="007C608D">
        <w:t xml:space="preserve">for </w:t>
      </w:r>
      <w:r w:rsidR="006344FD">
        <w:t xml:space="preserve">ensuring </w:t>
      </w:r>
      <w:r w:rsidR="008C199E">
        <w:t xml:space="preserve">these technical and scientific discoveries </w:t>
      </w:r>
      <w:r w:rsidR="006344FD">
        <w:t xml:space="preserve">happen. Therefore, </w:t>
      </w:r>
      <w:r w:rsidR="001A4E7B">
        <w:t xml:space="preserve">NASA uses foresight </w:t>
      </w:r>
      <w:r w:rsidR="008C199E">
        <w:t xml:space="preserve">to </w:t>
      </w:r>
      <w:r w:rsidR="00792F66">
        <w:t>identify</w:t>
      </w:r>
      <w:r w:rsidR="005B7B5A">
        <w:t xml:space="preserve"> </w:t>
      </w:r>
      <w:r w:rsidR="00185FFB">
        <w:t xml:space="preserve">and </w:t>
      </w:r>
      <w:r w:rsidR="005B7B5A">
        <w:t>then advance</w:t>
      </w:r>
      <w:r w:rsidR="00792F66">
        <w:t xml:space="preserve"> </w:t>
      </w:r>
      <w:r w:rsidR="008C199E">
        <w:t>high-priority technology areas</w:t>
      </w:r>
      <w:r w:rsidR="001A4E7B">
        <w:t>, while also conducting the experiments and demonstrations that inform the development of those technologies over time.</w:t>
      </w:r>
    </w:p>
    <w:p w14:paraId="41C600AF" w14:textId="77777777" w:rsidR="0023580A" w:rsidRDefault="000C036C" w:rsidP="00B36264">
      <w:pPr>
        <w:spacing w:afterLines="60" w:after="144"/>
      </w:pPr>
      <w:bookmarkStart w:id="3" w:name="_Hlk68096913"/>
      <w:r>
        <w:tab/>
      </w:r>
      <w:bookmarkStart w:id="4" w:name="_Hlk68107710"/>
      <w:r w:rsidR="001D1D10">
        <w:t xml:space="preserve">For example, </w:t>
      </w:r>
      <w:r w:rsidR="00001061">
        <w:t xml:space="preserve">NASA anticipates </w:t>
      </w:r>
      <w:r w:rsidR="001D1D10">
        <w:t>cryogenic fluid management (CFM) technologies ar</w:t>
      </w:r>
      <w:r w:rsidR="00001061">
        <w:t xml:space="preserve">e </w:t>
      </w:r>
      <w:r w:rsidR="001D1D10">
        <w:t xml:space="preserve">necessary </w:t>
      </w:r>
      <w:r w:rsidR="00001061">
        <w:t xml:space="preserve">for </w:t>
      </w:r>
      <w:r w:rsidR="001D1D10">
        <w:t xml:space="preserve">surface missions to the Moon in the 2020s and Mars in the 2030s. </w:t>
      </w:r>
      <w:r w:rsidR="00FB3E9F">
        <w:t>CFM technologies en</w:t>
      </w:r>
      <w:r w:rsidR="00AA27B0">
        <w:t xml:space="preserve">hance system performance for key elements of human exploration architectures, including in-space propulsion, landers, and ascent vehicles. </w:t>
      </w:r>
      <w:r w:rsidR="001D1D10">
        <w:t xml:space="preserve">Anticipating this critical function, NASA </w:t>
      </w:r>
      <w:r w:rsidR="00AF1217">
        <w:t xml:space="preserve">has </w:t>
      </w:r>
      <w:r w:rsidR="001D1D10">
        <w:t>been developing CFM technologies since the 1960s</w:t>
      </w:r>
      <w:r>
        <w:t xml:space="preserve">. </w:t>
      </w:r>
    </w:p>
    <w:p w14:paraId="1C51E541" w14:textId="57E7F9DC" w:rsidR="00F57594" w:rsidRDefault="0023580A" w:rsidP="00B36264">
      <w:pPr>
        <w:spacing w:afterLines="60" w:after="144"/>
      </w:pPr>
      <w:r>
        <w:tab/>
      </w:r>
      <w:r w:rsidR="00AA27B0">
        <w:t xml:space="preserve">The </w:t>
      </w:r>
      <w:r w:rsidR="004B7D85">
        <w:t>planned</w:t>
      </w:r>
      <w:r w:rsidR="00AA27B0">
        <w:t xml:space="preserve"> applications of CFM </w:t>
      </w:r>
      <w:r w:rsidR="0063539A">
        <w:t>technologies</w:t>
      </w:r>
      <w:r w:rsidR="00AA27B0">
        <w:t xml:space="preserve"> have </w:t>
      </w:r>
      <w:r w:rsidR="004B7D85">
        <w:t>changed along with changes in</w:t>
      </w:r>
      <w:r w:rsidR="00AA27B0">
        <w:t xml:space="preserve"> mission architectures over ti</w:t>
      </w:r>
      <w:r w:rsidR="004B7D85">
        <w:t>me, but the technology has progress</w:t>
      </w:r>
      <w:r>
        <w:t>ed</w:t>
      </w:r>
      <w:r w:rsidR="004B7D85">
        <w:t xml:space="preserve"> </w:t>
      </w:r>
      <w:r w:rsidR="0003209B">
        <w:t>throughout 60 years of development</w:t>
      </w:r>
      <w:r w:rsidR="004B7D85">
        <w:t xml:space="preserve">. </w:t>
      </w:r>
      <w:r w:rsidR="00F57594">
        <w:t xml:space="preserve">As of 2020, NASA has demonstrated on the ISS a </w:t>
      </w:r>
      <w:r w:rsidR="0063539A">
        <w:t>gauge</w:t>
      </w:r>
      <w:r w:rsidR="00F57594">
        <w:t xml:space="preserve"> for cryogenic storage and has begun developing prototype components for cryogenic liquefaction on planetary surfaces</w:t>
      </w:r>
      <w:r w:rsidR="00C86337">
        <w:t xml:space="preserve"> (Hansen et al. 2020)</w:t>
      </w:r>
      <w:r w:rsidR="00F57594">
        <w:t>.</w:t>
      </w:r>
      <w:r w:rsidR="00DE5537">
        <w:t xml:space="preserve"> </w:t>
      </w:r>
      <w:r w:rsidR="00E43635">
        <w:t>As system components mature, NASA accounts for the new opportunities</w:t>
      </w:r>
      <w:r w:rsidR="00F219FF">
        <w:t>, and documents future technology maturation assumptions,</w:t>
      </w:r>
      <w:r w:rsidR="00E43635">
        <w:t xml:space="preserve"> in planning mission architectures </w:t>
      </w:r>
      <w:r w:rsidR="003C6A5C">
        <w:t xml:space="preserve">over </w:t>
      </w:r>
      <w:r w:rsidR="00E43635">
        <w:t>decades.</w:t>
      </w:r>
    </w:p>
    <w:bookmarkEnd w:id="3"/>
    <w:bookmarkEnd w:id="4"/>
    <w:p w14:paraId="1AC746D4" w14:textId="5B3EC54C" w:rsidR="00F334FD" w:rsidRDefault="001A4E7B" w:rsidP="00B36264">
      <w:pPr>
        <w:spacing w:afterLines="60" w:after="144"/>
      </w:pPr>
      <w:r>
        <w:tab/>
      </w:r>
      <w:r w:rsidR="00605932" w:rsidRPr="001A4E7B">
        <w:t xml:space="preserve">In another example, NASA builds on </w:t>
      </w:r>
      <w:r w:rsidR="008F2C8F">
        <w:t xml:space="preserve">over </w:t>
      </w:r>
      <w:r w:rsidR="00605932" w:rsidRPr="001A4E7B">
        <w:t>70 years of supersonic flight research to demonstrate quiet supersonic flight over land in the 2020s.</w:t>
      </w:r>
      <w:r>
        <w:t xml:space="preserve"> </w:t>
      </w:r>
      <w:r w:rsidR="00DE5537">
        <w:t xml:space="preserve">As the following section </w:t>
      </w:r>
      <w:r w:rsidR="00C45163">
        <w:t xml:space="preserve">will </w:t>
      </w:r>
      <w:r w:rsidR="00DE5537">
        <w:t>describe, innovation in commercial supersonic aircraft is one of the “strategic thrusts” of ARMD. In pursuit of efficient, cost-effective, and environmentall</w:t>
      </w:r>
      <w:r w:rsidR="00E43635">
        <w:t>y</w:t>
      </w:r>
      <w:r w:rsidR="00DE5537">
        <w:t xml:space="preserve"> compatible supersonic flight, </w:t>
      </w:r>
      <w:r w:rsidR="00E43635">
        <w:t>NASA enhances technology that has been developed and in use for different applications for decades</w:t>
      </w:r>
      <w:r w:rsidR="004D262B">
        <w:t xml:space="preserve"> </w:t>
      </w:r>
      <w:r w:rsidR="004D262B">
        <w:lastRenderedPageBreak/>
        <w:t>(NASA ARMD 2019</w:t>
      </w:r>
      <w:r w:rsidR="00B44425">
        <w:t>a</w:t>
      </w:r>
      <w:r w:rsidR="004D262B">
        <w:t>)</w:t>
      </w:r>
      <w:r w:rsidR="00E43635">
        <w:t xml:space="preserve">. </w:t>
      </w:r>
      <w:r w:rsidR="00E634D3">
        <w:t>Beginning i</w:t>
      </w:r>
      <w:r w:rsidR="00987AD4">
        <w:t>n 2022, NASA plans to fly the X-59</w:t>
      </w:r>
      <w:r w:rsidR="00A1591C">
        <w:t xml:space="preserve"> aircraft</w:t>
      </w:r>
      <w:r w:rsidR="00987AD4">
        <w:t xml:space="preserve"> above U.S. communities to measure public response to the supersonic plane’s</w:t>
      </w:r>
      <w:r w:rsidR="00A1591C">
        <w:t xml:space="preserve"> quieter sonic boom</w:t>
      </w:r>
      <w:r w:rsidR="00987AD4">
        <w:t xml:space="preserve">. Data on the public response will </w:t>
      </w:r>
      <w:r w:rsidR="00536837">
        <w:t xml:space="preserve">be presented </w:t>
      </w:r>
      <w:r w:rsidR="00301DE8">
        <w:t xml:space="preserve">as regulatory officials consider </w:t>
      </w:r>
      <w:r w:rsidR="00987AD4">
        <w:t>lifting the 1973 ban on supersonic flight over land</w:t>
      </w:r>
      <w:r w:rsidR="00536837">
        <w:t xml:space="preserve"> and </w:t>
      </w:r>
      <w:r w:rsidR="00301DE8">
        <w:t>define new</w:t>
      </w:r>
      <w:r w:rsidR="00536837">
        <w:t xml:space="preserve"> allowable sonic boom levels with the international standards community</w:t>
      </w:r>
      <w:r w:rsidR="00F67995">
        <w:t xml:space="preserve"> (NASA ARMD 2020b)</w:t>
      </w:r>
      <w:r w:rsidR="00536837">
        <w:t xml:space="preserve">. Foresight enables NASA to continually </w:t>
      </w:r>
      <w:r w:rsidR="005B7B5A">
        <w:t>chart a course among</w:t>
      </w:r>
      <w:r w:rsidR="00536837">
        <w:t xml:space="preserve"> the opportunities and challenges revealed over decades of research and development.</w:t>
      </w:r>
    </w:p>
    <w:p w14:paraId="259ED8CD" w14:textId="5032FFC9" w:rsidR="008D4747" w:rsidRDefault="00F66972" w:rsidP="00B36264">
      <w:pPr>
        <w:spacing w:afterLines="60" w:after="144"/>
      </w:pPr>
      <w:r>
        <w:tab/>
      </w:r>
      <w:r w:rsidR="00F23183">
        <w:t xml:space="preserve">NASA is in the business of making new discoveries, and </w:t>
      </w:r>
      <w:r w:rsidR="00CD268D">
        <w:t xml:space="preserve">these </w:t>
      </w:r>
      <w:r w:rsidR="00F23183">
        <w:t>n</w:t>
      </w:r>
      <w:r w:rsidR="00754C23">
        <w:t xml:space="preserve">ew discoveries </w:t>
      </w:r>
      <w:r w:rsidR="00F23183">
        <w:t xml:space="preserve">will always </w:t>
      </w:r>
      <w:r w:rsidR="00754C23">
        <w:t>uncover new challenges and opportunities</w:t>
      </w:r>
      <w:r w:rsidR="00C62A35">
        <w:t xml:space="preserve"> for </w:t>
      </w:r>
      <w:r w:rsidR="00301DE8">
        <w:t>agency</w:t>
      </w:r>
      <w:r w:rsidR="00301DE8" w:rsidRPr="001069A5">
        <w:t xml:space="preserve"> </w:t>
      </w:r>
      <w:r w:rsidR="00C62A35" w:rsidRPr="001069A5">
        <w:t>missions</w:t>
      </w:r>
      <w:r w:rsidR="00754C23" w:rsidRPr="001069A5">
        <w:t>.</w:t>
      </w:r>
      <w:r w:rsidR="00F23183">
        <w:t xml:space="preserve"> </w:t>
      </w:r>
      <w:r w:rsidR="008D4747">
        <w:t>Therefore, in addition to planning technology development decades in advance of its use, NASA must also adapt technology development plans in response to anticipated and unanticipated discoveries. These discoveries happen in both scientific and technical developments</w:t>
      </w:r>
      <w:r w:rsidR="00145FF0">
        <w:t>, affecting other scientific and technical objectives.</w:t>
      </w:r>
    </w:p>
    <w:p w14:paraId="6E3F75F0" w14:textId="1223DFD6" w:rsidR="007A3149" w:rsidRDefault="004C7C63" w:rsidP="00B36264">
      <w:pPr>
        <w:spacing w:afterLines="60" w:after="144"/>
      </w:pPr>
      <w:r>
        <w:tab/>
        <w:t xml:space="preserve">Some scientific discoveries reveal new challenges for </w:t>
      </w:r>
      <w:r w:rsidR="000D5CFD">
        <w:t>exploration,</w:t>
      </w:r>
      <w:r>
        <w:t xml:space="preserve"> and some reveal new opportunities. </w:t>
      </w:r>
      <w:r w:rsidR="000A5004">
        <w:t>The previous discussion of detecting water on the Moon, first as ice in permanently shadowed craters and then as molecules in sunlit areas, showed how scientific discoveries reveal new opportunities for both science missions and human exploration.</w:t>
      </w:r>
      <w:r w:rsidR="00904AEF">
        <w:t xml:space="preserve"> </w:t>
      </w:r>
      <w:r w:rsidR="00904AEF" w:rsidRPr="00377D51">
        <w:t xml:space="preserve">In another example, the first one-year </w:t>
      </w:r>
      <w:r w:rsidR="00CC7285">
        <w:t xml:space="preserve">crew </w:t>
      </w:r>
      <w:r w:rsidR="00904AEF" w:rsidRPr="00377D51">
        <w:t xml:space="preserve">mission on ISS and </w:t>
      </w:r>
      <w:r w:rsidR="00B35199">
        <w:t xml:space="preserve">NASA’s </w:t>
      </w:r>
      <w:r w:rsidR="00904AEF" w:rsidRPr="00377D51">
        <w:t xml:space="preserve">Twins Study revealed additional challenges of long-duration human spaceflight as preparation for future multi-year Mars missions. Although some risks to human health have been mitigated by solutions developed using the ISS, these findings reveal additional effects as missions are extended.  The needs for technology innovations and countermeasure strategies that address integrated human health and performance on </w:t>
      </w:r>
      <w:r w:rsidR="00904AEF">
        <w:t xml:space="preserve">longer </w:t>
      </w:r>
      <w:r w:rsidR="00904AEF" w:rsidRPr="00377D51">
        <w:t xml:space="preserve">missions reveal the interplay between human systems and architectures </w:t>
      </w:r>
      <w:r w:rsidR="00904AEF">
        <w:t>as the</w:t>
      </w:r>
      <w:r w:rsidR="005447B0">
        <w:t>y</w:t>
      </w:r>
      <w:r w:rsidR="00904AEF">
        <w:t xml:space="preserve"> relate to mission risk</w:t>
      </w:r>
      <w:r w:rsidR="00A0315F">
        <w:t xml:space="preserve"> (</w:t>
      </w:r>
      <w:r w:rsidR="008E63FF" w:rsidRPr="008E63FF">
        <w:t>Garrett-Bakelman et al. 2019</w:t>
      </w:r>
      <w:r w:rsidR="008E63FF">
        <w:t>)</w:t>
      </w:r>
      <w:r w:rsidR="00904AEF">
        <w:t>.</w:t>
      </w:r>
      <w:r w:rsidR="009B0981">
        <w:t xml:space="preserve"> NASA will continue to make new scientific discoveries that impact future missions, so using foresight means developing plans that </w:t>
      </w:r>
      <w:r w:rsidR="00AC723B">
        <w:t xml:space="preserve">are </w:t>
      </w:r>
      <w:r w:rsidR="005447B0">
        <w:t>robust</w:t>
      </w:r>
      <w:r w:rsidR="00AC723B">
        <w:t xml:space="preserve"> to new discoveries. </w:t>
      </w:r>
    </w:p>
    <w:p w14:paraId="28D6CDBD" w14:textId="39F982CD" w:rsidR="00F66972" w:rsidRPr="00F66972" w:rsidRDefault="007A3149" w:rsidP="00B36264">
      <w:pPr>
        <w:spacing w:afterLines="60" w:after="144"/>
      </w:pPr>
      <w:r>
        <w:tab/>
      </w:r>
      <w:r w:rsidR="00AA0A7A">
        <w:t>Likewise</w:t>
      </w:r>
      <w:r w:rsidR="001069A5" w:rsidRPr="001069A5">
        <w:t xml:space="preserve">, new technological developments change how </w:t>
      </w:r>
      <w:r w:rsidR="00AA0A7A">
        <w:t>NASA</w:t>
      </w:r>
      <w:r w:rsidR="001069A5" w:rsidRPr="001069A5">
        <w:t xml:space="preserve"> plan</w:t>
      </w:r>
      <w:r w:rsidR="00AA0A7A">
        <w:t>s</w:t>
      </w:r>
      <w:r w:rsidR="001069A5" w:rsidRPr="001069A5">
        <w:t xml:space="preserve"> missions. </w:t>
      </w:r>
      <w:r>
        <w:t>For example,</w:t>
      </w:r>
      <w:r w:rsidRPr="001069A5">
        <w:t xml:space="preserve"> the introduction of </w:t>
      </w:r>
      <w:r>
        <w:t xml:space="preserve">cost-efficient </w:t>
      </w:r>
      <w:r w:rsidRPr="001069A5">
        <w:t>“rideshare” launches</w:t>
      </w:r>
      <w:r>
        <w:t xml:space="preserve"> has opened new opportunities for</w:t>
      </w:r>
      <w:r w:rsidR="00F25DEB">
        <w:t xml:space="preserve"> science missions with CubeSats, like the previously mentioned SunRISE.</w:t>
      </w:r>
      <w:r>
        <w:t xml:space="preserve"> </w:t>
      </w:r>
      <w:r w:rsidR="00F25DEB">
        <w:t>T</w:t>
      </w:r>
      <w:r>
        <w:t xml:space="preserve">he increase in </w:t>
      </w:r>
      <w:r w:rsidR="007156A4">
        <w:t xml:space="preserve">the number of </w:t>
      </w:r>
      <w:r>
        <w:t>CubeSats has also created a challenge for accurate identification and tracking of the standardized miniature satellites</w:t>
      </w:r>
      <w:r w:rsidR="00F25DEB">
        <w:t xml:space="preserve">, affecting technology development plans in that </w:t>
      </w:r>
      <w:r w:rsidR="009B0B63">
        <w:t>area</w:t>
      </w:r>
      <w:r w:rsidR="00D40656">
        <w:t xml:space="preserve"> (NASA 2020c)</w:t>
      </w:r>
      <w:r>
        <w:t>.</w:t>
      </w:r>
      <w:r w:rsidR="002C2F28">
        <w:t xml:space="preserve"> </w:t>
      </w:r>
      <w:r w:rsidR="00F25DEB">
        <w:t>In another example, a material used for computer chips</w:t>
      </w:r>
      <w:r w:rsidR="00E634D3">
        <w:t>, monocrystal silicon,</w:t>
      </w:r>
      <w:r w:rsidR="00F25DEB">
        <w:t xml:space="preserve"> has the potential to reduce the </w:t>
      </w:r>
      <w:r w:rsidR="00E634D3">
        <w:t xml:space="preserve">mass </w:t>
      </w:r>
      <w:r w:rsidR="00F25DEB">
        <w:t xml:space="preserve">of X-ray telescopes. These new optics may </w:t>
      </w:r>
      <w:r w:rsidR="009E6B0E">
        <w:t>provide</w:t>
      </w:r>
      <w:r w:rsidR="00F25DEB">
        <w:t xml:space="preserve"> an opportunity for a lightweight telescope with two orders-of-magnitude greater sensitivity than the state-of-the-art and at a lower cost</w:t>
      </w:r>
      <w:r w:rsidR="006D3DF0">
        <w:t xml:space="preserve"> (NASA 2019</w:t>
      </w:r>
      <w:r w:rsidR="00E56097">
        <w:t>a</w:t>
      </w:r>
      <w:r w:rsidR="003B737B">
        <w:t>)</w:t>
      </w:r>
      <w:r w:rsidR="00F25DEB">
        <w:t xml:space="preserve">. The potential of this new </w:t>
      </w:r>
      <w:r w:rsidR="0063539A">
        <w:t>technological</w:t>
      </w:r>
      <w:r w:rsidR="00F25DEB">
        <w:t xml:space="preserve"> development affects science missions involving observations of exploded stars and black holes.</w:t>
      </w:r>
      <w:r w:rsidR="009E6B0E">
        <w:t xml:space="preserve"> Both </w:t>
      </w:r>
      <w:r w:rsidR="007A77E6">
        <w:t>anticipated and unanticipated</w:t>
      </w:r>
      <w:r w:rsidR="009E6B0E">
        <w:t xml:space="preserve"> technology developments affect missions that might have already been decades in the making, thereby also affecting the technologies planned to enable those missions.</w:t>
      </w:r>
    </w:p>
    <w:p w14:paraId="20D10550" w14:textId="3A82D5DC" w:rsidR="008D11B6" w:rsidRDefault="00566BE6" w:rsidP="00A42B50">
      <w:pPr>
        <w:pStyle w:val="ListParagraph"/>
        <w:spacing w:afterLines="60" w:after="144"/>
        <w:ind w:left="0"/>
      </w:pPr>
      <w:r>
        <w:tab/>
        <w:t>Ultimately, b</w:t>
      </w:r>
      <w:r w:rsidR="008D11B6" w:rsidRPr="008D11B6">
        <w:t xml:space="preserve">uilding resilience into technology development </w:t>
      </w:r>
      <w:r w:rsidR="00A75B24">
        <w:t xml:space="preserve">plans </w:t>
      </w:r>
      <w:r w:rsidR="008D11B6" w:rsidRPr="008D11B6">
        <w:t>requires an approach with foresight</w:t>
      </w:r>
      <w:r w:rsidR="00C62A35">
        <w:t xml:space="preserve">—to plan for the anticipated challenges of future missions </w:t>
      </w:r>
      <w:r w:rsidR="00C62A35" w:rsidRPr="00C62A35">
        <w:rPr>
          <w:i/>
          <w:iCs/>
        </w:rPr>
        <w:t>and</w:t>
      </w:r>
      <w:r w:rsidR="00C62A35">
        <w:t xml:space="preserve"> the potential disruptions from </w:t>
      </w:r>
      <w:r w:rsidR="000B2B34">
        <w:t xml:space="preserve">discoveries by </w:t>
      </w:r>
      <w:r w:rsidR="00C62A35">
        <w:t xml:space="preserve">current missions or </w:t>
      </w:r>
      <w:r w:rsidR="000B2B34">
        <w:t xml:space="preserve">new </w:t>
      </w:r>
      <w:r w:rsidR="00C62A35">
        <w:t>technological developments.</w:t>
      </w:r>
      <w:r w:rsidR="00C128C7">
        <w:t xml:space="preserve"> To benefit from foresight</w:t>
      </w:r>
      <w:r w:rsidR="008F5DF6">
        <w:t>,</w:t>
      </w:r>
      <w:r w:rsidR="00C128C7">
        <w:t xml:space="preserve"> effective processes and strategies to incorporate it are necessary throughout the technology and mission development</w:t>
      </w:r>
      <w:r w:rsidR="00A42B50">
        <w:t>.</w:t>
      </w:r>
      <w:r w:rsidR="00C128C7">
        <w:t xml:space="preserve"> </w:t>
      </w:r>
    </w:p>
    <w:p w14:paraId="0DC59BB1" w14:textId="1D6D6B1D" w:rsidR="008D11B6" w:rsidRPr="00543760" w:rsidRDefault="007C56CF" w:rsidP="00B36264">
      <w:pPr>
        <w:spacing w:afterLines="60" w:after="144"/>
        <w:rPr>
          <w:b/>
          <w:bCs/>
        </w:rPr>
      </w:pPr>
      <w:r w:rsidRPr="00543760">
        <w:rPr>
          <w:b/>
          <w:bCs/>
        </w:rPr>
        <w:lastRenderedPageBreak/>
        <w:t xml:space="preserve">NASA’s Approach to </w:t>
      </w:r>
      <w:r w:rsidR="000333AF" w:rsidRPr="00543760">
        <w:rPr>
          <w:b/>
          <w:bCs/>
        </w:rPr>
        <w:t>Strategic Technology Development</w:t>
      </w:r>
    </w:p>
    <w:p w14:paraId="4AF32092" w14:textId="6E30A01E" w:rsidR="001773CC" w:rsidRDefault="00941AFB" w:rsidP="00B36264">
      <w:pPr>
        <w:spacing w:afterLines="60" w:after="144"/>
      </w:pPr>
      <w:r>
        <w:tab/>
      </w:r>
      <w:r w:rsidR="00DA63CF">
        <w:t xml:space="preserve">This section describes how </w:t>
      </w:r>
      <w:r w:rsidR="009C5E88">
        <w:t xml:space="preserve">NASA </w:t>
      </w:r>
      <w:r w:rsidR="00155F91">
        <w:t>use</w:t>
      </w:r>
      <w:r w:rsidR="006E23DB">
        <w:t>s</w:t>
      </w:r>
      <w:r w:rsidR="00155F91">
        <w:t xml:space="preserve"> foresight to </w:t>
      </w:r>
      <w:r w:rsidR="009C5E88">
        <w:t>strategi</w:t>
      </w:r>
      <w:r w:rsidR="007156A4">
        <w:t xml:space="preserve">cally plan </w:t>
      </w:r>
      <w:r w:rsidR="009C5E88">
        <w:t xml:space="preserve">technology development </w:t>
      </w:r>
      <w:r w:rsidR="003C4A1B">
        <w:t>throughout the agency</w:t>
      </w:r>
      <w:r w:rsidR="00692E1C">
        <w:t xml:space="preserve">. </w:t>
      </w:r>
      <w:r w:rsidR="007156A4">
        <w:t>F</w:t>
      </w:r>
      <w:r w:rsidR="00670B78">
        <w:t xml:space="preserve">irst, </w:t>
      </w:r>
      <w:r w:rsidR="007156A4">
        <w:t xml:space="preserve">however, </w:t>
      </w:r>
      <w:r w:rsidR="00670B78">
        <w:t xml:space="preserve">we have two important notes about the approaches described below. </w:t>
      </w:r>
      <w:r w:rsidR="001773CC">
        <w:t xml:space="preserve">As mentioned previously, the development of technology at NASA includes investments in </w:t>
      </w:r>
      <w:r w:rsidR="000D5CFD">
        <w:t>commercially developed</w:t>
      </w:r>
      <w:r w:rsidR="005A78B7">
        <w:t xml:space="preserve"> </w:t>
      </w:r>
      <w:r w:rsidR="001773CC">
        <w:t>technolog</w:t>
      </w:r>
      <w:r w:rsidR="005A78B7">
        <w:t>ies</w:t>
      </w:r>
      <w:r w:rsidR="001773CC">
        <w:t>. The</w:t>
      </w:r>
      <w:r w:rsidR="00A14A86">
        <w:t>refore, the</w:t>
      </w:r>
      <w:r w:rsidR="001773CC">
        <w:t xml:space="preserve"> following descriptions of technology development strategies </w:t>
      </w:r>
      <w:r w:rsidR="000B16B6">
        <w:t xml:space="preserve">within </w:t>
      </w:r>
      <w:r w:rsidR="001773CC">
        <w:t xml:space="preserve">NASA’s four mission directorates </w:t>
      </w:r>
      <w:r w:rsidR="003038CE">
        <w:t xml:space="preserve">also </w:t>
      </w:r>
      <w:r w:rsidR="001773CC">
        <w:t>include these developments by commercial partners.</w:t>
      </w:r>
      <w:r w:rsidR="005D61D7">
        <w:t xml:space="preserve"> Furthermore, the technologies developed under the purview of NASA’s mission directorates are not necessarily intended for use in NASA missions exclusively. ARMD in particular develops technologies that are ultimately intended for use outside NASA</w:t>
      </w:r>
      <w:r w:rsidR="000B16B6">
        <w:t>, by America’s aerospace industry</w:t>
      </w:r>
      <w:r w:rsidR="005D61D7">
        <w:t>.</w:t>
      </w:r>
    </w:p>
    <w:p w14:paraId="2CEA54ED" w14:textId="29589D46" w:rsidR="00670B78" w:rsidRDefault="001773CC" w:rsidP="00B36264">
      <w:pPr>
        <w:spacing w:afterLines="60" w:after="144"/>
      </w:pPr>
      <w:r>
        <w:tab/>
        <w:t xml:space="preserve">All four mission directorates contribute to the agency’s overarching </w:t>
      </w:r>
      <w:r w:rsidR="005D61D7">
        <w:t>objectives</w:t>
      </w:r>
      <w:r>
        <w:t xml:space="preserve"> </w:t>
      </w:r>
      <w:r w:rsidR="00C365EB">
        <w:t xml:space="preserve">and </w:t>
      </w:r>
      <w:r>
        <w:t xml:space="preserve">each </w:t>
      </w:r>
      <w:r w:rsidR="00C365EB">
        <w:t>does so through directorate</w:t>
      </w:r>
      <w:r w:rsidR="00185FFB">
        <w:t>-</w:t>
      </w:r>
      <w:r w:rsidR="00C365EB">
        <w:t>specific</w:t>
      </w:r>
      <w:r>
        <w:t xml:space="preserve"> guiding</w:t>
      </w:r>
      <w:r w:rsidR="005D61D7">
        <w:t xml:space="preserve"> objectives</w:t>
      </w:r>
      <w:r w:rsidR="00670B78">
        <w:t>. These guiding objectives (</w:t>
      </w:r>
      <w:r w:rsidR="003F5940">
        <w:t>also</w:t>
      </w:r>
      <w:r w:rsidR="00670B78">
        <w:t xml:space="preserve"> called “missions”</w:t>
      </w:r>
      <w:r w:rsidR="003F5940">
        <w:t xml:space="preserve"> or “strategies”</w:t>
      </w:r>
      <w:r w:rsidR="00670B78">
        <w:t>)</w:t>
      </w:r>
      <w:r>
        <w:t xml:space="preserve"> drive strategic decisions within each mission directorate</w:t>
      </w:r>
      <w:r w:rsidR="00670B78">
        <w:t>, including decisions about technology development</w:t>
      </w:r>
      <w:r>
        <w:t xml:space="preserve">. </w:t>
      </w:r>
      <w:r w:rsidR="000B16B6">
        <w:t>F</w:t>
      </w:r>
      <w:r w:rsidR="00670B78">
        <w:t xml:space="preserve">ulfilling each objective </w:t>
      </w:r>
      <w:r w:rsidR="002738B8">
        <w:t xml:space="preserve">typically </w:t>
      </w:r>
      <w:r w:rsidR="00670B78">
        <w:t xml:space="preserve">requires some level of technology development. </w:t>
      </w:r>
      <w:r w:rsidR="005D61D7">
        <w:t>Therefore, each mission directorate maintains its own strategic approach to technology development</w:t>
      </w:r>
      <w:r w:rsidR="00670B78">
        <w:t>.</w:t>
      </w:r>
    </w:p>
    <w:p w14:paraId="0C0B7360" w14:textId="731C8AD8" w:rsidR="007F4AC6" w:rsidRPr="00096625" w:rsidRDefault="007F4AC6" w:rsidP="00B36264">
      <w:pPr>
        <w:spacing w:afterLines="60" w:after="144"/>
        <w:rPr>
          <w:i/>
          <w:iCs/>
        </w:rPr>
      </w:pPr>
      <w:r w:rsidRPr="00096625">
        <w:rPr>
          <w:i/>
          <w:iCs/>
        </w:rPr>
        <w:t>Aeronautics Research Mission Directorate (ARMD)</w:t>
      </w:r>
    </w:p>
    <w:p w14:paraId="2891BF19" w14:textId="15F52BC4" w:rsidR="00F43C06" w:rsidRDefault="00670B78" w:rsidP="00B36264">
      <w:pPr>
        <w:spacing w:afterLines="60" w:after="144"/>
      </w:pPr>
      <w:r>
        <w:tab/>
      </w:r>
      <w:r w:rsidR="003C4A1B">
        <w:t>ARMD</w:t>
      </w:r>
      <w:r w:rsidR="004F3E90">
        <w:t xml:space="preserve"> plans for the next 25 years by examining global trends in aviation needs</w:t>
      </w:r>
      <w:r w:rsidR="00F43C06">
        <w:t>.</w:t>
      </w:r>
      <w:r w:rsidR="003655B4">
        <w:t xml:space="preserve"> </w:t>
      </w:r>
      <w:r w:rsidR="00C128C7">
        <w:t xml:space="preserve">A </w:t>
      </w:r>
      <w:r w:rsidR="00FF1C6B">
        <w:t xml:space="preserve">biennial Strategic Implementation Plan (SIP) details how ARMD </w:t>
      </w:r>
      <w:r w:rsidR="0048194D">
        <w:t xml:space="preserve">expects </w:t>
      </w:r>
      <w:r w:rsidR="00FF1C6B">
        <w:t>to “</w:t>
      </w:r>
      <w:r w:rsidR="00FF1C6B" w:rsidRPr="00FF1C6B">
        <w:t>develop and advance technologies that meet the needs of the aviation community</w:t>
      </w:r>
      <w:r w:rsidR="008E461A">
        <w:t>, the Nation, and the world for safe, efficient, flexible, and environmentally sustainable air transportation”</w:t>
      </w:r>
      <w:r w:rsidR="00B44425">
        <w:t xml:space="preserve"> (NASA ARMD 2019</w:t>
      </w:r>
      <w:r w:rsidR="0039322D">
        <w:t>a: 7</w:t>
      </w:r>
      <w:r w:rsidR="00B44425">
        <w:t>).</w:t>
      </w:r>
      <w:r w:rsidR="00FF1C6B">
        <w:t xml:space="preserve"> To meet these needs, ARMD begins with an analysis of </w:t>
      </w:r>
      <w:r w:rsidR="008E461A">
        <w:t xml:space="preserve">global trends, or </w:t>
      </w:r>
      <w:r w:rsidR="00D93024">
        <w:t>mega</w:t>
      </w:r>
      <w:r w:rsidR="008E461A">
        <w:t>-</w:t>
      </w:r>
      <w:r w:rsidR="00D93024">
        <w:t>d</w:t>
      </w:r>
      <w:r w:rsidR="008E461A">
        <w:t xml:space="preserve">rivers. </w:t>
      </w:r>
      <w:r w:rsidR="00E641C8">
        <w:t xml:space="preserve">Using a trend analysis by subject matter experts and senior stakeholders, </w:t>
      </w:r>
      <w:r w:rsidR="008E461A">
        <w:t xml:space="preserve">ARMD identified three </w:t>
      </w:r>
      <w:r w:rsidR="00D93024">
        <w:t>m</w:t>
      </w:r>
      <w:r w:rsidR="008E461A">
        <w:t>ega-</w:t>
      </w:r>
      <w:r w:rsidR="00D93024">
        <w:t>d</w:t>
      </w:r>
      <w:r w:rsidR="008E461A">
        <w:t xml:space="preserve">rivers: 1) global growth in demand for high-speed mobility; 2) affordability, sustainability, and energy use; and 3) technology convergence. </w:t>
      </w:r>
    </w:p>
    <w:p w14:paraId="3BB4D790" w14:textId="432BBCD0" w:rsidR="00C90D4D" w:rsidRDefault="00E641C8" w:rsidP="00B36264">
      <w:pPr>
        <w:spacing w:afterLines="60" w:after="144"/>
      </w:pPr>
      <w:r>
        <w:tab/>
        <w:t xml:space="preserve">In addition to the </w:t>
      </w:r>
      <w:r w:rsidR="00D93024">
        <w:t>m</w:t>
      </w:r>
      <w:r>
        <w:t>ega-</w:t>
      </w:r>
      <w:r w:rsidR="00D93024">
        <w:t>d</w:t>
      </w:r>
      <w:r>
        <w:t xml:space="preserve">rivers, ARMD’s strategic approach to technology development incorporates community dialogue. This community includes </w:t>
      </w:r>
      <w:r w:rsidRPr="00E641C8">
        <w:t xml:space="preserve">domestic and international partners and experts from </w:t>
      </w:r>
      <w:r>
        <w:t>other government organizations,</w:t>
      </w:r>
      <w:r w:rsidRPr="00E641C8">
        <w:t xml:space="preserve"> academia, and </w:t>
      </w:r>
      <w:r>
        <w:t>industry</w:t>
      </w:r>
      <w:r w:rsidRPr="00E641C8">
        <w:t>.</w:t>
      </w:r>
      <w:r>
        <w:t xml:space="preserve"> ARMD also incorporates inputs from </w:t>
      </w:r>
      <w:r w:rsidRPr="00E641C8">
        <w:t xml:space="preserve">reviews of ongoing research by federal advisory committees and </w:t>
      </w:r>
      <w:r w:rsidR="00C90D4D">
        <w:t xml:space="preserve">the </w:t>
      </w:r>
      <w:r w:rsidRPr="00E641C8">
        <w:t>National Research Council’s Aeronautics Research and Technology Roundtable.</w:t>
      </w:r>
      <w:r w:rsidR="00C90D4D">
        <w:t xml:space="preserve"> Finally, ARMD partners with </w:t>
      </w:r>
      <w:r w:rsidRPr="00E641C8">
        <w:t>the National Academies of Science, Engineering, and Medicine</w:t>
      </w:r>
      <w:r w:rsidR="0030689B">
        <w:t xml:space="preserve"> </w:t>
      </w:r>
      <w:r w:rsidR="00F41DD5">
        <w:t xml:space="preserve">(NASEM) </w:t>
      </w:r>
      <w:r w:rsidRPr="00E641C8">
        <w:t xml:space="preserve">to </w:t>
      </w:r>
      <w:r w:rsidR="00C90D4D">
        <w:t>provide in-depth information on ARMD topics through</w:t>
      </w:r>
      <w:r w:rsidRPr="00E641C8">
        <w:t xml:space="preserve"> detailed studies</w:t>
      </w:r>
      <w:r w:rsidR="00C90D4D">
        <w:t>.</w:t>
      </w:r>
    </w:p>
    <w:p w14:paraId="7B54C5B7" w14:textId="3156F3A4" w:rsidR="006A0512" w:rsidRDefault="00C90D4D" w:rsidP="00B36264">
      <w:pPr>
        <w:spacing w:afterLines="60" w:after="144"/>
      </w:pPr>
      <w:r>
        <w:tab/>
        <w:t>I</w:t>
      </w:r>
      <w:r w:rsidR="00F43C06">
        <w:t>n response to t</w:t>
      </w:r>
      <w:r>
        <w:t xml:space="preserve">he </w:t>
      </w:r>
      <w:r w:rsidR="00D93024">
        <w:t>m</w:t>
      </w:r>
      <w:r>
        <w:t>ega-</w:t>
      </w:r>
      <w:r w:rsidR="00D93024">
        <w:t>d</w:t>
      </w:r>
      <w:r>
        <w:t>rivers</w:t>
      </w:r>
      <w:r w:rsidR="00F43C06">
        <w:t xml:space="preserve"> and </w:t>
      </w:r>
      <w:r>
        <w:t xml:space="preserve">this </w:t>
      </w:r>
      <w:r w:rsidR="00F43C06">
        <w:t xml:space="preserve">community </w:t>
      </w:r>
      <w:r w:rsidR="00C723B2">
        <w:t>dialogue</w:t>
      </w:r>
      <w:r w:rsidR="00F43C06">
        <w:t xml:space="preserve">, ARMD developed </w:t>
      </w:r>
      <w:r>
        <w:t xml:space="preserve">six </w:t>
      </w:r>
      <w:r w:rsidR="00F43C06">
        <w:t>“strategic thrusts</w:t>
      </w:r>
      <w:r>
        <w:t>.</w:t>
      </w:r>
      <w:r w:rsidR="00F43C06">
        <w:t>”</w:t>
      </w:r>
      <w:r>
        <w:t xml:space="preserve"> These strategic thrusts represent</w:t>
      </w:r>
      <w:r w:rsidR="00F43C06">
        <w:t xml:space="preserve"> areas of prioritization for </w:t>
      </w:r>
      <w:r w:rsidR="00F43C06" w:rsidRPr="00F43C06">
        <w:t>aeronautics objectives</w:t>
      </w:r>
      <w:r>
        <w:t>: 1) safe, efficient growth in global operations; 2) innovation in commercial supersonic aircraft; 3) ultra-efficient subsonic transports</w:t>
      </w:r>
      <w:r w:rsidR="006A0512">
        <w:t xml:space="preserve">; 4) safe, quiet, and affordable vertical lift air vehicles; 5) in-time system-wide safety assurance; and 6) assured autonomy for aviation transformation. In the 2019 SIP, ARMD details how these strategic thrusts help focus activities to prepare for the potential futures envisioned by the </w:t>
      </w:r>
      <w:r w:rsidR="00D93024">
        <w:t>m</w:t>
      </w:r>
      <w:r w:rsidR="006A0512">
        <w:t>ega-</w:t>
      </w:r>
      <w:r w:rsidR="00D93024">
        <w:t>d</w:t>
      </w:r>
      <w:r w:rsidR="006A0512">
        <w:t>rivers.</w:t>
      </w:r>
    </w:p>
    <w:p w14:paraId="74D8A1A5" w14:textId="416B4C04" w:rsidR="00A8576D" w:rsidRDefault="006A0512" w:rsidP="00B36264">
      <w:pPr>
        <w:spacing w:afterLines="60" w:after="144"/>
      </w:pPr>
      <w:r>
        <w:tab/>
      </w:r>
      <w:r w:rsidR="007F4AC6">
        <w:t>W</w:t>
      </w:r>
      <w:r w:rsidR="00F43C06">
        <w:t>ithin each strategic thrust, ARMD determine</w:t>
      </w:r>
      <w:r w:rsidR="00080B4E">
        <w:t>s</w:t>
      </w:r>
      <w:r w:rsidR="00F43C06">
        <w:t xml:space="preserve"> measurable, community-level outcomes</w:t>
      </w:r>
      <w:r>
        <w:t>. The</w:t>
      </w:r>
      <w:r w:rsidR="00080B4E">
        <w:t>se</w:t>
      </w:r>
      <w:r w:rsidR="00694671">
        <w:t xml:space="preserve"> </w:t>
      </w:r>
      <w:r>
        <w:t xml:space="preserve">outcomes </w:t>
      </w:r>
      <w:r w:rsidR="00694671">
        <w:t>represent the envisioned capabilities made possible by ARMD’s research, with contributions from key partners,</w:t>
      </w:r>
      <w:r w:rsidR="00F43C06">
        <w:t xml:space="preserve"> phased across three periods: 2015 to 2025, 2025 to 2035, and beyond 2035. </w:t>
      </w:r>
      <w:r w:rsidR="00694671">
        <w:t>For example, under the second strategic thrust</w:t>
      </w:r>
      <w:r w:rsidR="00A8576D">
        <w:t>,</w:t>
      </w:r>
      <w:r w:rsidR="00A8576D" w:rsidRPr="00A8576D">
        <w:t xml:space="preserve"> </w:t>
      </w:r>
      <w:r w:rsidR="00A8576D">
        <w:t xml:space="preserve">innovation in commercial </w:t>
      </w:r>
      <w:r w:rsidR="00A8576D">
        <w:lastRenderedPageBreak/>
        <w:t>supersonic aircraft, ARMD envisions three phased outcomes: a supersonic overland certification standard in 2015 to 2025; affordable, low-boom, low-noise, and low-emission supersonic transport in 2025 to 2035; and increased utility and market growth of supersonic transport in 2035 and beyond.</w:t>
      </w:r>
      <w:r w:rsidR="00C365EB">
        <w:t xml:space="preserve">  In each case</w:t>
      </w:r>
      <w:r w:rsidR="000069E8">
        <w:t>,</w:t>
      </w:r>
      <w:r w:rsidR="00C365EB">
        <w:t xml:space="preserve"> ARMD develops technologies with the expectation that partners will be able to continue innovation and incorporate the technologies into markets that have yet to emerge.</w:t>
      </w:r>
      <w:r w:rsidR="00A8576D">
        <w:t xml:space="preserve"> The 2019 SIP further details specific metrics for the desired outcomes, to measure progress in achieving the outcomes over time. </w:t>
      </w:r>
    </w:p>
    <w:p w14:paraId="1BB7EED9" w14:textId="41DFBAEC" w:rsidR="00F43C06" w:rsidRDefault="00A8576D" w:rsidP="00B36264">
      <w:pPr>
        <w:spacing w:afterLines="60" w:after="144"/>
      </w:pPr>
      <w:r>
        <w:tab/>
      </w:r>
      <w:r w:rsidR="003D7FE7">
        <w:t>Finally, ARMD articulate</w:t>
      </w:r>
      <w:r w:rsidR="001E09FC">
        <w:t>s</w:t>
      </w:r>
      <w:r w:rsidR="003D7FE7">
        <w:t xml:space="preserve"> research themes for technologies that are necessary for achieving the outcomes. </w:t>
      </w:r>
      <w:r w:rsidR="00AD1483">
        <w:t xml:space="preserve">Each research theme represents a long-term area of research for the technologies necessary to achieve one or more of the outcomes. </w:t>
      </w:r>
      <w:r w:rsidR="00CF1CB4">
        <w:t xml:space="preserve">For example, representing the technology necessary to achieve three phased outcomes, the research themes under the second strategic thrust are </w:t>
      </w:r>
      <w:r w:rsidR="0063539A">
        <w:t>elimination</w:t>
      </w:r>
      <w:r w:rsidR="00CF1CB4">
        <w:t xml:space="preserve"> of environmental barriers to commercial supersonic aircraft; integrated design and efficiency; modeling, simulation, and test capability; and efficient supersonic flight operations. </w:t>
      </w:r>
      <w:r w:rsidR="00EB51CC">
        <w:t>Using</w:t>
      </w:r>
      <w:r w:rsidR="00CF1CB4">
        <w:t xml:space="preserve"> these research areas, ARMD prioritizes </w:t>
      </w:r>
      <w:r w:rsidR="00EB51CC">
        <w:t xml:space="preserve">research activities across its portfolio. </w:t>
      </w:r>
    </w:p>
    <w:p w14:paraId="40795B4F" w14:textId="3D25ACD8" w:rsidR="00AF438C" w:rsidRDefault="00EB51CC" w:rsidP="00B36264">
      <w:pPr>
        <w:spacing w:afterLines="60" w:after="144"/>
      </w:pPr>
      <w:r>
        <w:tab/>
        <w:t>ARMD has experienced success</w:t>
      </w:r>
      <w:r w:rsidR="00C365EB">
        <w:t xml:space="preserve"> transitioning technologies</w:t>
      </w:r>
      <w:r>
        <w:t xml:space="preserve"> with this approach to strategic technology development. As an example of operationalizing foresight, this approach balances forward-looking prioritization with</w:t>
      </w:r>
      <w:r w:rsidR="008B67F4">
        <w:t xml:space="preserve"> not only</w:t>
      </w:r>
      <w:r>
        <w:t xml:space="preserve"> the specificity necessary for portfolio planning but also the flexibility needed to adapt to </w:t>
      </w:r>
      <w:r w:rsidR="007A77E6">
        <w:t>anticipated</w:t>
      </w:r>
      <w:r>
        <w:t xml:space="preserve"> and </w:t>
      </w:r>
      <w:r w:rsidR="008F6753">
        <w:t xml:space="preserve">unanticipated </w:t>
      </w:r>
      <w:r>
        <w:t xml:space="preserve">challenges and opportunities as they arise. This approach suits ARMD in part because ARMD does not </w:t>
      </w:r>
      <w:r w:rsidR="00AF438C">
        <w:t>develop technologies for its own use.</w:t>
      </w:r>
      <w:r w:rsidR="007E2464">
        <w:t xml:space="preserve"> E</w:t>
      </w:r>
      <w:r w:rsidR="00AF438C">
        <w:t>lements of this approach are applicable to another mission directorate</w:t>
      </w:r>
      <w:r w:rsidR="007E2464">
        <w:t xml:space="preserve"> that develops technology for others. </w:t>
      </w:r>
    </w:p>
    <w:p w14:paraId="7BB0BF54" w14:textId="3759509F" w:rsidR="007F4AC6" w:rsidRPr="00096625" w:rsidRDefault="007F4AC6" w:rsidP="00B36264">
      <w:pPr>
        <w:spacing w:afterLines="60" w:after="144"/>
        <w:rPr>
          <w:i/>
          <w:iCs/>
        </w:rPr>
      </w:pPr>
      <w:r w:rsidRPr="00096625">
        <w:rPr>
          <w:i/>
          <w:iCs/>
        </w:rPr>
        <w:t>Space Technology Mission Directorate (STMD)</w:t>
      </w:r>
    </w:p>
    <w:p w14:paraId="3A5FD3BA" w14:textId="53EBE3D8" w:rsidR="001E6790" w:rsidRDefault="00AF438C" w:rsidP="00B36264">
      <w:pPr>
        <w:spacing w:afterLines="60" w:after="144"/>
      </w:pPr>
      <w:r>
        <w:tab/>
      </w:r>
      <w:r w:rsidR="007E2464">
        <w:t>Like ARMD, STMD is not its own customer</w:t>
      </w:r>
      <w:r w:rsidR="000B16B6">
        <w:t>;</w:t>
      </w:r>
      <w:r w:rsidR="007E2464">
        <w:t xml:space="preserve"> STMD takes a similar approach of working with a community of experts to identify trends that drive strategic technology development decisions. </w:t>
      </w:r>
      <w:r w:rsidR="009A39D8">
        <w:t>STMD conducted a trend analysis to determine “major axes [of] change that have shaped, are shaping, and will continue to shape the global civilian space industry and civil space research over the next several decades”</w:t>
      </w:r>
      <w:r w:rsidR="00A9241A">
        <w:t xml:space="preserve"> (Earle et al. 2018).</w:t>
      </w:r>
      <w:r w:rsidR="009A39D8">
        <w:t xml:space="preserve"> </w:t>
      </w:r>
      <w:r w:rsidR="00F47E4C">
        <w:t>The trend analysis involved a review of industry research, a literature review, an analysis of current technologies and their forecasted impacts, and discussions with STMD customers in HEOMD, SMD, and other government and industry organizations</w:t>
      </w:r>
      <w:r w:rsidR="0009268D">
        <w:t xml:space="preserve"> (Grande et al. 2018)</w:t>
      </w:r>
      <w:r w:rsidR="00F47E4C">
        <w:t>.</w:t>
      </w:r>
    </w:p>
    <w:p w14:paraId="0D45880D" w14:textId="1B90B920" w:rsidR="00F47E4C" w:rsidRPr="00793F55" w:rsidRDefault="00F47E4C" w:rsidP="00B36264">
      <w:pPr>
        <w:spacing w:afterLines="60" w:after="144"/>
      </w:pPr>
      <w:r>
        <w:tab/>
      </w:r>
      <w:r w:rsidR="007E2464">
        <w:t xml:space="preserve">Working with this trend analysis and ongoing </w:t>
      </w:r>
      <w:r>
        <w:t>community dialogue</w:t>
      </w:r>
      <w:r w:rsidR="007E2464">
        <w:t>, STMD</w:t>
      </w:r>
      <w:r>
        <w:t xml:space="preserve"> arrive</w:t>
      </w:r>
      <w:r w:rsidR="007E2464">
        <w:t>d</w:t>
      </w:r>
      <w:r>
        <w:t xml:space="preserve"> at </w:t>
      </w:r>
      <w:r w:rsidR="00793F55">
        <w:t xml:space="preserve">a list of </w:t>
      </w:r>
      <w:r>
        <w:t>strategic thrusts. Again, the strategic thrusts identify areas of prioritization for technology development</w:t>
      </w:r>
      <w:r w:rsidR="00793F55">
        <w:t>—areas that are envisioned to have major impacts on space missions through 2040 and beyond</w:t>
      </w:r>
      <w:r>
        <w:t xml:space="preserve">. </w:t>
      </w:r>
      <w:r w:rsidR="00DD049D">
        <w:t xml:space="preserve">As of 2021, </w:t>
      </w:r>
      <w:r w:rsidR="00DB0559">
        <w:t>STMD</w:t>
      </w:r>
      <w:r w:rsidR="00793F55">
        <w:t xml:space="preserve"> has four strategic thrusts: 1) </w:t>
      </w:r>
      <w:r w:rsidR="00793F55">
        <w:rPr>
          <w:i/>
          <w:iCs/>
        </w:rPr>
        <w:t>Go</w:t>
      </w:r>
      <w:r w:rsidR="00793F55">
        <w:t xml:space="preserve"> with rapid, safe, and efficient space transportation; 2) </w:t>
      </w:r>
      <w:r w:rsidR="00793F55">
        <w:rPr>
          <w:i/>
          <w:iCs/>
        </w:rPr>
        <w:t>Land</w:t>
      </w:r>
      <w:r w:rsidR="00793F55">
        <w:t xml:space="preserve"> with expanded access to diverse surface destinations; 3) </w:t>
      </w:r>
      <w:r w:rsidR="00793F55">
        <w:rPr>
          <w:i/>
          <w:iCs/>
        </w:rPr>
        <w:t>Live</w:t>
      </w:r>
      <w:r w:rsidR="00793F55">
        <w:t xml:space="preserve"> with sustainable living and working farther from Earth; and 4) </w:t>
      </w:r>
      <w:r w:rsidR="00793F55">
        <w:rPr>
          <w:i/>
          <w:iCs/>
        </w:rPr>
        <w:t>Explore</w:t>
      </w:r>
      <w:r w:rsidR="00793F55">
        <w:t xml:space="preserve"> with transformative missions and discoveries</w:t>
      </w:r>
      <w:r w:rsidR="001D6B5A">
        <w:t xml:space="preserve"> (</w:t>
      </w:r>
      <w:r w:rsidR="001D6B5A" w:rsidRPr="001D6B5A">
        <w:t>Engelund</w:t>
      </w:r>
      <w:r w:rsidR="001D6B5A">
        <w:t xml:space="preserve"> and McDonald 2021)</w:t>
      </w:r>
      <w:r w:rsidR="00793F55">
        <w:t xml:space="preserve">. These themes of </w:t>
      </w:r>
      <w:r w:rsidR="00793F55">
        <w:rPr>
          <w:i/>
          <w:iCs/>
        </w:rPr>
        <w:t>Go, Land, Live, Explore</w:t>
      </w:r>
      <w:r w:rsidR="00793F55">
        <w:t xml:space="preserve"> summarize the major lines of investment in STMD’s portfolio.</w:t>
      </w:r>
    </w:p>
    <w:p w14:paraId="18E50836" w14:textId="1A1ACA6F" w:rsidR="00793F55" w:rsidRDefault="00793F55" w:rsidP="00B36264">
      <w:pPr>
        <w:spacing w:afterLines="60" w:after="144"/>
      </w:pPr>
      <w:r>
        <w:tab/>
      </w:r>
      <w:r w:rsidR="00C723B2">
        <w:t xml:space="preserve">STMD </w:t>
      </w:r>
      <w:r w:rsidR="007E2464">
        <w:t xml:space="preserve">then </w:t>
      </w:r>
      <w:r w:rsidR="001E09FC">
        <w:t>develops</w:t>
      </w:r>
      <w:r w:rsidR="00C723B2">
        <w:t xml:space="preserve"> outcomes for achieving </w:t>
      </w:r>
      <w:r w:rsidR="007E2464">
        <w:t xml:space="preserve">the </w:t>
      </w:r>
      <w:r w:rsidR="008D6897">
        <w:t xml:space="preserve">four </w:t>
      </w:r>
      <w:r w:rsidR="00C723B2">
        <w:t xml:space="preserve">strategic thrusts, </w:t>
      </w:r>
      <w:r w:rsidR="005D5274">
        <w:t>without</w:t>
      </w:r>
      <w:r>
        <w:t xml:space="preserve"> tim</w:t>
      </w:r>
      <w:r w:rsidR="005D5274">
        <w:t>ing</w:t>
      </w:r>
      <w:r>
        <w:t xml:space="preserve"> or quantify</w:t>
      </w:r>
      <w:r w:rsidR="005D5274">
        <w:t>ing</w:t>
      </w:r>
      <w:r>
        <w:t xml:space="preserve"> these outcomes. For ex</w:t>
      </w:r>
      <w:r w:rsidR="008079D6">
        <w:t>a</w:t>
      </w:r>
      <w:r>
        <w:t xml:space="preserve">mple, </w:t>
      </w:r>
      <w:r w:rsidR="008079D6">
        <w:t xml:space="preserve">under the strategic thrust </w:t>
      </w:r>
      <w:r w:rsidR="008079D6">
        <w:rPr>
          <w:i/>
          <w:iCs/>
        </w:rPr>
        <w:t>Go</w:t>
      </w:r>
      <w:r w:rsidR="008079D6">
        <w:t>, STMD articulated three outcomes that result from development in this area: nuclear technologies for fast in-space transit; cryogenic storage, transport, and fluid management technologies</w:t>
      </w:r>
      <w:r w:rsidR="00150882">
        <w:t xml:space="preserve"> for </w:t>
      </w:r>
      <w:r w:rsidR="00CD6184">
        <w:t xml:space="preserve">surface and in-space </w:t>
      </w:r>
      <w:r w:rsidR="00CD6184">
        <w:lastRenderedPageBreak/>
        <w:t>applications</w:t>
      </w:r>
      <w:r w:rsidR="00150882">
        <w:t>; and advanced propulsion technologies for future science and exploration missions</w:t>
      </w:r>
      <w:r w:rsidR="005D13D3">
        <w:t xml:space="preserve"> (</w:t>
      </w:r>
      <w:r w:rsidR="005D13D3" w:rsidRPr="001D6B5A">
        <w:t>Engelund</w:t>
      </w:r>
      <w:r w:rsidR="005D13D3">
        <w:t xml:space="preserve"> and McDonald 2021)</w:t>
      </w:r>
      <w:r w:rsidR="00150882">
        <w:t xml:space="preserve">. </w:t>
      </w:r>
      <w:r w:rsidR="00E90895">
        <w:t>These outcomes are not projected to be accomplished in one particular timeframe; rather, they are the results of ongoing developments pursued in parallel.</w:t>
      </w:r>
    </w:p>
    <w:p w14:paraId="361F3095" w14:textId="4EB1AC14" w:rsidR="0066554E" w:rsidRDefault="00A92D51" w:rsidP="00B36264">
      <w:pPr>
        <w:spacing w:afterLines="60" w:after="144"/>
      </w:pPr>
      <w:r>
        <w:tab/>
      </w:r>
      <w:r w:rsidR="00F05CAB">
        <w:t>STMD then articulate</w:t>
      </w:r>
      <w:r w:rsidR="001E09FC">
        <w:t>s</w:t>
      </w:r>
      <w:r w:rsidR="00F05CAB">
        <w:t xml:space="preserve"> the</w:t>
      </w:r>
      <w:r w:rsidR="00CD6184">
        <w:t xml:space="preserve"> primary</w:t>
      </w:r>
      <w:r w:rsidR="00F05CAB">
        <w:t xml:space="preserve"> capabilities necessary to achieve these outcomes. </w:t>
      </w:r>
      <w:r>
        <w:t>For example, as of 2021,</w:t>
      </w:r>
      <w:r w:rsidR="00F05CAB">
        <w:t xml:space="preserve"> advanced propulsion and CFM are capabilities necessary to achieve </w:t>
      </w:r>
      <w:r>
        <w:t xml:space="preserve">the </w:t>
      </w:r>
      <w:r>
        <w:rPr>
          <w:i/>
          <w:iCs/>
        </w:rPr>
        <w:t>Go</w:t>
      </w:r>
      <w:r>
        <w:t xml:space="preserve"> outcomes.</w:t>
      </w:r>
      <w:r w:rsidR="00C723B2">
        <w:t xml:space="preserve"> </w:t>
      </w:r>
      <w:r w:rsidR="00F05CAB">
        <w:t xml:space="preserve">Many of these capabilities are crosscutting, enabling outcomes for different thrusts. As mentioned earlier, advancements in CFM technologies also enable outcomes </w:t>
      </w:r>
      <w:r w:rsidR="0066554E">
        <w:t xml:space="preserve">found in the </w:t>
      </w:r>
      <w:r w:rsidR="0066554E" w:rsidRPr="002315AC">
        <w:rPr>
          <w:i/>
          <w:iCs/>
        </w:rPr>
        <w:t>Land</w:t>
      </w:r>
      <w:r w:rsidR="0066554E">
        <w:t xml:space="preserve"> and </w:t>
      </w:r>
      <w:r w:rsidR="0066554E" w:rsidRPr="002315AC">
        <w:rPr>
          <w:i/>
          <w:iCs/>
        </w:rPr>
        <w:t>Live</w:t>
      </w:r>
      <w:r w:rsidR="0066554E">
        <w:t xml:space="preserve"> thrusts.</w:t>
      </w:r>
      <w:r w:rsidR="00F05CAB">
        <w:t xml:space="preserve"> </w:t>
      </w:r>
    </w:p>
    <w:p w14:paraId="71C645C5" w14:textId="473045C2" w:rsidR="005D5274" w:rsidRDefault="0066554E" w:rsidP="00B36264">
      <w:pPr>
        <w:spacing w:afterLines="60" w:after="144"/>
      </w:pPr>
      <w:r>
        <w:tab/>
        <w:t>Finally, STMD uses these capabilities</w:t>
      </w:r>
      <w:r w:rsidR="00CD6184">
        <w:t xml:space="preserve"> to identify and prioritize gaps in technology plans</w:t>
      </w:r>
      <w:r>
        <w:t xml:space="preserve">. These plans incorporate input from </w:t>
      </w:r>
      <w:r w:rsidR="00CD6184">
        <w:t xml:space="preserve">industry </w:t>
      </w:r>
      <w:r>
        <w:t>experts</w:t>
      </w:r>
      <w:r w:rsidR="00CD6184">
        <w:t>,</w:t>
      </w:r>
      <w:r>
        <w:t xml:space="preserve"> </w:t>
      </w:r>
      <w:r w:rsidR="00B648AF">
        <w:t>specific capability needs for SMD and HEOMD missions</w:t>
      </w:r>
      <w:r w:rsidR="00CD6184">
        <w:t>,</w:t>
      </w:r>
      <w:r w:rsidR="00B648AF">
        <w:t xml:space="preserve"> and</w:t>
      </w:r>
      <w:r w:rsidR="008F6753">
        <w:t xml:space="preserve"> insight</w:t>
      </w:r>
      <w:r w:rsidR="00B648AF">
        <w:t xml:space="preserve"> from </w:t>
      </w:r>
      <w:r>
        <w:t>NASA’s principal technologists</w:t>
      </w:r>
      <w:r w:rsidR="00CD6184">
        <w:t xml:space="preserve"> and </w:t>
      </w:r>
      <w:r w:rsidR="00F07A8A">
        <w:t>S</w:t>
      </w:r>
      <w:r w:rsidR="00CD6184">
        <w:t xml:space="preserve">ystems </w:t>
      </w:r>
      <w:r w:rsidR="00F07A8A">
        <w:t>C</w:t>
      </w:r>
      <w:r w:rsidR="00CD6184">
        <w:t xml:space="preserve">apability </w:t>
      </w:r>
      <w:r w:rsidR="00F07A8A">
        <w:t>L</w:t>
      </w:r>
      <w:r w:rsidR="00CD6184">
        <w:t>eadership teams</w:t>
      </w:r>
      <w:r>
        <w:t xml:space="preserve">—in-house subject matter experts who specialize in </w:t>
      </w:r>
      <w:r w:rsidR="00B648AF">
        <w:t>a given</w:t>
      </w:r>
      <w:r>
        <w:t xml:space="preserve"> technology area. </w:t>
      </w:r>
      <w:r w:rsidR="00B648AF">
        <w:t>Consequently, technology development decisions not only address the capability gaps of STMD’s two main customers—SMD and HEOMD—but also ensure the general advancement of technology in different</w:t>
      </w:r>
      <w:r w:rsidR="00725074">
        <w:t xml:space="preserve"> </w:t>
      </w:r>
      <w:r w:rsidR="00B648AF">
        <w:t>areas</w:t>
      </w:r>
      <w:r w:rsidR="00725074">
        <w:t xml:space="preserve"> that are a priority for NASA and the larger community.</w:t>
      </w:r>
    </w:p>
    <w:p w14:paraId="43373E32" w14:textId="1B5BB915" w:rsidR="007156A4" w:rsidRDefault="00897C70" w:rsidP="00B36264">
      <w:pPr>
        <w:spacing w:afterLines="60" w:after="144"/>
      </w:pPr>
      <w:r>
        <w:tab/>
        <w:t xml:space="preserve">Like the ARMD </w:t>
      </w:r>
      <w:r w:rsidR="00176EF6">
        <w:t>approach</w:t>
      </w:r>
      <w:r>
        <w:t>, STMD</w:t>
      </w:r>
      <w:r w:rsidR="001E09FC">
        <w:t>’s</w:t>
      </w:r>
      <w:r>
        <w:t xml:space="preserve"> approach to strategic technology development</w:t>
      </w:r>
      <w:r w:rsidR="00C9350C">
        <w:t xml:space="preserve"> </w:t>
      </w:r>
      <w:r w:rsidR="00290A3F">
        <w:t xml:space="preserve">operationalizes foresight. This approach is specific enough to guide investments and balance STMD’s portfolio but flexible enough to adapt to changes arising from new discoveries or developments that may or may not be anticipated. </w:t>
      </w:r>
    </w:p>
    <w:p w14:paraId="3401AFF3" w14:textId="12A4C922" w:rsidR="00290A3F" w:rsidRDefault="007156A4" w:rsidP="00B36264">
      <w:pPr>
        <w:spacing w:afterLines="60" w:after="144"/>
      </w:pPr>
      <w:r>
        <w:tab/>
        <w:t>T</w:t>
      </w:r>
      <w:r w:rsidR="00290A3F">
        <w:t>he differences between ARMD’s and STMD’s approaches show how the use of foresight in planning technology developments is not one-size-fits-all. For</w:t>
      </w:r>
      <w:r w:rsidR="00A47BDC">
        <w:t xml:space="preserve"> one, they have different customers with different needs, and their approaches reflect these differences. Whereas phased outcomes help ARMD plan technology developments to meet its customers’ needs over time, STMD’s concurrent outcomes reflect the crosscutting nature of the technologies that enable different elements of different missions over decades.</w:t>
      </w:r>
      <w:r w:rsidR="00573058">
        <w:t xml:space="preserve"> </w:t>
      </w:r>
      <w:r w:rsidR="00713713">
        <w:t>Meanwhile</w:t>
      </w:r>
      <w:r w:rsidR="00573058">
        <w:t>, the remaining two mission directorates, SMD and HEOMD, are largely their own customers,</w:t>
      </w:r>
      <w:r w:rsidR="00713713">
        <w:t xml:space="preserve"> and as a result, </w:t>
      </w:r>
      <w:r w:rsidR="00573058">
        <w:t>their approach to strategic technology development differs further.</w:t>
      </w:r>
    </w:p>
    <w:p w14:paraId="56C4D552" w14:textId="58389EED" w:rsidR="007F4AC6" w:rsidRPr="00096625" w:rsidRDefault="007F4AC6" w:rsidP="00B36264">
      <w:pPr>
        <w:spacing w:afterLines="60" w:after="144"/>
        <w:rPr>
          <w:i/>
          <w:iCs/>
        </w:rPr>
      </w:pPr>
      <w:r w:rsidRPr="00096625">
        <w:rPr>
          <w:i/>
          <w:iCs/>
        </w:rPr>
        <w:t>Science Mission Directorate (SMD)</w:t>
      </w:r>
    </w:p>
    <w:p w14:paraId="11D1A402" w14:textId="21F10EC7" w:rsidR="007156A4" w:rsidRDefault="00515AE8" w:rsidP="00B36264">
      <w:pPr>
        <w:spacing w:afterLines="60" w:after="144"/>
      </w:pPr>
      <w:r>
        <w:tab/>
      </w:r>
      <w:bookmarkStart w:id="5" w:name="_Hlk68112512"/>
      <w:r w:rsidR="007945D6">
        <w:t>T</w:t>
      </w:r>
      <w:r w:rsidR="00F43C06">
        <w:t>he Science Mission Directorate (SMD)</w:t>
      </w:r>
      <w:r w:rsidR="007945D6">
        <w:t xml:space="preserve"> uses</w:t>
      </w:r>
      <w:r w:rsidR="00886D8E">
        <w:t xml:space="preserve"> the </w:t>
      </w:r>
      <w:r w:rsidR="00C2406B">
        <w:t>d</w:t>
      </w:r>
      <w:r w:rsidR="007945D6">
        <w:t xml:space="preserve">ecadal </w:t>
      </w:r>
      <w:r w:rsidR="00C2406B">
        <w:t>s</w:t>
      </w:r>
      <w:r w:rsidR="007945D6">
        <w:t xml:space="preserve">urvey process to </w:t>
      </w:r>
      <w:r w:rsidR="00C25B84">
        <w:t xml:space="preserve">define science priorities </w:t>
      </w:r>
      <w:r w:rsidR="0056629F">
        <w:t xml:space="preserve">for </w:t>
      </w:r>
      <w:r w:rsidR="007156A4">
        <w:t xml:space="preserve">more than </w:t>
      </w:r>
      <w:r w:rsidR="0056629F">
        <w:t xml:space="preserve">100 missions across </w:t>
      </w:r>
      <w:r w:rsidR="00DE57B4">
        <w:t>five</w:t>
      </w:r>
      <w:r w:rsidR="0056629F">
        <w:t xml:space="preserve"> divisions</w:t>
      </w:r>
      <w:r w:rsidR="007945D6">
        <w:t xml:space="preserve">. </w:t>
      </w:r>
      <w:r w:rsidR="0030689B">
        <w:t xml:space="preserve">Developed by </w:t>
      </w:r>
      <w:r w:rsidR="00F41DD5">
        <w:t>NASEM</w:t>
      </w:r>
      <w:r w:rsidR="0030689B">
        <w:t xml:space="preserve">, the decadal surveys set high-level science priorities </w:t>
      </w:r>
      <w:r w:rsidR="00D849FD">
        <w:t xml:space="preserve">for specific disciplines, </w:t>
      </w:r>
      <w:r w:rsidR="0030689B">
        <w:t>with guidance</w:t>
      </w:r>
      <w:r w:rsidR="00D849FD">
        <w:t xml:space="preserve"> for achieving an envisioned 10-year program within the discipline</w:t>
      </w:r>
      <w:r w:rsidR="0030689B">
        <w:t>.</w:t>
      </w:r>
      <w:r w:rsidR="007F4AC6">
        <w:t xml:space="preserve">  The result</w:t>
      </w:r>
      <w:r w:rsidR="002B7AE3">
        <w:t>s</w:t>
      </w:r>
      <w:r w:rsidR="007F4AC6">
        <w:t xml:space="preserve"> </w:t>
      </w:r>
      <w:r w:rsidR="002B7AE3">
        <w:t>are</w:t>
      </w:r>
      <w:r w:rsidR="007F4AC6">
        <w:t xml:space="preserve"> broad strategic science goal</w:t>
      </w:r>
      <w:r w:rsidR="002B7AE3">
        <w:t>s</w:t>
      </w:r>
      <w:r w:rsidR="007F4AC6">
        <w:t xml:space="preserve">, which due to their expansive nature, drive a different process for incorporating foresight. </w:t>
      </w:r>
      <w:r w:rsidR="00B1623B">
        <w:t xml:space="preserve"> </w:t>
      </w:r>
      <w:r w:rsidR="00C25B84">
        <w:t>From these goals, SMD defines, develops, and forecasts technologies to realize these future science objectives.</w:t>
      </w:r>
      <w:bookmarkEnd w:id="5"/>
    </w:p>
    <w:p w14:paraId="2D16B53D" w14:textId="10D4B495" w:rsidR="00837DEA" w:rsidRDefault="007156A4" w:rsidP="00B36264">
      <w:pPr>
        <w:spacing w:afterLines="60" w:after="144"/>
      </w:pPr>
      <w:r>
        <w:tab/>
      </w:r>
      <w:r w:rsidR="00C17ECF">
        <w:t>With t</w:t>
      </w:r>
      <w:r w:rsidR="00FC7A41">
        <w:t>his approach</w:t>
      </w:r>
      <w:r w:rsidR="00C17ECF">
        <w:t xml:space="preserve">, SMD incorporates the larger science community’s recommendations for </w:t>
      </w:r>
      <w:r w:rsidR="00C25B84" w:rsidRPr="008F590C">
        <w:t>developing science</w:t>
      </w:r>
      <w:r w:rsidR="00C317C1">
        <w:t>-</w:t>
      </w:r>
      <w:r w:rsidR="00C25B84" w:rsidRPr="008F590C">
        <w:t xml:space="preserve">enabling </w:t>
      </w:r>
      <w:r w:rsidR="00C17ECF">
        <w:t xml:space="preserve">technology programs and making competitive selections for small- and mid-scale missions. Within each of the five SMD divisions, the division director manages the division portfolio in accordance with guidance from the relevant decadal survey, with modifications as needed to reflect the current budget. The decadal surveys are </w:t>
      </w:r>
      <w:r w:rsidR="00D849FD">
        <w:t xml:space="preserve">then </w:t>
      </w:r>
      <w:r w:rsidR="00C17ECF">
        <w:t xml:space="preserve">used again to assess the division’s progress in achieving the stated science priorities, </w:t>
      </w:r>
      <w:r w:rsidR="00CF37F6">
        <w:t>during</w:t>
      </w:r>
      <w:r w:rsidR="00C17ECF">
        <w:t xml:space="preserve"> NASEM’s midterm reviews</w:t>
      </w:r>
      <w:r w:rsidR="00BC6215">
        <w:t xml:space="preserve"> (NASA SMD 2020)</w:t>
      </w:r>
      <w:r w:rsidR="00C17ECF">
        <w:t>.</w:t>
      </w:r>
      <w:r w:rsidR="001B1478">
        <w:t xml:space="preserve"> </w:t>
      </w:r>
    </w:p>
    <w:p w14:paraId="6B8C50A9" w14:textId="4B6C309C" w:rsidR="00837DEA" w:rsidRDefault="00837DEA" w:rsidP="00B36264">
      <w:pPr>
        <w:spacing w:afterLines="60" w:after="144"/>
      </w:pPr>
      <w:r>
        <w:lastRenderedPageBreak/>
        <w:tab/>
        <w:t>The five most recent decadal surveys in each discipline guide each SMD division’s plan for technology development:</w:t>
      </w:r>
    </w:p>
    <w:p w14:paraId="5B957076" w14:textId="1DD3C8A5" w:rsidR="00837DEA" w:rsidRDefault="00837DEA" w:rsidP="00B36264">
      <w:pPr>
        <w:pStyle w:val="ListParagraph"/>
        <w:numPr>
          <w:ilvl w:val="1"/>
          <w:numId w:val="8"/>
        </w:numPr>
        <w:spacing w:afterLines="60" w:after="144"/>
      </w:pPr>
      <w:r>
        <w:t xml:space="preserve">Astrophysics: </w:t>
      </w:r>
      <w:r w:rsidRPr="00013CDC">
        <w:rPr>
          <w:i/>
          <w:iCs/>
        </w:rPr>
        <w:t>Astro2020: Decadal Survey on Astronomy and Astrophysics</w:t>
      </w:r>
      <w:r>
        <w:rPr>
          <w:i/>
          <w:iCs/>
        </w:rPr>
        <w:t xml:space="preserve"> </w:t>
      </w:r>
      <w:r>
        <w:t>(2020)</w:t>
      </w:r>
    </w:p>
    <w:p w14:paraId="0F084D04" w14:textId="47CA0D84" w:rsidR="00837DEA" w:rsidRPr="007945D6" w:rsidRDefault="00837DEA" w:rsidP="00B36264">
      <w:pPr>
        <w:pStyle w:val="ListParagraph"/>
        <w:numPr>
          <w:ilvl w:val="1"/>
          <w:numId w:val="8"/>
        </w:numPr>
        <w:spacing w:afterLines="60" w:after="144"/>
      </w:pPr>
      <w:r>
        <w:t xml:space="preserve">Earth Science: </w:t>
      </w:r>
      <w:r w:rsidRPr="00013CDC">
        <w:rPr>
          <w:i/>
          <w:iCs/>
        </w:rPr>
        <w:t xml:space="preserve">Thriving on Our Changing Planet: </w:t>
      </w:r>
      <w:r>
        <w:rPr>
          <w:i/>
          <w:iCs/>
        </w:rPr>
        <w:t>A</w:t>
      </w:r>
      <w:r w:rsidRPr="00013CDC">
        <w:rPr>
          <w:i/>
          <w:iCs/>
        </w:rPr>
        <w:t xml:space="preserve"> Decadal Strategy for Earth Observation from Space</w:t>
      </w:r>
      <w:r>
        <w:t xml:space="preserve"> (2017)</w:t>
      </w:r>
      <w:r w:rsidRPr="007945D6">
        <w:t xml:space="preserve"> </w:t>
      </w:r>
    </w:p>
    <w:p w14:paraId="4C7F4661" w14:textId="73304C9B" w:rsidR="00837DEA" w:rsidRPr="007945D6" w:rsidRDefault="00924F1D" w:rsidP="00B36264">
      <w:pPr>
        <w:pStyle w:val="ListParagraph"/>
        <w:numPr>
          <w:ilvl w:val="1"/>
          <w:numId w:val="8"/>
        </w:numPr>
        <w:spacing w:afterLines="60" w:after="144"/>
      </w:pPr>
      <w:r>
        <w:t>He</w:t>
      </w:r>
      <w:r w:rsidR="00837DEA">
        <w:t xml:space="preserve">liophysics: </w:t>
      </w:r>
      <w:r w:rsidR="00837DEA" w:rsidRPr="00837DEA">
        <w:rPr>
          <w:i/>
          <w:iCs/>
        </w:rPr>
        <w:t xml:space="preserve">Solar and Space Physics: A Science for a Technological Society </w:t>
      </w:r>
      <w:r w:rsidR="00837DEA">
        <w:t>(2013)</w:t>
      </w:r>
    </w:p>
    <w:p w14:paraId="49BBCC5B" w14:textId="1DFB0208" w:rsidR="00837DEA" w:rsidRDefault="00837DEA" w:rsidP="00B36264">
      <w:pPr>
        <w:pStyle w:val="ListParagraph"/>
        <w:numPr>
          <w:ilvl w:val="1"/>
          <w:numId w:val="8"/>
        </w:numPr>
        <w:spacing w:afterLines="60" w:after="144"/>
      </w:pPr>
      <w:r>
        <w:t>Planetary Science:</w:t>
      </w:r>
      <w:r w:rsidRPr="00013CDC">
        <w:t xml:space="preserve"> </w:t>
      </w:r>
      <w:r w:rsidRPr="00837DEA">
        <w:rPr>
          <w:i/>
          <w:iCs/>
        </w:rPr>
        <w:t xml:space="preserve">Vision and Voyages for Planetary Science in the Decade 2013-2022 </w:t>
      </w:r>
      <w:r>
        <w:t>(2011)</w:t>
      </w:r>
    </w:p>
    <w:p w14:paraId="4189C1CD" w14:textId="18164F0F" w:rsidR="00837DEA" w:rsidRPr="00837DEA" w:rsidRDefault="00837DEA" w:rsidP="00B36264">
      <w:pPr>
        <w:pStyle w:val="ListParagraph"/>
        <w:numPr>
          <w:ilvl w:val="1"/>
          <w:numId w:val="8"/>
        </w:numPr>
        <w:spacing w:afterLines="60" w:after="144"/>
      </w:pPr>
      <w:r w:rsidRPr="00837DEA">
        <w:t xml:space="preserve">Biological and Physical Sciences: </w:t>
      </w:r>
      <w:r w:rsidRPr="00837DEA">
        <w:rPr>
          <w:i/>
          <w:iCs/>
        </w:rPr>
        <w:t>Recapturing a Future for Space Exploration: Life and Physical Sciences Research for a New Era</w:t>
      </w:r>
      <w:r w:rsidRPr="00837DEA">
        <w:t xml:space="preserve"> (2011)</w:t>
      </w:r>
    </w:p>
    <w:p w14:paraId="019FA33B" w14:textId="3FA28C3F" w:rsidR="00837DEA" w:rsidRPr="00837DEA" w:rsidRDefault="00837DEA" w:rsidP="00B36264">
      <w:pPr>
        <w:spacing w:afterLines="60" w:after="144"/>
      </w:pPr>
      <w:r w:rsidRPr="00837DEA">
        <w:t xml:space="preserve">Each of these decadal surveys provide specific guidance on budgeting and prioritizing the technology development necessary to </w:t>
      </w:r>
      <w:r w:rsidR="0063539A" w:rsidRPr="00837DEA">
        <w:t>achieve</w:t>
      </w:r>
      <w:r w:rsidRPr="00837DEA">
        <w:t xml:space="preserve"> their stated recommendations.</w:t>
      </w:r>
    </w:p>
    <w:p w14:paraId="4D4C8380" w14:textId="4F6538F8" w:rsidR="009813E1" w:rsidRDefault="00837DEA" w:rsidP="00094F97">
      <w:pPr>
        <w:spacing w:afterLines="60" w:after="144"/>
      </w:pPr>
      <w:r w:rsidRPr="00837DEA">
        <w:tab/>
      </w:r>
      <w:r>
        <w:t xml:space="preserve">For example, the decadal survey for Earth Science </w:t>
      </w:r>
      <w:r w:rsidR="00924F1D">
        <w:t>detail</w:t>
      </w:r>
      <w:r w:rsidR="00EA5A07">
        <w:t>ed</w:t>
      </w:r>
      <w:r w:rsidR="00924F1D">
        <w:t xml:space="preserve"> recommendations for addressing, within the decade, the science community’s highest priority concerns for Earth Science topics.</w:t>
      </w:r>
      <w:r w:rsidR="00EB143C">
        <w:t xml:space="preserve"> The </w:t>
      </w:r>
      <w:r w:rsidR="00EA5A07">
        <w:t xml:space="preserve">decadal </w:t>
      </w:r>
      <w:r w:rsidR="00EB143C">
        <w:t>survey describe</w:t>
      </w:r>
      <w:r w:rsidR="00495D42">
        <w:t>d</w:t>
      </w:r>
      <w:r w:rsidR="00EB143C">
        <w:t xml:space="preserve"> how the recommendations </w:t>
      </w:r>
      <w:r w:rsidR="00EA5A07">
        <w:t>we</w:t>
      </w:r>
      <w:r w:rsidR="00EB143C">
        <w:t xml:space="preserve">re primarily for NASA but also for the </w:t>
      </w:r>
      <w:r w:rsidR="00924F1D" w:rsidRPr="00924F1D">
        <w:t xml:space="preserve">National Oceanic and Atmospheric </w:t>
      </w:r>
      <w:r w:rsidR="00796D6C" w:rsidRPr="00924F1D">
        <w:t>Administration and</w:t>
      </w:r>
      <w:r w:rsidR="00924F1D" w:rsidRPr="00924F1D">
        <w:t xml:space="preserve"> the U.S.</w:t>
      </w:r>
      <w:r w:rsidR="00EB143C">
        <w:t xml:space="preserve"> </w:t>
      </w:r>
      <w:r w:rsidR="00924F1D" w:rsidRPr="00924F1D">
        <w:t>Geological Survey</w:t>
      </w:r>
      <w:r w:rsidR="00EB143C">
        <w:t xml:space="preserve">. The </w:t>
      </w:r>
      <w:r w:rsidR="00362693">
        <w:t xml:space="preserve">decadal </w:t>
      </w:r>
      <w:r w:rsidR="00EB143C">
        <w:t xml:space="preserve">survey’s priorities came from a list of 35 key questions, derived from an initial list of </w:t>
      </w:r>
      <w:r w:rsidR="002964F5" w:rsidRPr="002964F5">
        <w:t xml:space="preserve">290 </w:t>
      </w:r>
      <w:r w:rsidR="00EB143C">
        <w:t xml:space="preserve">ideas from the science </w:t>
      </w:r>
      <w:r w:rsidR="002964F5" w:rsidRPr="002964F5">
        <w:t>community</w:t>
      </w:r>
      <w:r w:rsidR="00EB143C">
        <w:t xml:space="preserve">, which </w:t>
      </w:r>
      <w:r w:rsidR="00362693">
        <w:t xml:space="preserve">a 20-member steering committee narrowed down with the help of </w:t>
      </w:r>
      <w:r w:rsidR="002964F5" w:rsidRPr="002964F5">
        <w:t>five interdisciplinary panels</w:t>
      </w:r>
      <w:r w:rsidR="00EB143C">
        <w:t>.</w:t>
      </w:r>
      <w:r w:rsidR="00362693">
        <w:t xml:space="preserve"> </w:t>
      </w:r>
      <w:r w:rsidR="001E564E">
        <w:t>T</w:t>
      </w:r>
      <w:r w:rsidR="00EC3705">
        <w:t xml:space="preserve">he committee </w:t>
      </w:r>
      <w:r w:rsidR="001E564E">
        <w:t xml:space="preserve">then </w:t>
      </w:r>
      <w:r w:rsidR="00EC3705">
        <w:t xml:space="preserve">defined the </w:t>
      </w:r>
      <w:r w:rsidR="00EC3705" w:rsidRPr="002964F5">
        <w:t>objectives</w:t>
      </w:r>
      <w:r w:rsidR="00EC3705">
        <w:t xml:space="preserve"> necessary to answer the</w:t>
      </w:r>
      <w:r w:rsidR="00362693">
        <w:t>se 35 key questions, where “</w:t>
      </w:r>
      <w:r w:rsidR="002964F5" w:rsidRPr="002964F5">
        <w:t>advances are most needed in both curiosity-driven and practically focused Earth science</w:t>
      </w:r>
      <w:r w:rsidR="00362693">
        <w:t xml:space="preserve">,” </w:t>
      </w:r>
      <w:r w:rsidR="005C485A">
        <w:t xml:space="preserve">and prioritized these objectives </w:t>
      </w:r>
      <w:r w:rsidR="00362693">
        <w:t>as “most important,” “very important,” and “important”</w:t>
      </w:r>
      <w:r w:rsidR="00C76AFF">
        <w:t xml:space="preserve"> (</w:t>
      </w:r>
      <w:r w:rsidR="00C803A5" w:rsidRPr="00C803A5">
        <w:t>National Academies of Sciences, Engineering, and Medicine 2019</w:t>
      </w:r>
      <w:r w:rsidR="00C803A5">
        <w:t>).</w:t>
      </w:r>
      <w:r w:rsidR="005C485A">
        <w:t xml:space="preserve"> </w:t>
      </w:r>
      <w:r w:rsidR="00E531D1">
        <w:t>For example, the key question “</w:t>
      </w:r>
      <w:r w:rsidR="00E531D1" w:rsidRPr="00E531D1">
        <w:t>How much will sea level rise, globally and regionally, over the next decade and beyond, and what will be the</w:t>
      </w:r>
      <w:r w:rsidR="00E531D1">
        <w:t xml:space="preserve"> </w:t>
      </w:r>
      <w:r w:rsidR="00E531D1" w:rsidRPr="00E531D1">
        <w:t>role of ice sheets and ocean heat storage?</w:t>
      </w:r>
      <w:r w:rsidR="00E531D1">
        <w:t>”</w:t>
      </w:r>
      <w:r w:rsidR="00E531D1" w:rsidRPr="00E531D1">
        <w:t xml:space="preserve"> </w:t>
      </w:r>
      <w:r w:rsidR="00E531D1">
        <w:t xml:space="preserve">is addressed by </w:t>
      </w:r>
      <w:r w:rsidR="00094F97">
        <w:t>one of the</w:t>
      </w:r>
      <w:r w:rsidR="00E531D1">
        <w:t xml:space="preserve"> “most important” objective</w:t>
      </w:r>
      <w:r w:rsidR="00094F97">
        <w:t>s, such as “</w:t>
      </w:r>
      <w:r w:rsidR="00094F97" w:rsidRPr="00094F97">
        <w:t>Determine the global mean sea-level rise to within 0.5 mm/yr over</w:t>
      </w:r>
      <w:r w:rsidR="00094F97">
        <w:t xml:space="preserve"> t</w:t>
      </w:r>
      <w:r w:rsidR="00094F97" w:rsidRPr="00094F97">
        <w:t>he course of a decade</w:t>
      </w:r>
      <w:r w:rsidR="00EB2748">
        <w:t>”</w:t>
      </w:r>
      <w:r w:rsidR="00795162">
        <w:t>.</w:t>
      </w:r>
      <w:r w:rsidR="00094F97">
        <w:t xml:space="preserve"> </w:t>
      </w:r>
      <w:r w:rsidR="00B41DEB">
        <w:t>Finally, the decadal survey include</w:t>
      </w:r>
      <w:r w:rsidR="00495D42">
        <w:t>d</w:t>
      </w:r>
      <w:r w:rsidR="00B41DEB">
        <w:t xml:space="preserve"> explicit recommendations for funding NASA programs to achieve these prioritized objectives, in a way that is “designed to be affordable, comprehensive, robust, and balanced</w:t>
      </w:r>
      <w:r w:rsidR="00A46B29">
        <w:t xml:space="preserve"> </w:t>
      </w:r>
      <w:r w:rsidR="00A46B29">
        <w:t>(</w:t>
      </w:r>
      <w:r w:rsidR="00A46B29">
        <w:softHyphen/>
      </w:r>
      <w:r w:rsidR="00A46B29" w:rsidRPr="00795162">
        <w:t>National Academies of Sciences, Engineering, and Medicine 2018</w:t>
      </w:r>
      <w:r w:rsidR="00A46B29">
        <w:t>)</w:t>
      </w:r>
      <w:r w:rsidR="004B7E48">
        <w:t>.</w:t>
      </w:r>
      <w:r w:rsidR="00B41DEB">
        <w:t>”</w:t>
      </w:r>
    </w:p>
    <w:p w14:paraId="6D30DE43" w14:textId="2C9B956E" w:rsidR="00526A18" w:rsidRDefault="009813E1" w:rsidP="00B36264">
      <w:pPr>
        <w:spacing w:afterLines="60" w:after="144"/>
      </w:pPr>
      <w:bookmarkStart w:id="6" w:name="_Hlk68112574"/>
      <w:r>
        <w:tab/>
        <w:t>Using the guidance</w:t>
      </w:r>
      <w:r w:rsidR="00D642C1">
        <w:t xml:space="preserve"> </w:t>
      </w:r>
      <w:r>
        <w:t>from the decadal surveys, SMD ensures that its technology development decisions derive from foresight, in that they derive from a coordinated process for making informed decisions</w:t>
      </w:r>
      <w:r w:rsidR="00C25B84" w:rsidRPr="008F590C">
        <w:t xml:space="preserve">. This coordinated process includes analysis of past missions, as well as modeling and testing to develop strategic and </w:t>
      </w:r>
      <w:r w:rsidR="007C1582">
        <w:t>implementation</w:t>
      </w:r>
      <w:r w:rsidR="00C25B84" w:rsidRPr="008F590C">
        <w:t xml:space="preserve"> plans to</w:t>
      </w:r>
      <w:r w:rsidR="007C1582">
        <w:t xml:space="preserve"> minimize risk and</w:t>
      </w:r>
      <w:r w:rsidR="00C25B84" w:rsidRPr="008F590C">
        <w:t xml:space="preserve"> increase likelihood of science mission success. </w:t>
      </w:r>
      <w:r w:rsidR="00C25B84">
        <w:t xml:space="preserve">This NASA process is leveraged to enable mission execution based on science prioritizations from </w:t>
      </w:r>
      <w:r w:rsidR="00F41DD5">
        <w:t>NASEM</w:t>
      </w:r>
      <w:r w:rsidR="00C25B84">
        <w:t>, which collects and consolidates</w:t>
      </w:r>
      <w:r>
        <w:t xml:space="preserve"> input from </w:t>
      </w:r>
      <w:r w:rsidR="00D642C1">
        <w:t xml:space="preserve">a </w:t>
      </w:r>
      <w:r w:rsidR="00C25B84">
        <w:t xml:space="preserve">national </w:t>
      </w:r>
      <w:r w:rsidR="00D642C1">
        <w:t xml:space="preserve">community of experts, while SMD </w:t>
      </w:r>
      <w:r w:rsidR="00C25B84">
        <w:t>leads</w:t>
      </w:r>
      <w:r w:rsidR="00D642C1">
        <w:t xml:space="preserve"> technology development decisions </w:t>
      </w:r>
      <w:r w:rsidR="00C25B84">
        <w:t>to enable transformative science</w:t>
      </w:r>
      <w:r w:rsidR="00D642C1">
        <w:t xml:space="preserve">. </w:t>
      </w:r>
    </w:p>
    <w:bookmarkEnd w:id="6"/>
    <w:p w14:paraId="3C2BDA38" w14:textId="27D1234E" w:rsidR="00D642C1" w:rsidRPr="00096625" w:rsidRDefault="00526A18" w:rsidP="00B36264">
      <w:pPr>
        <w:spacing w:afterLines="60" w:after="144"/>
        <w:rPr>
          <w:i/>
          <w:iCs/>
        </w:rPr>
      </w:pPr>
      <w:r>
        <w:tab/>
      </w:r>
      <w:r w:rsidR="00A4523B">
        <w:t>Ultimately, underpinning every strategic technology development decision at SMD is its mission statement: “</w:t>
      </w:r>
      <w:r w:rsidR="00A4523B" w:rsidRPr="00A4523B">
        <w:t>Discover the secrets of the universe. Search for life elsewhere. Protect and improve life on Earth.</w:t>
      </w:r>
      <w:r w:rsidR="00A4523B">
        <w:t>”</w:t>
      </w:r>
      <w:r w:rsidR="00860674">
        <w:t xml:space="preserve"> </w:t>
      </w:r>
      <w:r w:rsidR="009E4326">
        <w:t xml:space="preserve">To do the science necessary </w:t>
      </w:r>
      <w:r w:rsidR="00D642C1">
        <w:t>to</w:t>
      </w:r>
      <w:r w:rsidR="009E4326">
        <w:t xml:space="preserve"> pursu</w:t>
      </w:r>
      <w:r w:rsidR="00D642C1">
        <w:t>e</w:t>
      </w:r>
      <w:r w:rsidR="009E4326">
        <w:t xml:space="preserve"> these goals, SMD </w:t>
      </w:r>
      <w:r w:rsidR="006D1207">
        <w:t xml:space="preserve">uses </w:t>
      </w:r>
      <w:r w:rsidR="00F41DD5">
        <w:t>NASEM’s</w:t>
      </w:r>
      <w:r w:rsidR="006D1207">
        <w:t xml:space="preserve"> </w:t>
      </w:r>
      <w:r w:rsidR="00D642C1">
        <w:t xml:space="preserve">recommendations </w:t>
      </w:r>
      <w:r w:rsidR="00E9088A">
        <w:t xml:space="preserve">to </w:t>
      </w:r>
      <w:r w:rsidR="009E4326">
        <w:t>balance small, medium, and large missions</w:t>
      </w:r>
      <w:r w:rsidR="00D642C1">
        <w:t xml:space="preserve"> across the </w:t>
      </w:r>
      <w:r w:rsidR="00C4301F">
        <w:t xml:space="preserve">directorate’s </w:t>
      </w:r>
      <w:r w:rsidR="00D642C1">
        <w:t>five divisions.</w:t>
      </w:r>
    </w:p>
    <w:p w14:paraId="76FCA7A7" w14:textId="55B8B637" w:rsidR="007F4AC6" w:rsidRPr="00096625" w:rsidRDefault="007F4AC6" w:rsidP="00B36264">
      <w:pPr>
        <w:spacing w:afterLines="60" w:after="144"/>
        <w:rPr>
          <w:i/>
          <w:iCs/>
        </w:rPr>
      </w:pPr>
      <w:r w:rsidRPr="00096625">
        <w:rPr>
          <w:i/>
          <w:iCs/>
        </w:rPr>
        <w:t>Human Exploration and Operations Mission Directorate (HEOMD)</w:t>
      </w:r>
    </w:p>
    <w:p w14:paraId="7FE7D1E6" w14:textId="79475065" w:rsidR="00D703B2" w:rsidRDefault="00D642C1" w:rsidP="00B36264">
      <w:pPr>
        <w:spacing w:afterLines="60" w:after="144"/>
      </w:pPr>
      <w:r>
        <w:lastRenderedPageBreak/>
        <w:tab/>
      </w:r>
      <w:r w:rsidR="002A01B4">
        <w:t xml:space="preserve">Finally, </w:t>
      </w:r>
      <w:r w:rsidR="00D703B2">
        <w:t xml:space="preserve">capability needs for </w:t>
      </w:r>
      <w:r w:rsidR="002A01B4">
        <w:t>h</w:t>
      </w:r>
      <w:r w:rsidR="005E0DD2">
        <w:t>uman exploration architectures drive technology development a</w:t>
      </w:r>
      <w:r w:rsidR="004F3E90">
        <w:t>t HEOMD</w:t>
      </w:r>
      <w:r w:rsidR="005E0DD2">
        <w:t>.</w:t>
      </w:r>
      <w:r w:rsidR="003712F9">
        <w:t xml:space="preserve"> </w:t>
      </w:r>
      <w:r w:rsidR="00347B4F">
        <w:t>As of 2021, HEOMD develops technologies that enable capabilities for missions in the Moon-to-Mars architecture</w:t>
      </w:r>
      <w:r w:rsidR="00E9088A">
        <w:t>. This architecture includes</w:t>
      </w:r>
      <w:r w:rsidR="00347B4F">
        <w:t xml:space="preserve"> </w:t>
      </w:r>
      <w:r w:rsidR="00904AEF">
        <w:t xml:space="preserve">the Gateway </w:t>
      </w:r>
      <w:r w:rsidR="00347B4F">
        <w:t xml:space="preserve">orbiting lunar outpost, </w:t>
      </w:r>
      <w:r w:rsidR="00904AEF">
        <w:t xml:space="preserve">Artemis missions returning humans to the lunar surface building to a </w:t>
      </w:r>
      <w:r w:rsidR="00347B4F">
        <w:t>sustained human presence on the Moon, and a roundtrip human mission to Mars</w:t>
      </w:r>
      <w:r w:rsidR="00FB0ABF">
        <w:t xml:space="preserve"> (NASA 2020d)</w:t>
      </w:r>
      <w:r w:rsidR="00347B4F">
        <w:t xml:space="preserve">. Because these missions have crosscutting capability needs, HEOMD works with an internal community of experts to identify </w:t>
      </w:r>
      <w:r w:rsidR="00BA0005">
        <w:t>gaps in needed capability areas and the technologies needed to address those gaps.</w:t>
      </w:r>
    </w:p>
    <w:p w14:paraId="1CD8C066" w14:textId="2D22F3BD" w:rsidR="00526A18" w:rsidRDefault="00BA0005" w:rsidP="00B36264">
      <w:pPr>
        <w:spacing w:afterLines="60" w:after="144"/>
      </w:pPr>
      <w:r>
        <w:tab/>
        <w:t>HEOMD</w:t>
      </w:r>
      <w:r w:rsidR="009F531F">
        <w:t xml:space="preserve"> uses an </w:t>
      </w:r>
      <w:r>
        <w:t>annual capability data call</w:t>
      </w:r>
      <w:r w:rsidR="009F531F">
        <w:t xml:space="preserve"> and analysis to incorporate foresight in its strategic technology development approach.</w:t>
      </w:r>
      <w:r w:rsidR="009D0A84">
        <w:t xml:space="preserve"> This data call goes to technical discipline experts </w:t>
      </w:r>
      <w:r w:rsidR="00A12935">
        <w:t>from across</w:t>
      </w:r>
      <w:r w:rsidR="009D0A84">
        <w:t xml:space="preserve"> NASA, including </w:t>
      </w:r>
      <w:r w:rsidR="00A12935">
        <w:t>S</w:t>
      </w:r>
      <w:r w:rsidR="009D0A84">
        <w:t>ystems Capability Leadership Team</w:t>
      </w:r>
      <w:r w:rsidR="00A12935">
        <w:t xml:space="preserve"> members, principal technologists from STMD, technology program executives from HEOMD, and </w:t>
      </w:r>
      <w:r w:rsidR="00C44FFA">
        <w:t>t</w:t>
      </w:r>
      <w:r w:rsidR="00A12935">
        <w:t xml:space="preserve">echnical </w:t>
      </w:r>
      <w:r w:rsidR="00C44FFA">
        <w:t>f</w:t>
      </w:r>
      <w:r w:rsidR="00A12935">
        <w:t>ellows from NASA’s Engineering and Safety Center</w:t>
      </w:r>
      <w:r w:rsidR="00F20016">
        <w:t xml:space="preserve"> (Boggs et al. 2020)</w:t>
      </w:r>
      <w:r w:rsidR="00A12935">
        <w:t>.</w:t>
      </w:r>
    </w:p>
    <w:p w14:paraId="65BC2C39" w14:textId="77777777" w:rsidR="00526A18" w:rsidRDefault="00526A18" w:rsidP="00B36264">
      <w:pPr>
        <w:spacing w:afterLines="60" w:after="144"/>
      </w:pPr>
      <w:r>
        <w:tab/>
      </w:r>
      <w:r w:rsidR="00A12935">
        <w:t xml:space="preserve">The data call invites these experts to identify known gaps in capability areas, at the level of vehicles, systems, and components. These experts are to describe capability gaps in quantitative terms instead of technological solutions. The data call also requests that the experts characterize capability gaps in terms of five possible closure pathways: </w:t>
      </w:r>
      <w:r w:rsidR="00012670">
        <w:t xml:space="preserve">new </w:t>
      </w:r>
      <w:r w:rsidR="00A12935">
        <w:t xml:space="preserve">technology, development, engineering, </w:t>
      </w:r>
      <w:r w:rsidR="00012670">
        <w:t xml:space="preserve">acquisition of new </w:t>
      </w:r>
      <w:r w:rsidR="00A12935">
        <w:t>knowledge, or architectur</w:t>
      </w:r>
      <w:r w:rsidR="00012670">
        <w:t xml:space="preserve">al trade studies. </w:t>
      </w:r>
    </w:p>
    <w:p w14:paraId="28CEC9AA" w14:textId="30ED5C59" w:rsidR="00F64134" w:rsidRDefault="00526A18" w:rsidP="00B36264">
      <w:pPr>
        <w:spacing w:afterLines="60" w:after="144"/>
      </w:pPr>
      <w:r>
        <w:tab/>
      </w:r>
      <w:r w:rsidR="00FC78C0">
        <w:t xml:space="preserve">A Capability Integration Team </w:t>
      </w:r>
      <w:r w:rsidR="00F64134">
        <w:t xml:space="preserve">(CIT) collects and analyzes the data call responses. At the beginning and again at the end of the data call process, the CIT works with HEOMD’s human spaceflight architecture team, which defines requirements for human missions, to provide any additional capability gaps. </w:t>
      </w:r>
      <w:r w:rsidR="009042E0">
        <w:t xml:space="preserve">Finally, the CIT maps the closure of capability gaps to the different architecture elements that then become possible. </w:t>
      </w:r>
      <w:r w:rsidR="00F64134">
        <w:t>The 2020 data call found that 36</w:t>
      </w:r>
      <w:r w:rsidR="00EA59E1">
        <w:t xml:space="preserve"> percent</w:t>
      </w:r>
      <w:r w:rsidR="00F64134">
        <w:t xml:space="preserve"> of the identified capability gaps required a technology development solution to achieve closure</w:t>
      </w:r>
      <w:r w:rsidR="005C1D26">
        <w:t xml:space="preserve"> (Benjamin et al. 2021)</w:t>
      </w:r>
      <w:r w:rsidR="00F64134">
        <w:t>.</w:t>
      </w:r>
    </w:p>
    <w:p w14:paraId="6F5B04D5" w14:textId="200BEC29" w:rsidR="00DB0AD3" w:rsidRDefault="00214009" w:rsidP="00B36264">
      <w:pPr>
        <w:spacing w:afterLines="60" w:after="144"/>
      </w:pPr>
      <w:r>
        <w:tab/>
      </w:r>
      <w:r w:rsidR="006B658F">
        <w:t>Using</w:t>
      </w:r>
      <w:r>
        <w:t xml:space="preserve"> the results of the data call and </w:t>
      </w:r>
      <w:r w:rsidR="00D639D1">
        <w:t xml:space="preserve">ensuing </w:t>
      </w:r>
      <w:r>
        <w:t>analysis</w:t>
      </w:r>
      <w:r w:rsidR="006B658F">
        <w:t xml:space="preserve">, </w:t>
      </w:r>
      <w:r w:rsidR="00D639D1">
        <w:t xml:space="preserve">HEOMD can strategize </w:t>
      </w:r>
      <w:r w:rsidR="00721862">
        <w:t xml:space="preserve">for </w:t>
      </w:r>
      <w:r w:rsidR="00D639D1">
        <w:t>technology development that is resilient to uncertainty. While every mission directorate faces uncertainty, HEOMD in particular faces a “fundamental uncertainty due to the ever-evolving architectures for Moon and Mars exploration, along with the interconnectedness of elements within these architectures”</w:t>
      </w:r>
      <w:r w:rsidR="000508D4">
        <w:t xml:space="preserve"> (Burg et al. 2021).</w:t>
      </w:r>
      <w:r w:rsidR="00D639D1">
        <w:t xml:space="preserve"> </w:t>
      </w:r>
      <w:r w:rsidR="00075B73">
        <w:t>In addition to the evolving and interconnected nature of exploration architectures, HEOMD is uniquely challenged in the demonstration of technolog</w:t>
      </w:r>
      <w:r w:rsidR="00F07A8A">
        <w:t>ies</w:t>
      </w:r>
      <w:r w:rsidR="00075B73">
        <w:t xml:space="preserve">, which requires testing in </w:t>
      </w:r>
      <w:r w:rsidR="009C573E">
        <w:t>a relevant</w:t>
      </w:r>
      <w:r w:rsidR="00075B73">
        <w:t xml:space="preserve"> environment</w:t>
      </w:r>
      <w:r w:rsidR="009C573E">
        <w:t xml:space="preserve"> and demonstrati</w:t>
      </w:r>
      <w:r w:rsidR="00F8577C">
        <w:t>ng</w:t>
      </w:r>
      <w:r w:rsidR="009C573E">
        <w:t xml:space="preserve"> sufficient reliability to enable humans to live in space for long durations with little or no resupply</w:t>
      </w:r>
      <w:r w:rsidR="00075B73">
        <w:t>. Testing on Mars depends on a t</w:t>
      </w:r>
      <w:r w:rsidR="00526A18">
        <w:t>wo</w:t>
      </w:r>
      <w:r w:rsidR="00075B73">
        <w:t xml:space="preserve">-year cycle for orbital alignment, and as yet, the tested technology cannot return to Earth for a posttest analysis. </w:t>
      </w:r>
      <w:r w:rsidR="0051627F">
        <w:t>Although technology demonstrated on the ISS</w:t>
      </w:r>
      <w:r w:rsidR="009C573E">
        <w:t xml:space="preserve"> and Gateway</w:t>
      </w:r>
      <w:r w:rsidR="0051627F">
        <w:t xml:space="preserve"> can return to Earth, </w:t>
      </w:r>
      <w:r w:rsidR="009C573E">
        <w:t>both platforms have</w:t>
      </w:r>
      <w:r w:rsidR="00075B73">
        <w:t xml:space="preserve"> limited volume available for testing</w:t>
      </w:r>
      <w:r w:rsidR="0051627F">
        <w:t xml:space="preserve"> technology in microgravity and the space environment</w:t>
      </w:r>
      <w:r w:rsidR="00075B73">
        <w:t>.</w:t>
      </w:r>
      <w:r w:rsidR="009F54A6">
        <w:t xml:space="preserve"> </w:t>
      </w:r>
      <w:r w:rsidR="009C573E">
        <w:t>Furthermore, ISS, Gateway, and the Artemis missions provide different and compl</w:t>
      </w:r>
      <w:r w:rsidR="00AC09A1">
        <w:t>e</w:t>
      </w:r>
      <w:r w:rsidR="009C573E">
        <w:t>mentary environments and crewed durations that are analogous to aspects of roundtrip human missions to Mars. Specifically, the ISS tends to be preferred for long</w:t>
      </w:r>
      <w:r w:rsidR="005910DC">
        <w:t>-</w:t>
      </w:r>
      <w:r w:rsidR="009C573E">
        <w:t xml:space="preserve">duration testing of capabilities needed for Mars transit, Artemis is preferred for testing Mars surface capabilities, and Gateway provides opportunities for furthering our autonomy and radiation protection technologies. Coordinating payload manifests and technology demonstration opportunities across these platforms is a complex challenge.  </w:t>
      </w:r>
      <w:r w:rsidR="00075B73">
        <w:t xml:space="preserve">With </w:t>
      </w:r>
      <w:r w:rsidR="00DB0AD3">
        <w:t>foresight, HEOMD not only coordinates expert input to inform technology development decisions</w:t>
      </w:r>
      <w:r w:rsidR="001E09FC">
        <w:t>,</w:t>
      </w:r>
      <w:r w:rsidR="00DB0AD3">
        <w:t xml:space="preserve"> but also </w:t>
      </w:r>
      <w:r w:rsidR="00DB0AD3">
        <w:lastRenderedPageBreak/>
        <w:t xml:space="preserve">considers the breadth and depth with which a capability—as well as the technologies </w:t>
      </w:r>
      <w:r w:rsidR="00075B73">
        <w:t xml:space="preserve">and technology demonstrations </w:t>
      </w:r>
      <w:r w:rsidR="00DB0AD3">
        <w:t>that enable it—is needed.</w:t>
      </w:r>
    </w:p>
    <w:p w14:paraId="77952DED" w14:textId="5A88F9D9" w:rsidR="00526A18" w:rsidRDefault="00DB0AD3" w:rsidP="00B36264">
      <w:pPr>
        <w:spacing w:afterLines="60" w:after="144"/>
      </w:pPr>
      <w:r>
        <w:tab/>
      </w:r>
      <w:r w:rsidR="00013CDC" w:rsidRPr="00AE6F77">
        <w:t xml:space="preserve">Across all four mission directorates, NASA’s </w:t>
      </w:r>
      <w:r w:rsidR="003C4A1B" w:rsidRPr="00AE6F77">
        <w:t xml:space="preserve">approach </w:t>
      </w:r>
      <w:r w:rsidR="00013CDC" w:rsidRPr="00AE6F77">
        <w:t>to</w:t>
      </w:r>
      <w:r w:rsidR="003C4A1B" w:rsidRPr="00AE6F77">
        <w:t xml:space="preserve"> strategic technology development operationalizes foresight.</w:t>
      </w:r>
      <w:r>
        <w:t xml:space="preserve"> For each mission directorate, r</w:t>
      </w:r>
      <w:r w:rsidR="00AE6F77">
        <w:t>ecommendatio</w:t>
      </w:r>
      <w:r w:rsidR="00AE6F77" w:rsidRPr="009E4326">
        <w:t xml:space="preserve">ns from </w:t>
      </w:r>
      <w:r w:rsidR="00C12795" w:rsidRPr="009E4326">
        <w:t>a broad community of expertise</w:t>
      </w:r>
      <w:r w:rsidR="00AE6F77" w:rsidRPr="009E4326">
        <w:t xml:space="preserve"> dr</w:t>
      </w:r>
      <w:r w:rsidR="00AE6F77">
        <w:t xml:space="preserve">ive decision making for technology development </w:t>
      </w:r>
      <w:r>
        <w:t>over decades.</w:t>
      </w:r>
      <w:r w:rsidR="009162AE">
        <w:t xml:space="preserve"> This community comprises both internal expertise (such as the STMD principal technologists) and external expertise (such as the steering committee members for </w:t>
      </w:r>
      <w:r w:rsidR="00F41DD5">
        <w:t>NASEM’s</w:t>
      </w:r>
      <w:r w:rsidR="00721862">
        <w:t xml:space="preserve"> </w:t>
      </w:r>
      <w:r w:rsidR="009162AE">
        <w:t xml:space="preserve">decadal surveys). The inputs from this community of expertise ensure the quality of foresight in NASA’s technology development decisions. </w:t>
      </w:r>
    </w:p>
    <w:p w14:paraId="00574BFF" w14:textId="53E5DCF6" w:rsidR="003C4A1B" w:rsidRDefault="00526A18" w:rsidP="00B36264">
      <w:pPr>
        <w:spacing w:afterLines="60" w:after="144"/>
      </w:pPr>
      <w:r>
        <w:tab/>
      </w:r>
      <w:r w:rsidR="009162AE">
        <w:t>Furthermore, each mission directorate builds a degree of flexibility into its decades-long technology development strategies. B</w:t>
      </w:r>
      <w:r w:rsidR="00AE6F77">
        <w:t xml:space="preserve">y focusing </w:t>
      </w:r>
      <w:r w:rsidR="009162AE">
        <w:t xml:space="preserve">these strategies </w:t>
      </w:r>
      <w:r w:rsidR="00AE6F77">
        <w:t>on desired outcomes and capabilities rather than specific technical solutions</w:t>
      </w:r>
      <w:r w:rsidR="009162AE">
        <w:t xml:space="preserve">, each mission directorate </w:t>
      </w:r>
      <w:r w:rsidR="00935B62">
        <w:t xml:space="preserve">accounts for </w:t>
      </w:r>
      <w:r w:rsidR="00F07A8A">
        <w:t xml:space="preserve">anticipated </w:t>
      </w:r>
      <w:r w:rsidR="00935B62">
        <w:t xml:space="preserve">and </w:t>
      </w:r>
      <w:r w:rsidR="00025814">
        <w:t>u</w:t>
      </w:r>
      <w:r w:rsidR="00910BED">
        <w:t>nanticipated</w:t>
      </w:r>
      <w:r w:rsidR="00935B62">
        <w:t xml:space="preserve"> opportunities and challenges that might arise and impact technology developments. </w:t>
      </w:r>
    </w:p>
    <w:p w14:paraId="17ED95E9" w14:textId="4A795CA6" w:rsidR="00935B62" w:rsidRPr="00AE6F77" w:rsidRDefault="00935B62" w:rsidP="00B36264">
      <w:pPr>
        <w:spacing w:afterLines="60" w:after="144"/>
      </w:pPr>
      <w:r>
        <w:tab/>
        <w:t>Coordinating the many different inputs within each mission directorate is a challenge in itself. Coordinating the different technology development strategies throughout the agency is a separate challenge, for which NASA instituted an independent</w:t>
      </w:r>
      <w:r w:rsidR="0097347E">
        <w:t xml:space="preserve"> office</w:t>
      </w:r>
      <w:r>
        <w:t>, described in the next section.</w:t>
      </w:r>
    </w:p>
    <w:p w14:paraId="1EC82BF4" w14:textId="46416CCA" w:rsidR="006221B3" w:rsidRPr="00543760" w:rsidRDefault="006221B3" w:rsidP="00B36264">
      <w:pPr>
        <w:spacing w:afterLines="60" w:after="144"/>
        <w:rPr>
          <w:b/>
          <w:bCs/>
        </w:rPr>
      </w:pPr>
      <w:r>
        <w:rPr>
          <w:b/>
          <w:bCs/>
        </w:rPr>
        <w:t>OCT Activities to Enhance Foresight in Strategic Technology Development</w:t>
      </w:r>
    </w:p>
    <w:p w14:paraId="3998BDC0" w14:textId="65E6EEC1" w:rsidR="00B36264" w:rsidRDefault="005D749A" w:rsidP="00B36264">
      <w:pPr>
        <w:pStyle w:val="NormalNumberedList"/>
        <w:numPr>
          <w:ilvl w:val="0"/>
          <w:numId w:val="0"/>
        </w:numPr>
        <w:spacing w:after="60"/>
      </w:pPr>
      <w:r>
        <w:tab/>
      </w:r>
      <w:r w:rsidR="006221B3">
        <w:t xml:space="preserve">This section describes how OCT </w:t>
      </w:r>
      <w:r w:rsidR="00654599">
        <w:t>performs</w:t>
      </w:r>
      <w:r w:rsidR="006221B3">
        <w:t xml:space="preserve"> three</w:t>
      </w:r>
      <w:r w:rsidR="001E09FC">
        <w:t xml:space="preserve"> major</w:t>
      </w:r>
      <w:r w:rsidR="006221B3">
        <w:t xml:space="preserve"> activities to </w:t>
      </w:r>
      <w:r>
        <w:t>enable</w:t>
      </w:r>
      <w:r w:rsidR="006221B3">
        <w:t xml:space="preserve"> </w:t>
      </w:r>
      <w:r w:rsidR="00654599">
        <w:t xml:space="preserve">the use of foresight in </w:t>
      </w:r>
      <w:r w:rsidR="006221B3">
        <w:t>strategic technology development</w:t>
      </w:r>
      <w:r w:rsidR="00654599">
        <w:t xml:space="preserve"> across NASA</w:t>
      </w:r>
      <w:r w:rsidR="006221B3">
        <w:t>, with an emphasis on integration, partnership, and innovation.</w:t>
      </w:r>
      <w:r w:rsidR="000F48A8">
        <w:t xml:space="preserve"> </w:t>
      </w:r>
    </w:p>
    <w:p w14:paraId="6172281A" w14:textId="59E8F8E3" w:rsidR="00526A18" w:rsidRDefault="00B36264" w:rsidP="00257D03">
      <w:pPr>
        <w:pStyle w:val="NormalNumberedList"/>
        <w:numPr>
          <w:ilvl w:val="0"/>
          <w:numId w:val="0"/>
        </w:numPr>
        <w:spacing w:after="60"/>
      </w:pPr>
      <w:r>
        <w:tab/>
      </w:r>
      <w:r w:rsidR="005D749A">
        <w:t>The coordination that enables</w:t>
      </w:r>
      <w:r w:rsidR="00655998">
        <w:t xml:space="preserve"> the use of foresight in technology development </w:t>
      </w:r>
      <w:r w:rsidR="005D749A">
        <w:t>at</w:t>
      </w:r>
      <w:r w:rsidR="006221B3">
        <w:t xml:space="preserve"> NASA is a massive and complex undertaking. </w:t>
      </w:r>
      <w:r w:rsidR="00843D99">
        <w:t xml:space="preserve">As </w:t>
      </w:r>
      <w:r w:rsidR="00C4301F">
        <w:t>previously</w:t>
      </w:r>
      <w:r w:rsidR="00843D99">
        <w:t xml:space="preserve"> described, coordinating technology development within each mission directorate involves collecting and analyzing inputs from a community of experts and </w:t>
      </w:r>
      <w:r w:rsidR="007E1E8A">
        <w:t xml:space="preserve">then using that analysis to inform carefully detailed strategies, ensure alignment with the mission directorate’s objectives, identify and mitigate gaps, and balance the mission directorate’s portfolio. </w:t>
      </w:r>
    </w:p>
    <w:p w14:paraId="468E9701" w14:textId="345AAF1F" w:rsidR="00257D03" w:rsidRDefault="00526A18" w:rsidP="00257D03">
      <w:pPr>
        <w:pStyle w:val="NormalNumberedList"/>
        <w:numPr>
          <w:ilvl w:val="0"/>
          <w:numId w:val="0"/>
        </w:numPr>
        <w:spacing w:after="60"/>
      </w:pPr>
      <w:r>
        <w:tab/>
      </w:r>
      <w:r w:rsidRPr="00526A18">
        <w:t>This coordination is connected through a larger scale effort to inform agency-wide policies and strategies for technology development.</w:t>
      </w:r>
      <w:r>
        <w:t xml:space="preserve"> </w:t>
      </w:r>
      <w:r w:rsidR="009A2356">
        <w:t xml:space="preserve">In addition to working with a broad community of experts, this agency-level effort involves working with </w:t>
      </w:r>
      <w:r w:rsidR="00F07A8A">
        <w:t xml:space="preserve">U.S. </w:t>
      </w:r>
      <w:r w:rsidR="009A2356">
        <w:t xml:space="preserve">Congress and the </w:t>
      </w:r>
      <w:r w:rsidR="00F07A8A">
        <w:t xml:space="preserve">President’s </w:t>
      </w:r>
      <w:r>
        <w:t>Administration</w:t>
      </w:r>
      <w:r w:rsidR="009A2356">
        <w:t xml:space="preserve">, international partners, commercial partners, and the general public, to articulate technology development needs and ensure alignment with activities throughout the agency. </w:t>
      </w:r>
      <w:r w:rsidR="00257D03">
        <w:t xml:space="preserve">Ultimately, this larger effort makes it possible for NASA to account for </w:t>
      </w:r>
      <w:r w:rsidR="00F07A8A">
        <w:t xml:space="preserve">anticipated </w:t>
      </w:r>
      <w:r w:rsidR="00257D03">
        <w:t xml:space="preserve">and </w:t>
      </w:r>
      <w:r w:rsidR="00BF406E">
        <w:t xml:space="preserve">unanticipated </w:t>
      </w:r>
      <w:r w:rsidR="00257D03">
        <w:t xml:space="preserve">challenges and opportunities </w:t>
      </w:r>
      <w:r w:rsidR="00797A04">
        <w:t xml:space="preserve">for technology development </w:t>
      </w:r>
      <w:r w:rsidR="00257D03">
        <w:t>as they arise. To undertake this effort, NASA empowered OCT as an agency-level</w:t>
      </w:r>
      <w:r w:rsidR="0097347E">
        <w:t xml:space="preserve"> office</w:t>
      </w:r>
      <w:r w:rsidR="00257D03">
        <w:t xml:space="preserve"> independent of any mission directorate.</w:t>
      </w:r>
    </w:p>
    <w:p w14:paraId="48EFCA35" w14:textId="21022AF1" w:rsidR="00E84816" w:rsidRDefault="00257D03" w:rsidP="00E84816">
      <w:pPr>
        <w:pStyle w:val="NormalNumberedList"/>
        <w:numPr>
          <w:ilvl w:val="0"/>
          <w:numId w:val="0"/>
        </w:numPr>
        <w:spacing w:after="60"/>
      </w:pPr>
      <w:r>
        <w:tab/>
      </w:r>
      <w:r w:rsidR="006221B3">
        <w:t xml:space="preserve">OCT leads </w:t>
      </w:r>
      <w:r w:rsidR="00655998">
        <w:t>three</w:t>
      </w:r>
      <w:r w:rsidR="006221B3">
        <w:t xml:space="preserve"> activities in the implementation of NASA’s </w:t>
      </w:r>
      <w:r>
        <w:t xml:space="preserve">overarching </w:t>
      </w:r>
      <w:r w:rsidR="006221B3">
        <w:t>strategic technology development approach</w:t>
      </w:r>
      <w:r w:rsidR="00797A04">
        <w:t xml:space="preserve">: </w:t>
      </w:r>
      <w:r w:rsidR="0051627F">
        <w:t>s</w:t>
      </w:r>
      <w:r w:rsidR="00797A04">
        <w:t xml:space="preserve">trategic </w:t>
      </w:r>
      <w:r w:rsidR="0051627F">
        <w:t>i</w:t>
      </w:r>
      <w:r w:rsidR="00797A04">
        <w:t xml:space="preserve">ntegration, </w:t>
      </w:r>
      <w:r w:rsidR="0051627F">
        <w:t>s</w:t>
      </w:r>
      <w:r w:rsidR="00797A04">
        <w:t xml:space="preserve">cience and </w:t>
      </w:r>
      <w:r w:rsidR="0051627F">
        <w:t>t</w:t>
      </w:r>
      <w:r w:rsidR="00797A04">
        <w:t xml:space="preserve">echnology (S&amp;T) </w:t>
      </w:r>
      <w:r w:rsidR="0051627F">
        <w:t>p</w:t>
      </w:r>
      <w:r w:rsidR="00797A04">
        <w:t xml:space="preserve">artnership, and </w:t>
      </w:r>
      <w:r w:rsidR="0051627F">
        <w:t>i</w:t>
      </w:r>
      <w:r w:rsidR="00797A04">
        <w:t>nnovation.</w:t>
      </w:r>
      <w:r w:rsidR="00655998">
        <w:t xml:space="preserve"> </w:t>
      </w:r>
      <w:r>
        <w:t xml:space="preserve">With these activities, OCT </w:t>
      </w:r>
      <w:r w:rsidR="00E84816">
        <w:t>provides agency-level coordination as well as serves in an advisory role within and on behalf of the agency.</w:t>
      </w:r>
    </w:p>
    <w:p w14:paraId="08F890D0" w14:textId="52C1BAA3" w:rsidR="00450ADD" w:rsidRDefault="00E84816" w:rsidP="00B37E91">
      <w:pPr>
        <w:pStyle w:val="NormalNumberedList"/>
        <w:numPr>
          <w:ilvl w:val="0"/>
          <w:numId w:val="0"/>
        </w:numPr>
        <w:spacing w:after="60"/>
      </w:pPr>
      <w:r>
        <w:tab/>
      </w:r>
      <w:r w:rsidR="005D749A">
        <w:t>With</w:t>
      </w:r>
      <w:r w:rsidR="00AE688C">
        <w:t>in</w:t>
      </w:r>
      <w:r w:rsidR="005D749A">
        <w:t xml:space="preserve"> </w:t>
      </w:r>
      <w:r w:rsidR="00526A18">
        <w:t xml:space="preserve">its </w:t>
      </w:r>
      <w:r w:rsidR="0051627F">
        <w:t>s</w:t>
      </w:r>
      <w:r w:rsidR="00C82835" w:rsidRPr="00754C23">
        <w:t xml:space="preserve">trategic </w:t>
      </w:r>
      <w:r w:rsidR="0051627F">
        <w:t>i</w:t>
      </w:r>
      <w:r w:rsidR="00C82835" w:rsidRPr="00754C23">
        <w:t xml:space="preserve">ntegration </w:t>
      </w:r>
      <w:r w:rsidR="0051627F">
        <w:t>activity</w:t>
      </w:r>
      <w:r w:rsidR="005D749A">
        <w:t xml:space="preserve">, OCT </w:t>
      </w:r>
      <w:r w:rsidR="00B37E91">
        <w:t xml:space="preserve">coordinates </w:t>
      </w:r>
      <w:r w:rsidR="00575B68">
        <w:t xml:space="preserve">input from </w:t>
      </w:r>
      <w:r w:rsidR="00FA0950">
        <w:t>NASA’s four mission directorates</w:t>
      </w:r>
      <w:r w:rsidR="00B37E91">
        <w:t xml:space="preserve"> to develop policy, requirements, and strategy for technology development.</w:t>
      </w:r>
      <w:r w:rsidR="00A37CA7">
        <w:t xml:space="preserve"> </w:t>
      </w:r>
      <w:r w:rsidR="00A37CA7">
        <w:lastRenderedPageBreak/>
        <w:t xml:space="preserve">Through </w:t>
      </w:r>
      <w:r w:rsidR="00AE688C">
        <w:t>this</w:t>
      </w:r>
      <w:r w:rsidR="00A37CA7">
        <w:t xml:space="preserve"> </w:t>
      </w:r>
      <w:r w:rsidR="000D5CFD">
        <w:t>integration</w:t>
      </w:r>
      <w:r w:rsidR="00A37CA7">
        <w:t>, OCT captures and shares best practices</w:t>
      </w:r>
      <w:r w:rsidR="009C7DD5">
        <w:t xml:space="preserve"> for guiding technology development, including among other government agencies.</w:t>
      </w:r>
      <w:r w:rsidR="00F219FF">
        <w:t xml:space="preserve"> OCT supports and augments these best practices through targeted studies. </w:t>
      </w:r>
      <w:r w:rsidR="00B37E91">
        <w:t xml:space="preserve">Two major outputs of the </w:t>
      </w:r>
      <w:r w:rsidR="0051627F">
        <w:t>s</w:t>
      </w:r>
      <w:r w:rsidR="00001805">
        <w:t xml:space="preserve">trategic </w:t>
      </w:r>
      <w:r w:rsidR="0051627F">
        <w:t>i</w:t>
      </w:r>
      <w:r w:rsidR="00001805">
        <w:t xml:space="preserve">ntegration </w:t>
      </w:r>
      <w:r w:rsidR="0051627F">
        <w:t xml:space="preserve">activity </w:t>
      </w:r>
      <w:r w:rsidR="00B37E91">
        <w:t>are</w:t>
      </w:r>
      <w:r w:rsidR="00001805">
        <w:t xml:space="preserve"> the Technology Taxonomy</w:t>
      </w:r>
      <w:r w:rsidR="00B37E91">
        <w:t xml:space="preserve"> and the Strategic Technology Investment Plan</w:t>
      </w:r>
      <w:r w:rsidR="00DB14C0">
        <w:t xml:space="preserve"> (STIP).</w:t>
      </w:r>
    </w:p>
    <w:p w14:paraId="572DE6D2" w14:textId="046FAE73" w:rsidR="00001805" w:rsidRDefault="00281F14" w:rsidP="00B37E91">
      <w:pPr>
        <w:pStyle w:val="NormalNumberedList"/>
        <w:numPr>
          <w:ilvl w:val="0"/>
          <w:numId w:val="0"/>
        </w:numPr>
        <w:spacing w:after="60"/>
      </w:pPr>
      <w:r>
        <w:tab/>
      </w:r>
      <w:r w:rsidR="00B37E91">
        <w:t>NASA uses the Technology Taxonomy</w:t>
      </w:r>
      <w:r w:rsidR="0052294C">
        <w:t xml:space="preserve"> to standardize </w:t>
      </w:r>
      <w:r w:rsidR="008214AE">
        <w:t>communication</w:t>
      </w:r>
      <w:r w:rsidR="00CD6184">
        <w:t xml:space="preserve"> across the agency</w:t>
      </w:r>
      <w:r w:rsidR="002356EA">
        <w:t>’s</w:t>
      </w:r>
      <w:r w:rsidR="00CD6184">
        <w:t xml:space="preserve"> diverse technology portfolio</w:t>
      </w:r>
      <w:r w:rsidR="000F7F5C">
        <w:t xml:space="preserve">. </w:t>
      </w:r>
      <w:r w:rsidR="00C44FFA">
        <w:t xml:space="preserve">To develop the 2020 version of the Technology Taxonomy, OCT worked with NASA’s Center Technology Council to coordinate input from internal experts, including technical fellows, </w:t>
      </w:r>
      <w:r w:rsidR="00F07A8A">
        <w:t>S</w:t>
      </w:r>
      <w:r w:rsidR="00C44FFA">
        <w:t xml:space="preserve">ystems </w:t>
      </w:r>
      <w:r w:rsidR="00F07A8A">
        <w:t>C</w:t>
      </w:r>
      <w:r w:rsidR="00C44FFA">
        <w:t xml:space="preserve">apability </w:t>
      </w:r>
      <w:r w:rsidR="00F07A8A">
        <w:t>L</w:t>
      </w:r>
      <w:r w:rsidR="00C44FFA">
        <w:t xml:space="preserve">eaders, and principal technologists. A </w:t>
      </w:r>
      <w:r>
        <w:t xml:space="preserve">taxonomy </w:t>
      </w:r>
      <w:r w:rsidR="00C44FFA">
        <w:t xml:space="preserve">draft was </w:t>
      </w:r>
      <w:r>
        <w:t>then</w:t>
      </w:r>
      <w:r w:rsidR="00C44FFA">
        <w:t xml:space="preserve"> circulated throughout the agency to collect feedback and then made available for public review and comment. </w:t>
      </w:r>
      <w:r w:rsidR="00450ADD">
        <w:t xml:space="preserve">The final version comprised 17 discipline-based technology areas, which were further broken down by subareas and then technology types within the subareas. </w:t>
      </w:r>
      <w:r w:rsidR="00A762E1" w:rsidRPr="00096625">
        <w:t>The taxonomy is a foundational element of NASA’s technology management process. NASA’s mission directorates reference the taxonomy to solicit technology development proposals and to inform decisions on NASA’s technology policy, prioritization, and strategic investments.</w:t>
      </w:r>
      <w:r w:rsidR="00A762E1" w:rsidRPr="00096625">
        <w:rPr>
          <w:color w:val="333333"/>
          <w:shd w:val="clear" w:color="auto" w:fill="FFFFFF"/>
          <w:vertAlign w:val="superscript"/>
        </w:rPr>
        <w:t xml:space="preserve"> 30</w:t>
      </w:r>
      <w:r w:rsidRPr="00A40A98">
        <w:t xml:space="preserve"> The</w:t>
      </w:r>
      <w:r>
        <w:t xml:space="preserve"> Technology Taxonomy also provides the organizing structure for NASA’s technology tracking database TechPort, which makes data on </w:t>
      </w:r>
      <w:r w:rsidR="00526A18">
        <w:t xml:space="preserve">more than </w:t>
      </w:r>
      <w:r>
        <w:t>12,000 technology projects searchable and available to the public</w:t>
      </w:r>
      <w:r w:rsidR="00A648E3">
        <w:t xml:space="preserve"> (NASA 2021b)</w:t>
      </w:r>
      <w:r>
        <w:t>.</w:t>
      </w:r>
    </w:p>
    <w:p w14:paraId="65B370EE" w14:textId="77777777" w:rsidR="0096133E" w:rsidRDefault="001D77B5" w:rsidP="006E5CDE">
      <w:pPr>
        <w:pStyle w:val="NormalNumberedList"/>
        <w:numPr>
          <w:ilvl w:val="0"/>
          <w:numId w:val="0"/>
        </w:numPr>
        <w:spacing w:after="60"/>
      </w:pPr>
      <w:r>
        <w:tab/>
      </w:r>
      <w:r w:rsidR="00001805">
        <w:t xml:space="preserve">NASA </w:t>
      </w:r>
      <w:r w:rsidR="00DB14C0">
        <w:t>uses the STIP to</w:t>
      </w:r>
      <w:r w:rsidR="007263EB">
        <w:t xml:space="preserve"> integrate</w:t>
      </w:r>
      <w:r w:rsidR="00DB14C0">
        <w:t xml:space="preserve"> </w:t>
      </w:r>
      <w:r w:rsidR="00357D60">
        <w:t>prioriti</w:t>
      </w:r>
      <w:r w:rsidR="007263EB">
        <w:t>es</w:t>
      </w:r>
      <w:r w:rsidR="00357D60">
        <w:t xml:space="preserve"> </w:t>
      </w:r>
      <w:r w:rsidR="00C4301F">
        <w:t xml:space="preserve">and inform </w:t>
      </w:r>
      <w:r w:rsidR="00357D60">
        <w:t xml:space="preserve">technology investment across all four mission directorates. </w:t>
      </w:r>
      <w:r w:rsidR="00DB14C0">
        <w:t>Using input from</w:t>
      </w:r>
      <w:r w:rsidR="005D3DD8">
        <w:t xml:space="preserve"> the National Research Council and from</w:t>
      </w:r>
      <w:r w:rsidR="00DB14C0">
        <w:t xml:space="preserve"> each mission directorate</w:t>
      </w:r>
      <w:r w:rsidR="00FD3F48">
        <w:t xml:space="preserve"> on </w:t>
      </w:r>
      <w:r w:rsidR="006920AC">
        <w:t>technology requirements</w:t>
      </w:r>
      <w:r w:rsidR="00427F9E">
        <w:t xml:space="preserve"> for the next 20 years</w:t>
      </w:r>
      <w:r w:rsidR="00DB14C0">
        <w:t>, the STIP categorizes</w:t>
      </w:r>
      <w:r w:rsidR="007263EB">
        <w:t xml:space="preserve"> technology investment priorities </w:t>
      </w:r>
      <w:r w:rsidR="006920AC">
        <w:t>for the agency-wide technology portfolio</w:t>
      </w:r>
      <w:r w:rsidR="00FD3F48">
        <w:t xml:space="preserve">. </w:t>
      </w:r>
      <w:r w:rsidR="00DB14C0">
        <w:t xml:space="preserve">The STIP also details NASA’s </w:t>
      </w:r>
      <w:r w:rsidR="005D3DD8">
        <w:t xml:space="preserve">four </w:t>
      </w:r>
      <w:r w:rsidR="00DB14C0">
        <w:t>guiding principles</w:t>
      </w:r>
      <w:r w:rsidR="000165DB">
        <w:t xml:space="preserve"> for technology investment</w:t>
      </w:r>
      <w:r w:rsidR="005D3DD8">
        <w:t>: 1) balance investments across all technology areas; 2) balance investments across all levels of technology readiness; 3)</w:t>
      </w:r>
      <w:r w:rsidR="000165DB">
        <w:t xml:space="preserve"> </w:t>
      </w:r>
      <w:r w:rsidR="005D3DD8">
        <w:t>balance investments across the three investment categories</w:t>
      </w:r>
      <w:r w:rsidR="00FD3F48">
        <w:t>—</w:t>
      </w:r>
      <w:r w:rsidR="005D3DD8">
        <w:t xml:space="preserve">Critical, Enhancing, and Transformational; and 4) provide transparency to the public. </w:t>
      </w:r>
      <w:r w:rsidR="00FD3F48">
        <w:t xml:space="preserve">In </w:t>
      </w:r>
      <w:r w:rsidR="005D3DD8">
        <w:t>OCT</w:t>
      </w:r>
      <w:r w:rsidR="00FD3F48">
        <w:t>’s</w:t>
      </w:r>
      <w:r w:rsidR="005D3DD8">
        <w:t xml:space="preserve"> assess</w:t>
      </w:r>
      <w:r w:rsidR="00FD3F48">
        <w:t>ment</w:t>
      </w:r>
      <w:r w:rsidR="00C4301F">
        <w:t>s</w:t>
      </w:r>
      <w:r w:rsidR="00FD3F48">
        <w:t xml:space="preserve"> of</w:t>
      </w:r>
      <w:r w:rsidR="000165DB">
        <w:t xml:space="preserve"> </w:t>
      </w:r>
      <w:r w:rsidR="006920AC">
        <w:t xml:space="preserve">NASA’s technology </w:t>
      </w:r>
      <w:r w:rsidR="000165DB">
        <w:t>portfolio</w:t>
      </w:r>
      <w:r w:rsidR="005D3DD8">
        <w:t xml:space="preserve">, </w:t>
      </w:r>
      <w:r w:rsidR="00FD3F48">
        <w:t xml:space="preserve">these guiding principles </w:t>
      </w:r>
      <w:r w:rsidR="00E71465">
        <w:t>serve as</w:t>
      </w:r>
      <w:r w:rsidR="00FD3F48">
        <w:t xml:space="preserve"> a measure of how well the portfolio reflects </w:t>
      </w:r>
      <w:r w:rsidR="00322544">
        <w:t>appropriate</w:t>
      </w:r>
      <w:r w:rsidR="00FD3F48">
        <w:t xml:space="preserve"> technology</w:t>
      </w:r>
      <w:r w:rsidR="0030390E">
        <w:t xml:space="preserve"> investment</w:t>
      </w:r>
      <w:r w:rsidR="00FD3F48">
        <w:t xml:space="preserve">. </w:t>
      </w:r>
    </w:p>
    <w:p w14:paraId="350200A4" w14:textId="15AFBB71" w:rsidR="006E5CDE" w:rsidRDefault="0030390E" w:rsidP="006E5CDE">
      <w:pPr>
        <w:pStyle w:val="NormalNumberedList"/>
        <w:numPr>
          <w:ilvl w:val="0"/>
          <w:numId w:val="0"/>
        </w:numPr>
        <w:spacing w:after="60"/>
      </w:pPr>
      <w:r>
        <w:tab/>
        <w:t xml:space="preserve">Whereas the </w:t>
      </w:r>
      <w:r w:rsidR="0051627F">
        <w:t>s</w:t>
      </w:r>
      <w:r w:rsidRPr="00754C23">
        <w:t xml:space="preserve">trategic </w:t>
      </w:r>
      <w:r w:rsidR="0051627F">
        <w:t>i</w:t>
      </w:r>
      <w:r w:rsidRPr="00754C23">
        <w:t xml:space="preserve">ntegration </w:t>
      </w:r>
      <w:r w:rsidR="0051627F">
        <w:t xml:space="preserve">activity </w:t>
      </w:r>
      <w:r>
        <w:t xml:space="preserve">represents OCT’s efforts </w:t>
      </w:r>
      <w:r w:rsidR="009C7DD5">
        <w:t>to inform and guide technology development internal to NASA</w:t>
      </w:r>
      <w:r>
        <w:t>,</w:t>
      </w:r>
      <w:r w:rsidR="005D749A">
        <w:t xml:space="preserve"> </w:t>
      </w:r>
      <w:r w:rsidR="0051627F">
        <w:t>OCT’s s</w:t>
      </w:r>
      <w:r w:rsidR="002B44BC">
        <w:t xml:space="preserve">cience and </w:t>
      </w:r>
      <w:r w:rsidR="0051627F">
        <w:t>t</w:t>
      </w:r>
      <w:r w:rsidR="002B44BC">
        <w:t xml:space="preserve">echnology </w:t>
      </w:r>
      <w:r w:rsidR="00BD1B3B">
        <w:t xml:space="preserve">(S&amp;T) </w:t>
      </w:r>
      <w:r w:rsidR="0051627F">
        <w:t>p</w:t>
      </w:r>
      <w:r w:rsidR="002B44BC">
        <w:t xml:space="preserve">artnership </w:t>
      </w:r>
      <w:r w:rsidR="0051627F">
        <w:t xml:space="preserve">activity </w:t>
      </w:r>
      <w:r>
        <w:t>represents external coordination</w:t>
      </w:r>
      <w:r w:rsidR="00AE688C">
        <w:t xml:space="preserve"> among government agencies</w:t>
      </w:r>
      <w:r w:rsidR="00526A18">
        <w:t>,</w:t>
      </w:r>
      <w:r w:rsidR="009C7DD5">
        <w:t xml:space="preserve"> by identifying capabilities and technologies of mutual interest</w:t>
      </w:r>
      <w:r>
        <w:t xml:space="preserve">. </w:t>
      </w:r>
      <w:r w:rsidR="0051627F">
        <w:t xml:space="preserve">The main output of this activity is participation in </w:t>
      </w:r>
      <w:r w:rsidR="002622B5">
        <w:t>the</w:t>
      </w:r>
      <w:r w:rsidR="0051627F">
        <w:t xml:space="preserve"> S&amp;T Partnership Forum</w:t>
      </w:r>
      <w:r w:rsidR="007D3F43">
        <w:t xml:space="preserve"> to identify technology solutions to joint challenges</w:t>
      </w:r>
      <w:r w:rsidR="0051627F">
        <w:t xml:space="preserve">. </w:t>
      </w:r>
      <w:r>
        <w:t>Established in 2015, th</w:t>
      </w:r>
      <w:r w:rsidR="00BB441F">
        <w:t>is</w:t>
      </w:r>
      <w:r>
        <w:t xml:space="preserve"> </w:t>
      </w:r>
      <w:r w:rsidR="00BB441F">
        <w:t>f</w:t>
      </w:r>
      <w:r>
        <w:t xml:space="preserve">orum is </w:t>
      </w:r>
      <w:r w:rsidR="002B44BC">
        <w:t xml:space="preserve">an interagency initiative </w:t>
      </w:r>
      <w:r w:rsidR="005D749A">
        <w:t xml:space="preserve">to </w:t>
      </w:r>
      <w:r w:rsidR="002B44BC">
        <w:t>strategize synergistic technology development across space agencies.</w:t>
      </w:r>
      <w:r w:rsidR="00CB6801">
        <w:t xml:space="preserve"> As a</w:t>
      </w:r>
      <w:r w:rsidR="00526A18">
        <w:t>n</w:t>
      </w:r>
      <w:r w:rsidR="00CB6801">
        <w:t xml:space="preserve"> </w:t>
      </w:r>
      <w:r w:rsidR="00526A18">
        <w:t>in</w:t>
      </w:r>
      <w:r w:rsidR="00CB6801">
        <w:t xml:space="preserve">formal collaboration between NASA, the </w:t>
      </w:r>
      <w:r w:rsidR="0051627F">
        <w:t>Department of Defense, and the Intelligence Community</w:t>
      </w:r>
      <w:r w:rsidR="00CB6801">
        <w:t xml:space="preserve">, the </w:t>
      </w:r>
      <w:r w:rsidR="00F34EF8">
        <w:t>f</w:t>
      </w:r>
      <w:r w:rsidR="00CB6801">
        <w:t xml:space="preserve">orum enables </w:t>
      </w:r>
      <w:r w:rsidR="00526A18">
        <w:t xml:space="preserve">joint capability studies, </w:t>
      </w:r>
      <w:r w:rsidR="00F76AAE">
        <w:t>sharing of technology roadmaps</w:t>
      </w:r>
      <w:r w:rsidR="00BD1B3B">
        <w:t>, and Technical Interchange Meetings focused on S&amp;T topics of mutual interest</w:t>
      </w:r>
      <w:r w:rsidR="00E42186">
        <w:t>,</w:t>
      </w:r>
      <w:r w:rsidR="00F76AAE">
        <w:t xml:space="preserve"> </w:t>
      </w:r>
      <w:r w:rsidR="00E42186">
        <w:t>such as in-space assembly technolog</w:t>
      </w:r>
      <w:r w:rsidR="00526A18">
        <w:t>ies</w:t>
      </w:r>
      <w:r w:rsidR="00E42186">
        <w:t xml:space="preserve"> and trusted autonomy</w:t>
      </w:r>
      <w:r w:rsidR="003C5952">
        <w:t xml:space="preserve"> (Betser et al. 2016; </w:t>
      </w:r>
      <w:r w:rsidR="00BB198E">
        <w:t>Hamill et al. 2018;</w:t>
      </w:r>
      <w:r w:rsidR="00416315">
        <w:t xml:space="preserve"> NASA 2019b). </w:t>
      </w:r>
      <w:r w:rsidR="00ED3E64">
        <w:t xml:space="preserve">Through its participation in the </w:t>
      </w:r>
      <w:r w:rsidR="00F34EF8">
        <w:t>f</w:t>
      </w:r>
      <w:r w:rsidR="00ED3E64">
        <w:t xml:space="preserve">orum, OCT helps NASA optimize its partnerships and technology investments, by facilitating </w:t>
      </w:r>
      <w:r w:rsidR="006E5CDE">
        <w:t>the sharing of resources</w:t>
      </w:r>
      <w:r w:rsidR="00ED3E64">
        <w:t>, reducing duplication in technology development, and coordinating expert inputs on technology development needs</w:t>
      </w:r>
      <w:r w:rsidR="00294DEB">
        <w:t xml:space="preserve"> (NASA OCT 20</w:t>
      </w:r>
      <w:r w:rsidR="00A46B29">
        <w:t>20</w:t>
      </w:r>
      <w:r w:rsidR="00294DEB">
        <w:t>)</w:t>
      </w:r>
      <w:r w:rsidR="00ED3E64">
        <w:t>.</w:t>
      </w:r>
    </w:p>
    <w:p w14:paraId="7B3B1C19" w14:textId="3397EC7E" w:rsidR="00526A18" w:rsidRDefault="006E5CDE" w:rsidP="006E5CDE">
      <w:pPr>
        <w:pStyle w:val="NormalNumberedList"/>
        <w:numPr>
          <w:ilvl w:val="0"/>
          <w:numId w:val="0"/>
        </w:numPr>
        <w:spacing w:after="60"/>
      </w:pPr>
      <w:r>
        <w:tab/>
        <w:t xml:space="preserve">Finally, </w:t>
      </w:r>
      <w:r w:rsidR="00AF7480">
        <w:t xml:space="preserve">OCT’s </w:t>
      </w:r>
      <w:r w:rsidR="0051627F">
        <w:t>i</w:t>
      </w:r>
      <w:r w:rsidR="00AF7480">
        <w:t xml:space="preserve">nnovation </w:t>
      </w:r>
      <w:r w:rsidR="0051627F">
        <w:t xml:space="preserve">activity </w:t>
      </w:r>
      <w:r w:rsidR="00A36B91">
        <w:t>seek</w:t>
      </w:r>
      <w:r>
        <w:t>s</w:t>
      </w:r>
      <w:r w:rsidR="00A36B91">
        <w:t xml:space="preserve"> to </w:t>
      </w:r>
      <w:r w:rsidR="00AF7480">
        <w:t xml:space="preserve">stimulate </w:t>
      </w:r>
      <w:r>
        <w:t>progress</w:t>
      </w:r>
      <w:r w:rsidR="00AF7480">
        <w:t xml:space="preserve"> in unanticipated areas of technology development.</w:t>
      </w:r>
      <w:r w:rsidR="00BD1B3B">
        <w:t xml:space="preserve"> </w:t>
      </w:r>
      <w:r w:rsidR="00E42186">
        <w:t>Th</w:t>
      </w:r>
      <w:r w:rsidR="00386F82">
        <w:t>e goal of this</w:t>
      </w:r>
      <w:r w:rsidR="00E42186">
        <w:t xml:space="preserve"> </w:t>
      </w:r>
      <w:r w:rsidR="0051627F">
        <w:t xml:space="preserve">activity </w:t>
      </w:r>
      <w:r w:rsidR="00386F82">
        <w:t xml:space="preserve">is </w:t>
      </w:r>
      <w:r w:rsidR="00386F82" w:rsidRPr="00E42186">
        <w:t>to transform diverse ideas into valu</w:t>
      </w:r>
      <w:r w:rsidR="00386F82">
        <w:t xml:space="preserve">e among NASA’s workforce. To connect NASA’s workforce to </w:t>
      </w:r>
      <w:r w:rsidR="00E42186" w:rsidRPr="00E42186">
        <w:t>tools</w:t>
      </w:r>
      <w:r w:rsidR="0051627F">
        <w:t xml:space="preserve"> and</w:t>
      </w:r>
      <w:r w:rsidR="00E42186" w:rsidRPr="00E42186">
        <w:t xml:space="preserve"> strategies </w:t>
      </w:r>
      <w:r w:rsidR="00386F82">
        <w:t xml:space="preserve">that may </w:t>
      </w:r>
      <w:r w:rsidR="00E42186" w:rsidRPr="00E42186">
        <w:t>increase the pace of innovation</w:t>
      </w:r>
      <w:r w:rsidR="00386F82">
        <w:t xml:space="preserve">, OCT uses a five-part innovation framework: 1) </w:t>
      </w:r>
      <w:r w:rsidR="00386F82" w:rsidRPr="00975ED4">
        <w:rPr>
          <w:i/>
          <w:iCs/>
        </w:rPr>
        <w:t>clarify the need</w:t>
      </w:r>
      <w:r w:rsidR="00975ED4">
        <w:t xml:space="preserve"> by </w:t>
      </w:r>
      <w:r w:rsidR="00386F82">
        <w:t>d</w:t>
      </w:r>
      <w:r w:rsidR="00386F82" w:rsidRPr="00E42186">
        <w:t>efin</w:t>
      </w:r>
      <w:r w:rsidR="00975ED4">
        <w:t>ing</w:t>
      </w:r>
      <w:r w:rsidR="00386F82" w:rsidRPr="00E42186">
        <w:t xml:space="preserve"> </w:t>
      </w:r>
      <w:r w:rsidR="00386F82">
        <w:t>c</w:t>
      </w:r>
      <w:r w:rsidR="00386F82" w:rsidRPr="00E42186">
        <w:t xml:space="preserve">hallenges to increase </w:t>
      </w:r>
      <w:r w:rsidR="00142DF6">
        <w:t xml:space="preserve">the </w:t>
      </w:r>
      <w:r w:rsidR="00386F82" w:rsidRPr="00E42186">
        <w:t>diversity of ideas</w:t>
      </w:r>
      <w:r w:rsidR="00386F82">
        <w:t xml:space="preserve">; 2) </w:t>
      </w:r>
      <w:r w:rsidR="00386F82" w:rsidRPr="00975ED4">
        <w:rPr>
          <w:i/>
          <w:iCs/>
        </w:rPr>
        <w:t>assess the ecosystem</w:t>
      </w:r>
      <w:r w:rsidR="00975ED4">
        <w:t xml:space="preserve"> by </w:t>
      </w:r>
      <w:r w:rsidR="00386F82">
        <w:t>d</w:t>
      </w:r>
      <w:r w:rsidR="00386F82" w:rsidRPr="00E42186">
        <w:t>evelop</w:t>
      </w:r>
      <w:r w:rsidR="00975ED4">
        <w:t>ing</w:t>
      </w:r>
      <w:r w:rsidR="00386F82" w:rsidRPr="00E42186">
        <w:t xml:space="preserve"> mechanisms </w:t>
      </w:r>
      <w:r w:rsidR="00386F82">
        <w:lastRenderedPageBreak/>
        <w:t xml:space="preserve">to </w:t>
      </w:r>
      <w:r w:rsidR="00386F82" w:rsidRPr="00E42186">
        <w:t>determin</w:t>
      </w:r>
      <w:r w:rsidR="00386F82">
        <w:t>e</w:t>
      </w:r>
      <w:r w:rsidR="00386F82" w:rsidRPr="00E42186">
        <w:t xml:space="preserve"> </w:t>
      </w:r>
      <w:r w:rsidR="00386F82">
        <w:t>w</w:t>
      </w:r>
      <w:r w:rsidR="00386F82" w:rsidRPr="00E42186">
        <w:t>h</w:t>
      </w:r>
      <w:r w:rsidR="00386F82">
        <w:t>o and w</w:t>
      </w:r>
      <w:r w:rsidR="00386F82" w:rsidRPr="00E42186">
        <w:t xml:space="preserve">hat can </w:t>
      </w:r>
      <w:r w:rsidR="00386F82">
        <w:t xml:space="preserve">help </w:t>
      </w:r>
      <w:r w:rsidR="00386F82" w:rsidRPr="00E42186">
        <w:t>address the challenges</w:t>
      </w:r>
      <w:r w:rsidR="00386F82">
        <w:t xml:space="preserve">; 3) </w:t>
      </w:r>
      <w:r w:rsidR="00386F82" w:rsidRPr="00975ED4">
        <w:rPr>
          <w:i/>
          <w:iCs/>
        </w:rPr>
        <w:t>define the future state</w:t>
      </w:r>
      <w:r w:rsidR="00975ED4">
        <w:t xml:space="preserve"> by </w:t>
      </w:r>
      <w:r w:rsidR="00386F82">
        <w:t>e</w:t>
      </w:r>
      <w:r w:rsidR="00386F82" w:rsidRPr="00E42186">
        <w:t>xpand</w:t>
      </w:r>
      <w:r w:rsidR="00975ED4">
        <w:t>ing the</w:t>
      </w:r>
      <w:r w:rsidR="00386F82" w:rsidRPr="00E42186">
        <w:t xml:space="preserve"> vision to sustain innovation and establish the “</w:t>
      </w:r>
      <w:r w:rsidR="00386F82">
        <w:t>w</w:t>
      </w:r>
      <w:r w:rsidR="00386F82" w:rsidRPr="00E42186">
        <w:t>hy”</w:t>
      </w:r>
      <w:r w:rsidR="00386F82">
        <w:t xml:space="preserve">; 4) </w:t>
      </w:r>
      <w:r w:rsidR="00386F82" w:rsidRPr="00975ED4">
        <w:rPr>
          <w:i/>
          <w:iCs/>
        </w:rPr>
        <w:t>develop, communicate, and coordinate experiments</w:t>
      </w:r>
      <w:r w:rsidR="00975ED4">
        <w:t xml:space="preserve"> focused on learning</w:t>
      </w:r>
      <w:r w:rsidR="00386F82">
        <w:t xml:space="preserve">; and 5) </w:t>
      </w:r>
      <w:r w:rsidR="00386F82" w:rsidRPr="00975ED4">
        <w:rPr>
          <w:i/>
          <w:iCs/>
        </w:rPr>
        <w:t>share lessons learned</w:t>
      </w:r>
      <w:r w:rsidR="00975ED4">
        <w:t xml:space="preserve"> to ensure we fail smart. Using this framework, this </w:t>
      </w:r>
      <w:r w:rsidR="0051627F">
        <w:t>activity involves such actions</w:t>
      </w:r>
      <w:r w:rsidR="00975ED4">
        <w:t xml:space="preserve"> as </w:t>
      </w:r>
      <w:r w:rsidR="00E42186" w:rsidRPr="00E42186">
        <w:t>developing an agency-wide cloud</w:t>
      </w:r>
      <w:r w:rsidR="00975ED4">
        <w:t>-</w:t>
      </w:r>
      <w:r w:rsidR="00E42186" w:rsidRPr="00E42186">
        <w:t xml:space="preserve">based innovation portal; </w:t>
      </w:r>
      <w:r w:rsidR="00975ED4">
        <w:t>using</w:t>
      </w:r>
      <w:r w:rsidR="00E42186" w:rsidRPr="00E42186">
        <w:t xml:space="preserve"> risk leadership strategies to assess NASA’s risk portfolio; promoting co-opetition</w:t>
      </w:r>
      <w:r w:rsidR="00975ED4">
        <w:t>,</w:t>
      </w:r>
      <w:r w:rsidR="00E42186" w:rsidRPr="00E42186">
        <w:t xml:space="preserve"> </w:t>
      </w:r>
      <w:r w:rsidR="00791825">
        <w:t>combining</w:t>
      </w:r>
      <w:r w:rsidR="00E42186" w:rsidRPr="00E42186">
        <w:t xml:space="preserve"> the best aspects of competition and collaboration; and developing innovation experiments</w:t>
      </w:r>
      <w:r w:rsidR="00975ED4">
        <w:t>,</w:t>
      </w:r>
      <w:r w:rsidR="00E42186" w:rsidRPr="00E42186">
        <w:t xml:space="preserve"> </w:t>
      </w:r>
      <w:r w:rsidR="00BE2C56">
        <w:t xml:space="preserve">to </w:t>
      </w:r>
      <w:r w:rsidR="00E42186" w:rsidRPr="00E42186">
        <w:t>promot</w:t>
      </w:r>
      <w:r w:rsidR="00BE2C56">
        <w:t>e</w:t>
      </w:r>
      <w:r w:rsidR="00E42186" w:rsidRPr="00E42186">
        <w:t xml:space="preserve"> </w:t>
      </w:r>
      <w:r w:rsidR="00975ED4">
        <w:t>the mindset</w:t>
      </w:r>
      <w:r w:rsidR="00E42186" w:rsidRPr="00E42186">
        <w:t xml:space="preserve"> </w:t>
      </w:r>
      <w:r w:rsidR="00975ED4">
        <w:t>among NASA’s workforce that</w:t>
      </w:r>
      <w:r w:rsidR="00E42186" w:rsidRPr="00E42186">
        <w:t xml:space="preserve"> failure provide</w:t>
      </w:r>
      <w:r w:rsidR="00975ED4">
        <w:t>s</w:t>
      </w:r>
      <w:r w:rsidR="00E42186" w:rsidRPr="00E42186">
        <w:t xml:space="preserve"> valuable knowledge and</w:t>
      </w:r>
      <w:r w:rsidR="00975ED4">
        <w:t xml:space="preserve"> </w:t>
      </w:r>
      <w:r w:rsidR="00142DF6">
        <w:t>a</w:t>
      </w:r>
      <w:r w:rsidR="00E42186" w:rsidRPr="00E42186">
        <w:t xml:space="preserve"> tool for future success.</w:t>
      </w:r>
      <w:r w:rsidR="00812450">
        <w:t xml:space="preserve"> </w:t>
      </w:r>
    </w:p>
    <w:p w14:paraId="3CFD0B19" w14:textId="60857D2F" w:rsidR="007656C9" w:rsidRDefault="00526A18" w:rsidP="006E5CDE">
      <w:pPr>
        <w:pStyle w:val="NormalNumberedList"/>
        <w:numPr>
          <w:ilvl w:val="0"/>
          <w:numId w:val="0"/>
        </w:numPr>
        <w:spacing w:after="60"/>
      </w:pPr>
      <w:r>
        <w:tab/>
        <w:t xml:space="preserve">Across these three activities, OCT enhances the use of foresight in technology development at NASA. OCT coordinates </w:t>
      </w:r>
      <w:r w:rsidR="00812450">
        <w:t xml:space="preserve">and </w:t>
      </w:r>
      <w:r w:rsidR="0096133E">
        <w:t xml:space="preserve">uses </w:t>
      </w:r>
      <w:r w:rsidR="00975ED4">
        <w:t>inputs from a broad community of experts</w:t>
      </w:r>
      <w:r w:rsidR="00812450">
        <w:t>,</w:t>
      </w:r>
      <w:r>
        <w:t xml:space="preserve"> both internal and external to NASA, to inform decision making for technology plans, investments, and partnerships. OCT advises and advocates for innovative technology development that pushes against the boundaries of unforeseen challenges, while also promoting the synergistic development of technologies to address known challenges</w:t>
      </w:r>
      <w:r w:rsidR="00812450">
        <w:t xml:space="preserve">. </w:t>
      </w:r>
      <w:r>
        <w:t>OCT provides the agency-level view of what technology opportunities and challenges are possible now and in the anticipated and unanticipated future.</w:t>
      </w:r>
    </w:p>
    <w:p w14:paraId="31101760" w14:textId="77777777" w:rsidR="00C3380A" w:rsidRDefault="00C3380A" w:rsidP="00B36264">
      <w:pPr>
        <w:spacing w:afterLines="60" w:after="144"/>
        <w:rPr>
          <w:b/>
          <w:bCs/>
        </w:rPr>
      </w:pPr>
    </w:p>
    <w:p w14:paraId="7C515D7B" w14:textId="0DA293E3" w:rsidR="0075671C" w:rsidRPr="00543760" w:rsidRDefault="0075671C" w:rsidP="00B36264">
      <w:pPr>
        <w:spacing w:afterLines="60" w:after="144"/>
        <w:rPr>
          <w:b/>
          <w:bCs/>
        </w:rPr>
      </w:pPr>
      <w:r w:rsidRPr="00543760">
        <w:rPr>
          <w:b/>
          <w:bCs/>
        </w:rPr>
        <w:t>Conclusion</w:t>
      </w:r>
    </w:p>
    <w:p w14:paraId="587C2D78" w14:textId="10A14C95" w:rsidR="0075671C" w:rsidRDefault="00633752" w:rsidP="00B36264">
      <w:pPr>
        <w:spacing w:afterLines="60" w:after="144"/>
      </w:pPr>
      <w:r>
        <w:tab/>
      </w:r>
      <w:r w:rsidR="0075671C">
        <w:t xml:space="preserve">This chapter concludes with considerations for organizations in </w:t>
      </w:r>
      <w:r w:rsidR="0075671C" w:rsidRPr="00754C23">
        <w:t>defense, security, and other technology-driven industries</w:t>
      </w:r>
      <w:r w:rsidR="0075671C">
        <w:t xml:space="preserve"> who want to operationalize foresight in their </w:t>
      </w:r>
      <w:r>
        <w:t xml:space="preserve">own </w:t>
      </w:r>
      <w:r w:rsidR="0075671C">
        <w:t>strategic technology development.</w:t>
      </w:r>
    </w:p>
    <w:p w14:paraId="280BF45C" w14:textId="67B518B9" w:rsidR="0047607A" w:rsidRDefault="00633752" w:rsidP="00633752">
      <w:pPr>
        <w:spacing w:afterLines="60" w:after="144"/>
      </w:pPr>
      <w:r>
        <w:tab/>
        <w:t>We note that s</w:t>
      </w:r>
      <w:r w:rsidR="0047607A">
        <w:t xml:space="preserve">ome elements of NASA’s approach to foresight are unique to NASA’s goals and challenges. </w:t>
      </w:r>
      <w:r>
        <w:t>For example, b</w:t>
      </w:r>
      <w:r w:rsidR="00E547EB">
        <w:t xml:space="preserve">ecause </w:t>
      </w:r>
      <w:r w:rsidR="0047607A">
        <w:t xml:space="preserve">NASA’s goals are </w:t>
      </w:r>
      <w:r>
        <w:t xml:space="preserve">rooted in the advancement of </w:t>
      </w:r>
      <w:r w:rsidR="0047607A">
        <w:t xml:space="preserve">science and exploration, </w:t>
      </w:r>
      <w:r w:rsidR="00E547EB">
        <w:t xml:space="preserve">foresight is embedded in </w:t>
      </w:r>
      <w:r w:rsidR="002D2E06">
        <w:t>every</w:t>
      </w:r>
      <w:r w:rsidR="00CC19DA">
        <w:t xml:space="preserve"> activity</w:t>
      </w:r>
      <w:r>
        <w:t xml:space="preserve"> by default. NASA is positioned to consistently push the boundaries of the unknown, whether it is a new scientific discovery or a new </w:t>
      </w:r>
      <w:r w:rsidR="00845A93">
        <w:t>milestone</w:t>
      </w:r>
      <w:r>
        <w:t xml:space="preserve"> for humankind</w:t>
      </w:r>
      <w:r w:rsidR="00845A93">
        <w:t xml:space="preserve">. </w:t>
      </w:r>
      <w:r w:rsidR="005E5582">
        <w:t>Therefore, ensuring that technology development plans are resilient to the discovery of new opportunities or challenges is a necessary component of every strategic approach.</w:t>
      </w:r>
    </w:p>
    <w:p w14:paraId="0E7C3D0F" w14:textId="7C204CF0" w:rsidR="006161AE" w:rsidRDefault="005E5582" w:rsidP="006161AE">
      <w:pPr>
        <w:spacing w:afterLines="60" w:after="144"/>
      </w:pPr>
      <w:r>
        <w:tab/>
        <w:t xml:space="preserve">In a second and related example, </w:t>
      </w:r>
      <w:r w:rsidR="004D42C1">
        <w:t xml:space="preserve">NASA faces </w:t>
      </w:r>
      <w:r w:rsidR="0047607A">
        <w:t xml:space="preserve">some technological challenges that </w:t>
      </w:r>
      <w:r w:rsidR="00857F5F">
        <w:t>are</w:t>
      </w:r>
      <w:r w:rsidR="007570FC">
        <w:t xml:space="preserve"> not</w:t>
      </w:r>
      <w:r w:rsidR="00857F5F">
        <w:t xml:space="preserve"> a </w:t>
      </w:r>
      <w:r w:rsidR="0047607A">
        <w:t>concern</w:t>
      </w:r>
      <w:r w:rsidR="00857F5F">
        <w:t xml:space="preserve"> for</w:t>
      </w:r>
      <w:r w:rsidR="0047607A">
        <w:t xml:space="preserve"> other </w:t>
      </w:r>
      <w:r w:rsidR="0017629B">
        <w:t>organizations</w:t>
      </w:r>
      <w:r>
        <w:t xml:space="preserve">. Much of NASA’s technology development must account for the harsh </w:t>
      </w:r>
      <w:r w:rsidR="004D42C1">
        <w:t xml:space="preserve">effects of </w:t>
      </w:r>
      <w:r>
        <w:t xml:space="preserve">the </w:t>
      </w:r>
      <w:r w:rsidR="004D42C1">
        <w:t xml:space="preserve">space environment on </w:t>
      </w:r>
      <w:r>
        <w:t>both the technology itself and on the human body</w:t>
      </w:r>
      <w:r w:rsidR="003562B3">
        <w:t xml:space="preserve">. </w:t>
      </w:r>
      <w:r w:rsidR="00052841">
        <w:t xml:space="preserve">Many </w:t>
      </w:r>
      <w:r w:rsidR="003562B3">
        <w:t>NASA space missions also involve travelling and communicating over</w:t>
      </w:r>
      <w:r>
        <w:t xml:space="preserve"> </w:t>
      </w:r>
      <w:r w:rsidR="0096133E">
        <w:t xml:space="preserve">orders of magnitude </w:t>
      </w:r>
      <w:r>
        <w:t>longer distances tha</w:t>
      </w:r>
      <w:r w:rsidR="003562B3">
        <w:t xml:space="preserve">n any activities </w:t>
      </w:r>
      <w:r w:rsidR="00052841">
        <w:t xml:space="preserve">conducted </w:t>
      </w:r>
      <w:r w:rsidR="003562B3">
        <w:t>on Earth.</w:t>
      </w:r>
      <w:r w:rsidR="00052841">
        <w:t xml:space="preserve"> Therefore, NASA’s technology development plans are likely designed to address more </w:t>
      </w:r>
      <w:r w:rsidR="00025814">
        <w:t>unforeseen</w:t>
      </w:r>
      <w:r w:rsidR="00052841">
        <w:t xml:space="preserve"> challenges than would concern other organizations.</w:t>
      </w:r>
    </w:p>
    <w:p w14:paraId="53C1E4C7" w14:textId="29A0C098" w:rsidR="00E27363" w:rsidRDefault="006161AE" w:rsidP="00E27363">
      <w:pPr>
        <w:spacing w:afterLines="60" w:after="144"/>
      </w:pPr>
      <w:r>
        <w:tab/>
        <w:t xml:space="preserve">Finally, </w:t>
      </w:r>
      <w:r w:rsidR="007525FD">
        <w:t xml:space="preserve">NASA </w:t>
      </w:r>
      <w:r w:rsidR="00857F5F">
        <w:t xml:space="preserve">must </w:t>
      </w:r>
      <w:r w:rsidR="007525FD">
        <w:t xml:space="preserve">communicate </w:t>
      </w:r>
      <w:r>
        <w:t xml:space="preserve">its use of </w:t>
      </w:r>
      <w:r w:rsidR="007525FD">
        <w:t xml:space="preserve">foresight to a broad </w:t>
      </w:r>
      <w:r w:rsidR="00792840">
        <w:t>audienc</w:t>
      </w:r>
      <w:r w:rsidR="00857F5F">
        <w:t xml:space="preserve">e, from the </w:t>
      </w:r>
      <w:r w:rsidR="00C4301F">
        <w:t>Administration and Congress</w:t>
      </w:r>
      <w:r w:rsidR="00857F5F">
        <w:t xml:space="preserve"> to the general public.</w:t>
      </w:r>
      <w:r>
        <w:t xml:space="preserve"> </w:t>
      </w:r>
      <w:r w:rsidR="0057628A">
        <w:t xml:space="preserve">Given NASA’s role of making history with exploration and discovery, while also encouraging STEM interests among the general public, NASA’s plans for technology development are consistently </w:t>
      </w:r>
      <w:r w:rsidR="00EA4065">
        <w:t xml:space="preserve">and widely under </w:t>
      </w:r>
      <w:r w:rsidR="0057628A">
        <w:t xml:space="preserve">scrutiny. </w:t>
      </w:r>
      <w:r w:rsidR="00E27363">
        <w:t>Therefore, NASA’s ability to clearly articulate the use of foresight in its plans might not reflect a need among organizations with activities</w:t>
      </w:r>
      <w:r w:rsidR="000D6CCB">
        <w:t xml:space="preserve"> that are less public</w:t>
      </w:r>
      <w:r w:rsidR="002E6AF7">
        <w:t>.</w:t>
      </w:r>
    </w:p>
    <w:p w14:paraId="512A1229" w14:textId="65B4610E" w:rsidR="0075671C" w:rsidRDefault="00E27363" w:rsidP="00E27363">
      <w:pPr>
        <w:spacing w:afterLines="60" w:after="144"/>
      </w:pPr>
      <w:r>
        <w:tab/>
      </w:r>
      <w:r w:rsidR="00857F5F">
        <w:t xml:space="preserve">Despite these differences, we suggest that </w:t>
      </w:r>
      <w:r w:rsidR="00B96F6B">
        <w:t>organizations</w:t>
      </w:r>
      <w:r w:rsidR="00857F5F">
        <w:t xml:space="preserve"> in technology-driven industries can benefit from </w:t>
      </w:r>
      <w:r>
        <w:t xml:space="preserve">adopting elements of NASA’s approach to using foresight. In particular, we </w:t>
      </w:r>
      <w:r>
        <w:lastRenderedPageBreak/>
        <w:t xml:space="preserve">recommend the institution of an </w:t>
      </w:r>
      <w:r w:rsidR="00655998">
        <w:t>independent</w:t>
      </w:r>
      <w:r w:rsidR="0097347E">
        <w:t xml:space="preserve"> office</w:t>
      </w:r>
      <w:r w:rsidR="00857F5F">
        <w:t xml:space="preserve"> to ensure that technology development </w:t>
      </w:r>
      <w:r w:rsidR="00183F15">
        <w:t>accounts</w:t>
      </w:r>
      <w:r w:rsidR="00857F5F">
        <w:t xml:space="preserve"> for </w:t>
      </w:r>
      <w:r w:rsidR="00552ECA">
        <w:t xml:space="preserve">anticipated </w:t>
      </w:r>
      <w:r w:rsidR="00857F5F">
        <w:t xml:space="preserve">and </w:t>
      </w:r>
      <w:r w:rsidR="0096133E">
        <w:t xml:space="preserve">unanticipated </w:t>
      </w:r>
      <w:r w:rsidR="00857F5F">
        <w:t>challenges</w:t>
      </w:r>
      <w:r w:rsidR="00562628">
        <w:t xml:space="preserve"> </w:t>
      </w:r>
      <w:r>
        <w:t>and opportunities 10 to 30</w:t>
      </w:r>
      <w:r w:rsidR="00562628">
        <w:t xml:space="preserve"> years away</w:t>
      </w:r>
      <w:r w:rsidR="00857F5F">
        <w:t>.</w:t>
      </w:r>
      <w:r>
        <w:t xml:space="preserve"> We recommend three actions while creating this</w:t>
      </w:r>
      <w:r w:rsidR="0097347E">
        <w:t xml:space="preserve"> office</w:t>
      </w:r>
      <w:r>
        <w:t>:</w:t>
      </w:r>
    </w:p>
    <w:p w14:paraId="5874CA6B" w14:textId="62569EB4" w:rsidR="000C60A6" w:rsidRDefault="00E27363" w:rsidP="000C60A6">
      <w:pPr>
        <w:pStyle w:val="ListParagraph"/>
        <w:numPr>
          <w:ilvl w:val="0"/>
          <w:numId w:val="16"/>
        </w:numPr>
        <w:spacing w:afterLines="60" w:after="144"/>
      </w:pPr>
      <w:r w:rsidRPr="000C243B">
        <w:rPr>
          <w:i/>
          <w:iCs/>
        </w:rPr>
        <w:t>Ensure the</w:t>
      </w:r>
      <w:r w:rsidR="0097347E">
        <w:rPr>
          <w:i/>
          <w:iCs/>
        </w:rPr>
        <w:t xml:space="preserve"> office</w:t>
      </w:r>
      <w:r w:rsidRPr="000C243B">
        <w:rPr>
          <w:i/>
          <w:iCs/>
        </w:rPr>
        <w:t xml:space="preserve"> functions </w:t>
      </w:r>
      <w:r w:rsidR="00A968E1" w:rsidRPr="000C243B">
        <w:rPr>
          <w:i/>
          <w:iCs/>
        </w:rPr>
        <w:t>independently of the entities who perform the technology development</w:t>
      </w:r>
      <w:r w:rsidR="000C60A6" w:rsidRPr="000C243B">
        <w:rPr>
          <w:i/>
          <w:iCs/>
        </w:rPr>
        <w:t xml:space="preserve">. </w:t>
      </w:r>
      <w:r w:rsidR="000C60A6">
        <w:t>Part of the success of OCT is its ability to objectively assess how the mission directorates align with agency guidance for technology investment and prioritization. OCT also assesses the extent to which the agency-wide technology portfolio is evenly balanced and offers recommendations to address an imbalance within any mission directorate. We anticipate that other technology-driven industries can benefit from ensuring that this coordinating</w:t>
      </w:r>
      <w:r w:rsidR="0097347E">
        <w:t xml:space="preserve"> office</w:t>
      </w:r>
      <w:r w:rsidR="000C60A6">
        <w:t xml:space="preserve"> remains neutral in its decisions and guidance.</w:t>
      </w:r>
    </w:p>
    <w:p w14:paraId="66A9BAC3" w14:textId="1F0EA687" w:rsidR="0018135D" w:rsidRDefault="000C60A6" w:rsidP="0018135D">
      <w:pPr>
        <w:pStyle w:val="ListParagraph"/>
        <w:numPr>
          <w:ilvl w:val="0"/>
          <w:numId w:val="16"/>
        </w:numPr>
        <w:spacing w:afterLines="60" w:after="144"/>
      </w:pPr>
      <w:r w:rsidRPr="000C243B">
        <w:rPr>
          <w:i/>
          <w:iCs/>
        </w:rPr>
        <w:t>E</w:t>
      </w:r>
      <w:r w:rsidR="00A968E1" w:rsidRPr="000C243B">
        <w:rPr>
          <w:i/>
          <w:iCs/>
        </w:rPr>
        <w:t>mpower th</w:t>
      </w:r>
      <w:r w:rsidR="00655998" w:rsidRPr="000C243B">
        <w:rPr>
          <w:i/>
          <w:iCs/>
        </w:rPr>
        <w:t>e</w:t>
      </w:r>
      <w:r w:rsidR="0097347E">
        <w:rPr>
          <w:i/>
          <w:iCs/>
        </w:rPr>
        <w:t xml:space="preserve"> office</w:t>
      </w:r>
      <w:r w:rsidR="00655998" w:rsidRPr="000C243B">
        <w:rPr>
          <w:i/>
          <w:iCs/>
        </w:rPr>
        <w:t xml:space="preserve"> </w:t>
      </w:r>
      <w:r w:rsidR="00A968E1" w:rsidRPr="000C243B">
        <w:rPr>
          <w:i/>
          <w:iCs/>
        </w:rPr>
        <w:t>with an advisory role.</w:t>
      </w:r>
      <w:r>
        <w:t xml:space="preserve"> As an independent</w:t>
      </w:r>
      <w:r w:rsidR="0097347E">
        <w:t xml:space="preserve"> office</w:t>
      </w:r>
      <w:r>
        <w:t xml:space="preserve"> that coordinates inputs from a broad community of expertise, OCT is in a position to give objective expert advice about technology development to entities both within and outside NASA. </w:t>
      </w:r>
      <w:r w:rsidR="0018135D">
        <w:t>Other organizations can benefit from instituting a similarly central</w:t>
      </w:r>
      <w:r w:rsidR="0097347E">
        <w:t xml:space="preserve"> office</w:t>
      </w:r>
      <w:r w:rsidR="0018135D">
        <w:t xml:space="preserve"> for coordinating and providing expert advice on technology development.</w:t>
      </w:r>
    </w:p>
    <w:p w14:paraId="79758162" w14:textId="07AAE11E" w:rsidR="006221B3" w:rsidRDefault="0018135D" w:rsidP="0018135D">
      <w:pPr>
        <w:pStyle w:val="ListParagraph"/>
        <w:numPr>
          <w:ilvl w:val="0"/>
          <w:numId w:val="16"/>
        </w:numPr>
        <w:spacing w:afterLines="60" w:after="144"/>
      </w:pPr>
      <w:r w:rsidRPr="000C243B">
        <w:rPr>
          <w:i/>
          <w:iCs/>
        </w:rPr>
        <w:t>Direct</w:t>
      </w:r>
      <w:r w:rsidR="00E04428" w:rsidRPr="000C243B">
        <w:rPr>
          <w:i/>
          <w:iCs/>
        </w:rPr>
        <w:t xml:space="preserve"> </w:t>
      </w:r>
      <w:r w:rsidRPr="000C243B">
        <w:rPr>
          <w:i/>
          <w:iCs/>
        </w:rPr>
        <w:t>the</w:t>
      </w:r>
      <w:r w:rsidR="0097347E">
        <w:rPr>
          <w:i/>
          <w:iCs/>
        </w:rPr>
        <w:t xml:space="preserve"> office</w:t>
      </w:r>
      <w:r w:rsidR="00655998" w:rsidRPr="000C243B">
        <w:rPr>
          <w:i/>
          <w:iCs/>
        </w:rPr>
        <w:t xml:space="preserve"> to engage with communit</w:t>
      </w:r>
      <w:r w:rsidR="00C4301F">
        <w:rPr>
          <w:i/>
          <w:iCs/>
        </w:rPr>
        <w:t>ies</w:t>
      </w:r>
      <w:r w:rsidR="00655998" w:rsidRPr="000C243B">
        <w:rPr>
          <w:i/>
          <w:iCs/>
        </w:rPr>
        <w:t xml:space="preserve"> of expert</w:t>
      </w:r>
      <w:r w:rsidR="00C4301F">
        <w:rPr>
          <w:i/>
          <w:iCs/>
        </w:rPr>
        <w:t>s</w:t>
      </w:r>
      <w:r w:rsidR="00655998" w:rsidRPr="000C243B">
        <w:rPr>
          <w:i/>
          <w:iCs/>
        </w:rPr>
        <w:t>.</w:t>
      </w:r>
      <w:r>
        <w:t xml:space="preserve"> The breadth of the community </w:t>
      </w:r>
      <w:r w:rsidR="00EE701A">
        <w:t xml:space="preserve">involved </w:t>
      </w:r>
      <w:r>
        <w:t>will differ by different organization needs, but every organization requires some level of expert input to inform the decisions that ultimately enable a foresight-driven approach to technology development.</w:t>
      </w:r>
    </w:p>
    <w:p w14:paraId="1D34BE33" w14:textId="2F5B8D5D" w:rsidR="003D63A2" w:rsidRDefault="00E20A67" w:rsidP="002315AC">
      <w:pPr>
        <w:spacing w:afterLines="60" w:after="144"/>
        <w:ind w:firstLine="360"/>
      </w:pPr>
      <w:r>
        <w:t>By instituting a similarly independent</w:t>
      </w:r>
      <w:r w:rsidR="0097347E">
        <w:t xml:space="preserve"> office</w:t>
      </w:r>
      <w:r>
        <w:t xml:space="preserve"> to coordinate, facilitate, and advise in respect to technology development, other organizations can build resilience into their technology development plans, so that they </w:t>
      </w:r>
      <w:r w:rsidR="000A1409">
        <w:t>might account for</w:t>
      </w:r>
      <w:r>
        <w:t xml:space="preserve"> </w:t>
      </w:r>
      <w:r w:rsidR="00552ECA">
        <w:t xml:space="preserve">anticipated </w:t>
      </w:r>
      <w:r>
        <w:t xml:space="preserve">and </w:t>
      </w:r>
      <w:r w:rsidR="00552ECA">
        <w:t xml:space="preserve">unanticipated </w:t>
      </w:r>
      <w:r>
        <w:t>opportunities and challenges.</w:t>
      </w:r>
    </w:p>
    <w:p w14:paraId="63A2BC9E" w14:textId="7A52E5B1" w:rsidR="0018135D" w:rsidRDefault="0018135D" w:rsidP="0018135D">
      <w:pPr>
        <w:spacing w:afterLines="60" w:after="144"/>
      </w:pPr>
    </w:p>
    <w:p w14:paraId="258B3BFE" w14:textId="02E66390" w:rsidR="00B93F24" w:rsidRPr="00262084" w:rsidRDefault="00B93F24" w:rsidP="0018135D">
      <w:pPr>
        <w:spacing w:afterLines="60" w:after="144"/>
        <w:rPr>
          <w:b/>
          <w:bCs/>
        </w:rPr>
      </w:pPr>
      <w:r w:rsidRPr="00B93F24">
        <w:rPr>
          <w:b/>
          <w:bCs/>
        </w:rPr>
        <w:t>Acknowledgments</w:t>
      </w:r>
    </w:p>
    <w:p w14:paraId="09E6455F" w14:textId="6FE9AEA4" w:rsidR="00B93F24" w:rsidRDefault="00B93F24" w:rsidP="00B93F24">
      <w:pPr>
        <w:pStyle w:val="CommentText"/>
      </w:pPr>
      <w:r>
        <w:t>Douglas Terrier, NASA Chief Technologist; David Steitz, NASA Deputy Chief Technologist; Ken</w:t>
      </w:r>
      <w:r w:rsidR="009C2E8B">
        <w:t>neth</w:t>
      </w:r>
      <w:r>
        <w:t xml:space="preserve"> Wright, OCT Innovation Lead; Al Conde, OCT Strategic Integration Lead; </w:t>
      </w:r>
      <w:r w:rsidRPr="00B93F24">
        <w:t xml:space="preserve">Nikolai Joseph, OCT </w:t>
      </w:r>
      <w:r w:rsidR="009C2E8B" w:rsidRPr="009C2E8B">
        <w:t>Executive Officer</w:t>
      </w:r>
      <w:r>
        <w:t>; Johnathon Rall</w:t>
      </w:r>
      <w:r w:rsidR="003D581F">
        <w:t xml:space="preserve"> Associate Chief Scientist;</w:t>
      </w:r>
      <w:r>
        <w:t xml:space="preserve"> Naseem</w:t>
      </w:r>
      <w:r w:rsidR="003D581F">
        <w:t xml:space="preserve"> Saiyed ARMD Deputy Director for Strategy;</w:t>
      </w:r>
      <w:r>
        <w:t xml:space="preserve"> </w:t>
      </w:r>
      <w:r w:rsidR="003D581F">
        <w:t>Martin</w:t>
      </w:r>
      <w:r w:rsidR="003D581F" w:rsidRPr="003D581F">
        <w:t xml:space="preserve"> Waszak</w:t>
      </w:r>
      <w:r>
        <w:t>,</w:t>
      </w:r>
      <w:r w:rsidR="003D581F">
        <w:t xml:space="preserve"> ARMD Project Manager;</w:t>
      </w:r>
      <w:r>
        <w:t xml:space="preserve"> </w:t>
      </w:r>
      <w:r w:rsidR="003D581F" w:rsidRPr="003D581F">
        <w:t>Alesyn Lowry</w:t>
      </w:r>
      <w:r w:rsidR="003D581F">
        <w:t xml:space="preserve"> STMD</w:t>
      </w:r>
      <w:r w:rsidR="003D581F" w:rsidRPr="003D581F">
        <w:t xml:space="preserve"> Acting Director, Strategic Planning &amp; Integration Division</w:t>
      </w:r>
      <w:r w:rsidR="003D581F">
        <w:t>;</w:t>
      </w:r>
      <w:r>
        <w:t xml:space="preserve"> Mark </w:t>
      </w:r>
      <w:r w:rsidR="003D581F">
        <w:t>McDonald STMD Chief Architect;</w:t>
      </w:r>
      <w:r>
        <w:t xml:space="preserve"> </w:t>
      </w:r>
      <w:r w:rsidR="00F31463">
        <w:t>Nicole Rayl SMD Acting Chief Technologist;</w:t>
      </w:r>
      <w:r>
        <w:t xml:space="preserve"> Florence</w:t>
      </w:r>
      <w:r w:rsidR="00F31463">
        <w:t xml:space="preserve"> Tan, SMD </w:t>
      </w:r>
      <w:r w:rsidR="00F31463" w:rsidRPr="00F31463">
        <w:t>Deputy Chief Technologist</w:t>
      </w:r>
      <w:r w:rsidR="00F31463">
        <w:t>;</w:t>
      </w:r>
      <w:r>
        <w:t xml:space="preserve"> </w:t>
      </w:r>
      <w:r w:rsidR="009C2E8B">
        <w:t xml:space="preserve">Julie Robinson HEOMD Chief Scientist; </w:t>
      </w:r>
      <w:r w:rsidR="00F31463">
        <w:t>Kathleen Boggs</w:t>
      </w:r>
      <w:r w:rsidR="004D34D1">
        <w:t xml:space="preserve"> HEOMD Capability I</w:t>
      </w:r>
      <w:r w:rsidR="004D34D1" w:rsidRPr="004D34D1">
        <w:t>ntegration Strategy Lead</w:t>
      </w:r>
      <w:r w:rsidR="009C2E8B">
        <w:t>.</w:t>
      </w:r>
    </w:p>
    <w:p w14:paraId="72DDC1C3" w14:textId="405F3D2B" w:rsidR="001E04F6" w:rsidRDefault="001E04F6" w:rsidP="00B93F24">
      <w:pPr>
        <w:pStyle w:val="CommentText"/>
      </w:pPr>
    </w:p>
    <w:p w14:paraId="20BA60AE" w14:textId="29A1E864" w:rsidR="001E04F6" w:rsidRPr="00576883" w:rsidRDefault="001E04F6" w:rsidP="00B93F24">
      <w:pPr>
        <w:pStyle w:val="CommentText"/>
        <w:rPr>
          <w:b/>
          <w:bCs/>
        </w:rPr>
      </w:pPr>
    </w:p>
    <w:p w14:paraId="100A4A4B" w14:textId="0CB234EB" w:rsidR="0063539A" w:rsidRDefault="0063539A" w:rsidP="0018135D">
      <w:pPr>
        <w:spacing w:afterLines="60" w:after="144"/>
      </w:pPr>
    </w:p>
    <w:p w14:paraId="2BA4E4C9" w14:textId="614AC39E" w:rsidR="001E04F6" w:rsidRDefault="001E04F6">
      <w:r>
        <w:br w:type="page"/>
      </w:r>
    </w:p>
    <w:p w14:paraId="0C3F6EF3" w14:textId="330D8779" w:rsidR="001E04F6" w:rsidRDefault="001E04F6" w:rsidP="0018135D">
      <w:pPr>
        <w:spacing w:afterLines="60" w:after="144"/>
        <w:rPr>
          <w:b/>
          <w:bCs/>
        </w:rPr>
      </w:pPr>
      <w:r w:rsidRPr="001E04F6">
        <w:rPr>
          <w:b/>
          <w:bCs/>
        </w:rPr>
        <w:lastRenderedPageBreak/>
        <w:t>References</w:t>
      </w:r>
    </w:p>
    <w:p w14:paraId="201FD5DD" w14:textId="42CBFEF2" w:rsidR="005C1D26" w:rsidRDefault="005C1D26" w:rsidP="00B074D3">
      <w:pPr>
        <w:pStyle w:val="EndnoteText"/>
      </w:pPr>
      <w:r w:rsidRPr="0063539A">
        <w:t xml:space="preserve">Benjamin, G., Burg, A., Boggs, K. G., McVay, E., Goodliff, K., &amp; Elburn, D. (2021) Exploration capabilities data analysis: An integrated approach. </w:t>
      </w:r>
      <w:r w:rsidRPr="0063539A">
        <w:rPr>
          <w:i/>
          <w:iCs/>
        </w:rPr>
        <w:t>IEEE</w:t>
      </w:r>
      <w:r w:rsidRPr="0063539A">
        <w:t>.</w:t>
      </w:r>
    </w:p>
    <w:p w14:paraId="27006F5E" w14:textId="56BD40BD" w:rsidR="003C5952" w:rsidRDefault="003C5952" w:rsidP="00B074D3">
      <w:pPr>
        <w:pStyle w:val="EndnoteText"/>
      </w:pPr>
    </w:p>
    <w:p w14:paraId="35697976" w14:textId="2A6585CD" w:rsidR="003C5952" w:rsidRDefault="003C5952" w:rsidP="00B074D3">
      <w:pPr>
        <w:pStyle w:val="EndnoteText"/>
      </w:pPr>
      <w:r w:rsidRPr="0063539A">
        <w:t xml:space="preserve">Betser, J., Ewart, R., &amp; Chandler, F. (2016) Science and Technology (S&amp;T) Roadmap Collaboration between SMC, NASA, and Government Partners. In </w:t>
      </w:r>
      <w:r w:rsidRPr="0063539A">
        <w:rPr>
          <w:i/>
          <w:iCs/>
        </w:rPr>
        <w:t>AIAA SPACE 2016</w:t>
      </w:r>
      <w:r w:rsidRPr="0063539A">
        <w:t xml:space="preserve"> (p. 5228).</w:t>
      </w:r>
    </w:p>
    <w:p w14:paraId="6CCF0C1A" w14:textId="77777777" w:rsidR="005C1D26" w:rsidRDefault="005C1D26" w:rsidP="00B074D3">
      <w:pPr>
        <w:pStyle w:val="EndnoteText"/>
      </w:pPr>
    </w:p>
    <w:p w14:paraId="1080D56B" w14:textId="5A4D92CB" w:rsidR="00F20016" w:rsidRDefault="00F20016" w:rsidP="00B074D3">
      <w:pPr>
        <w:pStyle w:val="EndnoteText"/>
      </w:pPr>
      <w:r>
        <w:t>Boggs, K.G. Goodliff, K, Elburn, D (2020) Capabilities development: From International Space Station and the Moon to Mars. IEEE</w:t>
      </w:r>
    </w:p>
    <w:p w14:paraId="6D055AE6" w14:textId="017D0BA4" w:rsidR="00203FA5" w:rsidRDefault="00203FA5" w:rsidP="00B074D3">
      <w:pPr>
        <w:pStyle w:val="EndnoteText"/>
      </w:pPr>
    </w:p>
    <w:p w14:paraId="35343D37" w14:textId="301D2805" w:rsidR="00203FA5" w:rsidRDefault="00203FA5" w:rsidP="00B074D3">
      <w:pPr>
        <w:pStyle w:val="EndnoteText"/>
      </w:pPr>
      <w:r w:rsidRPr="0063539A">
        <w:t xml:space="preserve">Burg, A., Boggs, K. G., Goodliff, K., McVay, E., Benjamin, G., &amp; Elburn, D. (2021). Architecture robustness in NASA’s Moon to Mars capability development. </w:t>
      </w:r>
      <w:r w:rsidRPr="0063539A">
        <w:rPr>
          <w:i/>
          <w:iCs/>
        </w:rPr>
        <w:t>IEEE</w:t>
      </w:r>
      <w:r w:rsidRPr="0063539A">
        <w:t>.</w:t>
      </w:r>
    </w:p>
    <w:p w14:paraId="34D23CE7" w14:textId="77777777" w:rsidR="00F20016" w:rsidRDefault="00F20016" w:rsidP="00B074D3">
      <w:pPr>
        <w:pStyle w:val="EndnoteText"/>
      </w:pPr>
    </w:p>
    <w:p w14:paraId="087F9252" w14:textId="39881674" w:rsidR="00B074D3" w:rsidRDefault="00B074D3" w:rsidP="00B074D3">
      <w:pPr>
        <w:pStyle w:val="EndnoteText"/>
      </w:pPr>
      <w:r w:rsidRPr="0063539A">
        <w:t>Conde, A. (29 October 2019). “An update to the NASA Advisory Council</w:t>
      </w:r>
      <w:r>
        <w:t>.”  NASA Advisory Council October 2019 Meeting</w:t>
      </w:r>
      <w:r w:rsidRPr="0063539A">
        <w:t xml:space="preserve"> </w:t>
      </w:r>
      <w:hyperlink r:id="rId8" w:history="1">
        <w:r w:rsidRPr="00B074D3">
          <w:rPr>
            <w:rStyle w:val="Hyperlink"/>
          </w:rPr>
          <w:t>https://www.nasa.gov/sites/default/files/atoms/files/aconde_oct_oct2019_508.pdf</w:t>
        </w:r>
        <w:r w:rsidRPr="00572B72">
          <w:rPr>
            <w:rStyle w:val="Hyperlink"/>
          </w:rPr>
          <w:t xml:space="preserve"> Accessed 9 April 2021</w:t>
        </w:r>
      </w:hyperlink>
    </w:p>
    <w:p w14:paraId="2FBA360A" w14:textId="15B7F5FA" w:rsidR="006814D1" w:rsidRDefault="006814D1" w:rsidP="00B074D3">
      <w:pPr>
        <w:pStyle w:val="EndnoteText"/>
      </w:pPr>
    </w:p>
    <w:p w14:paraId="4D643137" w14:textId="7BD8D40E" w:rsidR="006814D1" w:rsidRDefault="006814D1" w:rsidP="00B074D3">
      <w:pPr>
        <w:pStyle w:val="EndnoteText"/>
      </w:pPr>
      <w:r w:rsidRPr="0063539A">
        <w:t xml:space="preserve">Earle, K. D., Carrier, M., Cirillo, W., Grande, M. L., Jones, C. A., Judd, E., ... &amp; Stafford, M. (2018). Strategic Framework for NASA's Space Technology Mission Directorate. In </w:t>
      </w:r>
      <w:r w:rsidRPr="0063539A">
        <w:rPr>
          <w:i/>
          <w:iCs/>
        </w:rPr>
        <w:t>2018 AIAA SPACE and Astronautics Forum and Exposition</w:t>
      </w:r>
      <w:r w:rsidRPr="0063539A">
        <w:t xml:space="preserve"> (p. 5136).</w:t>
      </w:r>
    </w:p>
    <w:p w14:paraId="484C253B" w14:textId="2C3D23EC" w:rsidR="005D13D3" w:rsidRDefault="005D13D3" w:rsidP="00B074D3">
      <w:pPr>
        <w:pStyle w:val="EndnoteText"/>
      </w:pPr>
    </w:p>
    <w:p w14:paraId="4097E642" w14:textId="1E693D6F" w:rsidR="005D13D3" w:rsidRDefault="005D13D3" w:rsidP="00B074D3">
      <w:pPr>
        <w:pStyle w:val="EndnoteText"/>
      </w:pPr>
      <w:r w:rsidRPr="0063539A">
        <w:t>Engelund, W. &amp; McDonald, M. (3 February 2021). “STMD Strategic Framework Overview.”</w:t>
      </w:r>
    </w:p>
    <w:p w14:paraId="600A8687" w14:textId="1B5FDC7F" w:rsidR="00EE7C46" w:rsidRDefault="00EE7C46" w:rsidP="00B074D3">
      <w:pPr>
        <w:pStyle w:val="EndnoteText"/>
      </w:pPr>
    </w:p>
    <w:p w14:paraId="479ABA58" w14:textId="0BE778D0" w:rsidR="00A0315F" w:rsidRDefault="00A0315F" w:rsidP="00B074D3">
      <w:pPr>
        <w:pStyle w:val="EndnoteText"/>
      </w:pPr>
      <w:r w:rsidRPr="0063539A">
        <w:t xml:space="preserve">Garrett-Bakelman, F. E., Darshi, M., Green, S. J., Gur, R. C., Lin, L., Macias, B. R., ... &amp; Turek, F. W. (2019). The NASA Twins Study: A multidimensional analysis of a year-long human spaceflight. </w:t>
      </w:r>
      <w:r w:rsidRPr="0063539A">
        <w:rPr>
          <w:i/>
          <w:iCs/>
        </w:rPr>
        <w:t>Science</w:t>
      </w:r>
      <w:r w:rsidRPr="0063539A">
        <w:t xml:space="preserve">, </w:t>
      </w:r>
      <w:r w:rsidRPr="0063539A">
        <w:rPr>
          <w:i/>
          <w:iCs/>
        </w:rPr>
        <w:t>364</w:t>
      </w:r>
      <w:r w:rsidRPr="0063539A">
        <w:t>(6436).</w:t>
      </w:r>
    </w:p>
    <w:p w14:paraId="4A127C5C" w14:textId="5B7D158E" w:rsidR="00A0315F" w:rsidRDefault="00A0315F" w:rsidP="00B074D3">
      <w:pPr>
        <w:pStyle w:val="EndnoteText"/>
      </w:pPr>
    </w:p>
    <w:p w14:paraId="68B0CA84" w14:textId="3E2F59A6" w:rsidR="0009268D" w:rsidRDefault="0009268D" w:rsidP="00B074D3">
      <w:pPr>
        <w:pStyle w:val="EndnoteText"/>
      </w:pPr>
      <w:r w:rsidRPr="0063539A">
        <w:t xml:space="preserve">Grande, M. L., Carrier, M., Cirillo, W., Earle, K. D., Jones, C. A., Judd, E., ... &amp; Stafford, M. (2018). Mega-Drivers to Inform NASA Space Technology Strategic Planning. In </w:t>
      </w:r>
      <w:r w:rsidRPr="0063539A">
        <w:rPr>
          <w:i/>
          <w:iCs/>
        </w:rPr>
        <w:t>2018 AIAA SPACE and Astronautics Forum and Exposition</w:t>
      </w:r>
      <w:r w:rsidRPr="0063539A">
        <w:t xml:space="preserve"> (p. 5137).</w:t>
      </w:r>
    </w:p>
    <w:p w14:paraId="398F05A1" w14:textId="3C18FE7D" w:rsidR="0009268D" w:rsidRDefault="0009268D" w:rsidP="00B074D3">
      <w:pPr>
        <w:pStyle w:val="EndnoteText"/>
      </w:pPr>
    </w:p>
    <w:p w14:paraId="25E7E37E" w14:textId="7CBF7218" w:rsidR="00BB198E" w:rsidRDefault="00BB198E" w:rsidP="00B074D3">
      <w:pPr>
        <w:pStyle w:val="EndnoteText"/>
      </w:pPr>
      <w:r w:rsidRPr="0063539A">
        <w:t xml:space="preserve">Hamill, D., Jefferies, S. A., Moses, R. W., Stillwagen, F., Mullins, C., &amp; Gresham, E. (2018). Space Science and Technology Partnership Forum: Analysis for a Joint Demonstration of High Priority, In-Space Assembly Technology. In </w:t>
      </w:r>
      <w:r w:rsidRPr="0063539A">
        <w:rPr>
          <w:i/>
          <w:iCs/>
        </w:rPr>
        <w:t>2018 AIAA SPACE and Astronautics Forum and Exposition</w:t>
      </w:r>
      <w:r w:rsidRPr="0063539A">
        <w:t xml:space="preserve"> (p. 5307).</w:t>
      </w:r>
    </w:p>
    <w:p w14:paraId="5788FA27" w14:textId="77777777" w:rsidR="00BB198E" w:rsidRDefault="00BB198E" w:rsidP="00B074D3">
      <w:pPr>
        <w:pStyle w:val="EndnoteText"/>
      </w:pPr>
    </w:p>
    <w:p w14:paraId="0622AC5D" w14:textId="7B3B2481" w:rsidR="00EE7C46" w:rsidRDefault="00EE7C46" w:rsidP="00B074D3">
      <w:pPr>
        <w:pStyle w:val="EndnoteText"/>
      </w:pPr>
      <w:r w:rsidRPr="0063539A">
        <w:t xml:space="preserve">Hansen, H. C., Johnson, W. L., Meyer, M., Werkheiser, A., &amp; Stephens, J. R. (2020) Cryogenic Fluid Management Technologies Enabling for the Artemis Program and Beyond. In </w:t>
      </w:r>
      <w:r w:rsidRPr="0063539A">
        <w:rPr>
          <w:i/>
          <w:iCs/>
        </w:rPr>
        <w:t>ASCEND 2020</w:t>
      </w:r>
      <w:r w:rsidRPr="0063539A">
        <w:t xml:space="preserve"> (p. 4000).</w:t>
      </w:r>
    </w:p>
    <w:p w14:paraId="7FFF2E7F" w14:textId="77777777" w:rsidR="00457483" w:rsidRDefault="00457483" w:rsidP="00457483">
      <w:pPr>
        <w:pStyle w:val="EndnoteText"/>
      </w:pPr>
    </w:p>
    <w:p w14:paraId="7BA7C2C2" w14:textId="77777777" w:rsidR="00457483" w:rsidRDefault="00457483" w:rsidP="00457483">
      <w:pPr>
        <w:pStyle w:val="EndnoteText"/>
      </w:pPr>
      <w:r>
        <w:t xml:space="preserve">NASA (2018a) InSight Mars Lander: Mission Overview. </w:t>
      </w:r>
      <w:hyperlink r:id="rId9" w:history="1">
        <w:r w:rsidRPr="00572B72">
          <w:rPr>
            <w:rStyle w:val="Hyperlink"/>
          </w:rPr>
          <w:t>https://www.nasa.gov/mission_pages/insight/overview/index.html Accessed 9 April 2021</w:t>
        </w:r>
      </w:hyperlink>
      <w:r>
        <w:t>.</w:t>
      </w:r>
    </w:p>
    <w:p w14:paraId="1DC86DDA" w14:textId="532F14FF" w:rsidR="00B074D3" w:rsidRDefault="00B074D3" w:rsidP="00B074D3">
      <w:pPr>
        <w:pStyle w:val="EndnoteText"/>
      </w:pPr>
    </w:p>
    <w:p w14:paraId="409551A2" w14:textId="18B41F1C" w:rsidR="006D3DF0" w:rsidRDefault="0082420F" w:rsidP="00B074D3">
      <w:pPr>
        <w:pStyle w:val="EndnoteText"/>
      </w:pPr>
      <w:r>
        <w:t>NASA (2018</w:t>
      </w:r>
      <w:r w:rsidR="00AB1BCB">
        <w:t>b</w:t>
      </w:r>
      <w:r>
        <w:t xml:space="preserve">) Ice Confirmed at the Moon’s Poles. </w:t>
      </w:r>
      <w:hyperlink r:id="rId10" w:history="1">
        <w:r w:rsidRPr="00D81851">
          <w:rPr>
            <w:rStyle w:val="Hyperlink"/>
          </w:rPr>
          <w:t>https://www.nasa.gov/feature/ames/ice-confirmed-at-the-moon-s-poles</w:t>
        </w:r>
      </w:hyperlink>
      <w:r>
        <w:t xml:space="preserve"> Accessed 9 April 2021.  </w:t>
      </w:r>
    </w:p>
    <w:p w14:paraId="511A226E" w14:textId="77777777" w:rsidR="00576883" w:rsidRDefault="00576883" w:rsidP="00B074D3">
      <w:pPr>
        <w:pStyle w:val="EndnoteText"/>
      </w:pPr>
    </w:p>
    <w:p w14:paraId="598AA6B3" w14:textId="6899DDC1" w:rsidR="006D3DF0" w:rsidRDefault="006D3DF0" w:rsidP="00B074D3">
      <w:pPr>
        <w:pStyle w:val="EndnoteText"/>
      </w:pPr>
      <w:r>
        <w:t>NASA (2019</w:t>
      </w:r>
      <w:r w:rsidR="00C95B38">
        <w:t>a</w:t>
      </w:r>
      <w:r>
        <w:t xml:space="preserve">) </w:t>
      </w:r>
      <w:r w:rsidRPr="008514B0">
        <w:t>NASA’s New Lightweight X-ray Mirrors Ready for Try-outs in Space</w:t>
      </w:r>
      <w:r>
        <w:t xml:space="preserve">. </w:t>
      </w:r>
      <w:hyperlink r:id="rId11" w:history="1">
        <w:r w:rsidRPr="00D81851">
          <w:rPr>
            <w:rStyle w:val="Hyperlink"/>
          </w:rPr>
          <w:t>https://www.nasa.gov/feature/goddard/2019/nasa-s-new-lightweight-x-ray-mirrors-ready-for-try-outs-in-space</w:t>
        </w:r>
      </w:hyperlink>
      <w:r>
        <w:t xml:space="preserve"> </w:t>
      </w:r>
      <w:r w:rsidRPr="00443A83">
        <w:t>Accessed 9 April 2021</w:t>
      </w:r>
      <w:r>
        <w:t>.</w:t>
      </w:r>
    </w:p>
    <w:p w14:paraId="591738D7" w14:textId="6AEC7302" w:rsidR="00631B24" w:rsidRDefault="00631B24" w:rsidP="00B074D3">
      <w:pPr>
        <w:pStyle w:val="EndnoteText"/>
      </w:pPr>
    </w:p>
    <w:p w14:paraId="0C050AF1" w14:textId="46CAAE9F" w:rsidR="00631B24" w:rsidRDefault="00631B24" w:rsidP="00B074D3">
      <w:pPr>
        <w:pStyle w:val="EndnoteText"/>
      </w:pPr>
      <w:r>
        <w:t>NASA (2019</w:t>
      </w:r>
      <w:r w:rsidR="00C95B38">
        <w:t>b</w:t>
      </w:r>
      <w:r>
        <w:t xml:space="preserve">) Trusted Autonomy for the Moon and Mars. </w:t>
      </w:r>
      <w:hyperlink r:id="rId12" w:history="1">
        <w:r w:rsidRPr="00D81851">
          <w:rPr>
            <w:rStyle w:val="Hyperlink"/>
          </w:rPr>
          <w:t>https://www.nasa.gov/offices/oct/feature/Trusted_Autonomy_for_the_Moon_and_Mars</w:t>
        </w:r>
      </w:hyperlink>
      <w:r>
        <w:t xml:space="preserve"> </w:t>
      </w:r>
      <w:r w:rsidRPr="00BD6B8C">
        <w:t>Accessed 9 April 2021</w:t>
      </w:r>
      <w:r>
        <w:t>.</w:t>
      </w:r>
    </w:p>
    <w:p w14:paraId="66407671" w14:textId="24DB282B" w:rsidR="0079193B" w:rsidRDefault="0079193B" w:rsidP="00B074D3">
      <w:pPr>
        <w:pStyle w:val="EndnoteText"/>
      </w:pPr>
    </w:p>
    <w:p w14:paraId="2C919461" w14:textId="77777777" w:rsidR="00457483" w:rsidRDefault="00457483" w:rsidP="00457483">
      <w:pPr>
        <w:pStyle w:val="EndnoteText"/>
      </w:pPr>
      <w:r>
        <w:t xml:space="preserve">NASA (2020a) </w:t>
      </w:r>
      <w:r w:rsidRPr="00001E28">
        <w:t>NASA’s SOFIA Discovers Water on Sunlit Surface of Moon</w:t>
      </w:r>
      <w:r>
        <w:t xml:space="preserve">. </w:t>
      </w:r>
      <w:hyperlink r:id="rId13" w:history="1">
        <w:r w:rsidRPr="00D81851">
          <w:rPr>
            <w:rStyle w:val="Hyperlink"/>
          </w:rPr>
          <w:t>https://www.nasa.gov/press-release/nasa-s-sofia-discovers-water-on-sunlit-surface-of-moon</w:t>
        </w:r>
      </w:hyperlink>
      <w:r>
        <w:t xml:space="preserve"> Accessed 9 April 2021. </w:t>
      </w:r>
    </w:p>
    <w:p w14:paraId="079905BB" w14:textId="3490A834" w:rsidR="00457483" w:rsidRDefault="00457483" w:rsidP="00457483">
      <w:pPr>
        <w:pStyle w:val="EndnoteText"/>
      </w:pPr>
      <w:r>
        <w:t xml:space="preserve"> </w:t>
      </w:r>
    </w:p>
    <w:p w14:paraId="0FA47E5E" w14:textId="1F8D77C4" w:rsidR="00457483" w:rsidRDefault="00457483" w:rsidP="00457483">
      <w:pPr>
        <w:pStyle w:val="EndnoteText"/>
      </w:pPr>
      <w:r>
        <w:t xml:space="preserve">NASA (2020b) </w:t>
      </w:r>
      <w:r w:rsidRPr="00001E28">
        <w:t>VIPER Mission Overview</w:t>
      </w:r>
      <w:r>
        <w:t>.</w:t>
      </w:r>
      <w:r w:rsidRPr="00001E28">
        <w:t xml:space="preserve"> </w:t>
      </w:r>
      <w:hyperlink r:id="rId14" w:history="1">
        <w:r w:rsidR="00576883" w:rsidRPr="00A55D83">
          <w:rPr>
            <w:rStyle w:val="Hyperlink"/>
          </w:rPr>
          <w:t>https://www.nasa.gov/viper/overview Accessed 9 April 2021</w:t>
        </w:r>
      </w:hyperlink>
      <w:r>
        <w:t>.</w:t>
      </w:r>
    </w:p>
    <w:p w14:paraId="2466B049" w14:textId="77777777" w:rsidR="00576883" w:rsidRDefault="00576883" w:rsidP="00457483">
      <w:pPr>
        <w:pStyle w:val="EndnoteText"/>
      </w:pPr>
    </w:p>
    <w:p w14:paraId="06A0C454" w14:textId="56C2B77F" w:rsidR="009A22D8" w:rsidRDefault="009A22D8" w:rsidP="00B074D3">
      <w:pPr>
        <w:pStyle w:val="EndnoteText"/>
      </w:pPr>
      <w:r>
        <w:lastRenderedPageBreak/>
        <w:t>NASA (2020</w:t>
      </w:r>
      <w:r w:rsidR="0027673E">
        <w:t>c</w:t>
      </w:r>
      <w:r>
        <w:t xml:space="preserve">) 13.0 Identification and Tracking Systems. </w:t>
      </w:r>
      <w:hyperlink r:id="rId15" w:history="1">
        <w:r w:rsidRPr="00D81851">
          <w:rPr>
            <w:rStyle w:val="Hyperlink"/>
          </w:rPr>
          <w:t>https://www.nasa.gov/smallsat-institute/sst-soa-2020/identification-and-tracking-systems</w:t>
        </w:r>
      </w:hyperlink>
      <w:r>
        <w:t xml:space="preserve"> </w:t>
      </w:r>
      <w:r w:rsidRPr="00443A83">
        <w:t>Accessed 9 April 2021</w:t>
      </w:r>
      <w:r>
        <w:t>.</w:t>
      </w:r>
    </w:p>
    <w:p w14:paraId="07066DB0" w14:textId="1CAAB7A8" w:rsidR="00FE22FB" w:rsidRDefault="00FE22FB" w:rsidP="00B074D3">
      <w:pPr>
        <w:pStyle w:val="EndnoteText"/>
      </w:pPr>
    </w:p>
    <w:p w14:paraId="1318DECE" w14:textId="11384DE8" w:rsidR="00D95656" w:rsidRDefault="00FE22FB" w:rsidP="00B074D3">
      <w:pPr>
        <w:pStyle w:val="EndnoteText"/>
      </w:pPr>
      <w:r>
        <w:t>NASA (2020</w:t>
      </w:r>
      <w:r>
        <w:t>d</w:t>
      </w:r>
      <w:r>
        <w:t xml:space="preserve">) NASA’s Lunar Exploration Program Overview. </w:t>
      </w:r>
      <w:hyperlink r:id="rId16" w:history="1">
        <w:r w:rsidRPr="00D81851">
          <w:rPr>
            <w:rStyle w:val="Hyperlink"/>
          </w:rPr>
          <w:t>https://www.nasa.gov/sites/default/files/atoms/files/artemis_plan-20200921.pdf</w:t>
        </w:r>
      </w:hyperlink>
      <w:r>
        <w:t xml:space="preserve"> </w:t>
      </w:r>
      <w:r w:rsidRPr="00BD6B8C">
        <w:t>Accessed 9 April 2021</w:t>
      </w:r>
      <w:r>
        <w:t>.</w:t>
      </w:r>
    </w:p>
    <w:p w14:paraId="0EF5E016" w14:textId="77777777" w:rsidR="00ED2A1D" w:rsidRDefault="00ED2A1D" w:rsidP="00B074D3">
      <w:pPr>
        <w:pStyle w:val="EndnoteText"/>
      </w:pPr>
    </w:p>
    <w:p w14:paraId="5D90D116" w14:textId="32BCBDA7" w:rsidR="00E81E27" w:rsidRDefault="00E81E27" w:rsidP="00B074D3">
      <w:pPr>
        <w:pStyle w:val="EndnoteText"/>
      </w:pPr>
      <w:r>
        <w:t>NASA (2021</w:t>
      </w:r>
      <w:r w:rsidR="00F9646B">
        <w:t>a</w:t>
      </w:r>
      <w:r>
        <w:t xml:space="preserve">) About NASA. </w:t>
      </w:r>
      <w:hyperlink r:id="rId17" w:history="1">
        <w:r w:rsidRPr="00D81851">
          <w:rPr>
            <w:rStyle w:val="Hyperlink"/>
          </w:rPr>
          <w:t>https://www.nasa.gov/about/index.html</w:t>
        </w:r>
      </w:hyperlink>
      <w:r>
        <w:t xml:space="preserve"> Accessed 9 April 2021.</w:t>
      </w:r>
    </w:p>
    <w:p w14:paraId="2D1054FB" w14:textId="6698DF99" w:rsidR="003F6C06" w:rsidRDefault="003F6C06" w:rsidP="00B074D3">
      <w:pPr>
        <w:pStyle w:val="EndnoteText"/>
      </w:pPr>
    </w:p>
    <w:p w14:paraId="11C6D630" w14:textId="3B010F82" w:rsidR="003F6C06" w:rsidRDefault="003F6C06" w:rsidP="00B074D3">
      <w:pPr>
        <w:pStyle w:val="EndnoteText"/>
      </w:pPr>
      <w:r>
        <w:t>NASA (2021</w:t>
      </w:r>
      <w:r w:rsidR="00F9646B">
        <w:t>b</w:t>
      </w:r>
      <w:r>
        <w:t xml:space="preserve">) NASA TechPort Search Results on April 9, 2021. </w:t>
      </w:r>
      <w:hyperlink r:id="rId18" w:history="1">
        <w:r w:rsidRPr="00D81851">
          <w:rPr>
            <w:rStyle w:val="Hyperlink"/>
          </w:rPr>
          <w:t>https://techport.nasa.gov/search</w:t>
        </w:r>
      </w:hyperlink>
      <w:r>
        <w:t xml:space="preserve"> </w:t>
      </w:r>
      <w:r w:rsidRPr="00BD6B8C">
        <w:t>Accessed 9 April 2021</w:t>
      </w:r>
      <w:r>
        <w:t>.</w:t>
      </w:r>
    </w:p>
    <w:p w14:paraId="72AD7CFE" w14:textId="77777777" w:rsidR="009B74A4" w:rsidRDefault="009B74A4" w:rsidP="009B74A4">
      <w:pPr>
        <w:pStyle w:val="EndnoteText"/>
      </w:pPr>
    </w:p>
    <w:p w14:paraId="04A11A62" w14:textId="77777777" w:rsidR="009B74A4" w:rsidRDefault="009B74A4" w:rsidP="009B74A4">
      <w:pPr>
        <w:pStyle w:val="EndnoteText"/>
      </w:pPr>
      <w:r>
        <w:t xml:space="preserve">NASA (2021c) InSight Mission Overview. </w:t>
      </w:r>
      <w:hyperlink r:id="rId19" w:history="1">
        <w:r w:rsidRPr="00001E28">
          <w:rPr>
            <w:rStyle w:val="Hyperlink"/>
          </w:rPr>
          <w:t>https://mars.nasa.gov/insight/mission/overview/</w:t>
        </w:r>
      </w:hyperlink>
      <w:r w:rsidRPr="0063539A">
        <w:t xml:space="preserve"> </w:t>
      </w:r>
      <w:r>
        <w:t xml:space="preserve">Accessed 9 April 2021.  </w:t>
      </w:r>
    </w:p>
    <w:p w14:paraId="5D85BEA2" w14:textId="6EEF3D3E" w:rsidR="00BC39BB" w:rsidRDefault="00BC39BB" w:rsidP="00B074D3">
      <w:pPr>
        <w:pStyle w:val="EndnoteText"/>
      </w:pPr>
    </w:p>
    <w:p w14:paraId="2B0BAC7D" w14:textId="38117D7F" w:rsidR="00894755" w:rsidRDefault="00BC39BB" w:rsidP="00B074D3">
      <w:pPr>
        <w:pStyle w:val="EndnoteText"/>
      </w:pPr>
      <w:r>
        <w:t>NASA ARMD (2019</w:t>
      </w:r>
      <w:r w:rsidR="00B44425">
        <w:t>a</w:t>
      </w:r>
      <w:r>
        <w:t xml:space="preserve">) </w:t>
      </w:r>
      <w:r w:rsidRPr="0063539A">
        <w:t>NASA Aeronautics Strategic Implementation Plan (2019).</w:t>
      </w:r>
      <w:r>
        <w:t xml:space="preserve"> </w:t>
      </w:r>
      <w:hyperlink r:id="rId20" w:history="1">
        <w:r w:rsidRPr="00D81851">
          <w:rPr>
            <w:rStyle w:val="Hyperlink"/>
          </w:rPr>
          <w:t>https://www.nasa.gov/sites/default/files/atoms/files/sip-2019-v7-web.pdf</w:t>
        </w:r>
      </w:hyperlink>
      <w:r>
        <w:t xml:space="preserve"> Accessed 9 April 2021.</w:t>
      </w:r>
    </w:p>
    <w:p w14:paraId="5DACCEDF" w14:textId="49893BE5" w:rsidR="000F035B" w:rsidRDefault="000F035B" w:rsidP="00B074D3">
      <w:pPr>
        <w:pStyle w:val="EndnoteText"/>
      </w:pPr>
    </w:p>
    <w:p w14:paraId="30CB95D6" w14:textId="6050FE66" w:rsidR="000F035B" w:rsidRDefault="000F035B" w:rsidP="00B074D3">
      <w:pPr>
        <w:pStyle w:val="EndnoteText"/>
      </w:pPr>
      <w:r>
        <w:t>NASA ARMD (2020</w:t>
      </w:r>
      <w:r w:rsidR="00A27BE9">
        <w:t>a</w:t>
      </w:r>
      <w:r>
        <w:t xml:space="preserve">) </w:t>
      </w:r>
      <w:r w:rsidRPr="00076A82">
        <w:t>About Aeronautics Research Mission Directorate (ARMD)</w:t>
      </w:r>
      <w:r>
        <w:t>.</w:t>
      </w:r>
      <w:r w:rsidRPr="00076A82">
        <w:t xml:space="preserve"> </w:t>
      </w:r>
      <w:hyperlink r:id="rId21" w:history="1">
        <w:r w:rsidRPr="00D81851">
          <w:rPr>
            <w:rStyle w:val="Hyperlink"/>
          </w:rPr>
          <w:t>https://www.nasa.gov/aeroresearch/about-armd</w:t>
        </w:r>
      </w:hyperlink>
      <w:r>
        <w:t xml:space="preserve"> Accessed 9 April 2021.</w:t>
      </w:r>
    </w:p>
    <w:p w14:paraId="5EE09870" w14:textId="2B2B8487" w:rsidR="00630B1E" w:rsidRDefault="00630B1E" w:rsidP="00B074D3">
      <w:pPr>
        <w:pStyle w:val="EndnoteText"/>
      </w:pPr>
    </w:p>
    <w:p w14:paraId="3F88007E" w14:textId="1E3C6F31" w:rsidR="00C879E8" w:rsidRDefault="00C879E8" w:rsidP="00B074D3">
      <w:pPr>
        <w:pStyle w:val="EndnoteText"/>
      </w:pPr>
      <w:r>
        <w:t>NASA ARMD (2020</w:t>
      </w:r>
      <w:r w:rsidR="00A27BE9">
        <w:t>b</w:t>
      </w:r>
      <w:r>
        <w:t xml:space="preserve">) </w:t>
      </w:r>
      <w:r w:rsidRPr="00443A83">
        <w:t>Progress in 2020 Advances Aviation’s Future</w:t>
      </w:r>
      <w:r>
        <w:t>.</w:t>
      </w:r>
      <w:r w:rsidRPr="00443A83">
        <w:t xml:space="preserve"> </w:t>
      </w:r>
      <w:hyperlink r:id="rId22" w:history="1">
        <w:r w:rsidRPr="00D81851">
          <w:rPr>
            <w:rStyle w:val="Hyperlink"/>
          </w:rPr>
          <w:t>https://www.nasa.gov/aeroresearch/progress-in-2020-advances-aviations-future</w:t>
        </w:r>
      </w:hyperlink>
      <w:r>
        <w:t xml:space="preserve"> </w:t>
      </w:r>
      <w:r w:rsidRPr="00443A83">
        <w:t>Accessed 9 April 2021</w:t>
      </w:r>
      <w:r>
        <w:t>.</w:t>
      </w:r>
    </w:p>
    <w:p w14:paraId="78CBA763" w14:textId="77777777" w:rsidR="00734EA3" w:rsidRDefault="00734EA3" w:rsidP="00B074D3">
      <w:pPr>
        <w:pStyle w:val="EndnoteText"/>
      </w:pPr>
    </w:p>
    <w:p w14:paraId="62DA0CB5" w14:textId="28D814BF" w:rsidR="00734EA3" w:rsidRDefault="00734EA3" w:rsidP="00B074D3">
      <w:pPr>
        <w:pStyle w:val="EndnoteText"/>
      </w:pPr>
      <w:r>
        <w:t xml:space="preserve">NASA HEOMD (2021) </w:t>
      </w:r>
      <w:r w:rsidRPr="003B72F6">
        <w:t>About the Human Exploration and Operations Mission Directorate</w:t>
      </w:r>
      <w:r>
        <w:t>.</w:t>
      </w:r>
      <w:r w:rsidRPr="003B72F6">
        <w:t xml:space="preserve"> </w:t>
      </w:r>
      <w:hyperlink r:id="rId23" w:history="1">
        <w:r w:rsidRPr="00D81851">
          <w:rPr>
            <w:rStyle w:val="Hyperlink"/>
          </w:rPr>
          <w:t>https://www.nasa.gov/directorates/heo/about.html</w:t>
        </w:r>
      </w:hyperlink>
      <w:r>
        <w:t xml:space="preserve"> Accessed 9 April 2021.</w:t>
      </w:r>
    </w:p>
    <w:p w14:paraId="20AE7B50" w14:textId="77777777" w:rsidR="00E81E27" w:rsidRDefault="00E81E27" w:rsidP="00B074D3">
      <w:pPr>
        <w:pStyle w:val="EndnoteText"/>
      </w:pPr>
    </w:p>
    <w:p w14:paraId="55ACA202" w14:textId="6A996186" w:rsidR="001D0148" w:rsidRDefault="001D0148" w:rsidP="001D0148">
      <w:pPr>
        <w:pStyle w:val="EndnoteText"/>
      </w:pPr>
      <w:r w:rsidRPr="0063539A">
        <w:t xml:space="preserve">NASA </w:t>
      </w:r>
      <w:r w:rsidR="00A46B29">
        <w:t>OCT</w:t>
      </w:r>
      <w:r w:rsidRPr="0063539A">
        <w:t xml:space="preserve">. (2017). </w:t>
      </w:r>
      <w:r w:rsidRPr="002315AC">
        <w:t>NASA Strategic Technology Investment Plan</w:t>
      </w:r>
      <w:r w:rsidRPr="00076A82">
        <w:t>.</w:t>
      </w:r>
      <w:r>
        <w:t xml:space="preserve"> </w:t>
      </w:r>
      <w:hyperlink r:id="rId24" w:history="1">
        <w:r w:rsidRPr="00D81851">
          <w:rPr>
            <w:rStyle w:val="Hyperlink"/>
          </w:rPr>
          <w:t>https://www.nasa.gov/sites/default/files/atoms/files/2017-8-1_stip_final-508ed.pdf</w:t>
        </w:r>
      </w:hyperlink>
      <w:r>
        <w:t xml:space="preserve"> Accessed 9 April 2021.</w:t>
      </w:r>
      <w:r w:rsidRPr="000521B9" w:rsidDel="00076A82">
        <w:rPr>
          <w:highlight w:val="yellow"/>
        </w:rPr>
        <w:t xml:space="preserve"> </w:t>
      </w:r>
    </w:p>
    <w:p w14:paraId="3CFAC53C" w14:textId="7B6D74D9" w:rsidR="00476407" w:rsidRDefault="00476407" w:rsidP="001D0148">
      <w:pPr>
        <w:pStyle w:val="EndnoteText"/>
      </w:pPr>
    </w:p>
    <w:p w14:paraId="25364096" w14:textId="12083E2B" w:rsidR="00FF538B" w:rsidRDefault="00476407" w:rsidP="001D0148">
      <w:pPr>
        <w:pStyle w:val="EndnoteText"/>
      </w:pPr>
      <w:r>
        <w:t xml:space="preserve">NASA OCT (2020) Science and Technology Partnership Forum. </w:t>
      </w:r>
      <w:hyperlink r:id="rId25" w:history="1">
        <w:r w:rsidRPr="00D81851">
          <w:rPr>
            <w:rStyle w:val="Hyperlink"/>
          </w:rPr>
          <w:t>https://www.nasa.gov/offices/oct/science-and-technology-partnership-forum.html</w:t>
        </w:r>
      </w:hyperlink>
      <w:r>
        <w:t xml:space="preserve"> </w:t>
      </w:r>
      <w:r w:rsidRPr="00BD6B8C">
        <w:t>Accessed 9 April 2021</w:t>
      </w:r>
      <w:r>
        <w:t>.</w:t>
      </w:r>
    </w:p>
    <w:p w14:paraId="4FEB49ED" w14:textId="42552151" w:rsidR="004F2C66" w:rsidRDefault="004F2C66" w:rsidP="001D0148">
      <w:pPr>
        <w:pStyle w:val="EndnoteText"/>
      </w:pPr>
    </w:p>
    <w:p w14:paraId="56EBE775" w14:textId="3A926DB5" w:rsidR="00971532" w:rsidRDefault="00971532" w:rsidP="001D0148">
      <w:pPr>
        <w:pStyle w:val="EndnoteText"/>
      </w:pPr>
      <w:r w:rsidRPr="0063539A">
        <w:t>NASA</w:t>
      </w:r>
      <w:r>
        <w:t xml:space="preserve"> SMD</w:t>
      </w:r>
      <w:r w:rsidRPr="0063539A">
        <w:t xml:space="preserve"> (2020) </w:t>
      </w:r>
      <w:r>
        <w:t xml:space="preserve">Explore </w:t>
      </w:r>
      <w:r w:rsidRPr="0063539A">
        <w:t>Science 2020-2024: A vision for science excellence.</w:t>
      </w:r>
      <w:r>
        <w:t xml:space="preserve"> </w:t>
      </w:r>
      <w:hyperlink r:id="rId26" w:history="1">
        <w:r w:rsidRPr="00D81851">
          <w:rPr>
            <w:rStyle w:val="Hyperlink"/>
          </w:rPr>
          <w:t>https://science.nasa.gov/science-red/s3fs-public/atoms/files/2020-2024_Science.pdf</w:t>
        </w:r>
      </w:hyperlink>
      <w:r>
        <w:t xml:space="preserve"> Accessed 9 April 2021.</w:t>
      </w:r>
    </w:p>
    <w:p w14:paraId="1E879C09" w14:textId="77777777" w:rsidR="00971532" w:rsidRDefault="00971532" w:rsidP="001D0148">
      <w:pPr>
        <w:pStyle w:val="EndnoteText"/>
      </w:pPr>
    </w:p>
    <w:p w14:paraId="17990730" w14:textId="64B56FE9" w:rsidR="004F2C66" w:rsidRPr="0063539A" w:rsidRDefault="004F2C66" w:rsidP="001D0148">
      <w:pPr>
        <w:pStyle w:val="EndnoteText"/>
      </w:pPr>
      <w:r>
        <w:t xml:space="preserve">NASA SMD (2021) About Us: </w:t>
      </w:r>
      <w:r w:rsidRPr="00076A82">
        <w:t xml:space="preserve">NASA's Science Vision </w:t>
      </w:r>
      <w:hyperlink r:id="rId27" w:history="1">
        <w:r w:rsidRPr="00D81851">
          <w:rPr>
            <w:rStyle w:val="Hyperlink"/>
          </w:rPr>
          <w:t>https://science.nasa.gov/about-us/smd-vision</w:t>
        </w:r>
      </w:hyperlink>
      <w:r>
        <w:t xml:space="preserve"> Accessed 9 April 2021.</w:t>
      </w:r>
    </w:p>
    <w:p w14:paraId="7AA8A76E" w14:textId="77777777" w:rsidR="00A321A3" w:rsidRDefault="00A321A3" w:rsidP="00B074D3">
      <w:pPr>
        <w:pStyle w:val="EndnoteText"/>
        <w:rPr>
          <w:b/>
          <w:bCs/>
        </w:rPr>
      </w:pPr>
    </w:p>
    <w:p w14:paraId="22F46698" w14:textId="6161EDC1" w:rsidR="00A321A3" w:rsidRDefault="00A321A3" w:rsidP="00B074D3">
      <w:pPr>
        <w:pStyle w:val="EndnoteText"/>
      </w:pPr>
      <w:r>
        <w:t xml:space="preserve">NASA STMD (2020) </w:t>
      </w:r>
      <w:r w:rsidRPr="00076A82">
        <w:t>Space Technology Mission Directorate</w:t>
      </w:r>
      <w:r>
        <w:t xml:space="preserve">: About Us. </w:t>
      </w:r>
      <w:hyperlink r:id="rId28" w:history="1">
        <w:r w:rsidRPr="00076A82">
          <w:rPr>
            <w:rStyle w:val="Hyperlink"/>
          </w:rPr>
          <w:t>https://www.nasa.gov/directorates/spacetech/about_us/index.html</w:t>
        </w:r>
      </w:hyperlink>
      <w:r>
        <w:t xml:space="preserve"> Accessed 9 April 2021.</w:t>
      </w:r>
    </w:p>
    <w:p w14:paraId="04EB0159" w14:textId="469F6CF4" w:rsidR="00EB2748" w:rsidRDefault="00EB2748" w:rsidP="00B074D3">
      <w:pPr>
        <w:pStyle w:val="EndnoteText"/>
      </w:pPr>
    </w:p>
    <w:p w14:paraId="40ADB4F9" w14:textId="2EFDDEE5" w:rsidR="007705EA" w:rsidRPr="00576883" w:rsidRDefault="00EB2748" w:rsidP="00B074D3">
      <w:pPr>
        <w:pStyle w:val="EndnoteText"/>
        <w:rPr>
          <w:rFonts w:eastAsia="Calibri"/>
        </w:rPr>
      </w:pPr>
      <w:r w:rsidRPr="002315AC">
        <w:rPr>
          <w:rFonts w:eastAsia="Calibri"/>
        </w:rPr>
        <w:t xml:space="preserve">National Academies of Sciences, Engineering, and Medicine </w:t>
      </w:r>
      <w:r>
        <w:rPr>
          <w:rFonts w:eastAsia="Calibri"/>
        </w:rPr>
        <w:t>(</w:t>
      </w:r>
      <w:r w:rsidRPr="002315AC">
        <w:rPr>
          <w:rFonts w:eastAsia="Calibri"/>
        </w:rPr>
        <w:t>2018</w:t>
      </w:r>
      <w:r>
        <w:rPr>
          <w:rFonts w:eastAsia="Calibri"/>
        </w:rPr>
        <w:t>)</w:t>
      </w:r>
      <w:r w:rsidRPr="002315AC">
        <w:rPr>
          <w:rFonts w:eastAsia="Calibri"/>
        </w:rPr>
        <w:t xml:space="preserve"> </w:t>
      </w:r>
      <w:r w:rsidRPr="002315AC">
        <w:rPr>
          <w:rFonts w:eastAsia="Calibri"/>
          <w:i/>
          <w:iCs/>
        </w:rPr>
        <w:t xml:space="preserve">Thriving on Our Changing Planet: A Decadal Strategy for Earth Observation from Space. </w:t>
      </w:r>
      <w:r w:rsidRPr="002315AC">
        <w:rPr>
          <w:rFonts w:eastAsia="Calibri"/>
        </w:rPr>
        <w:t xml:space="preserve">Washington, DC: The National Academies Press. </w:t>
      </w:r>
      <w:hyperlink r:id="rId29" w:history="1">
        <w:r w:rsidRPr="00EB2748">
          <w:rPr>
            <w:rStyle w:val="Hyperlink"/>
            <w:rFonts w:eastAsia="Calibri"/>
          </w:rPr>
          <w:t>https://doi.org/10.17226/24938</w:t>
        </w:r>
      </w:hyperlink>
      <w:r w:rsidRPr="002315AC">
        <w:rPr>
          <w:rFonts w:eastAsia="Calibri"/>
        </w:rPr>
        <w:t>.</w:t>
      </w:r>
    </w:p>
    <w:p w14:paraId="6A3612BD" w14:textId="3779C7E2" w:rsidR="00C76AFF" w:rsidRDefault="00C76AFF" w:rsidP="00B074D3">
      <w:pPr>
        <w:pStyle w:val="EndnoteText"/>
      </w:pPr>
    </w:p>
    <w:p w14:paraId="55F6002B" w14:textId="59714E02" w:rsidR="00C76AFF" w:rsidRDefault="00C76AFF" w:rsidP="00B074D3">
      <w:pPr>
        <w:pStyle w:val="EndnoteText"/>
      </w:pPr>
      <w:r w:rsidRPr="002648E1">
        <w:t>N</w:t>
      </w:r>
      <w:r w:rsidRPr="002315AC">
        <w:t xml:space="preserve">ational Academies of Sciences, Engineering, and Medicine </w:t>
      </w:r>
      <w:r>
        <w:t>(</w:t>
      </w:r>
      <w:r w:rsidRPr="002315AC">
        <w:t>2019</w:t>
      </w:r>
      <w:r>
        <w:t>)</w:t>
      </w:r>
      <w:r w:rsidRPr="002315AC">
        <w:t xml:space="preserve"> </w:t>
      </w:r>
      <w:r w:rsidRPr="002315AC">
        <w:rPr>
          <w:i/>
          <w:iCs/>
        </w:rPr>
        <w:t xml:space="preserve">Thriving on Our Changing Planet: A Decadal Strategy for Earth Observation from Space: An Overview for Decision Makers and the Public. </w:t>
      </w:r>
      <w:r w:rsidRPr="002315AC">
        <w:t xml:space="preserve">Washington, DC: The National Academies Press. </w:t>
      </w:r>
      <w:hyperlink r:id="rId30" w:history="1">
        <w:r w:rsidRPr="00817D3E">
          <w:rPr>
            <w:rStyle w:val="Hyperlink"/>
          </w:rPr>
          <w:t>https://doi.org/10.17226/25437</w:t>
        </w:r>
      </w:hyperlink>
      <w:r w:rsidRPr="002315AC">
        <w:t>.</w:t>
      </w:r>
    </w:p>
    <w:p w14:paraId="3B71EB9F" w14:textId="77777777" w:rsidR="00A321A3" w:rsidRDefault="00A321A3" w:rsidP="00B074D3">
      <w:pPr>
        <w:pStyle w:val="EndnoteText"/>
      </w:pPr>
    </w:p>
    <w:p w14:paraId="41D63243" w14:textId="682F0CFE" w:rsidR="00B074D3" w:rsidRPr="001E04F6" w:rsidRDefault="00D80F70" w:rsidP="00576883">
      <w:pPr>
        <w:pStyle w:val="EndnoteText"/>
      </w:pPr>
      <w:r>
        <w:t xml:space="preserve">University of Colorado Boulder (2020) </w:t>
      </w:r>
      <w:r w:rsidRPr="00001E28">
        <w:t>Sun Radio Interferometer Space Experiment (SunRISE)</w:t>
      </w:r>
      <w:r>
        <w:t xml:space="preserve">. </w:t>
      </w:r>
      <w:hyperlink r:id="rId31" w:history="1">
        <w:r w:rsidRPr="00572B72">
          <w:rPr>
            <w:rStyle w:val="Hyperlink"/>
          </w:rPr>
          <w:t>https://www.colorado.edu/ness/projects/sun-radio-interferometer-space-experiment-sunrise</w:t>
        </w:r>
      </w:hyperlink>
      <w:r>
        <w:t xml:space="preserve"> </w:t>
      </w:r>
      <w:r>
        <w:t xml:space="preserve">Accessed 9 April 2021.  </w:t>
      </w:r>
    </w:p>
    <w:sectPr w:rsidR="00B074D3" w:rsidRPr="001E04F6" w:rsidSect="00B058C3">
      <w:footerReference w:type="even" r:id="rId32"/>
      <w:footerReference w:type="default" r:id="rId33"/>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62863A" w14:textId="77777777" w:rsidR="00B52092" w:rsidRDefault="00B52092" w:rsidP="00D808DC">
      <w:r>
        <w:separator/>
      </w:r>
    </w:p>
  </w:endnote>
  <w:endnote w:type="continuationSeparator" w:id="0">
    <w:p w14:paraId="1FB8AFE8" w14:textId="77777777" w:rsidR="00B52092" w:rsidRDefault="00B52092" w:rsidP="00D8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8187963"/>
      <w:docPartObj>
        <w:docPartGallery w:val="Page Numbers (Bottom of Page)"/>
        <w:docPartUnique/>
      </w:docPartObj>
    </w:sdtPr>
    <w:sdtEndPr>
      <w:rPr>
        <w:rStyle w:val="PageNumber"/>
      </w:rPr>
    </w:sdtEndPr>
    <w:sdtContent>
      <w:p w14:paraId="4E6DFE05" w14:textId="402A70A2" w:rsidR="00AD7C8F" w:rsidRDefault="00AD7C8F" w:rsidP="00E641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473DD1" w14:textId="77777777" w:rsidR="00AD7C8F" w:rsidRDefault="00AD7C8F" w:rsidP="00D808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2944053"/>
      <w:docPartObj>
        <w:docPartGallery w:val="Page Numbers (Bottom of Page)"/>
        <w:docPartUnique/>
      </w:docPartObj>
    </w:sdtPr>
    <w:sdtEndPr>
      <w:rPr>
        <w:rStyle w:val="PageNumber"/>
      </w:rPr>
    </w:sdtEndPr>
    <w:sdtContent>
      <w:p w14:paraId="7B19E133" w14:textId="3A9F712E" w:rsidR="00AD7C8F" w:rsidRDefault="00AD7C8F" w:rsidP="00E641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A14B1E" w14:textId="77777777" w:rsidR="00AD7C8F" w:rsidRDefault="00AD7C8F" w:rsidP="00D808D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48F810" w14:textId="77777777" w:rsidR="00B52092" w:rsidRDefault="00B52092" w:rsidP="00D808DC">
      <w:r>
        <w:separator/>
      </w:r>
    </w:p>
  </w:footnote>
  <w:footnote w:type="continuationSeparator" w:id="0">
    <w:p w14:paraId="131BCB74" w14:textId="77777777" w:rsidR="00B52092" w:rsidRDefault="00B52092" w:rsidP="00D80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4287E"/>
    <w:multiLevelType w:val="hybridMultilevel"/>
    <w:tmpl w:val="0DFAB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D2276"/>
    <w:multiLevelType w:val="hybridMultilevel"/>
    <w:tmpl w:val="8BE2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F75E3"/>
    <w:multiLevelType w:val="hybridMultilevel"/>
    <w:tmpl w:val="F55A44A2"/>
    <w:lvl w:ilvl="0" w:tplc="0409000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A138B"/>
    <w:multiLevelType w:val="hybridMultilevel"/>
    <w:tmpl w:val="E702E9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5D26A1"/>
    <w:multiLevelType w:val="hybridMultilevel"/>
    <w:tmpl w:val="0DFAB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BF6703"/>
    <w:multiLevelType w:val="hybridMultilevel"/>
    <w:tmpl w:val="703AF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516872"/>
    <w:multiLevelType w:val="hybridMultilevel"/>
    <w:tmpl w:val="8A5A1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A4433"/>
    <w:multiLevelType w:val="hybridMultilevel"/>
    <w:tmpl w:val="2784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40BEF"/>
    <w:multiLevelType w:val="hybridMultilevel"/>
    <w:tmpl w:val="F2568454"/>
    <w:lvl w:ilvl="0" w:tplc="F8044D1A">
      <w:start w:val="1"/>
      <w:numFmt w:val="upperLetter"/>
      <w:pStyle w:val="Norm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B1EE7"/>
    <w:multiLevelType w:val="hybridMultilevel"/>
    <w:tmpl w:val="0DFAB3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94C5B"/>
    <w:multiLevelType w:val="hybridMultilevel"/>
    <w:tmpl w:val="703AF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E9503E"/>
    <w:multiLevelType w:val="hybridMultilevel"/>
    <w:tmpl w:val="5EE023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327713"/>
    <w:multiLevelType w:val="hybridMultilevel"/>
    <w:tmpl w:val="C16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241494"/>
    <w:multiLevelType w:val="hybridMultilevel"/>
    <w:tmpl w:val="568E1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F24F52"/>
    <w:multiLevelType w:val="multilevel"/>
    <w:tmpl w:val="98268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974542"/>
    <w:multiLevelType w:val="hybridMultilevel"/>
    <w:tmpl w:val="8C984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3B118F"/>
    <w:multiLevelType w:val="hybridMultilevel"/>
    <w:tmpl w:val="9C1EBD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DC43B4"/>
    <w:multiLevelType w:val="hybridMultilevel"/>
    <w:tmpl w:val="06904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13"/>
  </w:num>
  <w:num w:numId="5">
    <w:abstractNumId w:val="3"/>
  </w:num>
  <w:num w:numId="6">
    <w:abstractNumId w:val="0"/>
  </w:num>
  <w:num w:numId="7">
    <w:abstractNumId w:val="12"/>
  </w:num>
  <w:num w:numId="8">
    <w:abstractNumId w:val="2"/>
  </w:num>
  <w:num w:numId="9">
    <w:abstractNumId w:val="16"/>
  </w:num>
  <w:num w:numId="10">
    <w:abstractNumId w:val="8"/>
  </w:num>
  <w:num w:numId="11">
    <w:abstractNumId w:val="10"/>
  </w:num>
  <w:num w:numId="12">
    <w:abstractNumId w:val="8"/>
  </w:num>
  <w:num w:numId="13">
    <w:abstractNumId w:val="9"/>
  </w:num>
  <w:num w:numId="14">
    <w:abstractNumId w:val="5"/>
  </w:num>
  <w:num w:numId="15">
    <w:abstractNumId w:val="14"/>
  </w:num>
  <w:num w:numId="16">
    <w:abstractNumId w:val="15"/>
  </w:num>
  <w:num w:numId="17">
    <w:abstractNumId w:val="7"/>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56"/>
    <w:rsid w:val="00001061"/>
    <w:rsid w:val="00001805"/>
    <w:rsid w:val="00001E28"/>
    <w:rsid w:val="00001FBA"/>
    <w:rsid w:val="000069E8"/>
    <w:rsid w:val="00010F34"/>
    <w:rsid w:val="00012670"/>
    <w:rsid w:val="00013CDC"/>
    <w:rsid w:val="00014E42"/>
    <w:rsid w:val="000165DB"/>
    <w:rsid w:val="00023BE8"/>
    <w:rsid w:val="00024EE7"/>
    <w:rsid w:val="00025814"/>
    <w:rsid w:val="000259EF"/>
    <w:rsid w:val="0003209B"/>
    <w:rsid w:val="00032A95"/>
    <w:rsid w:val="000333AF"/>
    <w:rsid w:val="00036642"/>
    <w:rsid w:val="000442A9"/>
    <w:rsid w:val="000508D4"/>
    <w:rsid w:val="000521B9"/>
    <w:rsid w:val="00052841"/>
    <w:rsid w:val="00054777"/>
    <w:rsid w:val="000566EF"/>
    <w:rsid w:val="00065898"/>
    <w:rsid w:val="00075B73"/>
    <w:rsid w:val="00076A82"/>
    <w:rsid w:val="00080B4E"/>
    <w:rsid w:val="00085B7D"/>
    <w:rsid w:val="000862D4"/>
    <w:rsid w:val="000864F4"/>
    <w:rsid w:val="0009142B"/>
    <w:rsid w:val="0009268D"/>
    <w:rsid w:val="00094F97"/>
    <w:rsid w:val="00095208"/>
    <w:rsid w:val="00096625"/>
    <w:rsid w:val="00096964"/>
    <w:rsid w:val="00096B6B"/>
    <w:rsid w:val="000A1409"/>
    <w:rsid w:val="000A5004"/>
    <w:rsid w:val="000B16B6"/>
    <w:rsid w:val="000B2B34"/>
    <w:rsid w:val="000B5D5C"/>
    <w:rsid w:val="000C036C"/>
    <w:rsid w:val="000C0861"/>
    <w:rsid w:val="000C1F31"/>
    <w:rsid w:val="000C243B"/>
    <w:rsid w:val="000C459F"/>
    <w:rsid w:val="000C60A6"/>
    <w:rsid w:val="000C7807"/>
    <w:rsid w:val="000D1085"/>
    <w:rsid w:val="000D5CFD"/>
    <w:rsid w:val="000D6CCB"/>
    <w:rsid w:val="000E1649"/>
    <w:rsid w:val="000E4673"/>
    <w:rsid w:val="000E618D"/>
    <w:rsid w:val="000F035B"/>
    <w:rsid w:val="000F48A8"/>
    <w:rsid w:val="000F7F5C"/>
    <w:rsid w:val="00105D66"/>
    <w:rsid w:val="00106518"/>
    <w:rsid w:val="001069A5"/>
    <w:rsid w:val="00106E9E"/>
    <w:rsid w:val="00111FCD"/>
    <w:rsid w:val="00115304"/>
    <w:rsid w:val="00117729"/>
    <w:rsid w:val="0012276F"/>
    <w:rsid w:val="00123A61"/>
    <w:rsid w:val="00133060"/>
    <w:rsid w:val="00142DF6"/>
    <w:rsid w:val="00145FF0"/>
    <w:rsid w:val="0014727C"/>
    <w:rsid w:val="00150882"/>
    <w:rsid w:val="00155F91"/>
    <w:rsid w:val="0015748F"/>
    <w:rsid w:val="00163CC8"/>
    <w:rsid w:val="001651C0"/>
    <w:rsid w:val="001703EB"/>
    <w:rsid w:val="00171F11"/>
    <w:rsid w:val="00172B6F"/>
    <w:rsid w:val="00175425"/>
    <w:rsid w:val="0017629B"/>
    <w:rsid w:val="00176EF6"/>
    <w:rsid w:val="001773CC"/>
    <w:rsid w:val="0018135D"/>
    <w:rsid w:val="0018170F"/>
    <w:rsid w:val="00183F15"/>
    <w:rsid w:val="00185FFB"/>
    <w:rsid w:val="00186FD5"/>
    <w:rsid w:val="001A05BF"/>
    <w:rsid w:val="001A4E7B"/>
    <w:rsid w:val="001B1478"/>
    <w:rsid w:val="001B7FCA"/>
    <w:rsid w:val="001C1F9A"/>
    <w:rsid w:val="001C41B4"/>
    <w:rsid w:val="001C4734"/>
    <w:rsid w:val="001D0148"/>
    <w:rsid w:val="001D1138"/>
    <w:rsid w:val="001D1D10"/>
    <w:rsid w:val="001D6B5A"/>
    <w:rsid w:val="001D77B5"/>
    <w:rsid w:val="001E0445"/>
    <w:rsid w:val="001E04F6"/>
    <w:rsid w:val="001E09FC"/>
    <w:rsid w:val="001E564E"/>
    <w:rsid w:val="001E6790"/>
    <w:rsid w:val="001F0990"/>
    <w:rsid w:val="001F552A"/>
    <w:rsid w:val="001F5FA6"/>
    <w:rsid w:val="002036D3"/>
    <w:rsid w:val="00203FA5"/>
    <w:rsid w:val="002053DC"/>
    <w:rsid w:val="0021289D"/>
    <w:rsid w:val="00214009"/>
    <w:rsid w:val="00220A52"/>
    <w:rsid w:val="002315AC"/>
    <w:rsid w:val="00232AAD"/>
    <w:rsid w:val="00233B45"/>
    <w:rsid w:val="00234D32"/>
    <w:rsid w:val="002356EA"/>
    <w:rsid w:val="0023580A"/>
    <w:rsid w:val="002410BE"/>
    <w:rsid w:val="002424C2"/>
    <w:rsid w:val="0024378A"/>
    <w:rsid w:val="00247B83"/>
    <w:rsid w:val="00254643"/>
    <w:rsid w:val="00257024"/>
    <w:rsid w:val="00257D03"/>
    <w:rsid w:val="00262084"/>
    <w:rsid w:val="002622B5"/>
    <w:rsid w:val="00263025"/>
    <w:rsid w:val="002648E1"/>
    <w:rsid w:val="002714CC"/>
    <w:rsid w:val="002738B8"/>
    <w:rsid w:val="00275499"/>
    <w:rsid w:val="0027673E"/>
    <w:rsid w:val="00277138"/>
    <w:rsid w:val="0028031C"/>
    <w:rsid w:val="00280474"/>
    <w:rsid w:val="002804AC"/>
    <w:rsid w:val="00281F14"/>
    <w:rsid w:val="00283DDF"/>
    <w:rsid w:val="002859C4"/>
    <w:rsid w:val="00290A3F"/>
    <w:rsid w:val="00294DEB"/>
    <w:rsid w:val="002957B2"/>
    <w:rsid w:val="002964F5"/>
    <w:rsid w:val="002A01B4"/>
    <w:rsid w:val="002A2622"/>
    <w:rsid w:val="002A2E96"/>
    <w:rsid w:val="002A748D"/>
    <w:rsid w:val="002B44BC"/>
    <w:rsid w:val="002B6D99"/>
    <w:rsid w:val="002B7AE3"/>
    <w:rsid w:val="002C12CA"/>
    <w:rsid w:val="002C2F28"/>
    <w:rsid w:val="002C70B4"/>
    <w:rsid w:val="002D2E06"/>
    <w:rsid w:val="002D34B9"/>
    <w:rsid w:val="002D75DD"/>
    <w:rsid w:val="002E1CCA"/>
    <w:rsid w:val="002E52BE"/>
    <w:rsid w:val="002E6AF7"/>
    <w:rsid w:val="002F023C"/>
    <w:rsid w:val="002F5BCE"/>
    <w:rsid w:val="00300A6F"/>
    <w:rsid w:val="00301DE8"/>
    <w:rsid w:val="00302D09"/>
    <w:rsid w:val="003038CE"/>
    <w:rsid w:val="0030390E"/>
    <w:rsid w:val="0030689B"/>
    <w:rsid w:val="00311339"/>
    <w:rsid w:val="003149A1"/>
    <w:rsid w:val="003152AE"/>
    <w:rsid w:val="00322544"/>
    <w:rsid w:val="00322F31"/>
    <w:rsid w:val="0032377D"/>
    <w:rsid w:val="0032653B"/>
    <w:rsid w:val="00345C9B"/>
    <w:rsid w:val="0034739A"/>
    <w:rsid w:val="00347B4F"/>
    <w:rsid w:val="003519FB"/>
    <w:rsid w:val="003562B3"/>
    <w:rsid w:val="00357D60"/>
    <w:rsid w:val="00360989"/>
    <w:rsid w:val="0036119C"/>
    <w:rsid w:val="00362693"/>
    <w:rsid w:val="00363F7F"/>
    <w:rsid w:val="003655B4"/>
    <w:rsid w:val="00367075"/>
    <w:rsid w:val="00367172"/>
    <w:rsid w:val="003712F9"/>
    <w:rsid w:val="003771C4"/>
    <w:rsid w:val="00386F82"/>
    <w:rsid w:val="0039322D"/>
    <w:rsid w:val="003B2D8A"/>
    <w:rsid w:val="003B72F6"/>
    <w:rsid w:val="003B737B"/>
    <w:rsid w:val="003C218C"/>
    <w:rsid w:val="003C330C"/>
    <w:rsid w:val="003C4A1B"/>
    <w:rsid w:val="003C5952"/>
    <w:rsid w:val="003C6A5C"/>
    <w:rsid w:val="003D521B"/>
    <w:rsid w:val="003D581F"/>
    <w:rsid w:val="003D63A2"/>
    <w:rsid w:val="003D7FE7"/>
    <w:rsid w:val="003E3D75"/>
    <w:rsid w:val="003E5732"/>
    <w:rsid w:val="003E58D8"/>
    <w:rsid w:val="003F5940"/>
    <w:rsid w:val="003F6C06"/>
    <w:rsid w:val="00405482"/>
    <w:rsid w:val="004067A2"/>
    <w:rsid w:val="00407C14"/>
    <w:rsid w:val="00413409"/>
    <w:rsid w:val="00414BCC"/>
    <w:rsid w:val="00416315"/>
    <w:rsid w:val="00417301"/>
    <w:rsid w:val="00423298"/>
    <w:rsid w:val="004241E3"/>
    <w:rsid w:val="00424A1C"/>
    <w:rsid w:val="00427F9E"/>
    <w:rsid w:val="00436A60"/>
    <w:rsid w:val="00437B42"/>
    <w:rsid w:val="004408E0"/>
    <w:rsid w:val="00440DB8"/>
    <w:rsid w:val="0044354E"/>
    <w:rsid w:val="00443A83"/>
    <w:rsid w:val="00443C0E"/>
    <w:rsid w:val="00445342"/>
    <w:rsid w:val="004478CC"/>
    <w:rsid w:val="00450ADD"/>
    <w:rsid w:val="004519D2"/>
    <w:rsid w:val="0045712B"/>
    <w:rsid w:val="00457483"/>
    <w:rsid w:val="00475399"/>
    <w:rsid w:val="0047607A"/>
    <w:rsid w:val="00476407"/>
    <w:rsid w:val="0048194D"/>
    <w:rsid w:val="00481DCF"/>
    <w:rsid w:val="0048784D"/>
    <w:rsid w:val="00487CB3"/>
    <w:rsid w:val="00495D42"/>
    <w:rsid w:val="004B05EA"/>
    <w:rsid w:val="004B101B"/>
    <w:rsid w:val="004B5E05"/>
    <w:rsid w:val="004B7D85"/>
    <w:rsid w:val="004B7E48"/>
    <w:rsid w:val="004C6062"/>
    <w:rsid w:val="004C67F9"/>
    <w:rsid w:val="004C7C63"/>
    <w:rsid w:val="004D262B"/>
    <w:rsid w:val="004D34D1"/>
    <w:rsid w:val="004D42C1"/>
    <w:rsid w:val="004F2C66"/>
    <w:rsid w:val="004F2CD4"/>
    <w:rsid w:val="004F3E90"/>
    <w:rsid w:val="00510517"/>
    <w:rsid w:val="005137C5"/>
    <w:rsid w:val="00515AE8"/>
    <w:rsid w:val="0051627F"/>
    <w:rsid w:val="0052294C"/>
    <w:rsid w:val="00526A18"/>
    <w:rsid w:val="005353E7"/>
    <w:rsid w:val="00536837"/>
    <w:rsid w:val="00536C7D"/>
    <w:rsid w:val="0054052F"/>
    <w:rsid w:val="00543760"/>
    <w:rsid w:val="005447B0"/>
    <w:rsid w:val="005453FB"/>
    <w:rsid w:val="00547238"/>
    <w:rsid w:val="005479C0"/>
    <w:rsid w:val="00552ECA"/>
    <w:rsid w:val="00560E4C"/>
    <w:rsid w:val="00562628"/>
    <w:rsid w:val="005648A5"/>
    <w:rsid w:val="0056629F"/>
    <w:rsid w:val="00566BE6"/>
    <w:rsid w:val="00567207"/>
    <w:rsid w:val="0057194A"/>
    <w:rsid w:val="0057280B"/>
    <w:rsid w:val="00573058"/>
    <w:rsid w:val="00575B68"/>
    <w:rsid w:val="0057628A"/>
    <w:rsid w:val="00576883"/>
    <w:rsid w:val="00576B1A"/>
    <w:rsid w:val="0058087A"/>
    <w:rsid w:val="00583B47"/>
    <w:rsid w:val="005910DC"/>
    <w:rsid w:val="005A68DD"/>
    <w:rsid w:val="005A6D8B"/>
    <w:rsid w:val="005A6FE6"/>
    <w:rsid w:val="005A78B7"/>
    <w:rsid w:val="005B07B9"/>
    <w:rsid w:val="005B7B5A"/>
    <w:rsid w:val="005C0929"/>
    <w:rsid w:val="005C0C58"/>
    <w:rsid w:val="005C1D26"/>
    <w:rsid w:val="005C249C"/>
    <w:rsid w:val="005C485A"/>
    <w:rsid w:val="005D13D3"/>
    <w:rsid w:val="005D3DD8"/>
    <w:rsid w:val="005D5274"/>
    <w:rsid w:val="005D5CF6"/>
    <w:rsid w:val="005D61D7"/>
    <w:rsid w:val="005D749A"/>
    <w:rsid w:val="005E00B2"/>
    <w:rsid w:val="005E0DD2"/>
    <w:rsid w:val="005E1E3B"/>
    <w:rsid w:val="005E23FD"/>
    <w:rsid w:val="005E5582"/>
    <w:rsid w:val="005F2354"/>
    <w:rsid w:val="00605311"/>
    <w:rsid w:val="0060534F"/>
    <w:rsid w:val="00605932"/>
    <w:rsid w:val="00611029"/>
    <w:rsid w:val="0061158C"/>
    <w:rsid w:val="0061536E"/>
    <w:rsid w:val="006161AE"/>
    <w:rsid w:val="006221B3"/>
    <w:rsid w:val="00625049"/>
    <w:rsid w:val="00630519"/>
    <w:rsid w:val="00630B1E"/>
    <w:rsid w:val="00631AF0"/>
    <w:rsid w:val="00631B24"/>
    <w:rsid w:val="00632C15"/>
    <w:rsid w:val="00633752"/>
    <w:rsid w:val="006344FD"/>
    <w:rsid w:val="0063539A"/>
    <w:rsid w:val="006412E4"/>
    <w:rsid w:val="00643950"/>
    <w:rsid w:val="0065158B"/>
    <w:rsid w:val="00654599"/>
    <w:rsid w:val="00655998"/>
    <w:rsid w:val="00661B32"/>
    <w:rsid w:val="00662B84"/>
    <w:rsid w:val="00664D5B"/>
    <w:rsid w:val="0066554E"/>
    <w:rsid w:val="00670B78"/>
    <w:rsid w:val="006734A7"/>
    <w:rsid w:val="00674B74"/>
    <w:rsid w:val="006814D1"/>
    <w:rsid w:val="00687CCD"/>
    <w:rsid w:val="006920AC"/>
    <w:rsid w:val="00692437"/>
    <w:rsid w:val="00692E1C"/>
    <w:rsid w:val="00694671"/>
    <w:rsid w:val="00697DDF"/>
    <w:rsid w:val="006A0512"/>
    <w:rsid w:val="006A2AF2"/>
    <w:rsid w:val="006A35D7"/>
    <w:rsid w:val="006B3A03"/>
    <w:rsid w:val="006B658F"/>
    <w:rsid w:val="006B7F4A"/>
    <w:rsid w:val="006C31A2"/>
    <w:rsid w:val="006C6E51"/>
    <w:rsid w:val="006C729B"/>
    <w:rsid w:val="006D1207"/>
    <w:rsid w:val="006D248B"/>
    <w:rsid w:val="006D3DF0"/>
    <w:rsid w:val="006D64ED"/>
    <w:rsid w:val="006D70C9"/>
    <w:rsid w:val="006E06A7"/>
    <w:rsid w:val="006E23DB"/>
    <w:rsid w:val="006E5CDE"/>
    <w:rsid w:val="006E5D9B"/>
    <w:rsid w:val="006E617A"/>
    <w:rsid w:val="00702E6D"/>
    <w:rsid w:val="007070E3"/>
    <w:rsid w:val="007075B5"/>
    <w:rsid w:val="00707975"/>
    <w:rsid w:val="00713713"/>
    <w:rsid w:val="007156A4"/>
    <w:rsid w:val="00715EDC"/>
    <w:rsid w:val="00721862"/>
    <w:rsid w:val="00725074"/>
    <w:rsid w:val="00726173"/>
    <w:rsid w:val="007263EB"/>
    <w:rsid w:val="00734EA3"/>
    <w:rsid w:val="0073540A"/>
    <w:rsid w:val="00740EA6"/>
    <w:rsid w:val="00745394"/>
    <w:rsid w:val="0074669A"/>
    <w:rsid w:val="00752379"/>
    <w:rsid w:val="007525FD"/>
    <w:rsid w:val="00754C23"/>
    <w:rsid w:val="0075671C"/>
    <w:rsid w:val="007570FC"/>
    <w:rsid w:val="00757125"/>
    <w:rsid w:val="00763AE6"/>
    <w:rsid w:val="007656C9"/>
    <w:rsid w:val="0076628A"/>
    <w:rsid w:val="007705EA"/>
    <w:rsid w:val="007712D6"/>
    <w:rsid w:val="00784FF1"/>
    <w:rsid w:val="00790AB2"/>
    <w:rsid w:val="00791825"/>
    <w:rsid w:val="0079193B"/>
    <w:rsid w:val="00791E46"/>
    <w:rsid w:val="00792840"/>
    <w:rsid w:val="00792F66"/>
    <w:rsid w:val="00793F55"/>
    <w:rsid w:val="007945D6"/>
    <w:rsid w:val="00795162"/>
    <w:rsid w:val="00795D18"/>
    <w:rsid w:val="00796A5B"/>
    <w:rsid w:val="00796D6C"/>
    <w:rsid w:val="00797A04"/>
    <w:rsid w:val="007A24A1"/>
    <w:rsid w:val="007A2E62"/>
    <w:rsid w:val="007A3149"/>
    <w:rsid w:val="007A77E6"/>
    <w:rsid w:val="007B0F31"/>
    <w:rsid w:val="007B6A95"/>
    <w:rsid w:val="007B6C41"/>
    <w:rsid w:val="007C1582"/>
    <w:rsid w:val="007C4EEC"/>
    <w:rsid w:val="007C4F9D"/>
    <w:rsid w:val="007C5448"/>
    <w:rsid w:val="007C56CF"/>
    <w:rsid w:val="007C608D"/>
    <w:rsid w:val="007D3F43"/>
    <w:rsid w:val="007E1E8A"/>
    <w:rsid w:val="007E2464"/>
    <w:rsid w:val="007E2D9B"/>
    <w:rsid w:val="007E49FC"/>
    <w:rsid w:val="007F4A0E"/>
    <w:rsid w:val="007F4AC6"/>
    <w:rsid w:val="00800733"/>
    <w:rsid w:val="00804B9C"/>
    <w:rsid w:val="008079D6"/>
    <w:rsid w:val="00812450"/>
    <w:rsid w:val="00814D63"/>
    <w:rsid w:val="00817D3E"/>
    <w:rsid w:val="008214AE"/>
    <w:rsid w:val="0082420F"/>
    <w:rsid w:val="00825B9B"/>
    <w:rsid w:val="0083333C"/>
    <w:rsid w:val="00837519"/>
    <w:rsid w:val="00837DEA"/>
    <w:rsid w:val="008412BB"/>
    <w:rsid w:val="00843D99"/>
    <w:rsid w:val="00845A93"/>
    <w:rsid w:val="00846D4B"/>
    <w:rsid w:val="008514B0"/>
    <w:rsid w:val="00857F5F"/>
    <w:rsid w:val="00860674"/>
    <w:rsid w:val="00877D4B"/>
    <w:rsid w:val="00880B2A"/>
    <w:rsid w:val="00880B3A"/>
    <w:rsid w:val="00881B6C"/>
    <w:rsid w:val="00881EB3"/>
    <w:rsid w:val="00886D8E"/>
    <w:rsid w:val="0089471C"/>
    <w:rsid w:val="00894755"/>
    <w:rsid w:val="008951EE"/>
    <w:rsid w:val="00897C70"/>
    <w:rsid w:val="008A1644"/>
    <w:rsid w:val="008A1913"/>
    <w:rsid w:val="008A42E1"/>
    <w:rsid w:val="008A4D2C"/>
    <w:rsid w:val="008B67F4"/>
    <w:rsid w:val="008B699C"/>
    <w:rsid w:val="008C199E"/>
    <w:rsid w:val="008C5116"/>
    <w:rsid w:val="008C7146"/>
    <w:rsid w:val="008D0A89"/>
    <w:rsid w:val="008D11B6"/>
    <w:rsid w:val="008D15DA"/>
    <w:rsid w:val="008D190B"/>
    <w:rsid w:val="008D4747"/>
    <w:rsid w:val="008D6897"/>
    <w:rsid w:val="008E461A"/>
    <w:rsid w:val="008E63FF"/>
    <w:rsid w:val="008F0D99"/>
    <w:rsid w:val="008F24A3"/>
    <w:rsid w:val="008F2C8F"/>
    <w:rsid w:val="008F5DF6"/>
    <w:rsid w:val="008F6753"/>
    <w:rsid w:val="008F6A02"/>
    <w:rsid w:val="00901FC7"/>
    <w:rsid w:val="009040A8"/>
    <w:rsid w:val="009042E0"/>
    <w:rsid w:val="00904AEF"/>
    <w:rsid w:val="00905DB4"/>
    <w:rsid w:val="009079BB"/>
    <w:rsid w:val="00910BED"/>
    <w:rsid w:val="009162AE"/>
    <w:rsid w:val="009176A4"/>
    <w:rsid w:val="00920480"/>
    <w:rsid w:val="00923DB9"/>
    <w:rsid w:val="00924E5E"/>
    <w:rsid w:val="00924F1D"/>
    <w:rsid w:val="0092674B"/>
    <w:rsid w:val="009274A8"/>
    <w:rsid w:val="00935B62"/>
    <w:rsid w:val="00936BBA"/>
    <w:rsid w:val="0094199B"/>
    <w:rsid w:val="00941AFB"/>
    <w:rsid w:val="00942427"/>
    <w:rsid w:val="009468BE"/>
    <w:rsid w:val="00950193"/>
    <w:rsid w:val="009513F8"/>
    <w:rsid w:val="00953451"/>
    <w:rsid w:val="00960E07"/>
    <w:rsid w:val="0096133E"/>
    <w:rsid w:val="00970D41"/>
    <w:rsid w:val="00971532"/>
    <w:rsid w:val="0097347E"/>
    <w:rsid w:val="009737C5"/>
    <w:rsid w:val="009748C4"/>
    <w:rsid w:val="00975ED4"/>
    <w:rsid w:val="00980987"/>
    <w:rsid w:val="00980C60"/>
    <w:rsid w:val="009813E1"/>
    <w:rsid w:val="00987AD4"/>
    <w:rsid w:val="00987B51"/>
    <w:rsid w:val="00987EFA"/>
    <w:rsid w:val="00993F72"/>
    <w:rsid w:val="009A22D8"/>
    <w:rsid w:val="009A2356"/>
    <w:rsid w:val="009A39D8"/>
    <w:rsid w:val="009A70E1"/>
    <w:rsid w:val="009A79FF"/>
    <w:rsid w:val="009B0981"/>
    <w:rsid w:val="009B0B63"/>
    <w:rsid w:val="009B74A4"/>
    <w:rsid w:val="009C1884"/>
    <w:rsid w:val="009C1C07"/>
    <w:rsid w:val="009C2E8B"/>
    <w:rsid w:val="009C30FC"/>
    <w:rsid w:val="009C573E"/>
    <w:rsid w:val="009C5E88"/>
    <w:rsid w:val="009C65C2"/>
    <w:rsid w:val="009C7DD5"/>
    <w:rsid w:val="009D0A84"/>
    <w:rsid w:val="009D2939"/>
    <w:rsid w:val="009E4326"/>
    <w:rsid w:val="009E6518"/>
    <w:rsid w:val="009E6B0E"/>
    <w:rsid w:val="009F531F"/>
    <w:rsid w:val="009F54A6"/>
    <w:rsid w:val="009F594A"/>
    <w:rsid w:val="009F7B13"/>
    <w:rsid w:val="00A00319"/>
    <w:rsid w:val="00A005FC"/>
    <w:rsid w:val="00A0315F"/>
    <w:rsid w:val="00A048F8"/>
    <w:rsid w:val="00A05544"/>
    <w:rsid w:val="00A066FF"/>
    <w:rsid w:val="00A12935"/>
    <w:rsid w:val="00A14376"/>
    <w:rsid w:val="00A14A86"/>
    <w:rsid w:val="00A1591C"/>
    <w:rsid w:val="00A22E53"/>
    <w:rsid w:val="00A264D1"/>
    <w:rsid w:val="00A27BE9"/>
    <w:rsid w:val="00A30EDD"/>
    <w:rsid w:val="00A321A3"/>
    <w:rsid w:val="00A36B91"/>
    <w:rsid w:val="00A37CA7"/>
    <w:rsid w:val="00A40A98"/>
    <w:rsid w:val="00A42B50"/>
    <w:rsid w:val="00A4523B"/>
    <w:rsid w:val="00A46B29"/>
    <w:rsid w:val="00A47BDC"/>
    <w:rsid w:val="00A557D2"/>
    <w:rsid w:val="00A648E3"/>
    <w:rsid w:val="00A75281"/>
    <w:rsid w:val="00A75B24"/>
    <w:rsid w:val="00A762E1"/>
    <w:rsid w:val="00A8576D"/>
    <w:rsid w:val="00A85DC8"/>
    <w:rsid w:val="00A9241A"/>
    <w:rsid w:val="00A92D51"/>
    <w:rsid w:val="00A968E1"/>
    <w:rsid w:val="00AA0A7A"/>
    <w:rsid w:val="00AA27B0"/>
    <w:rsid w:val="00AA30E1"/>
    <w:rsid w:val="00AB0912"/>
    <w:rsid w:val="00AB1BCB"/>
    <w:rsid w:val="00AB7CC7"/>
    <w:rsid w:val="00AC09A1"/>
    <w:rsid w:val="00AC2507"/>
    <w:rsid w:val="00AC2733"/>
    <w:rsid w:val="00AC723B"/>
    <w:rsid w:val="00AD01B4"/>
    <w:rsid w:val="00AD1483"/>
    <w:rsid w:val="00AD1EE1"/>
    <w:rsid w:val="00AD6A61"/>
    <w:rsid w:val="00AD6CBA"/>
    <w:rsid w:val="00AD7C8F"/>
    <w:rsid w:val="00AE0DE4"/>
    <w:rsid w:val="00AE688C"/>
    <w:rsid w:val="00AE6F77"/>
    <w:rsid w:val="00AE7666"/>
    <w:rsid w:val="00AF1217"/>
    <w:rsid w:val="00AF438C"/>
    <w:rsid w:val="00AF7480"/>
    <w:rsid w:val="00B058C3"/>
    <w:rsid w:val="00B074D3"/>
    <w:rsid w:val="00B11716"/>
    <w:rsid w:val="00B125A0"/>
    <w:rsid w:val="00B15353"/>
    <w:rsid w:val="00B1623B"/>
    <w:rsid w:val="00B17C9C"/>
    <w:rsid w:val="00B35199"/>
    <w:rsid w:val="00B36264"/>
    <w:rsid w:val="00B37E91"/>
    <w:rsid w:val="00B41DEB"/>
    <w:rsid w:val="00B44425"/>
    <w:rsid w:val="00B52092"/>
    <w:rsid w:val="00B62A6E"/>
    <w:rsid w:val="00B6469B"/>
    <w:rsid w:val="00B648AF"/>
    <w:rsid w:val="00B71264"/>
    <w:rsid w:val="00B73F45"/>
    <w:rsid w:val="00B810A7"/>
    <w:rsid w:val="00B8561F"/>
    <w:rsid w:val="00B9384D"/>
    <w:rsid w:val="00B93F24"/>
    <w:rsid w:val="00B94499"/>
    <w:rsid w:val="00B94EEF"/>
    <w:rsid w:val="00B96F6B"/>
    <w:rsid w:val="00B974CF"/>
    <w:rsid w:val="00BA0005"/>
    <w:rsid w:val="00BA021E"/>
    <w:rsid w:val="00BA0C3D"/>
    <w:rsid w:val="00BA0E95"/>
    <w:rsid w:val="00BA6B7A"/>
    <w:rsid w:val="00BA7EDA"/>
    <w:rsid w:val="00BB198E"/>
    <w:rsid w:val="00BB1A56"/>
    <w:rsid w:val="00BB441F"/>
    <w:rsid w:val="00BB6A04"/>
    <w:rsid w:val="00BC39BB"/>
    <w:rsid w:val="00BC3C0B"/>
    <w:rsid w:val="00BC6215"/>
    <w:rsid w:val="00BC7C5A"/>
    <w:rsid w:val="00BD0A3D"/>
    <w:rsid w:val="00BD1B3B"/>
    <w:rsid w:val="00BD303A"/>
    <w:rsid w:val="00BD3BD3"/>
    <w:rsid w:val="00BD6B8C"/>
    <w:rsid w:val="00BE2C56"/>
    <w:rsid w:val="00BE43EF"/>
    <w:rsid w:val="00BF3E68"/>
    <w:rsid w:val="00BF406E"/>
    <w:rsid w:val="00BF4405"/>
    <w:rsid w:val="00C0491B"/>
    <w:rsid w:val="00C05C17"/>
    <w:rsid w:val="00C11F3C"/>
    <w:rsid w:val="00C12795"/>
    <w:rsid w:val="00C127D7"/>
    <w:rsid w:val="00C128C7"/>
    <w:rsid w:val="00C17ECF"/>
    <w:rsid w:val="00C207BA"/>
    <w:rsid w:val="00C21B2A"/>
    <w:rsid w:val="00C2406B"/>
    <w:rsid w:val="00C2462E"/>
    <w:rsid w:val="00C24A15"/>
    <w:rsid w:val="00C25B84"/>
    <w:rsid w:val="00C26A3E"/>
    <w:rsid w:val="00C27475"/>
    <w:rsid w:val="00C30ADA"/>
    <w:rsid w:val="00C317C1"/>
    <w:rsid w:val="00C3380A"/>
    <w:rsid w:val="00C365EB"/>
    <w:rsid w:val="00C4104D"/>
    <w:rsid w:val="00C41BBB"/>
    <w:rsid w:val="00C4301F"/>
    <w:rsid w:val="00C44FFA"/>
    <w:rsid w:val="00C45163"/>
    <w:rsid w:val="00C45AAF"/>
    <w:rsid w:val="00C503A6"/>
    <w:rsid w:val="00C51A35"/>
    <w:rsid w:val="00C53917"/>
    <w:rsid w:val="00C62A35"/>
    <w:rsid w:val="00C70160"/>
    <w:rsid w:val="00C70D5A"/>
    <w:rsid w:val="00C70DD0"/>
    <w:rsid w:val="00C714A6"/>
    <w:rsid w:val="00C723B2"/>
    <w:rsid w:val="00C726FE"/>
    <w:rsid w:val="00C73394"/>
    <w:rsid w:val="00C76AFF"/>
    <w:rsid w:val="00C803A5"/>
    <w:rsid w:val="00C82492"/>
    <w:rsid w:val="00C82835"/>
    <w:rsid w:val="00C84C34"/>
    <w:rsid w:val="00C86337"/>
    <w:rsid w:val="00C879E8"/>
    <w:rsid w:val="00C87EB4"/>
    <w:rsid w:val="00C90771"/>
    <w:rsid w:val="00C90D4D"/>
    <w:rsid w:val="00C92476"/>
    <w:rsid w:val="00C9350C"/>
    <w:rsid w:val="00C94A48"/>
    <w:rsid w:val="00C95B38"/>
    <w:rsid w:val="00C96508"/>
    <w:rsid w:val="00CA1C0C"/>
    <w:rsid w:val="00CA7A71"/>
    <w:rsid w:val="00CB6801"/>
    <w:rsid w:val="00CB71BC"/>
    <w:rsid w:val="00CC1592"/>
    <w:rsid w:val="00CC19DA"/>
    <w:rsid w:val="00CC3BF8"/>
    <w:rsid w:val="00CC6858"/>
    <w:rsid w:val="00CC7090"/>
    <w:rsid w:val="00CC7285"/>
    <w:rsid w:val="00CC7A25"/>
    <w:rsid w:val="00CD21BA"/>
    <w:rsid w:val="00CD268D"/>
    <w:rsid w:val="00CD6184"/>
    <w:rsid w:val="00CD6A15"/>
    <w:rsid w:val="00CE700F"/>
    <w:rsid w:val="00CF1CB4"/>
    <w:rsid w:val="00CF2055"/>
    <w:rsid w:val="00CF37F6"/>
    <w:rsid w:val="00D04319"/>
    <w:rsid w:val="00D102DC"/>
    <w:rsid w:val="00D121EA"/>
    <w:rsid w:val="00D15F12"/>
    <w:rsid w:val="00D20BED"/>
    <w:rsid w:val="00D2351F"/>
    <w:rsid w:val="00D23FF8"/>
    <w:rsid w:val="00D3526A"/>
    <w:rsid w:val="00D36B8A"/>
    <w:rsid w:val="00D37A28"/>
    <w:rsid w:val="00D40656"/>
    <w:rsid w:val="00D45CF4"/>
    <w:rsid w:val="00D548DF"/>
    <w:rsid w:val="00D639D1"/>
    <w:rsid w:val="00D642C1"/>
    <w:rsid w:val="00D703B2"/>
    <w:rsid w:val="00D7706E"/>
    <w:rsid w:val="00D80077"/>
    <w:rsid w:val="00D808DC"/>
    <w:rsid w:val="00D80F70"/>
    <w:rsid w:val="00D82156"/>
    <w:rsid w:val="00D849FD"/>
    <w:rsid w:val="00D86C4E"/>
    <w:rsid w:val="00D9051E"/>
    <w:rsid w:val="00D9078C"/>
    <w:rsid w:val="00D91E6D"/>
    <w:rsid w:val="00D92E28"/>
    <w:rsid w:val="00D93024"/>
    <w:rsid w:val="00D94C67"/>
    <w:rsid w:val="00D9541E"/>
    <w:rsid w:val="00D95656"/>
    <w:rsid w:val="00DA63CF"/>
    <w:rsid w:val="00DA7317"/>
    <w:rsid w:val="00DB0559"/>
    <w:rsid w:val="00DB0AD3"/>
    <w:rsid w:val="00DB14C0"/>
    <w:rsid w:val="00DB36CB"/>
    <w:rsid w:val="00DB3AC4"/>
    <w:rsid w:val="00DC5DBA"/>
    <w:rsid w:val="00DD049D"/>
    <w:rsid w:val="00DD58CA"/>
    <w:rsid w:val="00DE134D"/>
    <w:rsid w:val="00DE5537"/>
    <w:rsid w:val="00DE57B4"/>
    <w:rsid w:val="00E020D4"/>
    <w:rsid w:val="00E04428"/>
    <w:rsid w:val="00E07EFD"/>
    <w:rsid w:val="00E12ADF"/>
    <w:rsid w:val="00E20A67"/>
    <w:rsid w:val="00E27363"/>
    <w:rsid w:val="00E3236F"/>
    <w:rsid w:val="00E35FAF"/>
    <w:rsid w:val="00E3723A"/>
    <w:rsid w:val="00E42186"/>
    <w:rsid w:val="00E42F2B"/>
    <w:rsid w:val="00E43107"/>
    <w:rsid w:val="00E43635"/>
    <w:rsid w:val="00E505EE"/>
    <w:rsid w:val="00E531D1"/>
    <w:rsid w:val="00E547EB"/>
    <w:rsid w:val="00E56097"/>
    <w:rsid w:val="00E61AC9"/>
    <w:rsid w:val="00E62699"/>
    <w:rsid w:val="00E62AAF"/>
    <w:rsid w:val="00E634D3"/>
    <w:rsid w:val="00E641C8"/>
    <w:rsid w:val="00E64DF7"/>
    <w:rsid w:val="00E70E3D"/>
    <w:rsid w:val="00E71465"/>
    <w:rsid w:val="00E71BA2"/>
    <w:rsid w:val="00E77EA5"/>
    <w:rsid w:val="00E81E27"/>
    <w:rsid w:val="00E82008"/>
    <w:rsid w:val="00E84816"/>
    <w:rsid w:val="00E85542"/>
    <w:rsid w:val="00E9088A"/>
    <w:rsid w:val="00E90895"/>
    <w:rsid w:val="00E9204F"/>
    <w:rsid w:val="00E954E7"/>
    <w:rsid w:val="00EA01D5"/>
    <w:rsid w:val="00EA3B5E"/>
    <w:rsid w:val="00EA4065"/>
    <w:rsid w:val="00EA59E1"/>
    <w:rsid w:val="00EA5A07"/>
    <w:rsid w:val="00EB143C"/>
    <w:rsid w:val="00EB2748"/>
    <w:rsid w:val="00EB5190"/>
    <w:rsid w:val="00EB51CC"/>
    <w:rsid w:val="00EB63AC"/>
    <w:rsid w:val="00EC362A"/>
    <w:rsid w:val="00EC3705"/>
    <w:rsid w:val="00EC6B0B"/>
    <w:rsid w:val="00ED2A1D"/>
    <w:rsid w:val="00ED3E64"/>
    <w:rsid w:val="00EE1E5F"/>
    <w:rsid w:val="00EE6C03"/>
    <w:rsid w:val="00EE701A"/>
    <w:rsid w:val="00EE7C46"/>
    <w:rsid w:val="00EF3B62"/>
    <w:rsid w:val="00EF5698"/>
    <w:rsid w:val="00F03143"/>
    <w:rsid w:val="00F0342B"/>
    <w:rsid w:val="00F05CAB"/>
    <w:rsid w:val="00F05D5E"/>
    <w:rsid w:val="00F07A8A"/>
    <w:rsid w:val="00F11CA4"/>
    <w:rsid w:val="00F1262A"/>
    <w:rsid w:val="00F15A97"/>
    <w:rsid w:val="00F20016"/>
    <w:rsid w:val="00F20D3C"/>
    <w:rsid w:val="00F219FF"/>
    <w:rsid w:val="00F23183"/>
    <w:rsid w:val="00F233F1"/>
    <w:rsid w:val="00F24201"/>
    <w:rsid w:val="00F25DEB"/>
    <w:rsid w:val="00F31463"/>
    <w:rsid w:val="00F31A58"/>
    <w:rsid w:val="00F334FD"/>
    <w:rsid w:val="00F3391F"/>
    <w:rsid w:val="00F34EF8"/>
    <w:rsid w:val="00F4083A"/>
    <w:rsid w:val="00F41DD5"/>
    <w:rsid w:val="00F423FD"/>
    <w:rsid w:val="00F43C06"/>
    <w:rsid w:val="00F47E4C"/>
    <w:rsid w:val="00F54DD8"/>
    <w:rsid w:val="00F57594"/>
    <w:rsid w:val="00F63DA5"/>
    <w:rsid w:val="00F64134"/>
    <w:rsid w:val="00F6545C"/>
    <w:rsid w:val="00F66972"/>
    <w:rsid w:val="00F67580"/>
    <w:rsid w:val="00F67995"/>
    <w:rsid w:val="00F70DD5"/>
    <w:rsid w:val="00F73384"/>
    <w:rsid w:val="00F7435D"/>
    <w:rsid w:val="00F760E7"/>
    <w:rsid w:val="00F76AAE"/>
    <w:rsid w:val="00F77B96"/>
    <w:rsid w:val="00F8577C"/>
    <w:rsid w:val="00F87A40"/>
    <w:rsid w:val="00F9646B"/>
    <w:rsid w:val="00FA0950"/>
    <w:rsid w:val="00FA4E14"/>
    <w:rsid w:val="00FB0ABF"/>
    <w:rsid w:val="00FB3E9F"/>
    <w:rsid w:val="00FB67C0"/>
    <w:rsid w:val="00FC30B1"/>
    <w:rsid w:val="00FC78C0"/>
    <w:rsid w:val="00FC7A41"/>
    <w:rsid w:val="00FD0D04"/>
    <w:rsid w:val="00FD2FE7"/>
    <w:rsid w:val="00FD3F48"/>
    <w:rsid w:val="00FD4805"/>
    <w:rsid w:val="00FD733F"/>
    <w:rsid w:val="00FE22FB"/>
    <w:rsid w:val="00FE56DC"/>
    <w:rsid w:val="00FE7499"/>
    <w:rsid w:val="00FF1C6B"/>
    <w:rsid w:val="00FF326B"/>
    <w:rsid w:val="00FF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6A9B92"/>
  <w15:chartTrackingRefBased/>
  <w15:docId w15:val="{93552FE7-7D9D-654D-9307-914A5905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4104D"/>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354E"/>
    <w:pPr>
      <w:ind w:left="720"/>
      <w:contextualSpacing/>
    </w:pPr>
  </w:style>
  <w:style w:type="character" w:styleId="Hyperlink">
    <w:name w:val="Hyperlink"/>
    <w:basedOn w:val="DefaultParagraphFont"/>
    <w:uiPriority w:val="99"/>
    <w:unhideWhenUsed/>
    <w:rsid w:val="00C82835"/>
    <w:rPr>
      <w:color w:val="0563C1" w:themeColor="hyperlink"/>
      <w:u w:val="single"/>
    </w:rPr>
  </w:style>
  <w:style w:type="character" w:styleId="UnresolvedMention">
    <w:name w:val="Unresolved Mention"/>
    <w:basedOn w:val="DefaultParagraphFont"/>
    <w:uiPriority w:val="99"/>
    <w:rsid w:val="00C82835"/>
    <w:rPr>
      <w:color w:val="605E5C"/>
      <w:shd w:val="clear" w:color="auto" w:fill="E1DFDD"/>
    </w:rPr>
  </w:style>
  <w:style w:type="character" w:styleId="FollowedHyperlink">
    <w:name w:val="FollowedHyperlink"/>
    <w:basedOn w:val="DefaultParagraphFont"/>
    <w:uiPriority w:val="99"/>
    <w:semiHidden/>
    <w:unhideWhenUsed/>
    <w:rsid w:val="00C82835"/>
    <w:rPr>
      <w:color w:val="954F72" w:themeColor="followedHyperlink"/>
      <w:u w:val="single"/>
    </w:rPr>
  </w:style>
  <w:style w:type="paragraph" w:styleId="Header">
    <w:name w:val="header"/>
    <w:basedOn w:val="Normal"/>
    <w:link w:val="HeaderChar"/>
    <w:uiPriority w:val="99"/>
    <w:unhideWhenUsed/>
    <w:rsid w:val="00D808DC"/>
    <w:pPr>
      <w:tabs>
        <w:tab w:val="center" w:pos="4680"/>
        <w:tab w:val="right" w:pos="9360"/>
      </w:tabs>
    </w:pPr>
  </w:style>
  <w:style w:type="character" w:customStyle="1" w:styleId="HeaderChar">
    <w:name w:val="Header Char"/>
    <w:basedOn w:val="DefaultParagraphFont"/>
    <w:link w:val="Header"/>
    <w:uiPriority w:val="99"/>
    <w:rsid w:val="00D808DC"/>
    <w:rPr>
      <w:rFonts w:asciiTheme="majorHAnsi" w:hAnsiTheme="majorHAnsi" w:cs="Times New Roman"/>
      <w:sz w:val="22"/>
      <w:szCs w:val="22"/>
    </w:rPr>
  </w:style>
  <w:style w:type="paragraph" w:styleId="Footer">
    <w:name w:val="footer"/>
    <w:basedOn w:val="Normal"/>
    <w:link w:val="FooterChar"/>
    <w:uiPriority w:val="99"/>
    <w:unhideWhenUsed/>
    <w:rsid w:val="00D808DC"/>
    <w:pPr>
      <w:tabs>
        <w:tab w:val="center" w:pos="4680"/>
        <w:tab w:val="right" w:pos="9360"/>
      </w:tabs>
    </w:pPr>
  </w:style>
  <w:style w:type="character" w:customStyle="1" w:styleId="FooterChar">
    <w:name w:val="Footer Char"/>
    <w:basedOn w:val="DefaultParagraphFont"/>
    <w:link w:val="Footer"/>
    <w:uiPriority w:val="99"/>
    <w:rsid w:val="00D808DC"/>
    <w:rPr>
      <w:rFonts w:asciiTheme="majorHAnsi" w:hAnsiTheme="majorHAnsi" w:cs="Times New Roman"/>
      <w:sz w:val="22"/>
      <w:szCs w:val="22"/>
    </w:rPr>
  </w:style>
  <w:style w:type="character" w:styleId="PageNumber">
    <w:name w:val="page number"/>
    <w:basedOn w:val="DefaultParagraphFont"/>
    <w:uiPriority w:val="99"/>
    <w:semiHidden/>
    <w:unhideWhenUsed/>
    <w:rsid w:val="00D808DC"/>
  </w:style>
  <w:style w:type="character" w:styleId="CommentReference">
    <w:name w:val="annotation reference"/>
    <w:basedOn w:val="DefaultParagraphFont"/>
    <w:uiPriority w:val="99"/>
    <w:semiHidden/>
    <w:unhideWhenUsed/>
    <w:rsid w:val="00F05D5E"/>
    <w:rPr>
      <w:sz w:val="16"/>
      <w:szCs w:val="16"/>
    </w:rPr>
  </w:style>
  <w:style w:type="paragraph" w:styleId="CommentText">
    <w:name w:val="annotation text"/>
    <w:basedOn w:val="Normal"/>
    <w:link w:val="CommentTextChar"/>
    <w:uiPriority w:val="99"/>
    <w:semiHidden/>
    <w:unhideWhenUsed/>
    <w:rsid w:val="00F05D5E"/>
    <w:rPr>
      <w:sz w:val="20"/>
      <w:szCs w:val="20"/>
    </w:rPr>
  </w:style>
  <w:style w:type="character" w:customStyle="1" w:styleId="CommentTextChar">
    <w:name w:val="Comment Text Char"/>
    <w:basedOn w:val="DefaultParagraphFont"/>
    <w:link w:val="CommentText"/>
    <w:uiPriority w:val="99"/>
    <w:semiHidden/>
    <w:rsid w:val="00F05D5E"/>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F05D5E"/>
    <w:rPr>
      <w:b/>
      <w:bCs/>
    </w:rPr>
  </w:style>
  <w:style w:type="character" w:customStyle="1" w:styleId="CommentSubjectChar">
    <w:name w:val="Comment Subject Char"/>
    <w:basedOn w:val="CommentTextChar"/>
    <w:link w:val="CommentSubject"/>
    <w:uiPriority w:val="99"/>
    <w:semiHidden/>
    <w:rsid w:val="00F05D5E"/>
    <w:rPr>
      <w:rFonts w:asciiTheme="majorHAnsi" w:hAnsiTheme="majorHAnsi" w:cs="Times New Roman"/>
      <w:b/>
      <w:bCs/>
      <w:sz w:val="20"/>
      <w:szCs w:val="20"/>
    </w:rPr>
  </w:style>
  <w:style w:type="paragraph" w:styleId="FootnoteText">
    <w:name w:val="footnote text"/>
    <w:basedOn w:val="Normal"/>
    <w:link w:val="FootnoteTextChar"/>
    <w:uiPriority w:val="99"/>
    <w:semiHidden/>
    <w:unhideWhenUsed/>
    <w:rsid w:val="000F48A8"/>
    <w:rPr>
      <w:sz w:val="20"/>
      <w:szCs w:val="20"/>
    </w:rPr>
  </w:style>
  <w:style w:type="character" w:customStyle="1" w:styleId="FootnoteTextChar">
    <w:name w:val="Footnote Text Char"/>
    <w:basedOn w:val="DefaultParagraphFont"/>
    <w:link w:val="FootnoteText"/>
    <w:uiPriority w:val="99"/>
    <w:semiHidden/>
    <w:rsid w:val="000F48A8"/>
    <w:rPr>
      <w:rFonts w:asciiTheme="majorHAnsi" w:hAnsiTheme="majorHAnsi" w:cs="Times New Roman"/>
      <w:sz w:val="20"/>
      <w:szCs w:val="20"/>
    </w:rPr>
  </w:style>
  <w:style w:type="character" w:styleId="FootnoteReference">
    <w:name w:val="footnote reference"/>
    <w:basedOn w:val="DefaultParagraphFont"/>
    <w:uiPriority w:val="99"/>
    <w:semiHidden/>
    <w:unhideWhenUsed/>
    <w:rsid w:val="000F48A8"/>
    <w:rPr>
      <w:vertAlign w:val="superscript"/>
    </w:rPr>
  </w:style>
  <w:style w:type="paragraph" w:styleId="EndnoteText">
    <w:name w:val="endnote text"/>
    <w:basedOn w:val="Normal"/>
    <w:link w:val="EndnoteTextChar"/>
    <w:uiPriority w:val="99"/>
    <w:unhideWhenUsed/>
    <w:rsid w:val="000F48A8"/>
    <w:rPr>
      <w:sz w:val="20"/>
      <w:szCs w:val="20"/>
    </w:rPr>
  </w:style>
  <w:style w:type="character" w:customStyle="1" w:styleId="EndnoteTextChar">
    <w:name w:val="Endnote Text Char"/>
    <w:basedOn w:val="DefaultParagraphFont"/>
    <w:link w:val="EndnoteText"/>
    <w:uiPriority w:val="99"/>
    <w:rsid w:val="000F48A8"/>
    <w:rPr>
      <w:rFonts w:asciiTheme="majorHAnsi" w:hAnsiTheme="majorHAnsi" w:cs="Times New Roman"/>
      <w:sz w:val="20"/>
      <w:szCs w:val="20"/>
    </w:rPr>
  </w:style>
  <w:style w:type="character" w:styleId="EndnoteReference">
    <w:name w:val="endnote reference"/>
    <w:basedOn w:val="DefaultParagraphFont"/>
    <w:uiPriority w:val="99"/>
    <w:semiHidden/>
    <w:unhideWhenUsed/>
    <w:rsid w:val="000F48A8"/>
    <w:rPr>
      <w:vertAlign w:val="superscript"/>
    </w:rPr>
  </w:style>
  <w:style w:type="character" w:customStyle="1" w:styleId="A4">
    <w:name w:val="A4"/>
    <w:uiPriority w:val="99"/>
    <w:rsid w:val="009F7B13"/>
    <w:rPr>
      <w:rFonts w:cs="Helvetica"/>
      <w:color w:val="57585A"/>
      <w:sz w:val="20"/>
      <w:szCs w:val="20"/>
    </w:rPr>
  </w:style>
  <w:style w:type="paragraph" w:customStyle="1" w:styleId="NormalNumberedList">
    <w:name w:val="Normal Numbered List"/>
    <w:basedOn w:val="Normal"/>
    <w:rsid w:val="005D749A"/>
    <w:pPr>
      <w:numPr>
        <w:numId w:val="10"/>
      </w:numPr>
    </w:pPr>
  </w:style>
  <w:style w:type="paragraph" w:customStyle="1" w:styleId="Default">
    <w:name w:val="Default"/>
    <w:rsid w:val="00BA0005"/>
    <w:pPr>
      <w:autoSpaceDE w:val="0"/>
      <w:autoSpaceDN w:val="0"/>
      <w:adjustRightInd w:val="0"/>
    </w:pPr>
    <w:rPr>
      <w:rFonts w:ascii="Times New Roman" w:hAnsi="Times New Roman" w:cs="Times New Roman"/>
      <w:color w:val="000000"/>
    </w:rPr>
  </w:style>
  <w:style w:type="paragraph" w:styleId="BalloonText">
    <w:name w:val="Balloon Text"/>
    <w:basedOn w:val="Normal"/>
    <w:link w:val="BalloonTextChar"/>
    <w:uiPriority w:val="99"/>
    <w:semiHidden/>
    <w:unhideWhenUsed/>
    <w:rsid w:val="006439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3950"/>
    <w:rPr>
      <w:rFonts w:ascii="Segoe UI" w:eastAsia="Times New Roman" w:hAnsi="Segoe UI" w:cs="Segoe UI"/>
      <w:sz w:val="18"/>
      <w:szCs w:val="18"/>
    </w:rPr>
  </w:style>
  <w:style w:type="paragraph" w:styleId="Revision">
    <w:name w:val="Revision"/>
    <w:hidden/>
    <w:uiPriority w:val="99"/>
    <w:semiHidden/>
    <w:rsid w:val="007E2464"/>
    <w:rPr>
      <w:rFonts w:ascii="Times New Roman" w:eastAsia="Times New Roman" w:hAnsi="Times New Roman" w:cs="Times New Roman"/>
    </w:rPr>
  </w:style>
  <w:style w:type="paragraph" w:styleId="NormalWeb">
    <w:name w:val="Normal (Web)"/>
    <w:basedOn w:val="Normal"/>
    <w:uiPriority w:val="99"/>
    <w:semiHidden/>
    <w:unhideWhenUsed/>
    <w:rsid w:val="00510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1337">
      <w:bodyDiv w:val="1"/>
      <w:marLeft w:val="0"/>
      <w:marRight w:val="0"/>
      <w:marTop w:val="0"/>
      <w:marBottom w:val="0"/>
      <w:divBdr>
        <w:top w:val="none" w:sz="0" w:space="0" w:color="auto"/>
        <w:left w:val="none" w:sz="0" w:space="0" w:color="auto"/>
        <w:bottom w:val="none" w:sz="0" w:space="0" w:color="auto"/>
        <w:right w:val="none" w:sz="0" w:space="0" w:color="auto"/>
      </w:divBdr>
    </w:div>
    <w:div w:id="13502841">
      <w:bodyDiv w:val="1"/>
      <w:marLeft w:val="0"/>
      <w:marRight w:val="0"/>
      <w:marTop w:val="0"/>
      <w:marBottom w:val="0"/>
      <w:divBdr>
        <w:top w:val="none" w:sz="0" w:space="0" w:color="auto"/>
        <w:left w:val="none" w:sz="0" w:space="0" w:color="auto"/>
        <w:bottom w:val="none" w:sz="0" w:space="0" w:color="auto"/>
        <w:right w:val="none" w:sz="0" w:space="0" w:color="auto"/>
      </w:divBdr>
    </w:div>
    <w:div w:id="108937546">
      <w:bodyDiv w:val="1"/>
      <w:marLeft w:val="0"/>
      <w:marRight w:val="0"/>
      <w:marTop w:val="0"/>
      <w:marBottom w:val="0"/>
      <w:divBdr>
        <w:top w:val="none" w:sz="0" w:space="0" w:color="auto"/>
        <w:left w:val="none" w:sz="0" w:space="0" w:color="auto"/>
        <w:bottom w:val="none" w:sz="0" w:space="0" w:color="auto"/>
        <w:right w:val="none" w:sz="0" w:space="0" w:color="auto"/>
      </w:divBdr>
    </w:div>
    <w:div w:id="130947810">
      <w:bodyDiv w:val="1"/>
      <w:marLeft w:val="0"/>
      <w:marRight w:val="0"/>
      <w:marTop w:val="0"/>
      <w:marBottom w:val="0"/>
      <w:divBdr>
        <w:top w:val="none" w:sz="0" w:space="0" w:color="auto"/>
        <w:left w:val="none" w:sz="0" w:space="0" w:color="auto"/>
        <w:bottom w:val="none" w:sz="0" w:space="0" w:color="auto"/>
        <w:right w:val="none" w:sz="0" w:space="0" w:color="auto"/>
      </w:divBdr>
    </w:div>
    <w:div w:id="150024684">
      <w:bodyDiv w:val="1"/>
      <w:marLeft w:val="0"/>
      <w:marRight w:val="0"/>
      <w:marTop w:val="0"/>
      <w:marBottom w:val="0"/>
      <w:divBdr>
        <w:top w:val="none" w:sz="0" w:space="0" w:color="auto"/>
        <w:left w:val="none" w:sz="0" w:space="0" w:color="auto"/>
        <w:bottom w:val="none" w:sz="0" w:space="0" w:color="auto"/>
        <w:right w:val="none" w:sz="0" w:space="0" w:color="auto"/>
      </w:divBdr>
      <w:divsChild>
        <w:div w:id="1676304087">
          <w:marLeft w:val="0"/>
          <w:marRight w:val="0"/>
          <w:marTop w:val="0"/>
          <w:marBottom w:val="0"/>
          <w:divBdr>
            <w:top w:val="none" w:sz="0" w:space="0" w:color="auto"/>
            <w:left w:val="none" w:sz="0" w:space="0" w:color="auto"/>
            <w:bottom w:val="none" w:sz="0" w:space="0" w:color="auto"/>
            <w:right w:val="none" w:sz="0" w:space="0" w:color="auto"/>
          </w:divBdr>
        </w:div>
      </w:divsChild>
    </w:div>
    <w:div w:id="156263074">
      <w:bodyDiv w:val="1"/>
      <w:marLeft w:val="0"/>
      <w:marRight w:val="0"/>
      <w:marTop w:val="0"/>
      <w:marBottom w:val="0"/>
      <w:divBdr>
        <w:top w:val="none" w:sz="0" w:space="0" w:color="auto"/>
        <w:left w:val="none" w:sz="0" w:space="0" w:color="auto"/>
        <w:bottom w:val="none" w:sz="0" w:space="0" w:color="auto"/>
        <w:right w:val="none" w:sz="0" w:space="0" w:color="auto"/>
      </w:divBdr>
    </w:div>
    <w:div w:id="172845787">
      <w:bodyDiv w:val="1"/>
      <w:marLeft w:val="0"/>
      <w:marRight w:val="0"/>
      <w:marTop w:val="0"/>
      <w:marBottom w:val="0"/>
      <w:divBdr>
        <w:top w:val="none" w:sz="0" w:space="0" w:color="auto"/>
        <w:left w:val="none" w:sz="0" w:space="0" w:color="auto"/>
        <w:bottom w:val="none" w:sz="0" w:space="0" w:color="auto"/>
        <w:right w:val="none" w:sz="0" w:space="0" w:color="auto"/>
      </w:divBdr>
    </w:div>
    <w:div w:id="186718919">
      <w:bodyDiv w:val="1"/>
      <w:marLeft w:val="0"/>
      <w:marRight w:val="0"/>
      <w:marTop w:val="0"/>
      <w:marBottom w:val="0"/>
      <w:divBdr>
        <w:top w:val="none" w:sz="0" w:space="0" w:color="auto"/>
        <w:left w:val="none" w:sz="0" w:space="0" w:color="auto"/>
        <w:bottom w:val="none" w:sz="0" w:space="0" w:color="auto"/>
        <w:right w:val="none" w:sz="0" w:space="0" w:color="auto"/>
      </w:divBdr>
      <w:divsChild>
        <w:div w:id="1616984932">
          <w:marLeft w:val="0"/>
          <w:marRight w:val="0"/>
          <w:marTop w:val="0"/>
          <w:marBottom w:val="0"/>
          <w:divBdr>
            <w:top w:val="none" w:sz="0" w:space="0" w:color="auto"/>
            <w:left w:val="none" w:sz="0" w:space="0" w:color="auto"/>
            <w:bottom w:val="none" w:sz="0" w:space="0" w:color="auto"/>
            <w:right w:val="none" w:sz="0" w:space="0" w:color="auto"/>
          </w:divBdr>
        </w:div>
      </w:divsChild>
    </w:div>
    <w:div w:id="191504127">
      <w:bodyDiv w:val="1"/>
      <w:marLeft w:val="0"/>
      <w:marRight w:val="0"/>
      <w:marTop w:val="0"/>
      <w:marBottom w:val="0"/>
      <w:divBdr>
        <w:top w:val="none" w:sz="0" w:space="0" w:color="auto"/>
        <w:left w:val="none" w:sz="0" w:space="0" w:color="auto"/>
        <w:bottom w:val="none" w:sz="0" w:space="0" w:color="auto"/>
        <w:right w:val="none" w:sz="0" w:space="0" w:color="auto"/>
      </w:divBdr>
    </w:div>
    <w:div w:id="221717621">
      <w:bodyDiv w:val="1"/>
      <w:marLeft w:val="0"/>
      <w:marRight w:val="0"/>
      <w:marTop w:val="0"/>
      <w:marBottom w:val="0"/>
      <w:divBdr>
        <w:top w:val="none" w:sz="0" w:space="0" w:color="auto"/>
        <w:left w:val="none" w:sz="0" w:space="0" w:color="auto"/>
        <w:bottom w:val="none" w:sz="0" w:space="0" w:color="auto"/>
        <w:right w:val="none" w:sz="0" w:space="0" w:color="auto"/>
      </w:divBdr>
    </w:div>
    <w:div w:id="262540858">
      <w:bodyDiv w:val="1"/>
      <w:marLeft w:val="0"/>
      <w:marRight w:val="0"/>
      <w:marTop w:val="0"/>
      <w:marBottom w:val="0"/>
      <w:divBdr>
        <w:top w:val="none" w:sz="0" w:space="0" w:color="auto"/>
        <w:left w:val="none" w:sz="0" w:space="0" w:color="auto"/>
        <w:bottom w:val="none" w:sz="0" w:space="0" w:color="auto"/>
        <w:right w:val="none" w:sz="0" w:space="0" w:color="auto"/>
      </w:divBdr>
    </w:div>
    <w:div w:id="264003937">
      <w:bodyDiv w:val="1"/>
      <w:marLeft w:val="0"/>
      <w:marRight w:val="0"/>
      <w:marTop w:val="0"/>
      <w:marBottom w:val="0"/>
      <w:divBdr>
        <w:top w:val="none" w:sz="0" w:space="0" w:color="auto"/>
        <w:left w:val="none" w:sz="0" w:space="0" w:color="auto"/>
        <w:bottom w:val="none" w:sz="0" w:space="0" w:color="auto"/>
        <w:right w:val="none" w:sz="0" w:space="0" w:color="auto"/>
      </w:divBdr>
    </w:div>
    <w:div w:id="275793119">
      <w:bodyDiv w:val="1"/>
      <w:marLeft w:val="0"/>
      <w:marRight w:val="0"/>
      <w:marTop w:val="0"/>
      <w:marBottom w:val="0"/>
      <w:divBdr>
        <w:top w:val="none" w:sz="0" w:space="0" w:color="auto"/>
        <w:left w:val="none" w:sz="0" w:space="0" w:color="auto"/>
        <w:bottom w:val="none" w:sz="0" w:space="0" w:color="auto"/>
        <w:right w:val="none" w:sz="0" w:space="0" w:color="auto"/>
      </w:divBdr>
    </w:div>
    <w:div w:id="276914504">
      <w:bodyDiv w:val="1"/>
      <w:marLeft w:val="0"/>
      <w:marRight w:val="0"/>
      <w:marTop w:val="0"/>
      <w:marBottom w:val="0"/>
      <w:divBdr>
        <w:top w:val="none" w:sz="0" w:space="0" w:color="auto"/>
        <w:left w:val="none" w:sz="0" w:space="0" w:color="auto"/>
        <w:bottom w:val="none" w:sz="0" w:space="0" w:color="auto"/>
        <w:right w:val="none" w:sz="0" w:space="0" w:color="auto"/>
      </w:divBdr>
    </w:div>
    <w:div w:id="300767243">
      <w:bodyDiv w:val="1"/>
      <w:marLeft w:val="0"/>
      <w:marRight w:val="0"/>
      <w:marTop w:val="0"/>
      <w:marBottom w:val="0"/>
      <w:divBdr>
        <w:top w:val="none" w:sz="0" w:space="0" w:color="auto"/>
        <w:left w:val="none" w:sz="0" w:space="0" w:color="auto"/>
        <w:bottom w:val="none" w:sz="0" w:space="0" w:color="auto"/>
        <w:right w:val="none" w:sz="0" w:space="0" w:color="auto"/>
      </w:divBdr>
    </w:div>
    <w:div w:id="376245150">
      <w:bodyDiv w:val="1"/>
      <w:marLeft w:val="0"/>
      <w:marRight w:val="0"/>
      <w:marTop w:val="0"/>
      <w:marBottom w:val="0"/>
      <w:divBdr>
        <w:top w:val="none" w:sz="0" w:space="0" w:color="auto"/>
        <w:left w:val="none" w:sz="0" w:space="0" w:color="auto"/>
        <w:bottom w:val="none" w:sz="0" w:space="0" w:color="auto"/>
        <w:right w:val="none" w:sz="0" w:space="0" w:color="auto"/>
      </w:divBdr>
    </w:div>
    <w:div w:id="384371631">
      <w:bodyDiv w:val="1"/>
      <w:marLeft w:val="0"/>
      <w:marRight w:val="0"/>
      <w:marTop w:val="0"/>
      <w:marBottom w:val="0"/>
      <w:divBdr>
        <w:top w:val="none" w:sz="0" w:space="0" w:color="auto"/>
        <w:left w:val="none" w:sz="0" w:space="0" w:color="auto"/>
        <w:bottom w:val="none" w:sz="0" w:space="0" w:color="auto"/>
        <w:right w:val="none" w:sz="0" w:space="0" w:color="auto"/>
      </w:divBdr>
    </w:div>
    <w:div w:id="403063205">
      <w:bodyDiv w:val="1"/>
      <w:marLeft w:val="0"/>
      <w:marRight w:val="0"/>
      <w:marTop w:val="0"/>
      <w:marBottom w:val="0"/>
      <w:divBdr>
        <w:top w:val="none" w:sz="0" w:space="0" w:color="auto"/>
        <w:left w:val="none" w:sz="0" w:space="0" w:color="auto"/>
        <w:bottom w:val="none" w:sz="0" w:space="0" w:color="auto"/>
        <w:right w:val="none" w:sz="0" w:space="0" w:color="auto"/>
      </w:divBdr>
    </w:div>
    <w:div w:id="563564296">
      <w:bodyDiv w:val="1"/>
      <w:marLeft w:val="0"/>
      <w:marRight w:val="0"/>
      <w:marTop w:val="0"/>
      <w:marBottom w:val="0"/>
      <w:divBdr>
        <w:top w:val="none" w:sz="0" w:space="0" w:color="auto"/>
        <w:left w:val="none" w:sz="0" w:space="0" w:color="auto"/>
        <w:bottom w:val="none" w:sz="0" w:space="0" w:color="auto"/>
        <w:right w:val="none" w:sz="0" w:space="0" w:color="auto"/>
      </w:divBdr>
    </w:div>
    <w:div w:id="650990069">
      <w:bodyDiv w:val="1"/>
      <w:marLeft w:val="0"/>
      <w:marRight w:val="0"/>
      <w:marTop w:val="0"/>
      <w:marBottom w:val="0"/>
      <w:divBdr>
        <w:top w:val="none" w:sz="0" w:space="0" w:color="auto"/>
        <w:left w:val="none" w:sz="0" w:space="0" w:color="auto"/>
        <w:bottom w:val="none" w:sz="0" w:space="0" w:color="auto"/>
        <w:right w:val="none" w:sz="0" w:space="0" w:color="auto"/>
      </w:divBdr>
    </w:div>
    <w:div w:id="666592041">
      <w:bodyDiv w:val="1"/>
      <w:marLeft w:val="0"/>
      <w:marRight w:val="0"/>
      <w:marTop w:val="0"/>
      <w:marBottom w:val="0"/>
      <w:divBdr>
        <w:top w:val="none" w:sz="0" w:space="0" w:color="auto"/>
        <w:left w:val="none" w:sz="0" w:space="0" w:color="auto"/>
        <w:bottom w:val="none" w:sz="0" w:space="0" w:color="auto"/>
        <w:right w:val="none" w:sz="0" w:space="0" w:color="auto"/>
      </w:divBdr>
    </w:div>
    <w:div w:id="678894139">
      <w:bodyDiv w:val="1"/>
      <w:marLeft w:val="0"/>
      <w:marRight w:val="0"/>
      <w:marTop w:val="0"/>
      <w:marBottom w:val="0"/>
      <w:divBdr>
        <w:top w:val="none" w:sz="0" w:space="0" w:color="auto"/>
        <w:left w:val="none" w:sz="0" w:space="0" w:color="auto"/>
        <w:bottom w:val="none" w:sz="0" w:space="0" w:color="auto"/>
        <w:right w:val="none" w:sz="0" w:space="0" w:color="auto"/>
      </w:divBdr>
    </w:div>
    <w:div w:id="710492723">
      <w:bodyDiv w:val="1"/>
      <w:marLeft w:val="0"/>
      <w:marRight w:val="0"/>
      <w:marTop w:val="0"/>
      <w:marBottom w:val="0"/>
      <w:divBdr>
        <w:top w:val="none" w:sz="0" w:space="0" w:color="auto"/>
        <w:left w:val="none" w:sz="0" w:space="0" w:color="auto"/>
        <w:bottom w:val="none" w:sz="0" w:space="0" w:color="auto"/>
        <w:right w:val="none" w:sz="0" w:space="0" w:color="auto"/>
      </w:divBdr>
    </w:div>
    <w:div w:id="735013495">
      <w:bodyDiv w:val="1"/>
      <w:marLeft w:val="0"/>
      <w:marRight w:val="0"/>
      <w:marTop w:val="0"/>
      <w:marBottom w:val="0"/>
      <w:divBdr>
        <w:top w:val="none" w:sz="0" w:space="0" w:color="auto"/>
        <w:left w:val="none" w:sz="0" w:space="0" w:color="auto"/>
        <w:bottom w:val="none" w:sz="0" w:space="0" w:color="auto"/>
        <w:right w:val="none" w:sz="0" w:space="0" w:color="auto"/>
      </w:divBdr>
    </w:div>
    <w:div w:id="907231995">
      <w:bodyDiv w:val="1"/>
      <w:marLeft w:val="0"/>
      <w:marRight w:val="0"/>
      <w:marTop w:val="0"/>
      <w:marBottom w:val="0"/>
      <w:divBdr>
        <w:top w:val="none" w:sz="0" w:space="0" w:color="auto"/>
        <w:left w:val="none" w:sz="0" w:space="0" w:color="auto"/>
        <w:bottom w:val="none" w:sz="0" w:space="0" w:color="auto"/>
        <w:right w:val="none" w:sz="0" w:space="0" w:color="auto"/>
      </w:divBdr>
    </w:div>
    <w:div w:id="952589999">
      <w:bodyDiv w:val="1"/>
      <w:marLeft w:val="0"/>
      <w:marRight w:val="0"/>
      <w:marTop w:val="0"/>
      <w:marBottom w:val="0"/>
      <w:divBdr>
        <w:top w:val="none" w:sz="0" w:space="0" w:color="auto"/>
        <w:left w:val="none" w:sz="0" w:space="0" w:color="auto"/>
        <w:bottom w:val="none" w:sz="0" w:space="0" w:color="auto"/>
        <w:right w:val="none" w:sz="0" w:space="0" w:color="auto"/>
      </w:divBdr>
    </w:div>
    <w:div w:id="997851723">
      <w:bodyDiv w:val="1"/>
      <w:marLeft w:val="0"/>
      <w:marRight w:val="0"/>
      <w:marTop w:val="0"/>
      <w:marBottom w:val="0"/>
      <w:divBdr>
        <w:top w:val="none" w:sz="0" w:space="0" w:color="auto"/>
        <w:left w:val="none" w:sz="0" w:space="0" w:color="auto"/>
        <w:bottom w:val="none" w:sz="0" w:space="0" w:color="auto"/>
        <w:right w:val="none" w:sz="0" w:space="0" w:color="auto"/>
      </w:divBdr>
    </w:div>
    <w:div w:id="1090853791">
      <w:bodyDiv w:val="1"/>
      <w:marLeft w:val="0"/>
      <w:marRight w:val="0"/>
      <w:marTop w:val="0"/>
      <w:marBottom w:val="0"/>
      <w:divBdr>
        <w:top w:val="none" w:sz="0" w:space="0" w:color="auto"/>
        <w:left w:val="none" w:sz="0" w:space="0" w:color="auto"/>
        <w:bottom w:val="none" w:sz="0" w:space="0" w:color="auto"/>
        <w:right w:val="none" w:sz="0" w:space="0" w:color="auto"/>
      </w:divBdr>
    </w:div>
    <w:div w:id="1112436716">
      <w:bodyDiv w:val="1"/>
      <w:marLeft w:val="0"/>
      <w:marRight w:val="0"/>
      <w:marTop w:val="0"/>
      <w:marBottom w:val="0"/>
      <w:divBdr>
        <w:top w:val="none" w:sz="0" w:space="0" w:color="auto"/>
        <w:left w:val="none" w:sz="0" w:space="0" w:color="auto"/>
        <w:bottom w:val="none" w:sz="0" w:space="0" w:color="auto"/>
        <w:right w:val="none" w:sz="0" w:space="0" w:color="auto"/>
      </w:divBdr>
    </w:div>
    <w:div w:id="1311128195">
      <w:bodyDiv w:val="1"/>
      <w:marLeft w:val="0"/>
      <w:marRight w:val="0"/>
      <w:marTop w:val="0"/>
      <w:marBottom w:val="0"/>
      <w:divBdr>
        <w:top w:val="none" w:sz="0" w:space="0" w:color="auto"/>
        <w:left w:val="none" w:sz="0" w:space="0" w:color="auto"/>
        <w:bottom w:val="none" w:sz="0" w:space="0" w:color="auto"/>
        <w:right w:val="none" w:sz="0" w:space="0" w:color="auto"/>
      </w:divBdr>
    </w:div>
    <w:div w:id="1412698664">
      <w:bodyDiv w:val="1"/>
      <w:marLeft w:val="0"/>
      <w:marRight w:val="0"/>
      <w:marTop w:val="0"/>
      <w:marBottom w:val="0"/>
      <w:divBdr>
        <w:top w:val="none" w:sz="0" w:space="0" w:color="auto"/>
        <w:left w:val="none" w:sz="0" w:space="0" w:color="auto"/>
        <w:bottom w:val="none" w:sz="0" w:space="0" w:color="auto"/>
        <w:right w:val="none" w:sz="0" w:space="0" w:color="auto"/>
      </w:divBdr>
      <w:divsChild>
        <w:div w:id="1288462398">
          <w:marLeft w:val="0"/>
          <w:marRight w:val="0"/>
          <w:marTop w:val="0"/>
          <w:marBottom w:val="0"/>
          <w:divBdr>
            <w:top w:val="none" w:sz="0" w:space="0" w:color="auto"/>
            <w:left w:val="none" w:sz="0" w:space="0" w:color="auto"/>
            <w:bottom w:val="none" w:sz="0" w:space="0" w:color="auto"/>
            <w:right w:val="none" w:sz="0" w:space="0" w:color="auto"/>
          </w:divBdr>
          <w:divsChild>
            <w:div w:id="54554150">
              <w:marLeft w:val="0"/>
              <w:marRight w:val="0"/>
              <w:marTop w:val="0"/>
              <w:marBottom w:val="0"/>
              <w:divBdr>
                <w:top w:val="none" w:sz="0" w:space="0" w:color="auto"/>
                <w:left w:val="none" w:sz="0" w:space="0" w:color="auto"/>
                <w:bottom w:val="none" w:sz="0" w:space="0" w:color="auto"/>
                <w:right w:val="none" w:sz="0" w:space="0" w:color="auto"/>
              </w:divBdr>
              <w:divsChild>
                <w:div w:id="5154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16103">
      <w:bodyDiv w:val="1"/>
      <w:marLeft w:val="0"/>
      <w:marRight w:val="0"/>
      <w:marTop w:val="0"/>
      <w:marBottom w:val="0"/>
      <w:divBdr>
        <w:top w:val="none" w:sz="0" w:space="0" w:color="auto"/>
        <w:left w:val="none" w:sz="0" w:space="0" w:color="auto"/>
        <w:bottom w:val="none" w:sz="0" w:space="0" w:color="auto"/>
        <w:right w:val="none" w:sz="0" w:space="0" w:color="auto"/>
      </w:divBdr>
    </w:div>
    <w:div w:id="1426924387">
      <w:bodyDiv w:val="1"/>
      <w:marLeft w:val="0"/>
      <w:marRight w:val="0"/>
      <w:marTop w:val="0"/>
      <w:marBottom w:val="0"/>
      <w:divBdr>
        <w:top w:val="none" w:sz="0" w:space="0" w:color="auto"/>
        <w:left w:val="none" w:sz="0" w:space="0" w:color="auto"/>
        <w:bottom w:val="none" w:sz="0" w:space="0" w:color="auto"/>
        <w:right w:val="none" w:sz="0" w:space="0" w:color="auto"/>
      </w:divBdr>
    </w:div>
    <w:div w:id="1462307409">
      <w:bodyDiv w:val="1"/>
      <w:marLeft w:val="0"/>
      <w:marRight w:val="0"/>
      <w:marTop w:val="0"/>
      <w:marBottom w:val="0"/>
      <w:divBdr>
        <w:top w:val="none" w:sz="0" w:space="0" w:color="auto"/>
        <w:left w:val="none" w:sz="0" w:space="0" w:color="auto"/>
        <w:bottom w:val="none" w:sz="0" w:space="0" w:color="auto"/>
        <w:right w:val="none" w:sz="0" w:space="0" w:color="auto"/>
      </w:divBdr>
      <w:divsChild>
        <w:div w:id="1638031499">
          <w:marLeft w:val="0"/>
          <w:marRight w:val="0"/>
          <w:marTop w:val="0"/>
          <w:marBottom w:val="0"/>
          <w:divBdr>
            <w:top w:val="none" w:sz="0" w:space="0" w:color="auto"/>
            <w:left w:val="none" w:sz="0" w:space="0" w:color="auto"/>
            <w:bottom w:val="none" w:sz="0" w:space="0" w:color="auto"/>
            <w:right w:val="none" w:sz="0" w:space="0" w:color="auto"/>
          </w:divBdr>
        </w:div>
      </w:divsChild>
    </w:div>
    <w:div w:id="1533498932">
      <w:bodyDiv w:val="1"/>
      <w:marLeft w:val="0"/>
      <w:marRight w:val="0"/>
      <w:marTop w:val="0"/>
      <w:marBottom w:val="0"/>
      <w:divBdr>
        <w:top w:val="none" w:sz="0" w:space="0" w:color="auto"/>
        <w:left w:val="none" w:sz="0" w:space="0" w:color="auto"/>
        <w:bottom w:val="none" w:sz="0" w:space="0" w:color="auto"/>
        <w:right w:val="none" w:sz="0" w:space="0" w:color="auto"/>
      </w:divBdr>
    </w:div>
    <w:div w:id="1572889064">
      <w:bodyDiv w:val="1"/>
      <w:marLeft w:val="0"/>
      <w:marRight w:val="0"/>
      <w:marTop w:val="0"/>
      <w:marBottom w:val="0"/>
      <w:divBdr>
        <w:top w:val="none" w:sz="0" w:space="0" w:color="auto"/>
        <w:left w:val="none" w:sz="0" w:space="0" w:color="auto"/>
        <w:bottom w:val="none" w:sz="0" w:space="0" w:color="auto"/>
        <w:right w:val="none" w:sz="0" w:space="0" w:color="auto"/>
      </w:divBdr>
    </w:div>
    <w:div w:id="1634866800">
      <w:bodyDiv w:val="1"/>
      <w:marLeft w:val="0"/>
      <w:marRight w:val="0"/>
      <w:marTop w:val="0"/>
      <w:marBottom w:val="0"/>
      <w:divBdr>
        <w:top w:val="none" w:sz="0" w:space="0" w:color="auto"/>
        <w:left w:val="none" w:sz="0" w:space="0" w:color="auto"/>
        <w:bottom w:val="none" w:sz="0" w:space="0" w:color="auto"/>
        <w:right w:val="none" w:sz="0" w:space="0" w:color="auto"/>
      </w:divBdr>
    </w:div>
    <w:div w:id="1684430350">
      <w:bodyDiv w:val="1"/>
      <w:marLeft w:val="0"/>
      <w:marRight w:val="0"/>
      <w:marTop w:val="0"/>
      <w:marBottom w:val="0"/>
      <w:divBdr>
        <w:top w:val="none" w:sz="0" w:space="0" w:color="auto"/>
        <w:left w:val="none" w:sz="0" w:space="0" w:color="auto"/>
        <w:bottom w:val="none" w:sz="0" w:space="0" w:color="auto"/>
        <w:right w:val="none" w:sz="0" w:space="0" w:color="auto"/>
      </w:divBdr>
    </w:div>
    <w:div w:id="1782263986">
      <w:bodyDiv w:val="1"/>
      <w:marLeft w:val="0"/>
      <w:marRight w:val="0"/>
      <w:marTop w:val="0"/>
      <w:marBottom w:val="0"/>
      <w:divBdr>
        <w:top w:val="none" w:sz="0" w:space="0" w:color="auto"/>
        <w:left w:val="none" w:sz="0" w:space="0" w:color="auto"/>
        <w:bottom w:val="none" w:sz="0" w:space="0" w:color="auto"/>
        <w:right w:val="none" w:sz="0" w:space="0" w:color="auto"/>
      </w:divBdr>
    </w:div>
    <w:div w:id="1903103494">
      <w:bodyDiv w:val="1"/>
      <w:marLeft w:val="0"/>
      <w:marRight w:val="0"/>
      <w:marTop w:val="0"/>
      <w:marBottom w:val="0"/>
      <w:divBdr>
        <w:top w:val="none" w:sz="0" w:space="0" w:color="auto"/>
        <w:left w:val="none" w:sz="0" w:space="0" w:color="auto"/>
        <w:bottom w:val="none" w:sz="0" w:space="0" w:color="auto"/>
        <w:right w:val="none" w:sz="0" w:space="0" w:color="auto"/>
      </w:divBdr>
    </w:div>
    <w:div w:id="1923635604">
      <w:bodyDiv w:val="1"/>
      <w:marLeft w:val="0"/>
      <w:marRight w:val="0"/>
      <w:marTop w:val="0"/>
      <w:marBottom w:val="0"/>
      <w:divBdr>
        <w:top w:val="none" w:sz="0" w:space="0" w:color="auto"/>
        <w:left w:val="none" w:sz="0" w:space="0" w:color="auto"/>
        <w:bottom w:val="none" w:sz="0" w:space="0" w:color="auto"/>
        <w:right w:val="none" w:sz="0" w:space="0" w:color="auto"/>
      </w:divBdr>
    </w:div>
    <w:div w:id="1996301544">
      <w:bodyDiv w:val="1"/>
      <w:marLeft w:val="0"/>
      <w:marRight w:val="0"/>
      <w:marTop w:val="0"/>
      <w:marBottom w:val="0"/>
      <w:divBdr>
        <w:top w:val="none" w:sz="0" w:space="0" w:color="auto"/>
        <w:left w:val="none" w:sz="0" w:space="0" w:color="auto"/>
        <w:bottom w:val="none" w:sz="0" w:space="0" w:color="auto"/>
        <w:right w:val="none" w:sz="0" w:space="0" w:color="auto"/>
      </w:divBdr>
    </w:div>
    <w:div w:id="2079858564">
      <w:bodyDiv w:val="1"/>
      <w:marLeft w:val="0"/>
      <w:marRight w:val="0"/>
      <w:marTop w:val="0"/>
      <w:marBottom w:val="0"/>
      <w:divBdr>
        <w:top w:val="none" w:sz="0" w:space="0" w:color="auto"/>
        <w:left w:val="none" w:sz="0" w:space="0" w:color="auto"/>
        <w:bottom w:val="none" w:sz="0" w:space="0" w:color="auto"/>
        <w:right w:val="none" w:sz="0" w:space="0" w:color="auto"/>
      </w:divBdr>
    </w:div>
    <w:div w:id="2090810241">
      <w:bodyDiv w:val="1"/>
      <w:marLeft w:val="0"/>
      <w:marRight w:val="0"/>
      <w:marTop w:val="0"/>
      <w:marBottom w:val="0"/>
      <w:divBdr>
        <w:top w:val="none" w:sz="0" w:space="0" w:color="auto"/>
        <w:left w:val="none" w:sz="0" w:space="0" w:color="auto"/>
        <w:bottom w:val="none" w:sz="0" w:space="0" w:color="auto"/>
        <w:right w:val="none" w:sz="0" w:space="0" w:color="auto"/>
      </w:divBdr>
    </w:div>
    <w:div w:id="2120024469">
      <w:bodyDiv w:val="1"/>
      <w:marLeft w:val="0"/>
      <w:marRight w:val="0"/>
      <w:marTop w:val="0"/>
      <w:marBottom w:val="0"/>
      <w:divBdr>
        <w:top w:val="none" w:sz="0" w:space="0" w:color="auto"/>
        <w:left w:val="none" w:sz="0" w:space="0" w:color="auto"/>
        <w:bottom w:val="none" w:sz="0" w:space="0" w:color="auto"/>
        <w:right w:val="none" w:sz="0" w:space="0" w:color="auto"/>
      </w:divBdr>
    </w:div>
    <w:div w:id="2136171580">
      <w:bodyDiv w:val="1"/>
      <w:marLeft w:val="0"/>
      <w:marRight w:val="0"/>
      <w:marTop w:val="0"/>
      <w:marBottom w:val="0"/>
      <w:divBdr>
        <w:top w:val="none" w:sz="0" w:space="0" w:color="auto"/>
        <w:left w:val="none" w:sz="0" w:space="0" w:color="auto"/>
        <w:bottom w:val="none" w:sz="0" w:space="0" w:color="auto"/>
        <w:right w:val="none" w:sz="0" w:space="0" w:color="auto"/>
      </w:divBdr>
    </w:div>
    <w:div w:id="2145811442">
      <w:bodyDiv w:val="1"/>
      <w:marLeft w:val="0"/>
      <w:marRight w:val="0"/>
      <w:marTop w:val="0"/>
      <w:marBottom w:val="0"/>
      <w:divBdr>
        <w:top w:val="none" w:sz="0" w:space="0" w:color="auto"/>
        <w:left w:val="none" w:sz="0" w:space="0" w:color="auto"/>
        <w:bottom w:val="none" w:sz="0" w:space="0" w:color="auto"/>
        <w:right w:val="none" w:sz="0" w:space="0" w:color="auto"/>
      </w:divBdr>
    </w:div>
    <w:div w:id="21465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asa.gov/press-release/nasa-s-sofia-discovers-water-on-sunlit-surface-of-moon" TargetMode="External"/><Relationship Id="rId18" Type="http://schemas.openxmlformats.org/officeDocument/2006/relationships/hyperlink" Target="https://techport.nasa.gov/search" TargetMode="External"/><Relationship Id="rId26" Type="http://schemas.openxmlformats.org/officeDocument/2006/relationships/hyperlink" Target="https://science.nasa.gov/science-red/s3fs-public/atoms/files/2020-2024_Science.pdf" TargetMode="External"/><Relationship Id="rId3" Type="http://schemas.openxmlformats.org/officeDocument/2006/relationships/styles" Target="styles.xml"/><Relationship Id="rId21" Type="http://schemas.openxmlformats.org/officeDocument/2006/relationships/hyperlink" Target="https://www.nasa.gov/aeroresearch/about-arm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asa.gov/offices/oct/feature/Trusted_Autonomy_for_the_Moon_and_Mars" TargetMode="External"/><Relationship Id="rId17" Type="http://schemas.openxmlformats.org/officeDocument/2006/relationships/hyperlink" Target="https://www.nasa.gov/about/index.html" TargetMode="External"/><Relationship Id="rId25" Type="http://schemas.openxmlformats.org/officeDocument/2006/relationships/hyperlink" Target="https://www.nasa.gov/offices/oct/science-and-technology-partnership-forum.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nasa.gov/sites/default/files/atoms/files/artemis_plan-20200921.pdf" TargetMode="External"/><Relationship Id="rId20" Type="http://schemas.openxmlformats.org/officeDocument/2006/relationships/hyperlink" Target="https://www.nasa.gov/sites/default/files/atoms/files/sip-2019-v7-web.pdf" TargetMode="External"/><Relationship Id="rId29" Type="http://schemas.openxmlformats.org/officeDocument/2006/relationships/hyperlink" Target="https://doi.org/10.17226/249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sa.gov/feature/goddard/2019/nasa-s-new-lightweight-x-ray-mirrors-ready-for-try-outs-in-space" TargetMode="External"/><Relationship Id="rId24" Type="http://schemas.openxmlformats.org/officeDocument/2006/relationships/hyperlink" Target="https://www.nasa.gov/sites/default/files/atoms/files/2017-8-1_stip_final-508ed.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asa.gov/smallsat-institute/sst-soa-2020/identification-and-tracking-systems" TargetMode="External"/><Relationship Id="rId23" Type="http://schemas.openxmlformats.org/officeDocument/2006/relationships/hyperlink" Target="https://www.nasa.gov/directorates/heo/about.html" TargetMode="External"/><Relationship Id="rId28" Type="http://schemas.openxmlformats.org/officeDocument/2006/relationships/hyperlink" Target="https://www.nasa.gov/directorates/spacetech/about_us/index.html" TargetMode="External"/><Relationship Id="rId10" Type="http://schemas.openxmlformats.org/officeDocument/2006/relationships/hyperlink" Target="https://www.nasa.gov/feature/ames/ice-confirmed-at-the-moon-s-poles" TargetMode="External"/><Relationship Id="rId19" Type="http://schemas.openxmlformats.org/officeDocument/2006/relationships/hyperlink" Target="https://mars.nasa.gov/insight/mission/overview/" TargetMode="External"/><Relationship Id="rId31" Type="http://schemas.openxmlformats.org/officeDocument/2006/relationships/hyperlink" Target="https://www.colorado.edu/ness/projects/sun-radio-interferometer-space-experiment-sunrise" TargetMode="External"/><Relationship Id="rId4" Type="http://schemas.openxmlformats.org/officeDocument/2006/relationships/settings" Target="settings.xml"/><Relationship Id="rId9" Type="http://schemas.openxmlformats.org/officeDocument/2006/relationships/hyperlink" Target="https://www.nasa.gov/mission_pages/insight/overview/index.html%20Accessed%209%20April%202021" TargetMode="External"/><Relationship Id="rId14" Type="http://schemas.openxmlformats.org/officeDocument/2006/relationships/hyperlink" Target="https://www.nasa.gov/viper/overview%20Accessed%209%20April%202021" TargetMode="External"/><Relationship Id="rId22" Type="http://schemas.openxmlformats.org/officeDocument/2006/relationships/hyperlink" Target="https://www.nasa.gov/aeroresearch/progress-in-2020-advances-aviations-future" TargetMode="External"/><Relationship Id="rId27" Type="http://schemas.openxmlformats.org/officeDocument/2006/relationships/hyperlink" Target="https://science.nasa.gov/about-us/smd-vision" TargetMode="External"/><Relationship Id="rId30" Type="http://schemas.openxmlformats.org/officeDocument/2006/relationships/hyperlink" Target="https://doi.org/10.17226/25437" TargetMode="External"/><Relationship Id="rId35" Type="http://schemas.openxmlformats.org/officeDocument/2006/relationships/theme" Target="theme/theme1.xml"/><Relationship Id="rId8" Type="http://schemas.openxmlformats.org/officeDocument/2006/relationships/hyperlink" Target="https://www.nasa.gov/sites/default/files/atoms/files/aconde_oct_oct2019_508.pdf%20Accessed%209%20April%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9C473-BCA7-4487-B276-2AC9A7C02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16</Pages>
  <Words>8557</Words>
  <Characters>48776</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G Lussos</dc:creator>
  <cp:keywords/>
  <dc:description/>
  <cp:lastModifiedBy>JASON</cp:lastModifiedBy>
  <cp:revision>2</cp:revision>
  <cp:lastPrinted>2021-11-01T03:07:00Z</cp:lastPrinted>
  <dcterms:created xsi:type="dcterms:W3CDTF">2021-11-05T15:16:00Z</dcterms:created>
  <dcterms:modified xsi:type="dcterms:W3CDTF">2021-11-05T15:16:00Z</dcterms:modified>
</cp:coreProperties>
</file>