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283290" w14:textId="5B498FF3" w:rsidR="00275035" w:rsidRDefault="00B039ED" w:rsidP="00F829B3">
      <w:pPr>
        <w:pStyle w:val="NormalWeb"/>
        <w:spacing w:before="0" w:beforeAutospacing="0" w:after="0" w:afterAutospacing="0"/>
        <w:jc w:val="both"/>
        <w:rPr>
          <w:b/>
          <w:sz w:val="20"/>
        </w:rPr>
      </w:pPr>
      <w:r>
        <w:rPr>
          <w:b/>
          <w:sz w:val="20"/>
        </w:rPr>
        <w:t>REVISITING MEDLI WITH IMPROVED MODELING AND SIMULATION TOOLS</w:t>
      </w:r>
    </w:p>
    <w:p w14:paraId="4A28869E" w14:textId="06BD4011" w:rsidR="00FC02E6" w:rsidRPr="0068622D" w:rsidRDefault="00B039ED" w:rsidP="00F829B3">
      <w:pPr>
        <w:pStyle w:val="NormalWeb"/>
        <w:spacing w:before="0" w:beforeAutospacing="0" w:after="0" w:afterAutospacing="0"/>
        <w:jc w:val="both"/>
        <w:rPr>
          <w:sz w:val="20"/>
        </w:rPr>
      </w:pPr>
      <w:r>
        <w:rPr>
          <w:color w:val="000000"/>
          <w:sz w:val="20"/>
          <w:szCs w:val="20"/>
        </w:rPr>
        <w:t>D. K. Prabhu</w:t>
      </w:r>
      <w:r w:rsidR="004B5F0B" w:rsidRPr="004B5F0B">
        <w:rPr>
          <w:color w:val="000000"/>
          <w:sz w:val="20"/>
          <w:szCs w:val="20"/>
          <w:vertAlign w:val="superscript"/>
        </w:rPr>
        <w:t>1</w:t>
      </w:r>
      <w:r w:rsidR="004B5F0B" w:rsidRPr="004B5F0B">
        <w:rPr>
          <w:color w:val="000000"/>
          <w:sz w:val="20"/>
          <w:szCs w:val="20"/>
        </w:rPr>
        <w:t xml:space="preserve">, </w:t>
      </w:r>
      <w:r>
        <w:rPr>
          <w:color w:val="000000"/>
          <w:sz w:val="20"/>
          <w:szCs w:val="20"/>
        </w:rPr>
        <w:t>B. A. Cruden</w:t>
      </w:r>
      <w:r w:rsidR="004B5F0B" w:rsidRPr="004B5F0B">
        <w:rPr>
          <w:color w:val="000000"/>
          <w:sz w:val="20"/>
          <w:szCs w:val="20"/>
          <w:vertAlign w:val="superscript"/>
        </w:rPr>
        <w:t>1</w:t>
      </w:r>
      <w:r w:rsidR="004B5F0B" w:rsidRPr="004B5F0B">
        <w:rPr>
          <w:color w:val="000000"/>
          <w:sz w:val="20"/>
          <w:szCs w:val="20"/>
        </w:rPr>
        <w:t xml:space="preserve">, </w:t>
      </w:r>
      <w:r>
        <w:rPr>
          <w:color w:val="000000"/>
          <w:sz w:val="20"/>
          <w:szCs w:val="20"/>
        </w:rPr>
        <w:t xml:space="preserve">J. </w:t>
      </w:r>
      <w:r w:rsidR="000721A8">
        <w:rPr>
          <w:color w:val="000000"/>
          <w:sz w:val="20"/>
          <w:szCs w:val="20"/>
        </w:rPr>
        <w:t xml:space="preserve">D. </w:t>
      </w:r>
      <w:r w:rsidR="00450A63">
        <w:rPr>
          <w:color w:val="000000"/>
          <w:sz w:val="20"/>
          <w:szCs w:val="20"/>
        </w:rPr>
        <w:t>Monk</w:t>
      </w:r>
      <w:r w:rsidR="00450A63">
        <w:rPr>
          <w:color w:val="000000"/>
          <w:sz w:val="20"/>
          <w:szCs w:val="20"/>
          <w:vertAlign w:val="superscript"/>
        </w:rPr>
        <w:t>2</w:t>
      </w:r>
      <w:r w:rsidR="004B5F0B" w:rsidRPr="004B5F0B">
        <w:rPr>
          <w:color w:val="000000"/>
          <w:sz w:val="20"/>
          <w:szCs w:val="20"/>
        </w:rPr>
        <w:t xml:space="preserve">, </w:t>
      </w:r>
      <w:r w:rsidR="00E948BA" w:rsidRPr="004B5F0B">
        <w:rPr>
          <w:color w:val="000000"/>
          <w:sz w:val="20"/>
          <w:szCs w:val="20"/>
        </w:rPr>
        <w:t xml:space="preserve">A. </w:t>
      </w:r>
      <w:r w:rsidR="00E948BA">
        <w:rPr>
          <w:color w:val="000000"/>
          <w:sz w:val="20"/>
          <w:szCs w:val="20"/>
        </w:rPr>
        <w:t xml:space="preserve">P. </w:t>
      </w:r>
      <w:r w:rsidR="00450A63" w:rsidRPr="004B5F0B">
        <w:rPr>
          <w:color w:val="000000"/>
          <w:sz w:val="20"/>
          <w:szCs w:val="20"/>
        </w:rPr>
        <w:t>Borner</w:t>
      </w:r>
      <w:r w:rsidR="00450A63">
        <w:rPr>
          <w:color w:val="000000"/>
          <w:sz w:val="20"/>
          <w:szCs w:val="20"/>
          <w:vertAlign w:val="superscript"/>
        </w:rPr>
        <w:t>1</w:t>
      </w:r>
      <w:r w:rsidR="00E948BA" w:rsidRPr="00E948BA">
        <w:rPr>
          <w:color w:val="000000"/>
          <w:sz w:val="20"/>
          <w:szCs w:val="20"/>
        </w:rPr>
        <w:t>,</w:t>
      </w:r>
      <w:r w:rsidR="00E948BA">
        <w:rPr>
          <w:color w:val="000000"/>
          <w:sz w:val="20"/>
          <w:szCs w:val="20"/>
        </w:rPr>
        <w:t xml:space="preserve"> </w:t>
      </w:r>
      <w:r w:rsidR="00E948BA" w:rsidRPr="004B5F0B">
        <w:rPr>
          <w:color w:val="000000"/>
          <w:sz w:val="20"/>
          <w:szCs w:val="20"/>
        </w:rPr>
        <w:t xml:space="preserve">J. </w:t>
      </w:r>
      <w:r w:rsidR="00E948BA">
        <w:rPr>
          <w:color w:val="000000"/>
          <w:sz w:val="20"/>
          <w:szCs w:val="20"/>
        </w:rPr>
        <w:t xml:space="preserve">M. </w:t>
      </w:r>
      <w:r w:rsidR="00450A63" w:rsidRPr="004B5F0B">
        <w:rPr>
          <w:color w:val="000000"/>
          <w:sz w:val="20"/>
          <w:szCs w:val="20"/>
        </w:rPr>
        <w:t>Thornton</w:t>
      </w:r>
      <w:r w:rsidR="00450A63">
        <w:rPr>
          <w:color w:val="000000"/>
          <w:sz w:val="20"/>
          <w:szCs w:val="20"/>
          <w:vertAlign w:val="superscript"/>
        </w:rPr>
        <w:t>1</w:t>
      </w:r>
      <w:r w:rsidR="00E948BA" w:rsidRPr="00E948BA">
        <w:rPr>
          <w:color w:val="000000"/>
          <w:sz w:val="20"/>
          <w:szCs w:val="20"/>
        </w:rPr>
        <w:t>,</w:t>
      </w:r>
      <w:r w:rsidR="00E948BA">
        <w:rPr>
          <w:color w:val="000000"/>
          <w:sz w:val="20"/>
          <w:szCs w:val="20"/>
        </w:rPr>
        <w:t xml:space="preserve"> and </w:t>
      </w:r>
      <w:r w:rsidR="00E948BA" w:rsidRPr="004B5F0B">
        <w:rPr>
          <w:color w:val="000000"/>
          <w:sz w:val="20"/>
          <w:szCs w:val="20"/>
        </w:rPr>
        <w:t>J. B.</w:t>
      </w:r>
      <w:r w:rsidR="000721A8">
        <w:rPr>
          <w:color w:val="000000"/>
          <w:sz w:val="20"/>
          <w:szCs w:val="20"/>
        </w:rPr>
        <w:t xml:space="preserve"> </w:t>
      </w:r>
      <w:r w:rsidR="00E948BA" w:rsidRPr="004B5F0B">
        <w:rPr>
          <w:color w:val="000000"/>
          <w:sz w:val="20"/>
          <w:szCs w:val="20"/>
        </w:rPr>
        <w:t xml:space="preserve">E. </w:t>
      </w:r>
      <w:r w:rsidR="00450A63" w:rsidRPr="004B5F0B">
        <w:rPr>
          <w:color w:val="000000"/>
          <w:sz w:val="20"/>
          <w:szCs w:val="20"/>
        </w:rPr>
        <w:t>Meurisse</w:t>
      </w:r>
      <w:r w:rsidR="00450A63">
        <w:rPr>
          <w:color w:val="000000"/>
          <w:sz w:val="20"/>
          <w:szCs w:val="20"/>
          <w:vertAlign w:val="superscript"/>
        </w:rPr>
        <w:t>1</w:t>
      </w:r>
    </w:p>
    <w:p w14:paraId="0FC1401B" w14:textId="462A12A0" w:rsidR="00694048" w:rsidRPr="00FC02E6" w:rsidRDefault="004B5F0B" w:rsidP="00F829B3">
      <w:pPr>
        <w:pStyle w:val="NormalWeb"/>
        <w:spacing w:before="0" w:beforeAutospacing="0" w:after="0" w:afterAutospacing="0"/>
        <w:jc w:val="both"/>
        <w:rPr>
          <w:color w:val="000000"/>
          <w:sz w:val="20"/>
          <w:szCs w:val="20"/>
        </w:rPr>
      </w:pPr>
      <w:r w:rsidRPr="004B5F0B">
        <w:rPr>
          <w:color w:val="000000"/>
          <w:sz w:val="20"/>
          <w:szCs w:val="20"/>
          <w:vertAlign w:val="superscript"/>
        </w:rPr>
        <w:t>1</w:t>
      </w:r>
      <w:r w:rsidRPr="004B5F0B">
        <w:rPr>
          <w:color w:val="000000"/>
          <w:sz w:val="20"/>
          <w:szCs w:val="20"/>
        </w:rPr>
        <w:t>Analytical Mechanics Associates</w:t>
      </w:r>
      <w:r w:rsidR="00713DB9">
        <w:rPr>
          <w:color w:val="000000"/>
          <w:sz w:val="20"/>
          <w:szCs w:val="20"/>
        </w:rPr>
        <w:t>,</w:t>
      </w:r>
      <w:r w:rsidRPr="004B5F0B">
        <w:rPr>
          <w:color w:val="000000"/>
          <w:sz w:val="20"/>
          <w:szCs w:val="20"/>
        </w:rPr>
        <w:t xml:space="preserve"> Inc.</w:t>
      </w:r>
      <w:r w:rsidR="00713DB9">
        <w:rPr>
          <w:color w:val="000000"/>
          <w:sz w:val="20"/>
          <w:szCs w:val="20"/>
        </w:rPr>
        <w:t xml:space="preserve"> at NASA Ames Research Center, Moffett Field, CA 94035.</w:t>
      </w:r>
      <w:r w:rsidR="00E948BA">
        <w:rPr>
          <w:color w:val="000000"/>
          <w:sz w:val="20"/>
          <w:szCs w:val="20"/>
        </w:rPr>
        <w:t xml:space="preserve"> </w:t>
      </w:r>
      <w:r w:rsidR="00E948BA" w:rsidRPr="004B5F0B">
        <w:rPr>
          <w:color w:val="000000"/>
          <w:sz w:val="20"/>
          <w:szCs w:val="20"/>
        </w:rPr>
        <w:t>(</w:t>
      </w:r>
      <w:hyperlink r:id="rId6" w:history="1">
        <w:r w:rsidR="00B564C0" w:rsidRPr="00A80708">
          <w:rPr>
            <w:rStyle w:val="Hyperlink"/>
            <w:sz w:val="20"/>
            <w:szCs w:val="20"/>
          </w:rPr>
          <w:t>dinesh.k.prabhu@nasa.gov</w:t>
        </w:r>
      </w:hyperlink>
      <w:r w:rsidR="00E948BA" w:rsidRPr="004B5F0B">
        <w:rPr>
          <w:color w:val="000000"/>
          <w:sz w:val="20"/>
          <w:szCs w:val="20"/>
        </w:rPr>
        <w:t xml:space="preserve">, </w:t>
      </w:r>
      <w:hyperlink r:id="rId7" w:history="1">
        <w:r w:rsidR="00B564C0" w:rsidRPr="00A80708">
          <w:rPr>
            <w:rStyle w:val="Hyperlink"/>
            <w:sz w:val="20"/>
            <w:szCs w:val="20"/>
          </w:rPr>
          <w:t>brett.a.cruden@nasa.gov</w:t>
        </w:r>
      </w:hyperlink>
      <w:r w:rsidR="00E948BA">
        <w:rPr>
          <w:color w:val="000000"/>
          <w:sz w:val="20"/>
          <w:szCs w:val="20"/>
        </w:rPr>
        <w:t>,</w:t>
      </w:r>
      <w:r w:rsidR="00450A63" w:rsidRPr="00450A63">
        <w:t xml:space="preserve"> </w:t>
      </w:r>
      <w:hyperlink r:id="rId8" w:history="1">
        <w:r w:rsidR="00450A63" w:rsidRPr="00826C11">
          <w:rPr>
            <w:rStyle w:val="Hyperlink"/>
            <w:sz w:val="20"/>
            <w:szCs w:val="20"/>
          </w:rPr>
          <w:t>arnaud.p.borner@nasa.gov</w:t>
        </w:r>
      </w:hyperlink>
      <w:r w:rsidR="00450A63">
        <w:rPr>
          <w:color w:val="000000"/>
          <w:sz w:val="20"/>
          <w:szCs w:val="20"/>
        </w:rPr>
        <w:t xml:space="preserve">, </w:t>
      </w:r>
      <w:hyperlink r:id="rId9" w:history="1">
        <w:r w:rsidR="00450A63" w:rsidRPr="00A80708">
          <w:rPr>
            <w:rStyle w:val="Hyperlink"/>
            <w:sz w:val="20"/>
            <w:szCs w:val="20"/>
          </w:rPr>
          <w:t>john.m.thornton@nasa.gov</w:t>
        </w:r>
      </w:hyperlink>
      <w:r w:rsidR="00450A63" w:rsidRPr="004B5F0B">
        <w:rPr>
          <w:color w:val="000000"/>
          <w:sz w:val="20"/>
          <w:szCs w:val="20"/>
        </w:rPr>
        <w:t xml:space="preserve">, </w:t>
      </w:r>
      <w:hyperlink r:id="rId10" w:history="1">
        <w:r w:rsidR="00450A63" w:rsidRPr="00A80708">
          <w:rPr>
            <w:rStyle w:val="Hyperlink"/>
            <w:sz w:val="20"/>
            <w:szCs w:val="20"/>
          </w:rPr>
          <w:t>jeremie.b.meurisse@nasa.gov</w:t>
        </w:r>
      </w:hyperlink>
      <w:r w:rsidR="00E948BA" w:rsidRPr="004B5F0B">
        <w:rPr>
          <w:color w:val="000000"/>
          <w:sz w:val="20"/>
          <w:szCs w:val="20"/>
        </w:rPr>
        <w:t>)</w:t>
      </w:r>
      <w:r w:rsidRPr="004B5F0B">
        <w:rPr>
          <w:color w:val="000000"/>
          <w:sz w:val="20"/>
          <w:szCs w:val="20"/>
        </w:rPr>
        <w:t xml:space="preserve"> </w:t>
      </w:r>
      <w:r w:rsidR="00E948BA">
        <w:rPr>
          <w:color w:val="000000"/>
          <w:sz w:val="20"/>
          <w:szCs w:val="20"/>
          <w:vertAlign w:val="superscript"/>
        </w:rPr>
        <w:t>2</w:t>
      </w:r>
      <w:r w:rsidR="00E948BA" w:rsidRPr="004B5F0B">
        <w:rPr>
          <w:color w:val="000000"/>
          <w:sz w:val="20"/>
          <w:szCs w:val="20"/>
        </w:rPr>
        <w:t xml:space="preserve"> NASA Ames Research Center</w:t>
      </w:r>
      <w:r w:rsidR="00E948BA">
        <w:rPr>
          <w:color w:val="000000"/>
          <w:sz w:val="20"/>
          <w:szCs w:val="20"/>
        </w:rPr>
        <w:t>, Moffett Field, CA 94035</w:t>
      </w:r>
      <w:r w:rsidRPr="004B5F0B">
        <w:rPr>
          <w:color w:val="000000"/>
          <w:sz w:val="20"/>
          <w:szCs w:val="20"/>
        </w:rPr>
        <w:t>.</w:t>
      </w:r>
      <w:r w:rsidR="00B449D8">
        <w:rPr>
          <w:color w:val="000000"/>
          <w:sz w:val="20"/>
          <w:szCs w:val="20"/>
        </w:rPr>
        <w:t xml:space="preserve"> </w:t>
      </w:r>
      <w:r w:rsidR="00E948BA" w:rsidRPr="004B5F0B">
        <w:rPr>
          <w:color w:val="000000"/>
          <w:sz w:val="20"/>
          <w:szCs w:val="20"/>
        </w:rPr>
        <w:t>(</w:t>
      </w:r>
      <w:hyperlink r:id="rId11" w:history="1">
        <w:r w:rsidR="00450A63" w:rsidRPr="00826C11">
          <w:rPr>
            <w:rStyle w:val="Hyperlink"/>
            <w:sz w:val="20"/>
            <w:szCs w:val="20"/>
          </w:rPr>
          <w:t>joshua.d.monk@nasa.gov</w:t>
        </w:r>
      </w:hyperlink>
      <w:r w:rsidR="00E948BA" w:rsidRPr="004B5F0B">
        <w:rPr>
          <w:color w:val="000000"/>
          <w:sz w:val="20"/>
          <w:szCs w:val="20"/>
        </w:rPr>
        <w:t>)</w:t>
      </w:r>
    </w:p>
    <w:p w14:paraId="383A5CEA" w14:textId="77777777" w:rsidR="00694048" w:rsidRDefault="00694048">
      <w:pPr>
        <w:spacing w:line="240" w:lineRule="atLeast"/>
        <w:ind w:firstLine="288"/>
        <w:jc w:val="both"/>
        <w:rPr>
          <w:sz w:val="20"/>
        </w:rPr>
      </w:pPr>
    </w:p>
    <w:p w14:paraId="320B5B32" w14:textId="77777777" w:rsidR="00694048" w:rsidRDefault="00694048">
      <w:pPr>
        <w:spacing w:line="240" w:lineRule="atLeast"/>
        <w:ind w:firstLine="288"/>
        <w:jc w:val="both"/>
        <w:rPr>
          <w:sz w:val="20"/>
        </w:rPr>
        <w:sectPr w:rsidR="00694048">
          <w:headerReference w:type="even" r:id="rId12"/>
          <w:footerReference w:type="even" r:id="rId13"/>
          <w:footerReference w:type="default" r:id="rId14"/>
          <w:pgSz w:w="12240" w:h="15840" w:code="1"/>
          <w:pgMar w:top="1440" w:right="1440" w:bottom="1440" w:left="1440" w:header="720" w:footer="720" w:gutter="0"/>
          <w:cols w:space="720"/>
        </w:sectPr>
      </w:pPr>
    </w:p>
    <w:p w14:paraId="78B64D00" w14:textId="77777777" w:rsidR="0029205E" w:rsidRDefault="00F829B3" w:rsidP="0029205E">
      <w:pPr>
        <w:pStyle w:val="NormalWeb"/>
        <w:spacing w:before="0" w:beforeAutospacing="0" w:after="0" w:afterAutospacing="0"/>
        <w:jc w:val="both"/>
        <w:rPr>
          <w:color w:val="000000"/>
          <w:sz w:val="20"/>
          <w:szCs w:val="20"/>
        </w:rPr>
      </w:pPr>
      <w:r>
        <w:rPr>
          <w:b/>
          <w:bCs/>
          <w:color w:val="000000"/>
          <w:sz w:val="20"/>
        </w:rPr>
        <w:t xml:space="preserve">    </w:t>
      </w:r>
      <w:r w:rsidR="00FC02E6">
        <w:rPr>
          <w:b/>
          <w:bCs/>
          <w:color w:val="000000"/>
          <w:sz w:val="20"/>
        </w:rPr>
        <w:t xml:space="preserve"> </w:t>
      </w:r>
      <w:r w:rsidR="0029205E" w:rsidRPr="0029205E">
        <w:rPr>
          <w:b/>
          <w:bCs/>
          <w:color w:val="000000"/>
          <w:sz w:val="20"/>
          <w:szCs w:val="20"/>
        </w:rPr>
        <w:t>Brief Presenter Biography:</w:t>
      </w:r>
      <w:r w:rsidR="0029205E" w:rsidRPr="0029205E">
        <w:rPr>
          <w:color w:val="000000"/>
          <w:sz w:val="20"/>
          <w:szCs w:val="20"/>
        </w:rPr>
        <w:t xml:space="preserve"> </w:t>
      </w:r>
    </w:p>
    <w:p w14:paraId="04B4EFEA" w14:textId="77777777" w:rsidR="0029205E" w:rsidRPr="0029205E" w:rsidRDefault="00B039ED" w:rsidP="0029205E">
      <w:pPr>
        <w:pStyle w:val="NormalWeb"/>
        <w:spacing w:before="0" w:beforeAutospacing="0" w:after="0" w:afterAutospacing="0"/>
        <w:jc w:val="both"/>
      </w:pPr>
      <w:r>
        <w:rPr>
          <w:color w:val="000000"/>
          <w:sz w:val="20"/>
          <w:szCs w:val="20"/>
        </w:rPr>
        <w:t>Dr. Prabhu</w:t>
      </w:r>
      <w:r w:rsidR="0029205E" w:rsidRPr="0029205E">
        <w:rPr>
          <w:color w:val="000000"/>
          <w:sz w:val="20"/>
          <w:szCs w:val="20"/>
        </w:rPr>
        <w:t xml:space="preserve"> is a Research Scientist with </w:t>
      </w:r>
      <w:r>
        <w:rPr>
          <w:color w:val="000000"/>
          <w:sz w:val="20"/>
          <w:szCs w:val="20"/>
        </w:rPr>
        <w:t>AMA, Inc.</w:t>
      </w:r>
      <w:r w:rsidR="0029205E" w:rsidRPr="0029205E">
        <w:rPr>
          <w:color w:val="000000"/>
          <w:sz w:val="20"/>
          <w:szCs w:val="20"/>
        </w:rPr>
        <w:t xml:space="preserve">, and an on-site contractor at NASA Ames Research Center working in the </w:t>
      </w:r>
      <w:r>
        <w:rPr>
          <w:color w:val="000000"/>
          <w:sz w:val="20"/>
          <w:szCs w:val="20"/>
        </w:rPr>
        <w:t>Aerothermodynamics Branch</w:t>
      </w:r>
      <w:r w:rsidR="0029205E" w:rsidRPr="0029205E">
        <w:rPr>
          <w:color w:val="000000"/>
          <w:sz w:val="20"/>
          <w:szCs w:val="20"/>
        </w:rPr>
        <w:t>.</w:t>
      </w:r>
    </w:p>
    <w:p w14:paraId="2C64A1AD" w14:textId="77777777" w:rsidR="0029205E" w:rsidRDefault="0029205E" w:rsidP="00F829B3">
      <w:pPr>
        <w:jc w:val="both"/>
        <w:rPr>
          <w:b/>
          <w:bCs/>
          <w:color w:val="000000"/>
          <w:sz w:val="20"/>
        </w:rPr>
      </w:pPr>
      <w:r>
        <w:rPr>
          <w:b/>
          <w:bCs/>
          <w:color w:val="000000"/>
          <w:sz w:val="20"/>
        </w:rPr>
        <w:t xml:space="preserve">     </w:t>
      </w:r>
      <w:r w:rsidR="00F829B3" w:rsidRPr="00F829B3">
        <w:rPr>
          <w:b/>
          <w:bCs/>
          <w:color w:val="000000"/>
          <w:sz w:val="20"/>
        </w:rPr>
        <w:t>Abstract: </w:t>
      </w:r>
    </w:p>
    <w:p w14:paraId="2806922D" w14:textId="438A6779" w:rsidR="008D0C88" w:rsidRDefault="00F829B3" w:rsidP="00F829B3">
      <w:pPr>
        <w:jc w:val="both"/>
        <w:rPr>
          <w:color w:val="000000"/>
          <w:sz w:val="20"/>
        </w:rPr>
      </w:pPr>
      <w:r w:rsidRPr="00F829B3">
        <w:rPr>
          <w:color w:val="000000"/>
          <w:sz w:val="20"/>
        </w:rPr>
        <w:t xml:space="preserve">The </w:t>
      </w:r>
      <w:r w:rsidR="00B449D8">
        <w:rPr>
          <w:color w:val="000000"/>
          <w:sz w:val="20"/>
        </w:rPr>
        <w:t xml:space="preserve">thermal protection system (TPS) </w:t>
      </w:r>
      <w:r w:rsidR="00216F1B">
        <w:rPr>
          <w:color w:val="000000"/>
          <w:sz w:val="20"/>
        </w:rPr>
        <w:t xml:space="preserve">of the </w:t>
      </w:r>
      <w:r w:rsidR="0096264F">
        <w:rPr>
          <w:color w:val="000000"/>
          <w:sz w:val="20"/>
        </w:rPr>
        <w:t>Mars 2020</w:t>
      </w:r>
      <w:r w:rsidR="00216F1B">
        <w:rPr>
          <w:color w:val="000000"/>
          <w:sz w:val="20"/>
        </w:rPr>
        <w:t xml:space="preserve"> capsule </w:t>
      </w:r>
      <w:r w:rsidR="0096264F">
        <w:rPr>
          <w:color w:val="000000"/>
          <w:sz w:val="20"/>
        </w:rPr>
        <w:t xml:space="preserve">will carry </w:t>
      </w:r>
      <w:r w:rsidR="00216F1B">
        <w:rPr>
          <w:color w:val="000000"/>
          <w:sz w:val="20"/>
        </w:rPr>
        <w:t>a suite of sensors called MEDLI</w:t>
      </w:r>
      <w:r w:rsidR="0096264F">
        <w:rPr>
          <w:color w:val="000000"/>
          <w:sz w:val="20"/>
        </w:rPr>
        <w:t>2</w:t>
      </w:r>
      <w:r w:rsidR="00216F1B">
        <w:rPr>
          <w:color w:val="000000"/>
          <w:sz w:val="20"/>
        </w:rPr>
        <w:t xml:space="preserve"> (M</w:t>
      </w:r>
      <w:r w:rsidR="0096264F">
        <w:rPr>
          <w:color w:val="000000"/>
          <w:sz w:val="20"/>
        </w:rPr>
        <w:t xml:space="preserve">ars </w:t>
      </w:r>
      <w:r w:rsidR="00216F1B">
        <w:rPr>
          <w:color w:val="000000"/>
          <w:sz w:val="20"/>
        </w:rPr>
        <w:t>Entry, Descent, and Landing Instrument</w:t>
      </w:r>
      <w:r w:rsidR="0096264F">
        <w:rPr>
          <w:color w:val="000000"/>
          <w:sz w:val="20"/>
        </w:rPr>
        <w:t xml:space="preserve"> 2</w:t>
      </w:r>
      <w:r w:rsidR="00216F1B">
        <w:rPr>
          <w:color w:val="000000"/>
          <w:sz w:val="20"/>
        </w:rPr>
        <w:t>)</w:t>
      </w:r>
      <w:r w:rsidR="007742E9">
        <w:rPr>
          <w:color w:val="000000"/>
          <w:sz w:val="20"/>
        </w:rPr>
        <w:t xml:space="preserve"> [1]</w:t>
      </w:r>
      <w:r w:rsidRPr="00F829B3">
        <w:rPr>
          <w:color w:val="000000"/>
          <w:sz w:val="20"/>
        </w:rPr>
        <w:t>.</w:t>
      </w:r>
      <w:r w:rsidR="00216F1B">
        <w:rPr>
          <w:color w:val="000000"/>
          <w:sz w:val="20"/>
        </w:rPr>
        <w:t xml:space="preserve"> This suite </w:t>
      </w:r>
      <w:r w:rsidR="00B9086A">
        <w:rPr>
          <w:color w:val="000000"/>
          <w:sz w:val="20"/>
        </w:rPr>
        <w:t>consists of</w:t>
      </w:r>
      <w:r w:rsidR="00216F1B">
        <w:rPr>
          <w:color w:val="000000"/>
          <w:sz w:val="20"/>
        </w:rPr>
        <w:t xml:space="preserve"> pressure sensors/transducers </w:t>
      </w:r>
      <w:r w:rsidR="00B449D8">
        <w:rPr>
          <w:color w:val="000000"/>
          <w:sz w:val="20"/>
        </w:rPr>
        <w:t xml:space="preserve">and thermocouple plugs meant to measure atmospheric properties, vehicle attitude, TPS performance, etc. While the suite is similar to that carried on the successful MSL (Mars Science Laboratory) mission in 2012, it now includes </w:t>
      </w:r>
      <w:r w:rsidR="008D0C88">
        <w:rPr>
          <w:color w:val="000000"/>
          <w:sz w:val="20"/>
        </w:rPr>
        <w:t>pressure sensors,</w:t>
      </w:r>
      <w:r w:rsidR="008D0C88" w:rsidRPr="008D0C88">
        <w:rPr>
          <w:color w:val="000000"/>
          <w:sz w:val="20"/>
        </w:rPr>
        <w:t xml:space="preserve"> </w:t>
      </w:r>
      <w:r w:rsidR="008D0C88">
        <w:rPr>
          <w:color w:val="000000"/>
          <w:sz w:val="20"/>
        </w:rPr>
        <w:t xml:space="preserve">thermocouple plugs, and </w:t>
      </w:r>
      <w:r w:rsidR="00B449D8">
        <w:rPr>
          <w:color w:val="000000"/>
          <w:sz w:val="20"/>
        </w:rPr>
        <w:t>radiometers on the backshell as well.</w:t>
      </w:r>
      <w:r w:rsidR="00AF54D6">
        <w:rPr>
          <w:color w:val="000000"/>
          <w:sz w:val="20"/>
        </w:rPr>
        <w:t xml:space="preserve"> </w:t>
      </w:r>
      <w:r w:rsidR="008D0C88">
        <w:rPr>
          <w:color w:val="000000"/>
          <w:sz w:val="20"/>
        </w:rPr>
        <w:t xml:space="preserve">An analysis plan is therefore necessary to help with the interpretation of flight measurements. </w:t>
      </w:r>
    </w:p>
    <w:p w14:paraId="2B9B3022" w14:textId="7A5B3F18" w:rsidR="00F829B3" w:rsidRDefault="008D0C88" w:rsidP="008D0C88">
      <w:pPr>
        <w:ind w:firstLine="270"/>
        <w:jc w:val="both"/>
        <w:rPr>
          <w:color w:val="000000"/>
          <w:sz w:val="20"/>
        </w:rPr>
      </w:pPr>
      <w:r>
        <w:rPr>
          <w:color w:val="000000"/>
          <w:sz w:val="20"/>
        </w:rPr>
        <w:t>Previous c</w:t>
      </w:r>
      <w:r w:rsidR="00B449D8">
        <w:rPr>
          <w:color w:val="000000"/>
          <w:sz w:val="20"/>
        </w:rPr>
        <w:t>omparisons of simulations (predictions) with flight measurements along the Best-Estimated Trajectory (BET) of MSL [</w:t>
      </w:r>
      <w:r w:rsidR="007742E9">
        <w:rPr>
          <w:color w:val="000000"/>
          <w:sz w:val="20"/>
        </w:rPr>
        <w:t>2</w:t>
      </w:r>
      <w:r w:rsidR="00B449D8">
        <w:rPr>
          <w:color w:val="000000"/>
          <w:sz w:val="20"/>
        </w:rPr>
        <w:t xml:space="preserve">] are captured in the work of </w:t>
      </w:r>
      <w:proofErr w:type="spellStart"/>
      <w:r w:rsidR="00EA4540">
        <w:rPr>
          <w:color w:val="000000"/>
          <w:sz w:val="20"/>
        </w:rPr>
        <w:t>Schoenenberger</w:t>
      </w:r>
      <w:proofErr w:type="spellEnd"/>
      <w:r w:rsidR="00B449D8">
        <w:rPr>
          <w:color w:val="000000"/>
          <w:sz w:val="20"/>
        </w:rPr>
        <w:t xml:space="preserve"> </w:t>
      </w:r>
      <w:r w:rsidR="00B449D8">
        <w:rPr>
          <w:i/>
          <w:iCs/>
          <w:color w:val="000000"/>
          <w:sz w:val="20"/>
        </w:rPr>
        <w:t>et al.</w:t>
      </w:r>
      <w:r w:rsidR="00B449D8">
        <w:rPr>
          <w:color w:val="000000"/>
          <w:sz w:val="20"/>
        </w:rPr>
        <w:t xml:space="preserve"> [</w:t>
      </w:r>
      <w:r w:rsidR="007742E9">
        <w:rPr>
          <w:color w:val="000000"/>
          <w:sz w:val="20"/>
        </w:rPr>
        <w:t>3</w:t>
      </w:r>
      <w:r w:rsidR="00B449D8">
        <w:rPr>
          <w:color w:val="000000"/>
          <w:sz w:val="20"/>
        </w:rPr>
        <w:t xml:space="preserve">] and Bose </w:t>
      </w:r>
      <w:r w:rsidR="00B449D8">
        <w:rPr>
          <w:i/>
          <w:iCs/>
          <w:color w:val="000000"/>
          <w:sz w:val="20"/>
        </w:rPr>
        <w:t>et al</w:t>
      </w:r>
      <w:r w:rsidR="00B449D8">
        <w:rPr>
          <w:color w:val="000000"/>
          <w:sz w:val="20"/>
        </w:rPr>
        <w:t>. [</w:t>
      </w:r>
      <w:r w:rsidR="007742E9">
        <w:rPr>
          <w:color w:val="000000"/>
          <w:sz w:val="20"/>
        </w:rPr>
        <w:t>4</w:t>
      </w:r>
      <w:r w:rsidR="00B449D8">
        <w:rPr>
          <w:color w:val="000000"/>
          <w:sz w:val="20"/>
        </w:rPr>
        <w:t>]</w:t>
      </w:r>
      <w:r w:rsidR="006976D1">
        <w:rPr>
          <w:color w:val="000000"/>
          <w:sz w:val="20"/>
        </w:rPr>
        <w:t xml:space="preserve">. </w:t>
      </w:r>
      <w:r w:rsidR="00B449D8">
        <w:rPr>
          <w:color w:val="000000"/>
          <w:sz w:val="20"/>
        </w:rPr>
        <w:t>These comparisons</w:t>
      </w:r>
      <w:r w:rsidR="006976D1">
        <w:rPr>
          <w:color w:val="000000"/>
          <w:sz w:val="20"/>
        </w:rPr>
        <w:t xml:space="preserve"> showed that there are still significant differences between predictions and measurements</w:t>
      </w:r>
      <w:r>
        <w:rPr>
          <w:color w:val="000000"/>
          <w:sz w:val="20"/>
        </w:rPr>
        <w:t>, especially in aerothermal environments [</w:t>
      </w:r>
      <w:r w:rsidR="007742E9">
        <w:rPr>
          <w:color w:val="000000"/>
          <w:sz w:val="20"/>
        </w:rPr>
        <w:t>5</w:t>
      </w:r>
      <w:r>
        <w:rPr>
          <w:color w:val="000000"/>
          <w:sz w:val="20"/>
        </w:rPr>
        <w:t>]</w:t>
      </w:r>
      <w:r w:rsidR="006976D1">
        <w:rPr>
          <w:color w:val="000000"/>
          <w:sz w:val="20"/>
        </w:rPr>
        <w:t xml:space="preserve">. Inclusion of radiative heating (from the shock-heated gas mixture), which </w:t>
      </w:r>
      <w:r w:rsidR="00B564C0">
        <w:rPr>
          <w:color w:val="000000"/>
          <w:sz w:val="20"/>
        </w:rPr>
        <w:t xml:space="preserve">was </w:t>
      </w:r>
      <w:r w:rsidR="006976D1">
        <w:rPr>
          <w:color w:val="000000"/>
          <w:sz w:val="20"/>
        </w:rPr>
        <w:t xml:space="preserve">considered to be insignificant in past missions (including MSL), were found to resolve the differences </w:t>
      </w:r>
      <w:r w:rsidR="00B564C0">
        <w:rPr>
          <w:color w:val="000000"/>
          <w:sz w:val="20"/>
        </w:rPr>
        <w:t xml:space="preserve">only </w:t>
      </w:r>
      <w:r w:rsidR="006976D1">
        <w:rPr>
          <w:color w:val="000000"/>
          <w:sz w:val="20"/>
        </w:rPr>
        <w:t>partially [</w:t>
      </w:r>
      <w:r w:rsidR="007742E9">
        <w:rPr>
          <w:color w:val="000000"/>
          <w:sz w:val="20"/>
        </w:rPr>
        <w:t>6</w:t>
      </w:r>
      <w:r w:rsidR="006976D1">
        <w:rPr>
          <w:color w:val="000000"/>
          <w:sz w:val="20"/>
        </w:rPr>
        <w:t>].</w:t>
      </w:r>
      <w:r>
        <w:rPr>
          <w:color w:val="000000"/>
          <w:sz w:val="20"/>
        </w:rPr>
        <w:t xml:space="preserve"> A typical result </w:t>
      </w:r>
      <w:r w:rsidR="00535313">
        <w:rPr>
          <w:color w:val="000000"/>
          <w:sz w:val="20"/>
        </w:rPr>
        <w:t xml:space="preserve">using flow and </w:t>
      </w:r>
      <w:r w:rsidR="00EA4540">
        <w:rPr>
          <w:color w:val="000000"/>
          <w:sz w:val="20"/>
        </w:rPr>
        <w:t>material response too</w:t>
      </w:r>
      <w:r w:rsidR="000B7752">
        <w:rPr>
          <w:color w:val="000000"/>
          <w:sz w:val="20"/>
        </w:rPr>
        <w:t>l</w:t>
      </w:r>
      <w:r w:rsidR="00EA4540">
        <w:rPr>
          <w:color w:val="000000"/>
          <w:sz w:val="20"/>
        </w:rPr>
        <w:t>s</w:t>
      </w:r>
      <w:r w:rsidR="00535313">
        <w:rPr>
          <w:color w:val="000000"/>
          <w:sz w:val="20"/>
        </w:rPr>
        <w:t xml:space="preserve"> [</w:t>
      </w:r>
      <w:r w:rsidR="007742E9">
        <w:rPr>
          <w:color w:val="000000"/>
          <w:sz w:val="20"/>
        </w:rPr>
        <w:t>4</w:t>
      </w:r>
      <w:r w:rsidR="00535313">
        <w:rPr>
          <w:color w:val="000000"/>
          <w:sz w:val="20"/>
        </w:rPr>
        <w:t>]</w:t>
      </w:r>
      <w:r>
        <w:rPr>
          <w:color w:val="000000"/>
          <w:sz w:val="20"/>
        </w:rPr>
        <w:t xml:space="preserve"> is shown in Fig. 1 for MISP </w:t>
      </w:r>
      <w:r w:rsidR="00EA4540">
        <w:rPr>
          <w:color w:val="000000"/>
          <w:sz w:val="20"/>
        </w:rPr>
        <w:t>3 (located on the leeside of the conical flank)</w:t>
      </w:r>
      <w:r>
        <w:rPr>
          <w:color w:val="000000"/>
          <w:sz w:val="20"/>
        </w:rPr>
        <w:t xml:space="preserve">. </w:t>
      </w:r>
    </w:p>
    <w:p w14:paraId="45900322" w14:textId="248E6B93" w:rsidR="006976D1" w:rsidRDefault="006976D1" w:rsidP="00F829B3">
      <w:pPr>
        <w:jc w:val="both"/>
        <w:rPr>
          <w:color w:val="000000"/>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0"/>
      </w:tblGrid>
      <w:tr w:rsidR="006976D1" w14:paraId="788EE174" w14:textId="77777777" w:rsidTr="006976D1">
        <w:tc>
          <w:tcPr>
            <w:tcW w:w="4430" w:type="dxa"/>
          </w:tcPr>
          <w:p w14:paraId="33BD19AD" w14:textId="5AEAB536" w:rsidR="006976D1" w:rsidRDefault="00EA4540" w:rsidP="00EA4540">
            <w:pPr>
              <w:jc w:val="center"/>
              <w:rPr>
                <w:color w:val="000000"/>
                <w:sz w:val="20"/>
              </w:rPr>
            </w:pPr>
            <w:r w:rsidRPr="00BC3D54">
              <w:rPr>
                <w:noProof/>
                <w:color w:val="000000"/>
                <w:sz w:val="20"/>
              </w:rPr>
              <w:drawing>
                <wp:inline distT="0" distB="0" distL="0" distR="0" wp14:anchorId="7936CB7B" wp14:editId="3EC21076">
                  <wp:extent cx="2432304" cy="1947672"/>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32304" cy="1947672"/>
                          </a:xfrm>
                          <a:prstGeom prst="rect">
                            <a:avLst/>
                          </a:prstGeom>
                          <a:noFill/>
                          <a:ln>
                            <a:noFill/>
                          </a:ln>
                        </pic:spPr>
                      </pic:pic>
                    </a:graphicData>
                  </a:graphic>
                </wp:inline>
              </w:drawing>
            </w:r>
          </w:p>
        </w:tc>
      </w:tr>
      <w:tr w:rsidR="006976D1" w14:paraId="79ADD3B7" w14:textId="77777777" w:rsidTr="006976D1">
        <w:tc>
          <w:tcPr>
            <w:tcW w:w="4430" w:type="dxa"/>
          </w:tcPr>
          <w:p w14:paraId="1C6C16A7" w14:textId="20C59C29" w:rsidR="006976D1" w:rsidRDefault="006976D1" w:rsidP="00F829B3">
            <w:pPr>
              <w:jc w:val="both"/>
              <w:rPr>
                <w:color w:val="000000"/>
                <w:sz w:val="20"/>
              </w:rPr>
            </w:pPr>
            <w:r w:rsidRPr="00F829B3">
              <w:rPr>
                <w:b/>
                <w:bCs/>
                <w:color w:val="000000"/>
                <w:sz w:val="20"/>
              </w:rPr>
              <w:t>Fig</w:t>
            </w:r>
            <w:r w:rsidR="00EA4540">
              <w:rPr>
                <w:b/>
                <w:bCs/>
                <w:color w:val="000000"/>
                <w:sz w:val="20"/>
              </w:rPr>
              <w:t>ure</w:t>
            </w:r>
            <w:r w:rsidRPr="00F829B3">
              <w:rPr>
                <w:b/>
                <w:bCs/>
                <w:color w:val="000000"/>
                <w:sz w:val="20"/>
              </w:rPr>
              <w:t xml:space="preserve"> </w:t>
            </w:r>
            <w:r>
              <w:rPr>
                <w:b/>
                <w:bCs/>
                <w:color w:val="000000"/>
                <w:sz w:val="20"/>
              </w:rPr>
              <w:t>1</w:t>
            </w:r>
            <w:r w:rsidR="00EA4540">
              <w:rPr>
                <w:b/>
                <w:bCs/>
                <w:color w:val="000000"/>
                <w:sz w:val="20"/>
              </w:rPr>
              <w:t xml:space="preserve">. </w:t>
            </w:r>
            <w:r w:rsidRPr="00F829B3">
              <w:rPr>
                <w:b/>
                <w:bCs/>
                <w:color w:val="000000"/>
                <w:sz w:val="20"/>
              </w:rPr>
              <w:t xml:space="preserve"> </w:t>
            </w:r>
            <w:r>
              <w:rPr>
                <w:b/>
                <w:bCs/>
                <w:color w:val="000000"/>
                <w:sz w:val="20"/>
              </w:rPr>
              <w:t xml:space="preserve">Disagreement between MISP </w:t>
            </w:r>
            <w:r w:rsidR="00EA4540">
              <w:rPr>
                <w:b/>
                <w:bCs/>
                <w:color w:val="000000"/>
                <w:sz w:val="20"/>
              </w:rPr>
              <w:t xml:space="preserve">3 </w:t>
            </w:r>
            <w:r w:rsidR="00B564C0">
              <w:rPr>
                <w:b/>
                <w:bCs/>
                <w:color w:val="000000"/>
                <w:sz w:val="20"/>
              </w:rPr>
              <w:t xml:space="preserve">(solid lines) </w:t>
            </w:r>
            <w:r>
              <w:rPr>
                <w:b/>
                <w:bCs/>
                <w:color w:val="000000"/>
                <w:sz w:val="20"/>
              </w:rPr>
              <w:t>and predictions</w:t>
            </w:r>
            <w:r w:rsidR="00B564C0">
              <w:rPr>
                <w:b/>
                <w:bCs/>
                <w:color w:val="000000"/>
                <w:sz w:val="20"/>
              </w:rPr>
              <w:t xml:space="preserve"> (dashes)</w:t>
            </w:r>
            <w:r w:rsidRPr="00F829B3">
              <w:rPr>
                <w:b/>
                <w:bCs/>
                <w:color w:val="000000"/>
                <w:sz w:val="20"/>
              </w:rPr>
              <w:t>.</w:t>
            </w:r>
          </w:p>
        </w:tc>
      </w:tr>
    </w:tbl>
    <w:p w14:paraId="45BAA666" w14:textId="77777777" w:rsidR="006976D1" w:rsidRDefault="006976D1" w:rsidP="00F829B3">
      <w:pPr>
        <w:jc w:val="both"/>
        <w:rPr>
          <w:b/>
          <w:bCs/>
          <w:color w:val="000000"/>
          <w:sz w:val="20"/>
        </w:rPr>
      </w:pPr>
    </w:p>
    <w:p w14:paraId="4A158A65" w14:textId="7E2FCD35" w:rsidR="008D0C88" w:rsidRDefault="008D0C88" w:rsidP="008D0C88">
      <w:pPr>
        <w:ind w:firstLine="270"/>
        <w:jc w:val="both"/>
        <w:rPr>
          <w:color w:val="000000"/>
          <w:sz w:val="20"/>
        </w:rPr>
      </w:pPr>
      <w:r>
        <w:rPr>
          <w:color w:val="000000"/>
          <w:sz w:val="20"/>
        </w:rPr>
        <w:t xml:space="preserve">Clearly, there is room for improvement in modeling thermochemical processes in the shock layer, </w:t>
      </w:r>
      <w:r>
        <w:rPr>
          <w:color w:val="000000"/>
          <w:sz w:val="20"/>
        </w:rPr>
        <w:t>interaction of the shock-heated gas mixture with the surface, and the thermal response of the thermal protection material to the imposed environment. The last aspect is especially important because pyrolysis products from the forward heatshield will be entrained in the vehicle wake and affect the sensors on the backshell.</w:t>
      </w:r>
    </w:p>
    <w:p w14:paraId="69BA3B21" w14:textId="393A9AF0" w:rsidR="0051599C" w:rsidRDefault="00F829B3" w:rsidP="00F829B3">
      <w:pPr>
        <w:jc w:val="both"/>
        <w:rPr>
          <w:color w:val="222222"/>
          <w:sz w:val="20"/>
          <w:shd w:val="clear" w:color="auto" w:fill="FFFFFF"/>
        </w:rPr>
      </w:pPr>
      <w:r>
        <w:rPr>
          <w:b/>
          <w:bCs/>
          <w:color w:val="000000"/>
          <w:sz w:val="20"/>
        </w:rPr>
        <w:t xml:space="preserve">     </w:t>
      </w:r>
      <w:r w:rsidR="00A94DB7" w:rsidRPr="00F829B3">
        <w:rPr>
          <w:color w:val="000000"/>
          <w:sz w:val="20"/>
        </w:rPr>
        <w:t>The objective of t</w:t>
      </w:r>
      <w:r w:rsidR="00535313">
        <w:rPr>
          <w:color w:val="000000"/>
          <w:sz w:val="20"/>
        </w:rPr>
        <w:t>he proposed</w:t>
      </w:r>
      <w:r w:rsidR="00A94DB7" w:rsidRPr="00F829B3">
        <w:rPr>
          <w:color w:val="000000"/>
          <w:sz w:val="20"/>
        </w:rPr>
        <w:t xml:space="preserve"> </w:t>
      </w:r>
      <w:r w:rsidR="00535313">
        <w:rPr>
          <w:color w:val="000000"/>
          <w:sz w:val="20"/>
        </w:rPr>
        <w:t>paper</w:t>
      </w:r>
      <w:r w:rsidR="00A94DB7" w:rsidRPr="00F829B3">
        <w:rPr>
          <w:color w:val="000000"/>
          <w:sz w:val="20"/>
        </w:rPr>
        <w:t xml:space="preserve"> is to </w:t>
      </w:r>
      <w:r w:rsidR="00956540">
        <w:rPr>
          <w:color w:val="000000"/>
          <w:sz w:val="20"/>
        </w:rPr>
        <w:t>showcase</w:t>
      </w:r>
      <w:r w:rsidR="001661C4">
        <w:rPr>
          <w:color w:val="000000"/>
          <w:sz w:val="20"/>
        </w:rPr>
        <w:t xml:space="preserve">: (i) </w:t>
      </w:r>
      <w:r w:rsidR="00535313">
        <w:rPr>
          <w:color w:val="000000"/>
          <w:sz w:val="20"/>
        </w:rPr>
        <w:t xml:space="preserve"> improv</w:t>
      </w:r>
      <w:r w:rsidR="00EA4540">
        <w:rPr>
          <w:color w:val="000000"/>
          <w:sz w:val="20"/>
        </w:rPr>
        <w:t>e</w:t>
      </w:r>
      <w:r w:rsidR="00535313">
        <w:rPr>
          <w:color w:val="000000"/>
          <w:sz w:val="20"/>
        </w:rPr>
        <w:t xml:space="preserve">ments in modeling shock-layer thermochemistry (both reaction mechanism and kinetics) </w:t>
      </w:r>
      <w:r w:rsidR="00EE23AF">
        <w:rPr>
          <w:color w:val="000000"/>
          <w:sz w:val="20"/>
        </w:rPr>
        <w:t xml:space="preserve">in </w:t>
      </w:r>
      <w:r w:rsidR="0077159A" w:rsidRPr="0077159A">
        <w:rPr>
          <w:i/>
          <w:smallCaps/>
          <w:color w:val="000000"/>
          <w:sz w:val="20"/>
        </w:rPr>
        <w:t>Dplr</w:t>
      </w:r>
      <w:r w:rsidR="0077159A">
        <w:rPr>
          <w:color w:val="000000"/>
          <w:sz w:val="20"/>
        </w:rPr>
        <w:t xml:space="preserve"> </w:t>
      </w:r>
      <w:r w:rsidR="00EE23AF">
        <w:rPr>
          <w:color w:val="000000"/>
          <w:sz w:val="20"/>
        </w:rPr>
        <w:t>[</w:t>
      </w:r>
      <w:r w:rsidR="007742E9">
        <w:rPr>
          <w:color w:val="000000"/>
          <w:sz w:val="20"/>
        </w:rPr>
        <w:t>7</w:t>
      </w:r>
      <w:r w:rsidR="00EE23AF">
        <w:rPr>
          <w:color w:val="000000"/>
          <w:sz w:val="20"/>
        </w:rPr>
        <w:t>] and</w:t>
      </w:r>
      <w:r w:rsidR="001661C4">
        <w:rPr>
          <w:color w:val="000000"/>
          <w:sz w:val="20"/>
        </w:rPr>
        <w:t xml:space="preserve"> radiative heating tool</w:t>
      </w:r>
      <w:r w:rsidR="00EE23AF">
        <w:rPr>
          <w:color w:val="000000"/>
          <w:sz w:val="20"/>
        </w:rPr>
        <w:t xml:space="preserve"> </w:t>
      </w:r>
      <w:proofErr w:type="spellStart"/>
      <w:r w:rsidR="0077159A" w:rsidRPr="0077159A">
        <w:rPr>
          <w:i/>
          <w:smallCaps/>
          <w:color w:val="000000"/>
          <w:sz w:val="20"/>
        </w:rPr>
        <w:t>N</w:t>
      </w:r>
      <w:r w:rsidR="0077159A">
        <w:rPr>
          <w:i/>
          <w:smallCaps/>
          <w:color w:val="000000"/>
          <w:sz w:val="20"/>
        </w:rPr>
        <w:t>eqair</w:t>
      </w:r>
      <w:proofErr w:type="spellEnd"/>
      <w:r w:rsidR="0077159A">
        <w:rPr>
          <w:color w:val="000000"/>
          <w:sz w:val="20"/>
        </w:rPr>
        <w:t xml:space="preserve"> </w:t>
      </w:r>
      <w:r w:rsidR="00EE23AF">
        <w:rPr>
          <w:color w:val="000000"/>
          <w:sz w:val="20"/>
        </w:rPr>
        <w:t>[</w:t>
      </w:r>
      <w:r w:rsidR="007742E9">
        <w:rPr>
          <w:color w:val="000000"/>
          <w:sz w:val="20"/>
        </w:rPr>
        <w:t>8</w:t>
      </w:r>
      <w:r w:rsidR="00EE23AF">
        <w:rPr>
          <w:color w:val="000000"/>
          <w:sz w:val="20"/>
        </w:rPr>
        <w:t xml:space="preserve">] </w:t>
      </w:r>
      <w:r w:rsidR="00535313">
        <w:rPr>
          <w:color w:val="000000"/>
          <w:sz w:val="20"/>
        </w:rPr>
        <w:t xml:space="preserve">with an expanded species set to allow for the interaction of shock-heated gas with pyrolysis products, </w:t>
      </w:r>
      <w:r w:rsidR="001661C4">
        <w:rPr>
          <w:color w:val="000000"/>
          <w:sz w:val="20"/>
        </w:rPr>
        <w:t xml:space="preserve">(ii) </w:t>
      </w:r>
      <w:r w:rsidR="00535313">
        <w:rPr>
          <w:color w:val="000000"/>
          <w:sz w:val="20"/>
        </w:rPr>
        <w:t>improvements in materials modeling (properties),</w:t>
      </w:r>
      <w:r w:rsidR="00956540">
        <w:rPr>
          <w:color w:val="000000"/>
          <w:sz w:val="20"/>
        </w:rPr>
        <w:t xml:space="preserve"> and </w:t>
      </w:r>
      <w:r w:rsidR="001661C4">
        <w:rPr>
          <w:color w:val="000000"/>
          <w:sz w:val="20"/>
        </w:rPr>
        <w:t xml:space="preserve">(iii) </w:t>
      </w:r>
      <w:r w:rsidR="00A94DB7">
        <w:rPr>
          <w:color w:val="000000"/>
          <w:sz w:val="20"/>
        </w:rPr>
        <w:t xml:space="preserve">coupling </w:t>
      </w:r>
      <w:r w:rsidR="00A94DB7" w:rsidRPr="00F829B3">
        <w:rPr>
          <w:color w:val="000000"/>
          <w:sz w:val="20"/>
        </w:rPr>
        <w:t>between the material response (</w:t>
      </w:r>
      <w:r w:rsidR="0077159A" w:rsidRPr="0077159A">
        <w:rPr>
          <w:i/>
          <w:smallCaps/>
          <w:color w:val="000000"/>
          <w:sz w:val="20"/>
        </w:rPr>
        <w:t>F</w:t>
      </w:r>
      <w:r w:rsidR="0077159A">
        <w:rPr>
          <w:i/>
          <w:smallCaps/>
          <w:color w:val="000000"/>
          <w:sz w:val="20"/>
        </w:rPr>
        <w:t xml:space="preserve">iat </w:t>
      </w:r>
      <w:r w:rsidR="00535313">
        <w:rPr>
          <w:color w:val="000000"/>
          <w:sz w:val="20"/>
        </w:rPr>
        <w:t>[</w:t>
      </w:r>
      <w:r w:rsidR="007742E9">
        <w:rPr>
          <w:color w:val="000000"/>
          <w:sz w:val="20"/>
        </w:rPr>
        <w:t>9</w:t>
      </w:r>
      <w:r w:rsidR="00535313">
        <w:rPr>
          <w:color w:val="000000"/>
          <w:sz w:val="20"/>
        </w:rPr>
        <w:t xml:space="preserve">] or </w:t>
      </w:r>
      <w:proofErr w:type="spellStart"/>
      <w:r w:rsidR="0077159A" w:rsidRPr="0077159A">
        <w:rPr>
          <w:i/>
          <w:smallCaps/>
          <w:color w:val="000000"/>
          <w:sz w:val="20"/>
        </w:rPr>
        <w:t>P</w:t>
      </w:r>
      <w:r w:rsidR="0077159A">
        <w:rPr>
          <w:i/>
          <w:smallCaps/>
          <w:color w:val="000000"/>
          <w:sz w:val="20"/>
        </w:rPr>
        <w:t>ato</w:t>
      </w:r>
      <w:proofErr w:type="spellEnd"/>
      <w:r w:rsidR="0077159A">
        <w:rPr>
          <w:color w:val="000000"/>
          <w:sz w:val="20"/>
        </w:rPr>
        <w:t xml:space="preserve"> </w:t>
      </w:r>
      <w:r w:rsidR="00535313">
        <w:rPr>
          <w:color w:val="000000"/>
          <w:sz w:val="20"/>
        </w:rPr>
        <w:t>[</w:t>
      </w:r>
      <w:r w:rsidR="007742E9">
        <w:rPr>
          <w:color w:val="000000"/>
          <w:sz w:val="20"/>
        </w:rPr>
        <w:t>10</w:t>
      </w:r>
      <w:r w:rsidR="00535313">
        <w:rPr>
          <w:color w:val="000000"/>
          <w:sz w:val="20"/>
        </w:rPr>
        <w:t>]</w:t>
      </w:r>
      <w:r w:rsidR="00A94DB7" w:rsidRPr="00F829B3">
        <w:rPr>
          <w:color w:val="000000"/>
          <w:sz w:val="20"/>
        </w:rPr>
        <w:t>) and the aerothermal environment</w:t>
      </w:r>
      <w:r w:rsidR="001661C4">
        <w:rPr>
          <w:color w:val="000000"/>
          <w:sz w:val="20"/>
        </w:rPr>
        <w:t>s</w:t>
      </w:r>
      <w:r w:rsidR="00A94DB7" w:rsidRPr="00F829B3">
        <w:rPr>
          <w:color w:val="000000"/>
          <w:sz w:val="20"/>
        </w:rPr>
        <w:t>.</w:t>
      </w:r>
      <w:r w:rsidR="00517E11">
        <w:rPr>
          <w:color w:val="000000"/>
          <w:sz w:val="20"/>
        </w:rPr>
        <w:t xml:space="preserve"> </w:t>
      </w:r>
      <w:r w:rsidR="00535313">
        <w:rPr>
          <w:color w:val="000000"/>
          <w:sz w:val="20"/>
        </w:rPr>
        <w:t xml:space="preserve">The suite of tools </w:t>
      </w:r>
      <w:proofErr w:type="gramStart"/>
      <w:r w:rsidR="00535313">
        <w:rPr>
          <w:color w:val="000000"/>
          <w:sz w:val="20"/>
        </w:rPr>
        <w:t>are</w:t>
      </w:r>
      <w:proofErr w:type="gramEnd"/>
      <w:r w:rsidR="00535313">
        <w:rPr>
          <w:color w:val="000000"/>
          <w:sz w:val="20"/>
        </w:rPr>
        <w:t xml:space="preserve"> applied to several points along the MSL BET in order to calibrate them for their use in post-flight analysis of Mars 2020 flight data</w:t>
      </w:r>
      <w:r w:rsidR="00A94DB7" w:rsidRPr="00F829B3">
        <w:rPr>
          <w:color w:val="000000"/>
          <w:sz w:val="20"/>
        </w:rPr>
        <w:t>.</w:t>
      </w:r>
      <w:r w:rsidR="00A94DB7" w:rsidRPr="00F829B3">
        <w:rPr>
          <w:color w:val="222222"/>
          <w:sz w:val="20"/>
          <w:shd w:val="clear" w:color="auto" w:fill="FFFFFF"/>
        </w:rPr>
        <w:t> </w:t>
      </w:r>
      <w:r w:rsidR="00046273">
        <w:rPr>
          <w:color w:val="222222"/>
          <w:sz w:val="20"/>
          <w:shd w:val="clear" w:color="auto" w:fill="FFFFFF"/>
        </w:rPr>
        <w:t xml:space="preserve">Predictions of aerothermal environments have been made on the complete forward heatshield, </w:t>
      </w:r>
      <w:r w:rsidR="00046273" w:rsidRPr="00046273">
        <w:rPr>
          <w:i/>
          <w:iCs/>
          <w:color w:val="222222"/>
          <w:sz w:val="20"/>
          <w:shd w:val="clear" w:color="auto" w:fill="FFFFFF"/>
        </w:rPr>
        <w:t>i.e.</w:t>
      </w:r>
      <w:r w:rsidR="00046273">
        <w:rPr>
          <w:color w:val="222222"/>
          <w:sz w:val="20"/>
          <w:shd w:val="clear" w:color="auto" w:fill="FFFFFF"/>
        </w:rPr>
        <w:t>, all 360°, which allows inclusion of sideslip in the computations, with good grid resolution at the interfaces of curvature changes – at the nose and conical flank and at the conical flank and shoulder.</w:t>
      </w:r>
      <w:r w:rsidR="009C5866">
        <w:rPr>
          <w:color w:val="222222"/>
          <w:sz w:val="20"/>
          <w:shd w:val="clear" w:color="auto" w:fill="FFFFFF"/>
        </w:rPr>
        <w:t xml:space="preserve"> Furthermore, </w:t>
      </w:r>
      <w:r w:rsidR="00747941">
        <w:rPr>
          <w:color w:val="222222"/>
          <w:sz w:val="20"/>
          <w:shd w:val="clear" w:color="auto" w:fill="FFFFFF"/>
        </w:rPr>
        <w:t>the number of time points selected on the BET is sufficiently large to provide a smooth blend of laminar and turbulent solutions using the MISP 3 flight data to infer a time of flow transition, and also allow for definite closure of the convective and radiative heat pulses.</w:t>
      </w:r>
    </w:p>
    <w:p w14:paraId="71D7484B" w14:textId="1856AC53" w:rsidR="0051599C" w:rsidRDefault="0051599C" w:rsidP="0051599C">
      <w:pPr>
        <w:ind w:firstLine="270"/>
        <w:jc w:val="both"/>
        <w:rPr>
          <w:color w:val="222222"/>
          <w:sz w:val="20"/>
        </w:rPr>
      </w:pPr>
      <w:r>
        <w:rPr>
          <w:color w:val="222222"/>
          <w:sz w:val="20"/>
        </w:rPr>
        <w:t>In a departure from conventional approaches to post-flight analysis of entry aeroheating, an attempt has been made to understand the aerothermal environments at early time</w:t>
      </w:r>
      <w:r w:rsidR="00B564C0">
        <w:rPr>
          <w:color w:val="222222"/>
          <w:sz w:val="20"/>
        </w:rPr>
        <w:t>s</w:t>
      </w:r>
      <w:r>
        <w:rPr>
          <w:color w:val="222222"/>
          <w:sz w:val="20"/>
        </w:rPr>
        <w:t xml:space="preserve"> along the flight trajectory, </w:t>
      </w:r>
      <w:r>
        <w:rPr>
          <w:i/>
          <w:iCs/>
          <w:color w:val="222222"/>
          <w:sz w:val="20"/>
        </w:rPr>
        <w:t>i.e.</w:t>
      </w:r>
      <w:r>
        <w:rPr>
          <w:color w:val="222222"/>
          <w:sz w:val="20"/>
        </w:rPr>
        <w:t xml:space="preserve">, from closer to entry interface up to the point where flow solvers based on the assumption of continuum flow can be applied with confidence. Toward this end, flow computations have been made with </w:t>
      </w:r>
      <w:r w:rsidR="0077159A" w:rsidRPr="0077159A">
        <w:rPr>
          <w:i/>
          <w:smallCaps/>
          <w:color w:val="000000"/>
          <w:sz w:val="20"/>
        </w:rPr>
        <w:t>S</w:t>
      </w:r>
      <w:r w:rsidR="0077159A">
        <w:rPr>
          <w:i/>
          <w:smallCaps/>
          <w:color w:val="000000"/>
          <w:sz w:val="20"/>
        </w:rPr>
        <w:t>parta</w:t>
      </w:r>
      <w:r w:rsidR="0077159A">
        <w:rPr>
          <w:color w:val="222222"/>
          <w:sz w:val="20"/>
        </w:rPr>
        <w:t xml:space="preserve"> </w:t>
      </w:r>
      <w:r>
        <w:rPr>
          <w:color w:val="222222"/>
          <w:sz w:val="20"/>
        </w:rPr>
        <w:t>[</w:t>
      </w:r>
      <w:r w:rsidR="007742E9">
        <w:rPr>
          <w:color w:val="222222"/>
          <w:sz w:val="20"/>
        </w:rPr>
        <w:t>11</w:t>
      </w:r>
      <w:r>
        <w:rPr>
          <w:color w:val="222222"/>
          <w:sz w:val="20"/>
        </w:rPr>
        <w:t>], which</w:t>
      </w:r>
      <w:r w:rsidR="009C5866">
        <w:rPr>
          <w:color w:val="222222"/>
          <w:sz w:val="20"/>
        </w:rPr>
        <w:t xml:space="preserve"> is</w:t>
      </w:r>
      <w:r>
        <w:rPr>
          <w:color w:val="222222"/>
          <w:sz w:val="20"/>
        </w:rPr>
        <w:t xml:space="preserve"> a DSMC code developed by Sandia National Laboratories.</w:t>
      </w:r>
    </w:p>
    <w:p w14:paraId="2A59491E" w14:textId="0A568C2F" w:rsidR="00F829B3" w:rsidRPr="0051599C" w:rsidRDefault="00046273" w:rsidP="0051599C">
      <w:pPr>
        <w:ind w:firstLine="270"/>
        <w:jc w:val="both"/>
        <w:rPr>
          <w:color w:val="222222"/>
          <w:sz w:val="20"/>
          <w:shd w:val="clear" w:color="auto" w:fill="FFFFFF"/>
        </w:rPr>
      </w:pPr>
      <w:r>
        <w:rPr>
          <w:color w:val="222222"/>
          <w:sz w:val="20"/>
        </w:rPr>
        <w:t>A sampling of results is included in the present abstract.</w:t>
      </w:r>
      <w:r w:rsidR="00535313">
        <w:rPr>
          <w:color w:val="222222"/>
          <w:sz w:val="20"/>
        </w:rPr>
        <w:t xml:space="preserve"> Temporal variation of the predicted pressure at MEADS sensor </w:t>
      </w:r>
      <w:r w:rsidR="00EE23AF">
        <w:rPr>
          <w:color w:val="222222"/>
          <w:sz w:val="20"/>
        </w:rPr>
        <w:t>5</w:t>
      </w:r>
      <w:r w:rsidR="00535313">
        <w:rPr>
          <w:color w:val="222222"/>
          <w:sz w:val="20"/>
        </w:rPr>
        <w:t xml:space="preserve"> are shown in Fig. 2. The predicted value of pressure </w:t>
      </w:r>
      <w:r w:rsidR="00042EAF">
        <w:rPr>
          <w:color w:val="222222"/>
          <w:sz w:val="20"/>
        </w:rPr>
        <w:t xml:space="preserve">close to peak deceleration is as much as </w:t>
      </w:r>
      <w:r w:rsidR="00EE23AF">
        <w:rPr>
          <w:color w:val="222222"/>
          <w:sz w:val="20"/>
        </w:rPr>
        <w:t>5.5</w:t>
      </w:r>
      <w:r w:rsidR="00042EAF">
        <w:rPr>
          <w:color w:val="222222"/>
          <w:sz w:val="20"/>
        </w:rPr>
        <w:t xml:space="preserve"> % different from flight measurement. The surprisingly high magnitude of the difference is being investigated. The impact of improved thermochemistry is captured in Fig. 3, which shows the temporal variation of hot-wall heat flux for MISP </w:t>
      </w:r>
      <w:r w:rsidR="00EE23AF">
        <w:rPr>
          <w:color w:val="222222"/>
          <w:sz w:val="20"/>
        </w:rPr>
        <w:t>1</w:t>
      </w:r>
      <w:r w:rsidR="00042EAF">
        <w:rPr>
          <w:color w:val="222222"/>
          <w:sz w:val="20"/>
        </w:rPr>
        <w:t xml:space="preserve">. In Fig. 4, the temporal variations of temperature at various thermocouple depths of MISP </w:t>
      </w:r>
      <w:r w:rsidR="00EE23AF">
        <w:rPr>
          <w:color w:val="222222"/>
          <w:sz w:val="20"/>
        </w:rPr>
        <w:t>6</w:t>
      </w:r>
      <w:r w:rsidR="00042EAF">
        <w:rPr>
          <w:color w:val="222222"/>
          <w:sz w:val="20"/>
        </w:rPr>
        <w:t xml:space="preserve"> are shown.</w:t>
      </w:r>
    </w:p>
    <w:p w14:paraId="3896BECB" w14:textId="0A224FC9" w:rsidR="00F75147" w:rsidRDefault="00F75147" w:rsidP="00F829B3">
      <w:pPr>
        <w:jc w:val="both"/>
        <w:rPr>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6"/>
      </w:tblGrid>
      <w:tr w:rsidR="00F75147" w14:paraId="73AC7AD2" w14:textId="77777777" w:rsidTr="00F75147">
        <w:tc>
          <w:tcPr>
            <w:tcW w:w="4430" w:type="dxa"/>
          </w:tcPr>
          <w:p w14:paraId="613970E2" w14:textId="4A216F0B" w:rsidR="00F75147" w:rsidRDefault="00EA4540" w:rsidP="00EA4540">
            <w:pPr>
              <w:jc w:val="center"/>
              <w:rPr>
                <w:sz w:val="20"/>
              </w:rPr>
            </w:pPr>
            <w:r w:rsidRPr="00E31446">
              <w:rPr>
                <w:noProof/>
                <w:sz w:val="20"/>
              </w:rPr>
              <w:drawing>
                <wp:inline distT="0" distB="0" distL="0" distR="0" wp14:anchorId="7FADDF92" wp14:editId="09A08E24">
                  <wp:extent cx="2679192" cy="1600200"/>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79192" cy="1600200"/>
                          </a:xfrm>
                          <a:prstGeom prst="rect">
                            <a:avLst/>
                          </a:prstGeom>
                          <a:noFill/>
                          <a:ln>
                            <a:noFill/>
                          </a:ln>
                        </pic:spPr>
                      </pic:pic>
                    </a:graphicData>
                  </a:graphic>
                </wp:inline>
              </w:drawing>
            </w:r>
          </w:p>
        </w:tc>
      </w:tr>
      <w:tr w:rsidR="00F75147" w14:paraId="400E52B2" w14:textId="77777777" w:rsidTr="00F75147">
        <w:tc>
          <w:tcPr>
            <w:tcW w:w="4430" w:type="dxa"/>
          </w:tcPr>
          <w:p w14:paraId="3AF0B9A2" w14:textId="758CA790" w:rsidR="00F75147" w:rsidRDefault="00EA4540" w:rsidP="00F829B3">
            <w:pPr>
              <w:jc w:val="both"/>
              <w:rPr>
                <w:sz w:val="20"/>
              </w:rPr>
            </w:pPr>
            <w:r w:rsidRPr="00F829B3">
              <w:rPr>
                <w:b/>
                <w:bCs/>
                <w:color w:val="000000"/>
                <w:sz w:val="20"/>
              </w:rPr>
              <w:t>Fig</w:t>
            </w:r>
            <w:r>
              <w:rPr>
                <w:b/>
                <w:bCs/>
                <w:color w:val="000000"/>
                <w:sz w:val="20"/>
              </w:rPr>
              <w:t>ure</w:t>
            </w:r>
            <w:r w:rsidRPr="00F829B3">
              <w:rPr>
                <w:b/>
                <w:bCs/>
                <w:color w:val="000000"/>
                <w:sz w:val="20"/>
              </w:rPr>
              <w:t xml:space="preserve"> </w:t>
            </w:r>
            <w:r>
              <w:rPr>
                <w:b/>
                <w:bCs/>
                <w:color w:val="000000"/>
                <w:sz w:val="20"/>
              </w:rPr>
              <w:t>2.</w:t>
            </w:r>
            <w:r w:rsidRPr="00F829B3">
              <w:rPr>
                <w:b/>
                <w:bCs/>
                <w:color w:val="000000"/>
                <w:sz w:val="20"/>
              </w:rPr>
              <w:t xml:space="preserve"> </w:t>
            </w:r>
            <w:r>
              <w:rPr>
                <w:b/>
                <w:bCs/>
                <w:color w:val="000000"/>
                <w:sz w:val="20"/>
              </w:rPr>
              <w:t>MEADS 5 anomaly</w:t>
            </w:r>
            <w:r w:rsidRPr="00F829B3">
              <w:rPr>
                <w:b/>
                <w:bCs/>
                <w:color w:val="000000"/>
                <w:sz w:val="20"/>
              </w:rPr>
              <w:t>.</w:t>
            </w:r>
            <w:r>
              <w:rPr>
                <w:b/>
                <w:bCs/>
                <w:color w:val="000000"/>
                <w:sz w:val="20"/>
              </w:rPr>
              <w:t xml:space="preserve"> (solid line – flight data, points – CFD predicted)</w:t>
            </w:r>
          </w:p>
        </w:tc>
      </w:tr>
    </w:tbl>
    <w:p w14:paraId="0A98959A" w14:textId="77777777" w:rsidR="00F75147" w:rsidRDefault="00F75147" w:rsidP="00F75147">
      <w:pPr>
        <w:jc w:val="both"/>
        <w:rPr>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0"/>
      </w:tblGrid>
      <w:tr w:rsidR="00F75147" w14:paraId="68D63004" w14:textId="77777777" w:rsidTr="009F4200">
        <w:tc>
          <w:tcPr>
            <w:tcW w:w="4430" w:type="dxa"/>
          </w:tcPr>
          <w:p w14:paraId="1AAFE44D" w14:textId="3D5B2386" w:rsidR="00F75147" w:rsidRDefault="00EE23AF" w:rsidP="009F4200">
            <w:pPr>
              <w:jc w:val="both"/>
              <w:rPr>
                <w:sz w:val="20"/>
              </w:rPr>
            </w:pPr>
            <w:r w:rsidRPr="00A256D3">
              <w:rPr>
                <w:noProof/>
                <w:sz w:val="20"/>
              </w:rPr>
              <w:drawing>
                <wp:inline distT="0" distB="0" distL="0" distR="0" wp14:anchorId="6C6E9961" wp14:editId="116F32E1">
                  <wp:extent cx="2651760" cy="1932639"/>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51760" cy="1932639"/>
                          </a:xfrm>
                          <a:prstGeom prst="rect">
                            <a:avLst/>
                          </a:prstGeom>
                          <a:noFill/>
                          <a:ln>
                            <a:noFill/>
                          </a:ln>
                        </pic:spPr>
                      </pic:pic>
                    </a:graphicData>
                  </a:graphic>
                </wp:inline>
              </w:drawing>
            </w:r>
          </w:p>
        </w:tc>
      </w:tr>
      <w:tr w:rsidR="00F75147" w14:paraId="34CFEA8F" w14:textId="77777777" w:rsidTr="009F4200">
        <w:tc>
          <w:tcPr>
            <w:tcW w:w="4430" w:type="dxa"/>
          </w:tcPr>
          <w:p w14:paraId="7BFD05AE" w14:textId="6AE66180" w:rsidR="00F75147" w:rsidRDefault="00F75147" w:rsidP="009F4200">
            <w:pPr>
              <w:jc w:val="both"/>
              <w:rPr>
                <w:sz w:val="20"/>
              </w:rPr>
            </w:pPr>
            <w:r w:rsidRPr="00F829B3">
              <w:rPr>
                <w:b/>
                <w:bCs/>
                <w:color w:val="000000"/>
                <w:sz w:val="20"/>
              </w:rPr>
              <w:t>Fig</w:t>
            </w:r>
            <w:r w:rsidR="00F021F8">
              <w:rPr>
                <w:b/>
                <w:bCs/>
                <w:color w:val="000000"/>
                <w:sz w:val="20"/>
              </w:rPr>
              <w:t>ure</w:t>
            </w:r>
            <w:r w:rsidR="00F021F8" w:rsidRPr="00F829B3">
              <w:rPr>
                <w:b/>
                <w:bCs/>
                <w:color w:val="000000"/>
                <w:sz w:val="20"/>
              </w:rPr>
              <w:t xml:space="preserve"> </w:t>
            </w:r>
            <w:r>
              <w:rPr>
                <w:b/>
                <w:bCs/>
                <w:color w:val="000000"/>
                <w:sz w:val="20"/>
              </w:rPr>
              <w:t>3</w:t>
            </w:r>
            <w:r w:rsidR="00F021F8">
              <w:rPr>
                <w:b/>
                <w:bCs/>
                <w:color w:val="000000"/>
                <w:sz w:val="20"/>
              </w:rPr>
              <w:t xml:space="preserve">. </w:t>
            </w:r>
            <w:r w:rsidRPr="00F829B3">
              <w:rPr>
                <w:b/>
                <w:bCs/>
                <w:color w:val="000000"/>
                <w:sz w:val="20"/>
              </w:rPr>
              <w:t xml:space="preserve"> </w:t>
            </w:r>
            <w:r>
              <w:rPr>
                <w:b/>
                <w:bCs/>
                <w:color w:val="000000"/>
                <w:sz w:val="20"/>
              </w:rPr>
              <w:t xml:space="preserve">New </w:t>
            </w:r>
            <w:r w:rsidR="00EE23AF">
              <w:rPr>
                <w:b/>
                <w:bCs/>
                <w:color w:val="000000"/>
                <w:sz w:val="20"/>
              </w:rPr>
              <w:t>p</w:t>
            </w:r>
            <w:r>
              <w:rPr>
                <w:b/>
                <w:bCs/>
                <w:color w:val="000000"/>
                <w:sz w:val="20"/>
              </w:rPr>
              <w:t xml:space="preserve">redictions at </w:t>
            </w:r>
            <w:r w:rsidR="00EE23AF">
              <w:rPr>
                <w:b/>
                <w:bCs/>
                <w:color w:val="000000"/>
                <w:sz w:val="20"/>
              </w:rPr>
              <w:t>MISP 1.</w:t>
            </w:r>
          </w:p>
        </w:tc>
      </w:tr>
    </w:tbl>
    <w:p w14:paraId="2820ADE1" w14:textId="77777777" w:rsidR="00042EAF" w:rsidRDefault="00042EAF" w:rsidP="00042EAF">
      <w:pPr>
        <w:jc w:val="both"/>
        <w:rPr>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0"/>
      </w:tblGrid>
      <w:tr w:rsidR="00042EAF" w14:paraId="16737E48" w14:textId="77777777" w:rsidTr="00824D5C">
        <w:tc>
          <w:tcPr>
            <w:tcW w:w="4430" w:type="dxa"/>
          </w:tcPr>
          <w:p w14:paraId="08BB59DF" w14:textId="469BA079" w:rsidR="00042EAF" w:rsidRDefault="00EE23AF" w:rsidP="00824D5C">
            <w:pPr>
              <w:jc w:val="both"/>
              <w:rPr>
                <w:sz w:val="20"/>
              </w:rPr>
            </w:pPr>
            <w:r w:rsidRPr="00E31446">
              <w:rPr>
                <w:noProof/>
                <w:sz w:val="20"/>
              </w:rPr>
              <w:drawing>
                <wp:inline distT="0" distB="0" distL="0" distR="0" wp14:anchorId="5B68296F" wp14:editId="31501B48">
                  <wp:extent cx="2651760" cy="1585681"/>
                  <wp:effectExtent l="0" t="0" r="254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51760" cy="1585681"/>
                          </a:xfrm>
                          <a:prstGeom prst="rect">
                            <a:avLst/>
                          </a:prstGeom>
                          <a:noFill/>
                          <a:ln>
                            <a:noFill/>
                          </a:ln>
                        </pic:spPr>
                      </pic:pic>
                    </a:graphicData>
                  </a:graphic>
                </wp:inline>
              </w:drawing>
            </w:r>
          </w:p>
        </w:tc>
      </w:tr>
      <w:tr w:rsidR="00042EAF" w14:paraId="559C1346" w14:textId="77777777" w:rsidTr="00824D5C">
        <w:tc>
          <w:tcPr>
            <w:tcW w:w="4430" w:type="dxa"/>
          </w:tcPr>
          <w:p w14:paraId="67C04175" w14:textId="10C252F5" w:rsidR="00042EAF" w:rsidRDefault="00042EAF" w:rsidP="00824D5C">
            <w:pPr>
              <w:jc w:val="both"/>
              <w:rPr>
                <w:sz w:val="20"/>
              </w:rPr>
            </w:pPr>
            <w:r w:rsidRPr="00F829B3">
              <w:rPr>
                <w:b/>
                <w:bCs/>
                <w:color w:val="000000"/>
                <w:sz w:val="20"/>
              </w:rPr>
              <w:t>Fig</w:t>
            </w:r>
            <w:r w:rsidR="00F021F8">
              <w:rPr>
                <w:b/>
                <w:bCs/>
                <w:color w:val="000000"/>
                <w:sz w:val="20"/>
              </w:rPr>
              <w:t>ure</w:t>
            </w:r>
            <w:r w:rsidR="00F021F8" w:rsidRPr="00F829B3">
              <w:rPr>
                <w:b/>
                <w:bCs/>
                <w:color w:val="000000"/>
                <w:sz w:val="20"/>
              </w:rPr>
              <w:t xml:space="preserve"> </w:t>
            </w:r>
            <w:r>
              <w:rPr>
                <w:b/>
                <w:bCs/>
                <w:color w:val="000000"/>
                <w:sz w:val="20"/>
              </w:rPr>
              <w:t>4</w:t>
            </w:r>
            <w:r w:rsidR="00F021F8">
              <w:rPr>
                <w:b/>
                <w:bCs/>
                <w:color w:val="000000"/>
                <w:sz w:val="20"/>
              </w:rPr>
              <w:t xml:space="preserve">.  </w:t>
            </w:r>
            <w:r>
              <w:rPr>
                <w:b/>
                <w:bCs/>
                <w:color w:val="000000"/>
                <w:sz w:val="20"/>
              </w:rPr>
              <w:t xml:space="preserve">Temporal variations of temperatures at various thermocouple depths of MISP </w:t>
            </w:r>
            <w:r w:rsidR="00EE23AF">
              <w:rPr>
                <w:b/>
                <w:bCs/>
                <w:color w:val="000000"/>
                <w:sz w:val="20"/>
              </w:rPr>
              <w:t>6</w:t>
            </w:r>
          </w:p>
        </w:tc>
      </w:tr>
    </w:tbl>
    <w:p w14:paraId="1388901A" w14:textId="77777777" w:rsidR="00042EAF" w:rsidRDefault="00042EAF" w:rsidP="00042EAF">
      <w:pPr>
        <w:jc w:val="both"/>
        <w:rPr>
          <w:color w:val="222222"/>
          <w:sz w:val="20"/>
          <w:highlight w:val="white"/>
        </w:rPr>
      </w:pPr>
      <w:r>
        <w:rPr>
          <w:color w:val="222222"/>
          <w:sz w:val="20"/>
          <w:highlight w:val="white"/>
        </w:rPr>
        <w:t xml:space="preserve">    </w:t>
      </w:r>
    </w:p>
    <w:p w14:paraId="10BB0203" w14:textId="3583F260" w:rsidR="00042EAF" w:rsidRDefault="000B7752" w:rsidP="00042EAF">
      <w:pPr>
        <w:ind w:firstLine="270"/>
        <w:jc w:val="both"/>
        <w:rPr>
          <w:sz w:val="20"/>
        </w:rPr>
      </w:pPr>
      <w:r>
        <w:rPr>
          <w:color w:val="222222"/>
          <w:sz w:val="20"/>
        </w:rPr>
        <w:t xml:space="preserve">These new results display some differences from the initial analyses of MEDLI data, which raises areas for further investigation, </w:t>
      </w:r>
      <w:r w:rsidR="00FE4E34">
        <w:rPr>
          <w:color w:val="222222"/>
          <w:sz w:val="20"/>
        </w:rPr>
        <w:t xml:space="preserve">and application in </w:t>
      </w:r>
      <w:r>
        <w:rPr>
          <w:color w:val="222222"/>
          <w:sz w:val="20"/>
        </w:rPr>
        <w:t>interpretation of MEDLI2 data.  The</w:t>
      </w:r>
      <w:r w:rsidR="003C2EA3">
        <w:rPr>
          <w:color w:val="222222"/>
          <w:sz w:val="20"/>
        </w:rPr>
        <w:t xml:space="preserve"> comparisons with flight data </w:t>
      </w:r>
      <w:r>
        <w:rPr>
          <w:color w:val="222222"/>
          <w:sz w:val="20"/>
        </w:rPr>
        <w:t xml:space="preserve">are somewhat improved </w:t>
      </w:r>
      <w:r w:rsidR="003C2EA3">
        <w:rPr>
          <w:color w:val="222222"/>
          <w:sz w:val="20"/>
        </w:rPr>
        <w:t xml:space="preserve">and </w:t>
      </w:r>
      <w:r w:rsidR="00FE4E34">
        <w:rPr>
          <w:color w:val="222222"/>
          <w:sz w:val="20"/>
        </w:rPr>
        <w:t xml:space="preserve">expected to </w:t>
      </w:r>
      <w:r w:rsidR="003C2EA3">
        <w:rPr>
          <w:color w:val="222222"/>
          <w:sz w:val="20"/>
        </w:rPr>
        <w:t>provide a better understanding of the sensitivity of predicted aerothermal environments to model parameters</w:t>
      </w:r>
      <w:r w:rsidR="00EE23AF">
        <w:rPr>
          <w:color w:val="222222"/>
          <w:sz w:val="20"/>
        </w:rPr>
        <w:t>.</w:t>
      </w:r>
      <w:r w:rsidR="00046273">
        <w:rPr>
          <w:color w:val="222222"/>
          <w:sz w:val="20"/>
        </w:rPr>
        <w:t xml:space="preserve"> </w:t>
      </w:r>
    </w:p>
    <w:p w14:paraId="5F9C423D" w14:textId="6B8E247A" w:rsidR="00042EAF" w:rsidRDefault="00042EAF" w:rsidP="00042EAF">
      <w:pPr>
        <w:jc w:val="both"/>
        <w:rPr>
          <w:sz w:val="20"/>
        </w:rPr>
      </w:pPr>
    </w:p>
    <w:p w14:paraId="471A3E2D" w14:textId="77777777" w:rsidR="00ED1A2D" w:rsidRDefault="00ED1A2D" w:rsidP="00042EAF">
      <w:pPr>
        <w:jc w:val="both"/>
        <w:rPr>
          <w:sz w:val="20"/>
        </w:rPr>
      </w:pPr>
    </w:p>
    <w:p w14:paraId="69AFCEDB" w14:textId="77777777" w:rsidR="00ED1A2D" w:rsidRDefault="00ED1A2D" w:rsidP="00ED1A2D">
      <w:pPr>
        <w:jc w:val="both"/>
        <w:rPr>
          <w:b/>
          <w:sz w:val="20"/>
        </w:rPr>
      </w:pPr>
      <w:r>
        <w:rPr>
          <w:b/>
          <w:bCs/>
          <w:color w:val="000000"/>
          <w:sz w:val="20"/>
        </w:rPr>
        <w:t xml:space="preserve">     </w:t>
      </w:r>
      <w:r>
        <w:rPr>
          <w:b/>
          <w:sz w:val="20"/>
        </w:rPr>
        <w:t>Acknowledgments:</w:t>
      </w:r>
    </w:p>
    <w:p w14:paraId="7A153C40" w14:textId="72E4444E" w:rsidR="00ED1A2D" w:rsidRDefault="00ED1A2D" w:rsidP="00ED1A2D">
      <w:pPr>
        <w:ind w:firstLine="360"/>
        <w:jc w:val="both"/>
        <w:rPr>
          <w:sz w:val="20"/>
        </w:rPr>
      </w:pPr>
      <w:r>
        <w:rPr>
          <w:bCs/>
          <w:sz w:val="20"/>
        </w:rPr>
        <w:t xml:space="preserve">The present work was supported by Contract # </w:t>
      </w:r>
      <w:r w:rsidR="001D2B43" w:rsidRPr="001D2B43">
        <w:rPr>
          <w:bCs/>
          <w:sz w:val="20"/>
        </w:rPr>
        <w:t>NNA15BB15C</w:t>
      </w:r>
      <w:r w:rsidR="001D2B43">
        <w:rPr>
          <w:bCs/>
          <w:sz w:val="20"/>
        </w:rPr>
        <w:t xml:space="preserve"> </w:t>
      </w:r>
      <w:r>
        <w:rPr>
          <w:bCs/>
          <w:sz w:val="20"/>
        </w:rPr>
        <w:t xml:space="preserve">from the Entry Systems and </w:t>
      </w:r>
      <w:r>
        <w:rPr>
          <w:bCs/>
          <w:sz w:val="20"/>
        </w:rPr>
        <w:t>Technology Division to AMA, Inc. and the</w:t>
      </w:r>
      <w:r w:rsidR="001D2B43">
        <w:rPr>
          <w:bCs/>
          <w:sz w:val="20"/>
        </w:rPr>
        <w:t xml:space="preserve"> NASA</w:t>
      </w:r>
      <w:r>
        <w:rPr>
          <w:bCs/>
          <w:sz w:val="20"/>
        </w:rPr>
        <w:t xml:space="preserve"> Entry Systems Modeling </w:t>
      </w:r>
      <w:r w:rsidR="001D2B43">
        <w:rPr>
          <w:bCs/>
          <w:sz w:val="20"/>
        </w:rPr>
        <w:t>project</w:t>
      </w:r>
      <w:r>
        <w:rPr>
          <w:bCs/>
          <w:sz w:val="20"/>
        </w:rPr>
        <w:t>.</w:t>
      </w:r>
      <w:r>
        <w:rPr>
          <w:sz w:val="20"/>
        </w:rPr>
        <w:t xml:space="preserve"> </w:t>
      </w:r>
    </w:p>
    <w:p w14:paraId="15A0C9D9" w14:textId="77777777" w:rsidR="003B7179" w:rsidRDefault="003B7179" w:rsidP="00042EAF">
      <w:pPr>
        <w:jc w:val="both"/>
        <w:rPr>
          <w:sz w:val="20"/>
        </w:rPr>
      </w:pPr>
    </w:p>
    <w:p w14:paraId="5894BDEA" w14:textId="77777777" w:rsidR="00F829B3" w:rsidRDefault="00FC02E6" w:rsidP="00F829B3">
      <w:pPr>
        <w:jc w:val="both"/>
        <w:rPr>
          <w:sz w:val="20"/>
        </w:rPr>
      </w:pPr>
      <w:r>
        <w:rPr>
          <w:b/>
          <w:bCs/>
          <w:color w:val="000000"/>
          <w:sz w:val="20"/>
        </w:rPr>
        <w:t xml:space="preserve">     </w:t>
      </w:r>
      <w:r w:rsidR="00694048">
        <w:rPr>
          <w:b/>
          <w:sz w:val="20"/>
        </w:rPr>
        <w:t>References:</w:t>
      </w:r>
      <w:r w:rsidR="00694048">
        <w:rPr>
          <w:sz w:val="20"/>
        </w:rPr>
        <w:t xml:space="preserve"> </w:t>
      </w:r>
    </w:p>
    <w:p w14:paraId="1469D5C9" w14:textId="11E8C9F9" w:rsidR="007742E9" w:rsidRDefault="00F829B3" w:rsidP="00F829B3">
      <w:pPr>
        <w:jc w:val="both"/>
        <w:rPr>
          <w:sz w:val="20"/>
        </w:rPr>
      </w:pPr>
      <w:r>
        <w:rPr>
          <w:sz w:val="20"/>
        </w:rPr>
        <w:t>[1]</w:t>
      </w:r>
      <w:r w:rsidR="007742E9">
        <w:rPr>
          <w:sz w:val="20"/>
        </w:rPr>
        <w:t xml:space="preserve"> H. H. Hwang, et al. (2016), AIAA Paper 2016-3536, 46</w:t>
      </w:r>
      <w:r w:rsidR="007742E9" w:rsidRPr="007742E9">
        <w:rPr>
          <w:sz w:val="20"/>
          <w:vertAlign w:val="superscript"/>
        </w:rPr>
        <w:t>th</w:t>
      </w:r>
      <w:r w:rsidR="007742E9">
        <w:rPr>
          <w:sz w:val="20"/>
        </w:rPr>
        <w:t xml:space="preserve"> AIAA </w:t>
      </w:r>
      <w:proofErr w:type="spellStart"/>
      <w:r w:rsidR="007742E9">
        <w:rPr>
          <w:sz w:val="20"/>
        </w:rPr>
        <w:t>Thermophysics</w:t>
      </w:r>
      <w:proofErr w:type="spellEnd"/>
      <w:r w:rsidR="007742E9">
        <w:rPr>
          <w:sz w:val="20"/>
        </w:rPr>
        <w:t xml:space="preserve"> Conference.</w:t>
      </w:r>
    </w:p>
    <w:p w14:paraId="24CA7CD3" w14:textId="5971950D" w:rsidR="00B449D8" w:rsidRDefault="007742E9" w:rsidP="00F829B3">
      <w:pPr>
        <w:jc w:val="both"/>
        <w:rPr>
          <w:sz w:val="20"/>
        </w:rPr>
      </w:pPr>
      <w:r>
        <w:rPr>
          <w:sz w:val="20"/>
        </w:rPr>
        <w:t>[2]</w:t>
      </w:r>
      <w:r w:rsidR="00A517B8">
        <w:rPr>
          <w:sz w:val="20"/>
        </w:rPr>
        <w:t xml:space="preserve"> </w:t>
      </w:r>
      <w:r w:rsidR="00290700">
        <w:rPr>
          <w:sz w:val="20"/>
        </w:rPr>
        <w:t xml:space="preserve">C. D. </w:t>
      </w:r>
      <w:proofErr w:type="spellStart"/>
      <w:r w:rsidR="00290700">
        <w:rPr>
          <w:sz w:val="20"/>
        </w:rPr>
        <w:t>Karlgaard</w:t>
      </w:r>
      <w:proofErr w:type="spellEnd"/>
      <w:r w:rsidR="00290700">
        <w:rPr>
          <w:sz w:val="20"/>
        </w:rPr>
        <w:t xml:space="preserve">, </w:t>
      </w:r>
      <w:r w:rsidR="005C7A90">
        <w:rPr>
          <w:sz w:val="20"/>
        </w:rPr>
        <w:t>et al.</w:t>
      </w:r>
      <w:r w:rsidR="00290700">
        <w:rPr>
          <w:sz w:val="20"/>
        </w:rPr>
        <w:t xml:space="preserve"> (2014), </w:t>
      </w:r>
      <w:r w:rsidR="00290700">
        <w:rPr>
          <w:i/>
          <w:iCs/>
          <w:sz w:val="20"/>
        </w:rPr>
        <w:t>JSR</w:t>
      </w:r>
      <w:r w:rsidR="00290700">
        <w:rPr>
          <w:sz w:val="20"/>
        </w:rPr>
        <w:t xml:space="preserve">, 51(4), </w:t>
      </w:r>
      <w:r w:rsidR="00B564C0">
        <w:rPr>
          <w:sz w:val="20"/>
        </w:rPr>
        <w:t xml:space="preserve">p. </w:t>
      </w:r>
      <w:r w:rsidR="00290700">
        <w:rPr>
          <w:sz w:val="20"/>
        </w:rPr>
        <w:t>1029</w:t>
      </w:r>
      <w:r>
        <w:rPr>
          <w:sz w:val="20"/>
        </w:rPr>
        <w:t>.</w:t>
      </w:r>
    </w:p>
    <w:p w14:paraId="5D468CE1" w14:textId="756FF401" w:rsidR="00F829B3" w:rsidRDefault="00B449D8" w:rsidP="00F829B3">
      <w:pPr>
        <w:jc w:val="both"/>
        <w:rPr>
          <w:sz w:val="20"/>
        </w:rPr>
      </w:pPr>
      <w:r>
        <w:rPr>
          <w:sz w:val="20"/>
        </w:rPr>
        <w:t>[</w:t>
      </w:r>
      <w:r w:rsidR="007742E9">
        <w:rPr>
          <w:sz w:val="20"/>
        </w:rPr>
        <w:t>3</w:t>
      </w:r>
      <w:r>
        <w:rPr>
          <w:sz w:val="20"/>
        </w:rPr>
        <w:t xml:space="preserve">] </w:t>
      </w:r>
      <w:r w:rsidR="00EA4540">
        <w:rPr>
          <w:sz w:val="20"/>
        </w:rPr>
        <w:t xml:space="preserve">M. </w:t>
      </w:r>
      <w:proofErr w:type="spellStart"/>
      <w:r w:rsidR="00EA4540">
        <w:rPr>
          <w:sz w:val="20"/>
        </w:rPr>
        <w:t>Schoenenberger</w:t>
      </w:r>
      <w:proofErr w:type="spellEnd"/>
      <w:r w:rsidR="00EA4540">
        <w:rPr>
          <w:sz w:val="20"/>
        </w:rPr>
        <w:t xml:space="preserve">, </w:t>
      </w:r>
      <w:r w:rsidR="005C7A90">
        <w:rPr>
          <w:sz w:val="20"/>
        </w:rPr>
        <w:t>et al.</w:t>
      </w:r>
      <w:r w:rsidR="00A517B8">
        <w:rPr>
          <w:sz w:val="20"/>
        </w:rPr>
        <w:t xml:space="preserve"> (2014), </w:t>
      </w:r>
      <w:r w:rsidR="00A517B8">
        <w:rPr>
          <w:i/>
          <w:iCs/>
          <w:sz w:val="20"/>
        </w:rPr>
        <w:t>JSR</w:t>
      </w:r>
      <w:r w:rsidR="00A517B8">
        <w:rPr>
          <w:sz w:val="20"/>
        </w:rPr>
        <w:t xml:space="preserve">, 51(4), </w:t>
      </w:r>
      <w:r w:rsidR="00B564C0">
        <w:rPr>
          <w:sz w:val="20"/>
        </w:rPr>
        <w:t xml:space="preserve">p. </w:t>
      </w:r>
      <w:r w:rsidR="00A517B8">
        <w:rPr>
          <w:sz w:val="20"/>
        </w:rPr>
        <w:t>10</w:t>
      </w:r>
      <w:r w:rsidR="00EA4540">
        <w:rPr>
          <w:sz w:val="20"/>
        </w:rPr>
        <w:t>76</w:t>
      </w:r>
      <w:r w:rsidR="00F829B3">
        <w:rPr>
          <w:sz w:val="20"/>
        </w:rPr>
        <w:t>.</w:t>
      </w:r>
    </w:p>
    <w:p w14:paraId="2D2AD7B8" w14:textId="62F0BF53" w:rsidR="00F829B3" w:rsidRDefault="00F829B3" w:rsidP="00F829B3">
      <w:pPr>
        <w:jc w:val="both"/>
        <w:rPr>
          <w:sz w:val="20"/>
        </w:rPr>
      </w:pPr>
      <w:r>
        <w:rPr>
          <w:sz w:val="20"/>
        </w:rPr>
        <w:t>[</w:t>
      </w:r>
      <w:r w:rsidR="007742E9">
        <w:rPr>
          <w:sz w:val="20"/>
        </w:rPr>
        <w:t>4</w:t>
      </w:r>
      <w:r>
        <w:rPr>
          <w:sz w:val="20"/>
        </w:rPr>
        <w:t xml:space="preserve">] </w:t>
      </w:r>
      <w:r w:rsidR="00A517B8">
        <w:rPr>
          <w:sz w:val="20"/>
        </w:rPr>
        <w:t xml:space="preserve">D. Bose, </w:t>
      </w:r>
      <w:r w:rsidR="005C7A90">
        <w:rPr>
          <w:sz w:val="20"/>
        </w:rPr>
        <w:t>et al.</w:t>
      </w:r>
      <w:r>
        <w:rPr>
          <w:sz w:val="20"/>
        </w:rPr>
        <w:t xml:space="preserve"> (20</w:t>
      </w:r>
      <w:r w:rsidR="00A517B8">
        <w:rPr>
          <w:sz w:val="20"/>
        </w:rPr>
        <w:t>14</w:t>
      </w:r>
      <w:r>
        <w:rPr>
          <w:sz w:val="20"/>
        </w:rPr>
        <w:t xml:space="preserve">), </w:t>
      </w:r>
      <w:r w:rsidR="00A517B8">
        <w:rPr>
          <w:i/>
          <w:sz w:val="20"/>
        </w:rPr>
        <w:t>JSR</w:t>
      </w:r>
      <w:r w:rsidR="00A517B8">
        <w:rPr>
          <w:sz w:val="20"/>
        </w:rPr>
        <w:t xml:space="preserve">, 51(4), </w:t>
      </w:r>
      <w:r w:rsidR="00B564C0">
        <w:rPr>
          <w:sz w:val="20"/>
        </w:rPr>
        <w:t xml:space="preserve">p. </w:t>
      </w:r>
      <w:r w:rsidR="00A517B8">
        <w:rPr>
          <w:sz w:val="20"/>
        </w:rPr>
        <w:t>1174.</w:t>
      </w:r>
    </w:p>
    <w:p w14:paraId="5FA2807D" w14:textId="1BA26F9C" w:rsidR="00F829B3" w:rsidRDefault="00F829B3" w:rsidP="00F829B3">
      <w:pPr>
        <w:jc w:val="both"/>
        <w:rPr>
          <w:sz w:val="20"/>
        </w:rPr>
      </w:pPr>
      <w:r>
        <w:rPr>
          <w:sz w:val="20"/>
        </w:rPr>
        <w:t>[</w:t>
      </w:r>
      <w:r w:rsidR="007742E9">
        <w:rPr>
          <w:sz w:val="20"/>
        </w:rPr>
        <w:t>5</w:t>
      </w:r>
      <w:r>
        <w:rPr>
          <w:sz w:val="20"/>
        </w:rPr>
        <w:t xml:space="preserve">] </w:t>
      </w:r>
      <w:r w:rsidR="007742E9">
        <w:rPr>
          <w:sz w:val="20"/>
        </w:rPr>
        <w:t xml:space="preserve">M. </w:t>
      </w:r>
      <w:proofErr w:type="spellStart"/>
      <w:r w:rsidR="007742E9">
        <w:rPr>
          <w:sz w:val="20"/>
        </w:rPr>
        <w:t>Mahzari</w:t>
      </w:r>
      <w:proofErr w:type="spellEnd"/>
      <w:r w:rsidR="007742E9">
        <w:rPr>
          <w:sz w:val="20"/>
        </w:rPr>
        <w:t xml:space="preserve">, et al. (2015), </w:t>
      </w:r>
      <w:r w:rsidR="007742E9">
        <w:rPr>
          <w:i/>
          <w:iCs/>
          <w:sz w:val="20"/>
        </w:rPr>
        <w:t>JSR</w:t>
      </w:r>
      <w:r w:rsidR="007742E9">
        <w:rPr>
          <w:sz w:val="20"/>
        </w:rPr>
        <w:t xml:space="preserve">, </w:t>
      </w:r>
      <w:r w:rsidR="007742E9">
        <w:rPr>
          <w:b/>
          <w:bCs/>
          <w:sz w:val="20"/>
        </w:rPr>
        <w:t>52</w:t>
      </w:r>
      <w:r w:rsidR="007742E9">
        <w:rPr>
          <w:sz w:val="20"/>
        </w:rPr>
        <w:t>(4), p. 1203</w:t>
      </w:r>
      <w:r>
        <w:rPr>
          <w:sz w:val="20"/>
        </w:rPr>
        <w:t>.</w:t>
      </w:r>
    </w:p>
    <w:p w14:paraId="782822A9" w14:textId="48E8C1D2" w:rsidR="00F829B3" w:rsidRPr="00934F5C" w:rsidRDefault="00F829B3" w:rsidP="00F829B3">
      <w:pPr>
        <w:widowControl w:val="0"/>
        <w:tabs>
          <w:tab w:val="left" w:pos="0"/>
        </w:tabs>
        <w:jc w:val="both"/>
        <w:rPr>
          <w:i/>
          <w:iCs/>
          <w:sz w:val="20"/>
        </w:rPr>
      </w:pPr>
      <w:r>
        <w:rPr>
          <w:sz w:val="20"/>
        </w:rPr>
        <w:t>[</w:t>
      </w:r>
      <w:r w:rsidR="007742E9">
        <w:rPr>
          <w:sz w:val="20"/>
        </w:rPr>
        <w:t>6</w:t>
      </w:r>
      <w:r>
        <w:rPr>
          <w:sz w:val="20"/>
        </w:rPr>
        <w:t xml:space="preserve">] </w:t>
      </w:r>
      <w:r w:rsidR="005C7A90">
        <w:rPr>
          <w:sz w:val="20"/>
        </w:rPr>
        <w:t xml:space="preserve">B. A. </w:t>
      </w:r>
      <w:proofErr w:type="spellStart"/>
      <w:r w:rsidR="00EA4540" w:rsidRPr="00C550B1">
        <w:rPr>
          <w:sz w:val="20"/>
        </w:rPr>
        <w:t>Cruden</w:t>
      </w:r>
      <w:proofErr w:type="spellEnd"/>
      <w:r w:rsidR="00EA4540" w:rsidRPr="00C550B1">
        <w:rPr>
          <w:sz w:val="20"/>
        </w:rPr>
        <w:t xml:space="preserve">, </w:t>
      </w:r>
      <w:r w:rsidR="005C7A90">
        <w:rPr>
          <w:sz w:val="20"/>
        </w:rPr>
        <w:t>et al</w:t>
      </w:r>
      <w:r w:rsidR="00EA4540" w:rsidRPr="00C550B1">
        <w:rPr>
          <w:sz w:val="20"/>
        </w:rPr>
        <w:t>.</w:t>
      </w:r>
      <w:r w:rsidR="00EA4540">
        <w:rPr>
          <w:sz w:val="20"/>
        </w:rPr>
        <w:t xml:space="preserve"> (2016)</w:t>
      </w:r>
      <w:r w:rsidR="00EA4540" w:rsidRPr="00C550B1">
        <w:rPr>
          <w:sz w:val="20"/>
        </w:rPr>
        <w:t xml:space="preserve">, </w:t>
      </w:r>
      <w:r w:rsidR="00EA4540" w:rsidRPr="00C550B1">
        <w:rPr>
          <w:i/>
          <w:sz w:val="20"/>
        </w:rPr>
        <w:t>J</w:t>
      </w:r>
      <w:r w:rsidR="00EA4540">
        <w:rPr>
          <w:i/>
          <w:sz w:val="20"/>
        </w:rPr>
        <w:t>THT</w:t>
      </w:r>
      <w:r w:rsidR="00EA4540" w:rsidRPr="00C550B1">
        <w:rPr>
          <w:sz w:val="20"/>
        </w:rPr>
        <w:t>, 30</w:t>
      </w:r>
      <w:r w:rsidR="00EA4540">
        <w:rPr>
          <w:sz w:val="20"/>
        </w:rPr>
        <w:t>(</w:t>
      </w:r>
      <w:r w:rsidR="00EA4540" w:rsidRPr="00C550B1">
        <w:rPr>
          <w:sz w:val="20"/>
        </w:rPr>
        <w:t>3</w:t>
      </w:r>
      <w:r w:rsidR="00EA4540">
        <w:rPr>
          <w:sz w:val="20"/>
        </w:rPr>
        <w:t>)</w:t>
      </w:r>
      <w:r w:rsidR="00EA4540" w:rsidRPr="00C550B1">
        <w:rPr>
          <w:sz w:val="20"/>
        </w:rPr>
        <w:t>, 642</w:t>
      </w:r>
      <w:r w:rsidRPr="00934F5C">
        <w:rPr>
          <w:i/>
          <w:iCs/>
          <w:sz w:val="20"/>
        </w:rPr>
        <w:t>.</w:t>
      </w:r>
    </w:p>
    <w:p w14:paraId="7AF986A0" w14:textId="43D55521" w:rsidR="00F829B3" w:rsidRDefault="00F829B3" w:rsidP="00F829B3">
      <w:pPr>
        <w:jc w:val="both"/>
        <w:rPr>
          <w:sz w:val="20"/>
        </w:rPr>
      </w:pPr>
      <w:r>
        <w:rPr>
          <w:sz w:val="20"/>
        </w:rPr>
        <w:t>[</w:t>
      </w:r>
      <w:r w:rsidR="007742E9">
        <w:rPr>
          <w:sz w:val="20"/>
        </w:rPr>
        <w:t>7</w:t>
      </w:r>
      <w:r>
        <w:rPr>
          <w:sz w:val="20"/>
        </w:rPr>
        <w:t xml:space="preserve">] </w:t>
      </w:r>
      <w:r w:rsidR="00E66B41">
        <w:rPr>
          <w:sz w:val="20"/>
        </w:rPr>
        <w:t xml:space="preserve">M. J. </w:t>
      </w:r>
      <w:r w:rsidR="00E66B41" w:rsidRPr="00E66B41">
        <w:rPr>
          <w:sz w:val="20"/>
        </w:rPr>
        <w:t xml:space="preserve">Wright, </w:t>
      </w:r>
      <w:r w:rsidR="00E66B41">
        <w:rPr>
          <w:sz w:val="20"/>
        </w:rPr>
        <w:t>T. R.</w:t>
      </w:r>
      <w:r w:rsidR="00E66B41" w:rsidRPr="00E66B41">
        <w:rPr>
          <w:sz w:val="20"/>
        </w:rPr>
        <w:t xml:space="preserve"> White, </w:t>
      </w:r>
      <w:r w:rsidR="00E66B41">
        <w:rPr>
          <w:sz w:val="20"/>
        </w:rPr>
        <w:t>and N.</w:t>
      </w:r>
      <w:r w:rsidR="00E66B41" w:rsidRPr="00E66B41">
        <w:rPr>
          <w:sz w:val="20"/>
        </w:rPr>
        <w:t xml:space="preserve"> Mangini</w:t>
      </w:r>
      <w:r w:rsidR="00E66B41">
        <w:rPr>
          <w:sz w:val="20"/>
        </w:rPr>
        <w:t xml:space="preserve"> (2009)</w:t>
      </w:r>
      <w:r w:rsidR="00E66B41" w:rsidRPr="00E66B41">
        <w:rPr>
          <w:sz w:val="20"/>
        </w:rPr>
        <w:t xml:space="preserve"> NASA/TM-2009-215388</w:t>
      </w:r>
      <w:r w:rsidR="00E66B41">
        <w:rPr>
          <w:sz w:val="20"/>
        </w:rPr>
        <w:t>.</w:t>
      </w:r>
    </w:p>
    <w:p w14:paraId="51AE9A04" w14:textId="6A2FAA47" w:rsidR="00F829B3" w:rsidRDefault="00F829B3" w:rsidP="00F829B3">
      <w:pPr>
        <w:jc w:val="both"/>
        <w:rPr>
          <w:sz w:val="20"/>
        </w:rPr>
      </w:pPr>
      <w:r>
        <w:rPr>
          <w:sz w:val="20"/>
        </w:rPr>
        <w:t>[</w:t>
      </w:r>
      <w:r w:rsidR="007742E9">
        <w:rPr>
          <w:sz w:val="20"/>
        </w:rPr>
        <w:t>8</w:t>
      </w:r>
      <w:r>
        <w:rPr>
          <w:sz w:val="20"/>
        </w:rPr>
        <w:t xml:space="preserve">] </w:t>
      </w:r>
      <w:r w:rsidR="00B564C0">
        <w:rPr>
          <w:sz w:val="20"/>
        </w:rPr>
        <w:t xml:space="preserve">B. A. </w:t>
      </w:r>
      <w:proofErr w:type="spellStart"/>
      <w:r w:rsidR="00E66B41" w:rsidRPr="00E66B41">
        <w:rPr>
          <w:sz w:val="20"/>
        </w:rPr>
        <w:t>Cruden</w:t>
      </w:r>
      <w:proofErr w:type="spellEnd"/>
      <w:r w:rsidR="00E66B41" w:rsidRPr="00E66B41">
        <w:rPr>
          <w:sz w:val="20"/>
        </w:rPr>
        <w:t xml:space="preserve"> and </w:t>
      </w:r>
      <w:r w:rsidR="00B564C0">
        <w:rPr>
          <w:sz w:val="20"/>
        </w:rPr>
        <w:t xml:space="preserve">A. M. </w:t>
      </w:r>
      <w:r w:rsidR="00E66B41" w:rsidRPr="00E66B41">
        <w:rPr>
          <w:sz w:val="20"/>
        </w:rPr>
        <w:t>Brandis</w:t>
      </w:r>
      <w:r w:rsidR="00B564C0">
        <w:rPr>
          <w:sz w:val="20"/>
        </w:rPr>
        <w:t xml:space="preserve"> (2014</w:t>
      </w:r>
      <w:proofErr w:type="gramStart"/>
      <w:r w:rsidR="00B564C0">
        <w:rPr>
          <w:sz w:val="20"/>
        </w:rPr>
        <w:t>)</w:t>
      </w:r>
      <w:r w:rsidR="00E66B41" w:rsidRPr="00E66B41">
        <w:rPr>
          <w:sz w:val="20"/>
        </w:rPr>
        <w:t xml:space="preserve"> </w:t>
      </w:r>
      <w:r w:rsidR="00B564C0">
        <w:rPr>
          <w:sz w:val="20"/>
        </w:rPr>
        <w:t xml:space="preserve"> </w:t>
      </w:r>
      <w:r w:rsidR="00E66B41" w:rsidRPr="00E66B41">
        <w:rPr>
          <w:sz w:val="20"/>
        </w:rPr>
        <w:t>6</w:t>
      </w:r>
      <w:proofErr w:type="gramEnd"/>
      <w:r w:rsidR="00E66B41" w:rsidRPr="00E66B41">
        <w:rPr>
          <w:sz w:val="20"/>
        </w:rPr>
        <w:t>th International Workshop on Radiation of High Temperature Gases in Atmospheric Entry, St. Andrews, England, U.K</w:t>
      </w:r>
      <w:r>
        <w:rPr>
          <w:sz w:val="20"/>
        </w:rPr>
        <w:t>.</w:t>
      </w:r>
    </w:p>
    <w:p w14:paraId="325768E4" w14:textId="41A45716" w:rsidR="00C84AB7" w:rsidRDefault="00F829B3" w:rsidP="00F829B3">
      <w:pPr>
        <w:jc w:val="both"/>
        <w:rPr>
          <w:sz w:val="20"/>
        </w:rPr>
      </w:pPr>
      <w:r>
        <w:rPr>
          <w:sz w:val="20"/>
        </w:rPr>
        <w:t>[</w:t>
      </w:r>
      <w:r w:rsidR="007742E9">
        <w:rPr>
          <w:sz w:val="20"/>
        </w:rPr>
        <w:t>9</w:t>
      </w:r>
      <w:r>
        <w:rPr>
          <w:sz w:val="20"/>
        </w:rPr>
        <w:t>] </w:t>
      </w:r>
      <w:r w:rsidR="00E66B41">
        <w:rPr>
          <w:sz w:val="20"/>
        </w:rPr>
        <w:t xml:space="preserve">F. S. </w:t>
      </w:r>
      <w:r w:rsidR="00E66B41" w:rsidRPr="00A4281C">
        <w:rPr>
          <w:sz w:val="20"/>
        </w:rPr>
        <w:t>Milos</w:t>
      </w:r>
      <w:r w:rsidR="00E66B41">
        <w:rPr>
          <w:sz w:val="20"/>
        </w:rPr>
        <w:t xml:space="preserve"> </w:t>
      </w:r>
      <w:r w:rsidR="00E66B41" w:rsidRPr="00A4281C">
        <w:rPr>
          <w:sz w:val="20"/>
        </w:rPr>
        <w:t xml:space="preserve">and </w:t>
      </w:r>
      <w:r w:rsidR="00E66B41">
        <w:rPr>
          <w:sz w:val="20"/>
        </w:rPr>
        <w:t xml:space="preserve">Y.-K. </w:t>
      </w:r>
      <w:r w:rsidR="00E66B41" w:rsidRPr="00A4281C">
        <w:rPr>
          <w:sz w:val="20"/>
        </w:rPr>
        <w:t>Chen</w:t>
      </w:r>
      <w:r w:rsidR="00E66B41">
        <w:rPr>
          <w:sz w:val="20"/>
        </w:rPr>
        <w:t xml:space="preserve"> </w:t>
      </w:r>
      <w:r w:rsidR="00E66B41" w:rsidRPr="00A4281C">
        <w:rPr>
          <w:sz w:val="20"/>
        </w:rPr>
        <w:t xml:space="preserve">(2013) </w:t>
      </w:r>
      <w:r w:rsidR="00E66B41">
        <w:rPr>
          <w:i/>
          <w:sz w:val="20"/>
        </w:rPr>
        <w:t>JSR</w:t>
      </w:r>
      <w:r w:rsidR="00E66B41" w:rsidRPr="00A4281C">
        <w:rPr>
          <w:i/>
          <w:sz w:val="20"/>
        </w:rPr>
        <w:t>,</w:t>
      </w:r>
      <w:r w:rsidR="00E66B41" w:rsidRPr="00A4281C">
        <w:rPr>
          <w:sz w:val="20"/>
        </w:rPr>
        <w:t xml:space="preserve"> </w:t>
      </w:r>
      <w:r w:rsidR="00E66B41" w:rsidRPr="00A4281C">
        <w:rPr>
          <w:b/>
          <w:sz w:val="20"/>
        </w:rPr>
        <w:t>50</w:t>
      </w:r>
      <w:r w:rsidR="00E66B41" w:rsidRPr="00A4281C">
        <w:rPr>
          <w:sz w:val="20"/>
        </w:rPr>
        <w:t>(1), p.</w:t>
      </w:r>
      <w:r w:rsidR="00E66B41">
        <w:rPr>
          <w:sz w:val="20"/>
        </w:rPr>
        <w:t xml:space="preserve"> </w:t>
      </w:r>
      <w:r w:rsidR="00E66B41" w:rsidRPr="00A4281C">
        <w:rPr>
          <w:sz w:val="20"/>
        </w:rPr>
        <w:t>137</w:t>
      </w:r>
      <w:r>
        <w:rPr>
          <w:sz w:val="20"/>
        </w:rPr>
        <w:t>.</w:t>
      </w:r>
    </w:p>
    <w:p w14:paraId="5E5FB9B5" w14:textId="58ADB30B" w:rsidR="00A94DB7" w:rsidRDefault="00A94DB7" w:rsidP="00F829B3">
      <w:pPr>
        <w:jc w:val="both"/>
        <w:rPr>
          <w:sz w:val="20"/>
        </w:rPr>
      </w:pPr>
      <w:r>
        <w:rPr>
          <w:sz w:val="20"/>
        </w:rPr>
        <w:t>[</w:t>
      </w:r>
      <w:r w:rsidR="007742E9">
        <w:rPr>
          <w:sz w:val="20"/>
        </w:rPr>
        <w:t>10</w:t>
      </w:r>
      <w:r>
        <w:rPr>
          <w:sz w:val="20"/>
        </w:rPr>
        <w:t xml:space="preserve">] </w:t>
      </w:r>
      <w:r w:rsidR="00E66B41">
        <w:rPr>
          <w:sz w:val="20"/>
        </w:rPr>
        <w:t xml:space="preserve">J. B.E. Meurisse et al. (2018), </w:t>
      </w:r>
      <w:proofErr w:type="spellStart"/>
      <w:r w:rsidR="00E66B41">
        <w:rPr>
          <w:i/>
          <w:sz w:val="20"/>
        </w:rPr>
        <w:t>Aerosp</w:t>
      </w:r>
      <w:proofErr w:type="spellEnd"/>
      <w:r w:rsidR="00E66B41">
        <w:rPr>
          <w:i/>
          <w:sz w:val="20"/>
        </w:rPr>
        <w:t xml:space="preserve"> Sci Technol</w:t>
      </w:r>
      <w:r w:rsidR="00E66B41">
        <w:rPr>
          <w:sz w:val="20"/>
        </w:rPr>
        <w:t xml:space="preserve">, </w:t>
      </w:r>
      <w:r w:rsidR="00E66B41" w:rsidRPr="00CA389A">
        <w:rPr>
          <w:b/>
          <w:bCs/>
          <w:sz w:val="20"/>
        </w:rPr>
        <w:t>76</w:t>
      </w:r>
      <w:r w:rsidR="00E66B41">
        <w:rPr>
          <w:sz w:val="20"/>
        </w:rPr>
        <w:t xml:space="preserve">, </w:t>
      </w:r>
      <w:r w:rsidR="00B564C0">
        <w:rPr>
          <w:sz w:val="20"/>
        </w:rPr>
        <w:t xml:space="preserve">p. </w:t>
      </w:r>
      <w:r w:rsidR="00E66B41">
        <w:rPr>
          <w:sz w:val="20"/>
        </w:rPr>
        <w:t>497</w:t>
      </w:r>
      <w:r>
        <w:rPr>
          <w:sz w:val="20"/>
        </w:rPr>
        <w:t>.</w:t>
      </w:r>
    </w:p>
    <w:p w14:paraId="0FDC0045" w14:textId="1ABA94D9" w:rsidR="00042EAF" w:rsidRDefault="00042EAF" w:rsidP="00F829B3">
      <w:pPr>
        <w:jc w:val="both"/>
        <w:rPr>
          <w:sz w:val="20"/>
        </w:rPr>
      </w:pPr>
      <w:r>
        <w:rPr>
          <w:sz w:val="20"/>
        </w:rPr>
        <w:t>[</w:t>
      </w:r>
      <w:r w:rsidR="007742E9">
        <w:rPr>
          <w:sz w:val="20"/>
        </w:rPr>
        <w:t>11</w:t>
      </w:r>
      <w:r>
        <w:rPr>
          <w:sz w:val="20"/>
        </w:rPr>
        <w:t xml:space="preserve">] </w:t>
      </w:r>
      <w:r w:rsidR="005217B3" w:rsidRPr="005217B3">
        <w:rPr>
          <w:sz w:val="20"/>
        </w:rPr>
        <w:t xml:space="preserve">Plimpton S. J., et al. (2019), </w:t>
      </w:r>
      <w:r w:rsidR="005217B3" w:rsidRPr="005217B3">
        <w:rPr>
          <w:i/>
          <w:iCs/>
          <w:sz w:val="20"/>
        </w:rPr>
        <w:t>Phys. Fluids</w:t>
      </w:r>
      <w:r w:rsidR="005217B3" w:rsidRPr="005217B3">
        <w:rPr>
          <w:sz w:val="20"/>
        </w:rPr>
        <w:t>, 31(8), 086101</w:t>
      </w:r>
      <w:r>
        <w:rPr>
          <w:sz w:val="20"/>
        </w:rPr>
        <w:t>.</w:t>
      </w:r>
    </w:p>
    <w:sectPr w:rsidR="00042EAF">
      <w:type w:val="continuous"/>
      <w:pgSz w:w="12240" w:h="15840"/>
      <w:pgMar w:top="1440" w:right="1440" w:bottom="1440" w:left="1440" w:header="720" w:footer="720" w:gutter="0"/>
      <w:cols w:num="2" w:space="4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1D0EA0" w14:textId="77777777" w:rsidR="00103B3A" w:rsidRDefault="00103B3A">
      <w:r>
        <w:separator/>
      </w:r>
    </w:p>
  </w:endnote>
  <w:endnote w:type="continuationSeparator" w:id="0">
    <w:p w14:paraId="4EDCD37E" w14:textId="77777777" w:rsidR="00103B3A" w:rsidRDefault="00103B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005164656"/>
      <w:docPartObj>
        <w:docPartGallery w:val="Page Numbers (Bottom of Page)"/>
        <w:docPartUnique/>
      </w:docPartObj>
    </w:sdtPr>
    <w:sdtEndPr>
      <w:rPr>
        <w:rStyle w:val="PageNumber"/>
      </w:rPr>
    </w:sdtEndPr>
    <w:sdtContent>
      <w:p w14:paraId="2B5494C5" w14:textId="24B4B090" w:rsidR="004D1666" w:rsidRDefault="004D1666" w:rsidP="0014411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754BE05" w14:textId="77777777" w:rsidR="006A128D" w:rsidRDefault="006A128D">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962929709"/>
      <w:docPartObj>
        <w:docPartGallery w:val="Page Numbers (Bottom of Page)"/>
        <w:docPartUnique/>
      </w:docPartObj>
    </w:sdtPr>
    <w:sdtEndPr>
      <w:rPr>
        <w:rStyle w:val="PageNumber"/>
      </w:rPr>
    </w:sdtEndPr>
    <w:sdtContent>
      <w:p w14:paraId="617A3133" w14:textId="3E7E9136" w:rsidR="004D1666" w:rsidRDefault="004D1666" w:rsidP="0014411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72B28C6" w14:textId="77777777" w:rsidR="004D1666" w:rsidRDefault="004D16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A20F83" w14:textId="77777777" w:rsidR="00103B3A" w:rsidRDefault="00103B3A">
      <w:r>
        <w:separator/>
      </w:r>
    </w:p>
  </w:footnote>
  <w:footnote w:type="continuationSeparator" w:id="0">
    <w:p w14:paraId="1037C6BD" w14:textId="77777777" w:rsidR="00103B3A" w:rsidRDefault="00103B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D32BF9" w14:textId="77777777" w:rsidR="006A128D" w:rsidRDefault="006A128D">
    <w:pPr>
      <w:pStyle w:val="Header"/>
      <w:jc w:val="center"/>
    </w:pPr>
    <w:r>
      <w:t>SHORT TITLE HERE:  A. B. Author and C. D. Author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30"/>
  <w:printFractionalCharacterWidth/>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autoHyphenation/>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AB7"/>
    <w:rsid w:val="00042EAF"/>
    <w:rsid w:val="00046273"/>
    <w:rsid w:val="00057EFE"/>
    <w:rsid w:val="000721A8"/>
    <w:rsid w:val="000773C3"/>
    <w:rsid w:val="000B7752"/>
    <w:rsid w:val="000D1584"/>
    <w:rsid w:val="00103B3A"/>
    <w:rsid w:val="00124B9F"/>
    <w:rsid w:val="001661C4"/>
    <w:rsid w:val="00170B8C"/>
    <w:rsid w:val="001D2B43"/>
    <w:rsid w:val="001E1333"/>
    <w:rsid w:val="00203A69"/>
    <w:rsid w:val="00216F1B"/>
    <w:rsid w:val="00220009"/>
    <w:rsid w:val="0023446B"/>
    <w:rsid w:val="00275035"/>
    <w:rsid w:val="00290700"/>
    <w:rsid w:val="0029205E"/>
    <w:rsid w:val="002A3425"/>
    <w:rsid w:val="00312247"/>
    <w:rsid w:val="0036453F"/>
    <w:rsid w:val="00381B20"/>
    <w:rsid w:val="003B7179"/>
    <w:rsid w:val="003C2EA3"/>
    <w:rsid w:val="003C6DEF"/>
    <w:rsid w:val="003E06B7"/>
    <w:rsid w:val="003E512E"/>
    <w:rsid w:val="003E5570"/>
    <w:rsid w:val="00450A63"/>
    <w:rsid w:val="00486964"/>
    <w:rsid w:val="004B5F0B"/>
    <w:rsid w:val="004D1666"/>
    <w:rsid w:val="0051599C"/>
    <w:rsid w:val="00517E11"/>
    <w:rsid w:val="005217B3"/>
    <w:rsid w:val="00535313"/>
    <w:rsid w:val="0058280C"/>
    <w:rsid w:val="005C7A90"/>
    <w:rsid w:val="00631D7E"/>
    <w:rsid w:val="00661A37"/>
    <w:rsid w:val="00672E93"/>
    <w:rsid w:val="0068622D"/>
    <w:rsid w:val="00694048"/>
    <w:rsid w:val="006976D1"/>
    <w:rsid w:val="006A128D"/>
    <w:rsid w:val="006B3026"/>
    <w:rsid w:val="006D7F7D"/>
    <w:rsid w:val="006E1BF3"/>
    <w:rsid w:val="00713DB9"/>
    <w:rsid w:val="00747941"/>
    <w:rsid w:val="00753477"/>
    <w:rsid w:val="0077159A"/>
    <w:rsid w:val="007742E9"/>
    <w:rsid w:val="007B4375"/>
    <w:rsid w:val="007B636C"/>
    <w:rsid w:val="007C0F7A"/>
    <w:rsid w:val="007D1971"/>
    <w:rsid w:val="00813CDC"/>
    <w:rsid w:val="008173C1"/>
    <w:rsid w:val="008313B7"/>
    <w:rsid w:val="00832D82"/>
    <w:rsid w:val="008D0C88"/>
    <w:rsid w:val="008F7766"/>
    <w:rsid w:val="00933410"/>
    <w:rsid w:val="00934F5C"/>
    <w:rsid w:val="00956540"/>
    <w:rsid w:val="00957943"/>
    <w:rsid w:val="0096264F"/>
    <w:rsid w:val="0099645E"/>
    <w:rsid w:val="009C5866"/>
    <w:rsid w:val="00A074C5"/>
    <w:rsid w:val="00A517B8"/>
    <w:rsid w:val="00A91D2A"/>
    <w:rsid w:val="00A94DB7"/>
    <w:rsid w:val="00A9720F"/>
    <w:rsid w:val="00AC2427"/>
    <w:rsid w:val="00AF54D6"/>
    <w:rsid w:val="00B01590"/>
    <w:rsid w:val="00B039ED"/>
    <w:rsid w:val="00B449D8"/>
    <w:rsid w:val="00B564C0"/>
    <w:rsid w:val="00B9086A"/>
    <w:rsid w:val="00BA2ED2"/>
    <w:rsid w:val="00BE7C53"/>
    <w:rsid w:val="00C24939"/>
    <w:rsid w:val="00C64DBC"/>
    <w:rsid w:val="00C84AB7"/>
    <w:rsid w:val="00CA389A"/>
    <w:rsid w:val="00CD4E36"/>
    <w:rsid w:val="00D0652F"/>
    <w:rsid w:val="00D253BF"/>
    <w:rsid w:val="00D67F22"/>
    <w:rsid w:val="00DE0C69"/>
    <w:rsid w:val="00E26992"/>
    <w:rsid w:val="00E3629C"/>
    <w:rsid w:val="00E66B41"/>
    <w:rsid w:val="00E948BA"/>
    <w:rsid w:val="00EA4540"/>
    <w:rsid w:val="00EB563E"/>
    <w:rsid w:val="00EC016A"/>
    <w:rsid w:val="00EC065E"/>
    <w:rsid w:val="00ED1A2D"/>
    <w:rsid w:val="00EE23AF"/>
    <w:rsid w:val="00F021F8"/>
    <w:rsid w:val="00F25488"/>
    <w:rsid w:val="00F57351"/>
    <w:rsid w:val="00F726C7"/>
    <w:rsid w:val="00F75147"/>
    <w:rsid w:val="00F761AF"/>
    <w:rsid w:val="00F829B3"/>
    <w:rsid w:val="00F91995"/>
    <w:rsid w:val="00FC02E6"/>
    <w:rsid w:val="00FE4E3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39EAC4"/>
  <w15:chartTrackingRefBased/>
  <w15:docId w15:val="{DA46BA56-C920-45A2-A7B2-C9D9922C4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iPriority="99" w:unhideWhenUsed="1"/>
  </w:latentStyles>
  <w:style w:type="paragraph" w:default="1" w:styleId="Normal">
    <w:name w:val="Normal"/>
    <w:qFormat/>
    <w:rPr>
      <w:sz w:val="1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styleId="BalloonText">
    <w:name w:val="Balloon Text"/>
    <w:basedOn w:val="Normal"/>
    <w:link w:val="BalloonTextChar"/>
    <w:rsid w:val="00F726C7"/>
    <w:rPr>
      <w:rFonts w:ascii="Tahoma" w:hAnsi="Tahoma" w:cs="Tahoma"/>
      <w:sz w:val="16"/>
      <w:szCs w:val="16"/>
    </w:rPr>
  </w:style>
  <w:style w:type="character" w:customStyle="1" w:styleId="BalloonTextChar">
    <w:name w:val="Balloon Text Char"/>
    <w:link w:val="BalloonText"/>
    <w:rsid w:val="00F726C7"/>
    <w:rPr>
      <w:rFonts w:ascii="Tahoma" w:hAnsi="Tahoma" w:cs="Tahoma"/>
      <w:sz w:val="16"/>
      <w:szCs w:val="16"/>
    </w:rPr>
  </w:style>
  <w:style w:type="paragraph" w:styleId="NormalWeb">
    <w:name w:val="Normal (Web)"/>
    <w:basedOn w:val="Normal"/>
    <w:uiPriority w:val="99"/>
    <w:unhideWhenUsed/>
    <w:rsid w:val="004B5F0B"/>
    <w:pPr>
      <w:spacing w:before="100" w:beforeAutospacing="1" w:after="100" w:afterAutospacing="1"/>
    </w:pPr>
    <w:rPr>
      <w:sz w:val="24"/>
      <w:szCs w:val="24"/>
    </w:rPr>
  </w:style>
  <w:style w:type="character" w:styleId="Hyperlink">
    <w:name w:val="Hyperlink"/>
    <w:basedOn w:val="DefaultParagraphFont"/>
    <w:rsid w:val="00FC02E6"/>
    <w:rPr>
      <w:color w:val="0563C1" w:themeColor="hyperlink"/>
      <w:u w:val="single"/>
    </w:rPr>
  </w:style>
  <w:style w:type="character" w:styleId="UnresolvedMention">
    <w:name w:val="Unresolved Mention"/>
    <w:basedOn w:val="DefaultParagraphFont"/>
    <w:uiPriority w:val="47"/>
    <w:rsid w:val="00FC02E6"/>
    <w:rPr>
      <w:color w:val="605E5C"/>
      <w:shd w:val="clear" w:color="auto" w:fill="E1DFDD"/>
    </w:rPr>
  </w:style>
  <w:style w:type="table" w:styleId="TableGrid">
    <w:name w:val="Table Grid"/>
    <w:basedOn w:val="TableNormal"/>
    <w:rsid w:val="006976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0B7752"/>
    <w:rPr>
      <w:sz w:val="16"/>
      <w:szCs w:val="16"/>
    </w:rPr>
  </w:style>
  <w:style w:type="paragraph" w:styleId="CommentText">
    <w:name w:val="annotation text"/>
    <w:basedOn w:val="Normal"/>
    <w:link w:val="CommentTextChar"/>
    <w:rsid w:val="000B7752"/>
    <w:rPr>
      <w:sz w:val="20"/>
    </w:rPr>
  </w:style>
  <w:style w:type="character" w:customStyle="1" w:styleId="CommentTextChar">
    <w:name w:val="Comment Text Char"/>
    <w:basedOn w:val="DefaultParagraphFont"/>
    <w:link w:val="CommentText"/>
    <w:rsid w:val="000B7752"/>
    <w:rPr>
      <w:lang w:eastAsia="en-US"/>
    </w:rPr>
  </w:style>
  <w:style w:type="paragraph" w:styleId="CommentSubject">
    <w:name w:val="annotation subject"/>
    <w:basedOn w:val="CommentText"/>
    <w:next w:val="CommentText"/>
    <w:link w:val="CommentSubjectChar"/>
    <w:rsid w:val="000B7752"/>
    <w:rPr>
      <w:b/>
      <w:bCs/>
    </w:rPr>
  </w:style>
  <w:style w:type="character" w:customStyle="1" w:styleId="CommentSubjectChar">
    <w:name w:val="Comment Subject Char"/>
    <w:basedOn w:val="CommentTextChar"/>
    <w:link w:val="CommentSubject"/>
    <w:rsid w:val="000B7752"/>
    <w:rPr>
      <w:b/>
      <w:bCs/>
      <w:lang w:eastAsia="en-US"/>
    </w:rPr>
  </w:style>
  <w:style w:type="character" w:styleId="PageNumber">
    <w:name w:val="page number"/>
    <w:basedOn w:val="DefaultParagraphFont"/>
    <w:rsid w:val="004D1666"/>
  </w:style>
  <w:style w:type="paragraph" w:styleId="Revision">
    <w:name w:val="Revision"/>
    <w:hidden/>
    <w:uiPriority w:val="71"/>
    <w:rsid w:val="004D1666"/>
    <w:rPr>
      <w:sz w:val="18"/>
      <w:lang w:eastAsia="en-US"/>
    </w:rPr>
  </w:style>
  <w:style w:type="character" w:styleId="FollowedHyperlink">
    <w:name w:val="FollowedHyperlink"/>
    <w:basedOn w:val="DefaultParagraphFont"/>
    <w:rsid w:val="00450A6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837856">
      <w:bodyDiv w:val="1"/>
      <w:marLeft w:val="0"/>
      <w:marRight w:val="0"/>
      <w:marTop w:val="0"/>
      <w:marBottom w:val="0"/>
      <w:divBdr>
        <w:top w:val="none" w:sz="0" w:space="0" w:color="auto"/>
        <w:left w:val="none" w:sz="0" w:space="0" w:color="auto"/>
        <w:bottom w:val="none" w:sz="0" w:space="0" w:color="auto"/>
        <w:right w:val="none" w:sz="0" w:space="0" w:color="auto"/>
      </w:divBdr>
    </w:div>
    <w:div w:id="526986760">
      <w:bodyDiv w:val="1"/>
      <w:marLeft w:val="0"/>
      <w:marRight w:val="0"/>
      <w:marTop w:val="0"/>
      <w:marBottom w:val="0"/>
      <w:divBdr>
        <w:top w:val="none" w:sz="0" w:space="0" w:color="auto"/>
        <w:left w:val="none" w:sz="0" w:space="0" w:color="auto"/>
        <w:bottom w:val="none" w:sz="0" w:space="0" w:color="auto"/>
        <w:right w:val="none" w:sz="0" w:space="0" w:color="auto"/>
      </w:divBdr>
    </w:div>
    <w:div w:id="1017003094">
      <w:bodyDiv w:val="1"/>
      <w:marLeft w:val="0"/>
      <w:marRight w:val="0"/>
      <w:marTop w:val="0"/>
      <w:marBottom w:val="0"/>
      <w:divBdr>
        <w:top w:val="none" w:sz="0" w:space="0" w:color="auto"/>
        <w:left w:val="none" w:sz="0" w:space="0" w:color="auto"/>
        <w:bottom w:val="none" w:sz="0" w:space="0" w:color="auto"/>
        <w:right w:val="none" w:sz="0" w:space="0" w:color="auto"/>
      </w:divBdr>
    </w:div>
    <w:div w:id="1653606895">
      <w:bodyDiv w:val="1"/>
      <w:marLeft w:val="0"/>
      <w:marRight w:val="0"/>
      <w:marTop w:val="0"/>
      <w:marBottom w:val="0"/>
      <w:divBdr>
        <w:top w:val="none" w:sz="0" w:space="0" w:color="auto"/>
        <w:left w:val="none" w:sz="0" w:space="0" w:color="auto"/>
        <w:bottom w:val="none" w:sz="0" w:space="0" w:color="auto"/>
        <w:right w:val="none" w:sz="0" w:space="0" w:color="auto"/>
      </w:divBdr>
    </w:div>
    <w:div w:id="1797064205">
      <w:bodyDiv w:val="1"/>
      <w:marLeft w:val="0"/>
      <w:marRight w:val="0"/>
      <w:marTop w:val="0"/>
      <w:marBottom w:val="0"/>
      <w:divBdr>
        <w:top w:val="none" w:sz="0" w:space="0" w:color="auto"/>
        <w:left w:val="none" w:sz="0" w:space="0" w:color="auto"/>
        <w:bottom w:val="none" w:sz="0" w:space="0" w:color="auto"/>
        <w:right w:val="none" w:sz="0" w:space="0" w:color="auto"/>
      </w:divBdr>
    </w:div>
    <w:div w:id="2143695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rnaud.p.borner@nasa.gov" TargetMode="External"/><Relationship Id="rId13" Type="http://schemas.openxmlformats.org/officeDocument/2006/relationships/footer" Target="footer1.xml"/><Relationship Id="rId18" Type="http://schemas.openxmlformats.org/officeDocument/2006/relationships/image" Target="media/image4.emf"/><Relationship Id="rId3" Type="http://schemas.openxmlformats.org/officeDocument/2006/relationships/webSettings" Target="webSettings.xml"/><Relationship Id="rId7" Type="http://schemas.openxmlformats.org/officeDocument/2006/relationships/hyperlink" Target="mailto:brett.a.cruden@nasa.gov" TargetMode="External"/><Relationship Id="rId12" Type="http://schemas.openxmlformats.org/officeDocument/2006/relationships/header" Target="header1.xml"/><Relationship Id="rId17" Type="http://schemas.openxmlformats.org/officeDocument/2006/relationships/image" Target="media/image3.emf"/><Relationship Id="rId2" Type="http://schemas.openxmlformats.org/officeDocument/2006/relationships/settings" Target="settings.xml"/><Relationship Id="rId16" Type="http://schemas.openxmlformats.org/officeDocument/2006/relationships/image" Target="media/image2.emf"/><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dinesh.k.prabhu@nasa.gov" TargetMode="External"/><Relationship Id="rId11" Type="http://schemas.openxmlformats.org/officeDocument/2006/relationships/hyperlink" Target="mailto:joshua.d.monk@nasa.gov" TargetMode="External"/><Relationship Id="rId5" Type="http://schemas.openxmlformats.org/officeDocument/2006/relationships/endnotes" Target="endnotes.xml"/><Relationship Id="rId15" Type="http://schemas.openxmlformats.org/officeDocument/2006/relationships/image" Target="media/image1.emf"/><Relationship Id="rId10" Type="http://schemas.openxmlformats.org/officeDocument/2006/relationships/hyperlink" Target="mailto:jeremie.b.meurisse@nasa.gov"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john.m.thornton@nasa.go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984</Words>
  <Characters>5611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template for two-page abstracts in Word 97 (PC)</vt:lpstr>
    </vt:vector>
  </TitlesOfParts>
  <Company>CASS</Company>
  <LinksUpToDate>false</LinksUpToDate>
  <CharactersWithSpaces>6582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two-page abstracts in Word 97 (PC)</dc:title>
  <dc:subject/>
  <dc:creator>LPI</dc:creator>
  <cp:keywords/>
  <cp:lastModifiedBy>Dinesh K. Prabhu</cp:lastModifiedBy>
  <cp:revision>5</cp:revision>
  <cp:lastPrinted>2011-07-22T19:46:00Z</cp:lastPrinted>
  <dcterms:created xsi:type="dcterms:W3CDTF">2021-04-15T17:34:00Z</dcterms:created>
  <dcterms:modified xsi:type="dcterms:W3CDTF">2021-04-15T22:30:00Z</dcterms:modified>
</cp:coreProperties>
</file>