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97ADE" w14:textId="4A787F11" w:rsidR="000961DD" w:rsidRDefault="00CF2DF4" w:rsidP="00562F3D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Vertically Aligned Graphene</w:t>
      </w:r>
      <w:r w:rsidR="00564E2E">
        <w:rPr>
          <w:rFonts w:ascii="Times New Roman" w:hAnsi="Times New Roman" w:cs="Times New Roman"/>
          <w:b/>
          <w:bCs/>
        </w:rPr>
        <w:t>/</w:t>
      </w:r>
      <w:r w:rsidR="00564E2E" w:rsidRPr="00C7148B">
        <w:rPr>
          <w:rFonts w:ascii="Times New Roman" w:hAnsi="Times New Roman" w:cs="Times New Roman"/>
          <w:b/>
          <w:bCs/>
        </w:rPr>
        <w:t>M</w:t>
      </w:r>
      <w:r w:rsidR="00564E2E">
        <w:rPr>
          <w:rFonts w:ascii="Times New Roman" w:hAnsi="Times New Roman" w:cs="Times New Roman"/>
          <w:b/>
          <w:bCs/>
        </w:rPr>
        <w:t>etal Oxide</w:t>
      </w:r>
      <w:r w:rsidR="00720330">
        <w:rPr>
          <w:rFonts w:ascii="Times New Roman" w:hAnsi="Times New Roman" w:cs="Times New Roman"/>
          <w:b/>
          <w:bCs/>
        </w:rPr>
        <w:t xml:space="preserve"> based lightweight </w:t>
      </w:r>
      <w:r w:rsidR="00FB7879">
        <w:rPr>
          <w:rFonts w:ascii="Times New Roman" w:hAnsi="Times New Roman" w:cs="Times New Roman"/>
          <w:b/>
          <w:bCs/>
        </w:rPr>
        <w:t>super strong</w:t>
      </w:r>
      <w:r w:rsidR="00720330">
        <w:rPr>
          <w:rFonts w:ascii="Times New Roman" w:hAnsi="Times New Roman" w:cs="Times New Roman"/>
          <w:b/>
          <w:bCs/>
        </w:rPr>
        <w:t>, energy storage carbon fiber composites</w:t>
      </w:r>
    </w:p>
    <w:p w14:paraId="425A0FDA" w14:textId="77777777" w:rsidR="00C7148B" w:rsidRPr="00C7148B" w:rsidRDefault="00C7148B" w:rsidP="00C7148B">
      <w:pPr>
        <w:pStyle w:val="Default"/>
        <w:jc w:val="center"/>
        <w:rPr>
          <w:rFonts w:ascii="Times New Roman" w:hAnsi="Times New Roman" w:cs="Times New Roman"/>
        </w:rPr>
      </w:pPr>
    </w:p>
    <w:p w14:paraId="2C6B3718" w14:textId="43A6AADC" w:rsidR="000961DD" w:rsidRDefault="00D7007B" w:rsidP="00562F3D">
      <w:pPr>
        <w:rPr>
          <w:b/>
          <w:szCs w:val="18"/>
        </w:rPr>
      </w:pPr>
      <w:r>
        <w:rPr>
          <w:szCs w:val="18"/>
          <w:u w:val="single"/>
          <w:lang w:val="en-US"/>
        </w:rPr>
        <w:t>Deepak Pandey,</w:t>
      </w:r>
      <w:r w:rsidRPr="00D7007B">
        <w:rPr>
          <w:vertAlign w:val="superscript"/>
        </w:rPr>
        <w:t xml:space="preserve"> </w:t>
      </w:r>
      <w:r w:rsidRPr="00A804AE">
        <w:rPr>
          <w:vertAlign w:val="superscript"/>
        </w:rPr>
        <w:t>†</w:t>
      </w:r>
      <w:r w:rsidRPr="00A11A15">
        <w:rPr>
          <w:vertAlign w:val="superscript"/>
        </w:rPr>
        <w:t>‡</w:t>
      </w:r>
      <w:r w:rsidR="00112B88" w:rsidRPr="00112B88">
        <w:rPr>
          <w:szCs w:val="18"/>
          <w:lang w:val="en-US"/>
        </w:rPr>
        <w:t xml:space="preserve"> </w:t>
      </w:r>
      <w:proofErr w:type="spellStart"/>
      <w:r w:rsidR="00C7148B" w:rsidRPr="00D7007B">
        <w:rPr>
          <w:szCs w:val="18"/>
          <w:lang w:val="en-US"/>
        </w:rPr>
        <w:t>Kowsik</w:t>
      </w:r>
      <w:proofErr w:type="spellEnd"/>
      <w:r w:rsidR="00C7148B" w:rsidRPr="00D7007B">
        <w:rPr>
          <w:szCs w:val="18"/>
          <w:lang w:val="en-US"/>
        </w:rPr>
        <w:t xml:space="preserve"> </w:t>
      </w:r>
      <w:proofErr w:type="spellStart"/>
      <w:r w:rsidR="00C7148B" w:rsidRPr="00D7007B">
        <w:rPr>
          <w:szCs w:val="18"/>
          <w:lang w:val="en-US"/>
        </w:rPr>
        <w:t>Sambath</w:t>
      </w:r>
      <w:proofErr w:type="spellEnd"/>
      <w:r w:rsidR="00C7148B" w:rsidRPr="00D7007B">
        <w:rPr>
          <w:szCs w:val="18"/>
          <w:lang w:val="en-US"/>
        </w:rPr>
        <w:t xml:space="preserve"> Kumar</w:t>
      </w:r>
      <w:r w:rsidR="00C7148B" w:rsidRPr="00F46502">
        <w:rPr>
          <w:szCs w:val="18"/>
          <w:lang w:val="en-US"/>
        </w:rPr>
        <w:t>,</w:t>
      </w:r>
      <w:r w:rsidR="00C7148B" w:rsidRPr="00A804AE">
        <w:rPr>
          <w:vertAlign w:val="superscript"/>
        </w:rPr>
        <w:t xml:space="preserve"> †</w:t>
      </w:r>
      <w:r w:rsidR="00C7148B" w:rsidRPr="00A11A15">
        <w:rPr>
          <w:vertAlign w:val="superscript"/>
        </w:rPr>
        <w:t>‡</w:t>
      </w:r>
      <w:r w:rsidR="00492A6C" w:rsidRPr="00F46502">
        <w:rPr>
          <w:szCs w:val="18"/>
          <w:lang w:val="en-US"/>
        </w:rPr>
        <w:t xml:space="preserve"> </w:t>
      </w:r>
      <w:r w:rsidR="009E1534">
        <w:rPr>
          <w:szCs w:val="18"/>
          <w:lang w:val="en-US"/>
        </w:rPr>
        <w:t xml:space="preserve">Luke </w:t>
      </w:r>
      <w:r w:rsidR="008F68FE">
        <w:rPr>
          <w:szCs w:val="18"/>
          <w:lang w:val="en-US"/>
        </w:rPr>
        <w:t xml:space="preserve">B. </w:t>
      </w:r>
      <w:r w:rsidR="009E1534">
        <w:rPr>
          <w:szCs w:val="18"/>
          <w:lang w:val="en-US"/>
        </w:rPr>
        <w:t>Roberson,</w:t>
      </w:r>
      <w:r w:rsidR="00562F3D">
        <w:rPr>
          <w:szCs w:val="18"/>
          <w:lang w:val="en-US"/>
        </w:rPr>
        <w:t xml:space="preserve"> </w:t>
      </w:r>
      <w:r w:rsidR="009E1534" w:rsidRPr="009E1534">
        <w:rPr>
          <w:szCs w:val="18"/>
          <w:vertAlign w:val="superscript"/>
          <w:lang w:val="en-US"/>
        </w:rPr>
        <w:t>¥</w:t>
      </w:r>
      <w:r w:rsidR="009E1534">
        <w:rPr>
          <w:szCs w:val="18"/>
          <w:lang w:val="en-US"/>
        </w:rPr>
        <w:t xml:space="preserve"> </w:t>
      </w:r>
      <w:r w:rsidR="00C7148B">
        <w:rPr>
          <w:szCs w:val="18"/>
          <w:lang w:val="en-US"/>
        </w:rPr>
        <w:t>Jayan Thomas</w:t>
      </w:r>
      <w:r w:rsidR="00C7148B" w:rsidRPr="00A804AE">
        <w:rPr>
          <w:vertAlign w:val="superscript"/>
        </w:rPr>
        <w:t>†</w:t>
      </w:r>
      <w:r w:rsidR="00C7148B" w:rsidRPr="00A11A15">
        <w:rPr>
          <w:vertAlign w:val="superscript"/>
        </w:rPr>
        <w:t>‡</w:t>
      </w:r>
      <w:r w:rsidR="00C7148B">
        <w:rPr>
          <w:i/>
          <w:vertAlign w:val="superscript"/>
        </w:rPr>
        <w:t>‼</w:t>
      </w:r>
      <w:r w:rsidR="00492A6C" w:rsidRPr="00F46502">
        <w:rPr>
          <w:szCs w:val="18"/>
          <w:lang w:val="en-US"/>
        </w:rPr>
        <w:t>*</w:t>
      </w:r>
      <w:r w:rsidR="003905D7" w:rsidRPr="00F46502">
        <w:rPr>
          <w:b/>
          <w:szCs w:val="18"/>
        </w:rPr>
        <w:t xml:space="preserve"> </w:t>
      </w:r>
      <w:r w:rsidR="00C7148B">
        <w:rPr>
          <w:b/>
          <w:szCs w:val="18"/>
        </w:rPr>
        <w:t xml:space="preserve"> </w:t>
      </w:r>
    </w:p>
    <w:p w14:paraId="44B93F6F" w14:textId="77777777" w:rsidR="00562F3D" w:rsidRPr="00F46502" w:rsidRDefault="00562F3D" w:rsidP="00562F3D">
      <w:pPr>
        <w:rPr>
          <w:i/>
          <w:szCs w:val="18"/>
          <w:lang w:val="en-US"/>
        </w:rPr>
      </w:pPr>
    </w:p>
    <w:p w14:paraId="484174CA" w14:textId="77777777" w:rsidR="00C7148B" w:rsidRPr="00CF0621" w:rsidRDefault="00C7148B" w:rsidP="00562F3D">
      <w:pPr>
        <w:rPr>
          <w:i/>
        </w:rPr>
      </w:pPr>
      <w:r w:rsidRPr="00A804AE">
        <w:rPr>
          <w:vertAlign w:val="superscript"/>
        </w:rPr>
        <w:t>†</w:t>
      </w:r>
      <w:r w:rsidRPr="00CF0621">
        <w:rPr>
          <w:i/>
        </w:rPr>
        <w:t>NanoScience Technology Center, University of Central Florida, Orlando, Florida 328</w:t>
      </w:r>
      <w:r>
        <w:rPr>
          <w:i/>
        </w:rPr>
        <w:t>2</w:t>
      </w:r>
      <w:r w:rsidRPr="00CF0621">
        <w:rPr>
          <w:i/>
        </w:rPr>
        <w:t>6, USA</w:t>
      </w:r>
    </w:p>
    <w:p w14:paraId="122A4001" w14:textId="330FF946" w:rsidR="00C7148B" w:rsidRDefault="00C7148B" w:rsidP="00562F3D">
      <w:pPr>
        <w:rPr>
          <w:i/>
        </w:rPr>
      </w:pPr>
      <w:r w:rsidRPr="00A11A15">
        <w:rPr>
          <w:vertAlign w:val="superscript"/>
        </w:rPr>
        <w:t>‡</w:t>
      </w:r>
      <w:r w:rsidRPr="00CF0621">
        <w:rPr>
          <w:i/>
        </w:rPr>
        <w:t>Department of Materials Science and Engineering, University of Central Florida, Orlando, Florida 32816, USA</w:t>
      </w:r>
    </w:p>
    <w:p w14:paraId="06DABABD" w14:textId="61739F8D" w:rsidR="009E1534" w:rsidRDefault="00562F3D" w:rsidP="00562F3D">
      <w:pPr>
        <w:rPr>
          <w:i/>
        </w:rPr>
      </w:pPr>
      <w:r w:rsidRPr="009E1534">
        <w:rPr>
          <w:szCs w:val="18"/>
          <w:vertAlign w:val="superscript"/>
          <w:lang w:val="en-US"/>
        </w:rPr>
        <w:t>¥</w:t>
      </w:r>
      <w:r>
        <w:rPr>
          <w:szCs w:val="18"/>
          <w:vertAlign w:val="superscript"/>
          <w:lang w:val="en-US"/>
        </w:rPr>
        <w:t xml:space="preserve"> </w:t>
      </w:r>
      <w:r w:rsidRPr="00562F3D">
        <w:rPr>
          <w:i/>
        </w:rPr>
        <w:t xml:space="preserve">National Aeronautics and Space Administration, </w:t>
      </w:r>
      <w:r w:rsidR="009E1534">
        <w:rPr>
          <w:i/>
        </w:rPr>
        <w:t>John F. Kennedy Space Center, Kennedy Space Center, F</w:t>
      </w:r>
      <w:r>
        <w:rPr>
          <w:i/>
        </w:rPr>
        <w:t>lorida,</w:t>
      </w:r>
      <w:r w:rsidR="009E1534">
        <w:rPr>
          <w:i/>
        </w:rPr>
        <w:t xml:space="preserve"> 32899, USA</w:t>
      </w:r>
    </w:p>
    <w:p w14:paraId="79E618F0" w14:textId="77777777" w:rsidR="00C7148B" w:rsidRPr="00A11A15" w:rsidRDefault="00C7148B" w:rsidP="00562F3D">
      <w:pPr>
        <w:rPr>
          <w:i/>
        </w:rPr>
      </w:pPr>
      <w:r>
        <w:rPr>
          <w:i/>
          <w:vertAlign w:val="superscript"/>
        </w:rPr>
        <w:t>‼</w:t>
      </w:r>
      <w:r>
        <w:rPr>
          <w:i/>
        </w:rPr>
        <w:t xml:space="preserve">CREOL, </w:t>
      </w:r>
      <w:r w:rsidRPr="00CF0621">
        <w:rPr>
          <w:i/>
        </w:rPr>
        <w:t>College of Optics and Photonics, University of Central Florida, Or</w:t>
      </w:r>
      <w:r>
        <w:rPr>
          <w:i/>
        </w:rPr>
        <w:t>lando, Florida 32816, USA</w:t>
      </w:r>
    </w:p>
    <w:p w14:paraId="6FCE5B45" w14:textId="320C8D8F" w:rsidR="000961DD" w:rsidRPr="00F46502" w:rsidRDefault="00AE2C6D" w:rsidP="00562F3D">
      <w:pPr>
        <w:rPr>
          <w:szCs w:val="18"/>
          <w:lang w:val="en-US"/>
        </w:rPr>
      </w:pPr>
      <w:r w:rsidRPr="00F46502">
        <w:rPr>
          <w:i/>
          <w:szCs w:val="18"/>
        </w:rPr>
        <w:t>Email:</w:t>
      </w:r>
      <w:r w:rsidR="00C7148B">
        <w:rPr>
          <w:i/>
          <w:szCs w:val="18"/>
        </w:rPr>
        <w:t>Jayan.Thomas@ucf.edu</w:t>
      </w:r>
      <w:r w:rsidRPr="00F46502">
        <w:rPr>
          <w:szCs w:val="18"/>
        </w:rPr>
        <w:t xml:space="preserve"> </w:t>
      </w:r>
    </w:p>
    <w:p w14:paraId="5A9056DF" w14:textId="77777777" w:rsidR="000961DD" w:rsidRPr="00F46502" w:rsidRDefault="000961DD">
      <w:pPr>
        <w:rPr>
          <w:sz w:val="36"/>
          <w:lang w:val="en-US"/>
        </w:rPr>
      </w:pPr>
    </w:p>
    <w:p w14:paraId="6F97C3F8" w14:textId="78ED4115" w:rsidR="00C75C6C" w:rsidRDefault="00CF2DF4" w:rsidP="00B64446">
      <w:pPr>
        <w:spacing w:line="360" w:lineRule="auto"/>
        <w:jc w:val="both"/>
      </w:pPr>
      <w:r>
        <w:t>In this era of budding smart technologies, flexible and smart wearable textiles are a long awaited product</w:t>
      </w:r>
      <w:r w:rsidR="005E3738">
        <w:t xml:space="preserve"> which </w:t>
      </w:r>
      <w:r w:rsidR="008F68FE">
        <w:t>are anticipated to reach</w:t>
      </w:r>
      <w:r w:rsidR="005E3738">
        <w:t xml:space="preserve"> a $10 B market in few years</w:t>
      </w:r>
      <w:r w:rsidR="00C7148B">
        <w:t>.</w:t>
      </w:r>
      <w:r w:rsidR="000E3E35" w:rsidRPr="000E3E35">
        <w:rPr>
          <w:vertAlign w:val="superscript"/>
        </w:rPr>
        <w:t>1</w:t>
      </w:r>
      <w:r w:rsidR="00112B88">
        <w:rPr>
          <w:vertAlign w:val="superscript"/>
        </w:rPr>
        <w:t xml:space="preserve"> </w:t>
      </w:r>
      <w:r w:rsidR="005E3738">
        <w:t xml:space="preserve">Supercapacitors </w:t>
      </w:r>
      <w:r w:rsidR="00112B88">
        <w:t>are</w:t>
      </w:r>
      <w:r w:rsidR="005E3738">
        <w:t xml:space="preserve"> an excellent </w:t>
      </w:r>
      <w:r w:rsidR="00112B88">
        <w:t>power source</w:t>
      </w:r>
      <w:r w:rsidR="005E3738">
        <w:t xml:space="preserve"> for these smart textiles</w:t>
      </w:r>
      <w:r w:rsidR="008F68FE">
        <w:t>,</w:t>
      </w:r>
      <w:r w:rsidR="005E3738">
        <w:t xml:space="preserve"> because they are light in weight, safe in operation, </w:t>
      </w:r>
      <w:r w:rsidR="00564E2E">
        <w:t xml:space="preserve">provide </w:t>
      </w:r>
      <w:r w:rsidR="005E3738">
        <w:t>longer life cycle, high flexib</w:t>
      </w:r>
      <w:r w:rsidR="00564E2E">
        <w:t>ility</w:t>
      </w:r>
      <w:r w:rsidR="008F68FE">
        <w:t>,</w:t>
      </w:r>
      <w:r w:rsidR="005E3738">
        <w:t xml:space="preserve"> and faster charge discharge capabilities</w:t>
      </w:r>
      <w:r w:rsidR="00C7148B">
        <w:t>.</w:t>
      </w:r>
      <w:r w:rsidR="00D0177D" w:rsidRPr="00D0177D">
        <w:rPr>
          <w:vertAlign w:val="superscript"/>
        </w:rPr>
        <w:t>2</w:t>
      </w:r>
      <w:r w:rsidR="00C7148B">
        <w:t xml:space="preserve"> </w:t>
      </w:r>
      <w:r w:rsidR="00550CB5">
        <w:t xml:space="preserve">In recent years, highly flexible supercapacitors </w:t>
      </w:r>
      <w:r w:rsidR="008F68FE">
        <w:t>were</w:t>
      </w:r>
      <w:r w:rsidR="00550CB5">
        <w:t xml:space="preserve"> deveoped by coating</w:t>
      </w:r>
      <w:r w:rsidR="00842789">
        <w:t xml:space="preserve"> electrochemically</w:t>
      </w:r>
      <w:r w:rsidR="00550CB5">
        <w:t xml:space="preserve"> active materials on carbon fib</w:t>
      </w:r>
      <w:r w:rsidR="008F68FE">
        <w:t>er</w:t>
      </w:r>
      <w:r w:rsidR="00550CB5">
        <w:t>s, meta</w:t>
      </w:r>
      <w:r w:rsidR="00E8384B">
        <w:t>l wires, and cotton yarn fibres which could be weaved along with regular cotton fibres into the fabrics.</w:t>
      </w:r>
      <w:r w:rsidR="00842789">
        <w:rPr>
          <w:vertAlign w:val="superscript"/>
        </w:rPr>
        <w:t>3</w:t>
      </w:r>
      <w:r w:rsidR="00792A7C">
        <w:rPr>
          <w:vertAlign w:val="superscript"/>
        </w:rPr>
        <w:t>,4</w:t>
      </w:r>
      <w:r w:rsidR="00E8384B">
        <w:t xml:space="preserve"> </w:t>
      </w:r>
      <w:r w:rsidR="008F68FE">
        <w:t>U</w:t>
      </w:r>
      <w:r w:rsidR="00842789">
        <w:t>sing high strength carbon fib</w:t>
      </w:r>
      <w:r w:rsidR="008F68FE">
        <w:t>er</w:t>
      </w:r>
      <w:r w:rsidR="00842789">
        <w:t>s,</w:t>
      </w:r>
      <w:r w:rsidR="008F68FE">
        <w:t xml:space="preserve"> composites</w:t>
      </w:r>
      <w:r w:rsidR="00842789">
        <w:t xml:space="preserve"> </w:t>
      </w:r>
      <w:r w:rsidR="008F68FE">
        <w:t>can</w:t>
      </w:r>
      <w:r w:rsidR="00842789">
        <w:t xml:space="preserve"> be </w:t>
      </w:r>
      <w:r w:rsidR="008F68FE">
        <w:t>employed</w:t>
      </w:r>
      <w:r w:rsidR="008F68FE">
        <w:t xml:space="preserve"> </w:t>
      </w:r>
      <w:r w:rsidR="00842789">
        <w:t xml:space="preserve">for </w:t>
      </w:r>
      <w:r w:rsidR="008F68FE">
        <w:t xml:space="preserve">unique, </w:t>
      </w:r>
      <w:r w:rsidR="00842789">
        <w:t>high stren</w:t>
      </w:r>
      <w:r w:rsidR="00112B88">
        <w:t>g</w:t>
      </w:r>
      <w:r w:rsidR="00842789">
        <w:t>th application</w:t>
      </w:r>
      <w:r w:rsidR="008F68FE">
        <w:t>s</w:t>
      </w:r>
      <w:r w:rsidR="00842789">
        <w:t>.</w:t>
      </w:r>
      <w:r w:rsidR="00DE1F45" w:rsidRPr="005D106D">
        <w:rPr>
          <w:vertAlign w:val="superscript"/>
        </w:rPr>
        <w:t>8</w:t>
      </w:r>
      <w:r w:rsidR="007A022A">
        <w:t xml:space="preserve"> </w:t>
      </w:r>
      <w:r w:rsidR="00792A7C">
        <w:t>The present study includes the fabrication of a unique composite electrode with manganese oxide and molybdenum oxide coated on a vertically aligned graphene structure on carbon fib</w:t>
      </w:r>
      <w:r w:rsidR="008F68FE">
        <w:t>er</w:t>
      </w:r>
      <w:r w:rsidR="00230E39">
        <w:t xml:space="preserve">. </w:t>
      </w:r>
      <w:r w:rsidR="00C7148B">
        <w:t>Manganese oxide</w:t>
      </w:r>
      <w:r w:rsidR="00230E39">
        <w:t xml:space="preserve"> and molybdenum oxide</w:t>
      </w:r>
      <w:r w:rsidR="00B02D8F">
        <w:t xml:space="preserve"> are known for their excellent electrochemical properties and are very cost effective</w:t>
      </w:r>
      <w:r w:rsidR="00C7148B">
        <w:t>.</w:t>
      </w:r>
      <w:r w:rsidR="00792A7C">
        <w:rPr>
          <w:vertAlign w:val="superscript"/>
        </w:rPr>
        <w:t>5,6</w:t>
      </w:r>
      <w:r w:rsidR="00C7148B">
        <w:t xml:space="preserve"> Highly flexible carbon fibers</w:t>
      </w:r>
      <w:r w:rsidR="00B02D8F">
        <w:t xml:space="preserve"> </w:t>
      </w:r>
      <w:r w:rsidR="008F68FE">
        <w:t>were</w:t>
      </w:r>
      <w:r w:rsidR="00B02D8F">
        <w:t xml:space="preserve"> used </w:t>
      </w:r>
      <w:r w:rsidR="008F68FE">
        <w:t>as a substrate for</w:t>
      </w:r>
      <w:r w:rsidR="00B02D8F">
        <w:t xml:space="preserve"> deposit</w:t>
      </w:r>
      <w:r w:rsidR="008F68FE">
        <w:t>ion of</w:t>
      </w:r>
      <w:r w:rsidR="00B02D8F">
        <w:t xml:space="preserve"> vertically aligned graphene </w:t>
      </w:r>
      <w:r w:rsidR="008F68FE">
        <w:t>resulting in</w:t>
      </w:r>
      <w:r w:rsidR="008F68FE">
        <w:t xml:space="preserve"> </w:t>
      </w:r>
      <w:r w:rsidR="00B02D8F">
        <w:t>a high surface area of about 54.59 m</w:t>
      </w:r>
      <w:r w:rsidR="00B02D8F">
        <w:rPr>
          <w:vertAlign w:val="superscript"/>
        </w:rPr>
        <w:t>2</w:t>
      </w:r>
      <w:r w:rsidR="00B02D8F">
        <w:t>/g</w:t>
      </w:r>
      <w:r w:rsidR="00230E39">
        <w:t>.</w:t>
      </w:r>
      <w:r w:rsidR="00B02D8F">
        <w:rPr>
          <w:vertAlign w:val="superscript"/>
        </w:rPr>
        <w:t>7</w:t>
      </w:r>
      <w:r w:rsidR="00287A61">
        <w:t xml:space="preserve"> This vertically aligned graphene on carbon fiber (VGCF) delieverd high areal capacitance of 166 mF/cm</w:t>
      </w:r>
      <w:r w:rsidR="00287A61">
        <w:rPr>
          <w:vertAlign w:val="superscript"/>
        </w:rPr>
        <w:t>2</w:t>
      </w:r>
      <w:r w:rsidR="00287A61">
        <w:t>, in 1M Na</w:t>
      </w:r>
      <w:r w:rsidR="00287A61">
        <w:rPr>
          <w:vertAlign w:val="subscript"/>
        </w:rPr>
        <w:t>2</w:t>
      </w:r>
      <w:r w:rsidR="00287A61">
        <w:t>SO</w:t>
      </w:r>
      <w:r w:rsidR="00287A61">
        <w:rPr>
          <w:vertAlign w:val="subscript"/>
        </w:rPr>
        <w:t>4</w:t>
      </w:r>
      <w:r w:rsidR="00287A61">
        <w:t xml:space="preserve"> aqueous electrolyte. To further enhance th</w:t>
      </w:r>
      <w:r w:rsidR="00112B88">
        <w:t xml:space="preserve">eir charge storage capabilities, </w:t>
      </w:r>
      <w:r w:rsidR="00287A61">
        <w:t xml:space="preserve">manganese oxide </w:t>
      </w:r>
      <w:r w:rsidR="00112B88">
        <w:t xml:space="preserve">and molybdenum oxide </w:t>
      </w:r>
      <w:r w:rsidR="00287A61">
        <w:t>w</w:t>
      </w:r>
      <w:r w:rsidR="00112B88">
        <w:t>ere</w:t>
      </w:r>
      <w:r w:rsidR="00287A61">
        <w:t xml:space="preserve"> coated via hydrothermal route to fabricate a </w:t>
      </w:r>
      <w:r w:rsidR="00564E2E">
        <w:t>high performing cathode and anode</w:t>
      </w:r>
      <w:r w:rsidR="00287A61">
        <w:t xml:space="preserve">. </w:t>
      </w:r>
      <w:r w:rsidR="00564E2E">
        <w:t xml:space="preserve">The composite electrodes </w:t>
      </w:r>
      <w:r w:rsidR="008F68FE">
        <w:t>a</w:t>
      </w:r>
      <w:r w:rsidR="00564E2E">
        <w:t xml:space="preserve">s prepared exhibited multifold enhancement </w:t>
      </w:r>
      <w:r w:rsidR="004A0A3A">
        <w:t>in</w:t>
      </w:r>
      <w:r w:rsidR="00564E2E">
        <w:t xml:space="preserve"> their c</w:t>
      </w:r>
      <w:r w:rsidR="004A0A3A">
        <w:t>har</w:t>
      </w:r>
      <w:r w:rsidR="00564E2E">
        <w:t xml:space="preserve">ge storage </w:t>
      </w:r>
      <w:r w:rsidR="004A0A3A">
        <w:t>c</w:t>
      </w:r>
      <w:r w:rsidR="00564E2E">
        <w:t>a</w:t>
      </w:r>
      <w:r w:rsidR="004A0A3A">
        <w:t>pa</w:t>
      </w:r>
      <w:r w:rsidR="00564E2E">
        <w:t>bility.</w:t>
      </w:r>
      <w:r w:rsidR="00C7148B">
        <w:t xml:space="preserve"> </w:t>
      </w:r>
      <w:r w:rsidR="00230E39">
        <w:t>All electrode</w:t>
      </w:r>
      <w:r w:rsidR="001077B9">
        <w:t>s</w:t>
      </w:r>
      <w:r w:rsidR="00C7148B">
        <w:t xml:space="preserve"> </w:t>
      </w:r>
      <w:r w:rsidR="00112B88">
        <w:t xml:space="preserve">were </w:t>
      </w:r>
      <w:r w:rsidR="00C7148B">
        <w:t xml:space="preserve">characterized by </w:t>
      </w:r>
      <w:r w:rsidR="00287A61">
        <w:t>scanning electron microscopy</w:t>
      </w:r>
      <w:r w:rsidR="00230E39">
        <w:t xml:space="preserve">, </w:t>
      </w:r>
      <w:r w:rsidR="00287A61">
        <w:t>X-ray diffraction</w:t>
      </w:r>
      <w:r w:rsidR="008F68FE">
        <w:t>,</w:t>
      </w:r>
      <w:r w:rsidR="00C7148B">
        <w:t xml:space="preserve"> and Raman spectroscopy. </w:t>
      </w:r>
      <w:r w:rsidR="007B571F">
        <w:t>Individual electrode character</w:t>
      </w:r>
      <w:r w:rsidR="00112B88">
        <w:t>i</w:t>
      </w:r>
      <w:r w:rsidR="007B571F">
        <w:t>stics and asy</w:t>
      </w:r>
      <w:r w:rsidR="00112B88">
        <w:t>m</w:t>
      </w:r>
      <w:r w:rsidR="007B571F">
        <w:t>metric device character</w:t>
      </w:r>
      <w:r w:rsidR="00112B88">
        <w:t>i</w:t>
      </w:r>
      <w:r w:rsidR="007B571F">
        <w:t xml:space="preserve">stics were </w:t>
      </w:r>
      <w:r w:rsidR="00112B88">
        <w:t xml:space="preserve">evaluated </w:t>
      </w:r>
      <w:r w:rsidR="007B571F">
        <w:t>using electrochemical impedance spectroscopy, galvan</w:t>
      </w:r>
      <w:r w:rsidR="00564E2E">
        <w:t>ostat</w:t>
      </w:r>
      <w:r w:rsidR="007B571F">
        <w:t>ic charge-discharg</w:t>
      </w:r>
      <w:r w:rsidR="006D3A91">
        <w:t>e tests</w:t>
      </w:r>
      <w:r w:rsidR="008F68FE">
        <w:t>,</w:t>
      </w:r>
      <w:r w:rsidR="006D3A91">
        <w:t xml:space="preserve"> and cyclic voltammetry. </w:t>
      </w:r>
    </w:p>
    <w:p w14:paraId="3498A55F" w14:textId="5A0D300C" w:rsidR="00E2246D" w:rsidRDefault="008F68FE" w:rsidP="00B64446">
      <w:pPr>
        <w:spacing w:line="360" w:lineRule="auto"/>
        <w:jc w:val="both"/>
      </w:pPr>
      <w:r>
        <w:lastRenderedPageBreak/>
        <w:t>The n</w:t>
      </w:r>
      <w:r w:rsidR="006D3A91">
        <w:t xml:space="preserve">ext step was to fabricate an asymmetric device, which </w:t>
      </w:r>
      <w:r>
        <w:t>combined</w:t>
      </w:r>
      <w:r w:rsidR="006D3A91">
        <w:t xml:space="preserve"> </w:t>
      </w:r>
      <w:r>
        <w:t>the</w:t>
      </w:r>
      <w:r w:rsidR="006D3A91">
        <w:t xml:space="preserve"> supercapacitor </w:t>
      </w:r>
      <w:r>
        <w:t xml:space="preserve">with </w:t>
      </w:r>
      <w:r w:rsidR="006D3A91">
        <w:t>an ultralight weight</w:t>
      </w:r>
      <w:r w:rsidR="00C75C6C">
        <w:t xml:space="preserve"> superstrong energy storing carbon fiber composite. The fabricated anode and cathode were directly assembled on an epoxy ladeened carbon fiber mat with glass fiber layers</w:t>
      </w:r>
      <w:r>
        <w:t xml:space="preserve"> acting</w:t>
      </w:r>
      <w:r w:rsidR="00C75C6C">
        <w:t xml:space="preserve"> as </w:t>
      </w:r>
      <w:r>
        <w:t>the</w:t>
      </w:r>
      <w:r w:rsidR="00C75C6C">
        <w:t> separator. 1M sodium sulfate-polyacrylamide (PAM) gel electrolyte was applied in a unique location pattern on the glass</w:t>
      </w:r>
      <w:r>
        <w:t xml:space="preserve"> </w:t>
      </w:r>
      <w:r w:rsidR="00C75C6C">
        <w:t xml:space="preserve">fiber to allign and sandwhich between the electrodes. </w:t>
      </w:r>
      <w:commentRangeStart w:id="0"/>
      <w:r w:rsidR="00C75C6C">
        <w:t xml:space="preserve">The assembly was carfully sandwiched and multiple layers were stacked upon to achieve a 3 mm thickness of electrochemical energy storing carbon fiber composite. </w:t>
      </w:r>
      <w:commentRangeEnd w:id="0"/>
      <w:r>
        <w:rPr>
          <w:rStyle w:val="CommentReference"/>
        </w:rPr>
        <w:commentReference w:id="0"/>
      </w:r>
      <w:r w:rsidR="00C75C6C">
        <w:t xml:space="preserve">The epoxy ladened assembly was hot-pressed </w:t>
      </w:r>
      <w:r w:rsidR="00E2246D">
        <w:t xml:space="preserve">and cured overnight at 80 </w:t>
      </w:r>
      <w:r w:rsidR="00EB7612">
        <w:t>℃</w:t>
      </w:r>
      <w:r w:rsidR="00E2246D">
        <w:t>.</w:t>
      </w:r>
    </w:p>
    <w:p w14:paraId="6A1F07A4" w14:textId="77777777" w:rsidR="00EB7612" w:rsidRDefault="00EB7612" w:rsidP="00B64446">
      <w:pPr>
        <w:spacing w:line="360" w:lineRule="auto"/>
        <w:jc w:val="both"/>
      </w:pPr>
    </w:p>
    <w:p w14:paraId="6C261B63" w14:textId="2CE16179" w:rsidR="00E2246D" w:rsidRDefault="00E2246D" w:rsidP="00B64446">
      <w:pPr>
        <w:spacing w:line="360" w:lineRule="auto"/>
        <w:jc w:val="both"/>
      </w:pPr>
      <w:r>
        <w:t>The cured composite was cut into bar shapes with approriate dimesions. Several of such samples were prepared and were subjected to various mechanical testing</w:t>
      </w:r>
      <w:r w:rsidR="00EB7612">
        <w:t xml:space="preserve"> including</w:t>
      </w:r>
      <w:r>
        <w:t xml:space="preserve"> </w:t>
      </w:r>
      <w:r w:rsidR="00EB7612">
        <w:t>t</w:t>
      </w:r>
      <w:r>
        <w:t xml:space="preserve">ension, </w:t>
      </w:r>
      <w:r w:rsidR="00EB7612">
        <w:t>f</w:t>
      </w:r>
      <w:r>
        <w:t xml:space="preserve">lexural (3-point bend test), and </w:t>
      </w:r>
      <w:r w:rsidR="00EB7612">
        <w:t>i</w:t>
      </w:r>
      <w:r>
        <w:t>mpac</w:t>
      </w:r>
      <w:r w:rsidR="00EB7612">
        <w:t>t</w:t>
      </w:r>
      <w:r>
        <w:t>.</w:t>
      </w:r>
      <w:r w:rsidR="00B209A2">
        <w:t xml:space="preserve"> Tension test was performed on an INSTRON universal testing machine</w:t>
      </w:r>
      <w:r w:rsidR="00EB7612">
        <w:t xml:space="preserve"> using a </w:t>
      </w:r>
      <w:r w:rsidR="00B209A2">
        <w:t>procedure adopted from ASTM D3039</w:t>
      </w:r>
      <w:r w:rsidR="00EB7612">
        <w:t xml:space="preserve">; </w:t>
      </w:r>
      <w:r w:rsidR="00E21BC0">
        <w:t>longitudinal stiffness and tensile strength were estimated</w:t>
      </w:r>
      <w:r w:rsidR="00B209A2">
        <w:t xml:space="preserve">. </w:t>
      </w:r>
      <w:r w:rsidR="00EB7612">
        <w:t xml:space="preserve">The same </w:t>
      </w:r>
      <w:r w:rsidR="00E21BC0">
        <w:t>INSTRON machine was used for the 3</w:t>
      </w:r>
      <w:r w:rsidR="00EB7612">
        <w:t>-</w:t>
      </w:r>
      <w:r w:rsidR="00E21BC0">
        <w:t>point bend test to calcul</w:t>
      </w:r>
      <w:r w:rsidR="00EB7612">
        <w:t>a</w:t>
      </w:r>
      <w:r w:rsidR="00E21BC0">
        <w:t>te the flexural stiffness and flexural strength</w:t>
      </w:r>
      <w:r w:rsidR="00EB7612">
        <w:t>. T</w:t>
      </w:r>
      <w:r w:rsidR="00412E41">
        <w:t>esting standards were refer</w:t>
      </w:r>
      <w:r w:rsidR="00EB7612">
        <w:t>enced</w:t>
      </w:r>
      <w:r w:rsidR="00412E41">
        <w:t xml:space="preserve"> from ASTM D790. Izod test was performed as the impact test to estimate the work of fracture (WOF) of the composite bar. </w:t>
      </w:r>
      <w:r w:rsidR="00DE1F45">
        <w:t>Izod</w:t>
      </w:r>
      <w:r w:rsidR="00412E41">
        <w:t xml:space="preserve"> test conditions were adopted per codes given in ASTM D256.</w:t>
      </w:r>
    </w:p>
    <w:p w14:paraId="72BFA6CE" w14:textId="3D6F19EF" w:rsidR="00592FE2" w:rsidRDefault="00592FE2" w:rsidP="00E2246D">
      <w:pPr>
        <w:spacing w:line="360" w:lineRule="auto"/>
        <w:ind w:firstLine="720"/>
        <w:jc w:val="both"/>
      </w:pPr>
    </w:p>
    <w:p w14:paraId="4A67F532" w14:textId="77777777" w:rsidR="00562F3D" w:rsidRDefault="00562F3D">
      <w:pPr>
        <w:suppressAutoHyphens w:val="0"/>
        <w:rPr>
          <w:u w:val="single"/>
        </w:rPr>
      </w:pPr>
      <w:r>
        <w:rPr>
          <w:u w:val="single"/>
        </w:rPr>
        <w:br w:type="page"/>
      </w:r>
    </w:p>
    <w:p w14:paraId="6A42AB48" w14:textId="1723906A" w:rsidR="00592FE2" w:rsidRPr="00F75515" w:rsidRDefault="00592FE2" w:rsidP="00562F3D">
      <w:pPr>
        <w:spacing w:line="360" w:lineRule="auto"/>
        <w:jc w:val="both"/>
        <w:rPr>
          <w:u w:val="single"/>
        </w:rPr>
      </w:pPr>
      <w:r w:rsidRPr="00F75515">
        <w:rPr>
          <w:u w:val="single"/>
        </w:rPr>
        <w:lastRenderedPageBreak/>
        <w:t>The following images will go as a separate file</w:t>
      </w:r>
      <w:r w:rsidR="00F75515" w:rsidRPr="00F75515">
        <w:rPr>
          <w:u w:val="single"/>
        </w:rPr>
        <w:t xml:space="preserve"> jpg file</w:t>
      </w:r>
      <w:r w:rsidRPr="00F75515">
        <w:rPr>
          <w:u w:val="single"/>
        </w:rPr>
        <w:t>:</w:t>
      </w:r>
    </w:p>
    <w:p w14:paraId="4502D5B9" w14:textId="18CDEC2E" w:rsidR="00FB7879" w:rsidRDefault="00FB7879" w:rsidP="00E2246D">
      <w:pPr>
        <w:spacing w:line="360" w:lineRule="auto"/>
        <w:ind w:firstLine="720"/>
        <w:jc w:val="both"/>
      </w:pPr>
    </w:p>
    <w:p w14:paraId="2EEA6F9D" w14:textId="00F923C8" w:rsidR="00FB7879" w:rsidRDefault="00FB7879" w:rsidP="00FB7879">
      <w:pPr>
        <w:spacing w:line="360" w:lineRule="auto"/>
      </w:pPr>
      <w:r w:rsidRPr="00FB7879">
        <w:rPr>
          <w:noProof/>
        </w:rPr>
        <w:drawing>
          <wp:inline distT="0" distB="0" distL="0" distR="0" wp14:anchorId="2BA24FB2" wp14:editId="63885A32">
            <wp:extent cx="5943600" cy="1393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E6D8B" w14:textId="208C25DE" w:rsidR="00FB7879" w:rsidRDefault="00FB7879" w:rsidP="00FB7879">
      <w:pPr>
        <w:spacing w:line="360" w:lineRule="auto"/>
      </w:pPr>
      <w:r w:rsidRPr="00FB7879">
        <w:rPr>
          <w:noProof/>
        </w:rPr>
        <w:drawing>
          <wp:inline distT="0" distB="0" distL="0" distR="0" wp14:anchorId="3B958320" wp14:editId="129EEEF1">
            <wp:extent cx="5943600" cy="19418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9A6EA" w14:textId="50A96D5D" w:rsidR="00920215" w:rsidRDefault="00F75515" w:rsidP="00E2246D">
      <w:pPr>
        <w:spacing w:line="360" w:lineRule="auto"/>
        <w:ind w:firstLine="720"/>
        <w:jc w:val="both"/>
      </w:pPr>
      <w:r w:rsidRPr="00F75515">
        <w:rPr>
          <w:noProof/>
        </w:rPr>
        <w:drawing>
          <wp:inline distT="0" distB="0" distL="0" distR="0" wp14:anchorId="0ED56BB2" wp14:editId="5D3DFEF8">
            <wp:extent cx="5943600" cy="36620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09EE" w14:textId="77777777" w:rsidR="00667287" w:rsidRDefault="00667287" w:rsidP="003245AF">
      <w:pPr>
        <w:jc w:val="both"/>
        <w:rPr>
          <w:rFonts w:asciiTheme="majorBidi" w:hAnsiTheme="majorBidi" w:cstheme="majorBidi"/>
          <w:b/>
          <w:szCs w:val="18"/>
        </w:rPr>
      </w:pPr>
    </w:p>
    <w:p w14:paraId="538817FA" w14:textId="77777777" w:rsidR="00DE1F45" w:rsidRDefault="00DE1F45">
      <w:pPr>
        <w:suppressAutoHyphens w:val="0"/>
        <w:rPr>
          <w:rFonts w:asciiTheme="majorBidi" w:hAnsiTheme="majorBidi" w:cstheme="majorBidi"/>
          <w:b/>
          <w:szCs w:val="18"/>
        </w:rPr>
      </w:pPr>
      <w:r>
        <w:rPr>
          <w:rFonts w:asciiTheme="majorBidi" w:hAnsiTheme="majorBidi" w:cstheme="majorBidi"/>
          <w:b/>
          <w:szCs w:val="18"/>
        </w:rPr>
        <w:br w:type="page"/>
      </w:r>
    </w:p>
    <w:p w14:paraId="5BCD7314" w14:textId="09CB339F" w:rsidR="003245AF" w:rsidRDefault="003245AF" w:rsidP="003245AF">
      <w:pPr>
        <w:jc w:val="both"/>
        <w:rPr>
          <w:b/>
          <w:kern w:val="2"/>
          <w:szCs w:val="18"/>
        </w:rPr>
      </w:pPr>
      <w:r>
        <w:rPr>
          <w:rFonts w:asciiTheme="majorBidi" w:hAnsiTheme="majorBidi" w:cstheme="majorBidi"/>
          <w:b/>
          <w:szCs w:val="18"/>
        </w:rPr>
        <w:lastRenderedPageBreak/>
        <w:t>References</w:t>
      </w:r>
    </w:p>
    <w:p w14:paraId="3F886E6A" w14:textId="0EEA6170" w:rsidR="00AC0C8F" w:rsidRPr="00F30E0A" w:rsidRDefault="004C6A6B" w:rsidP="009E646D">
      <w:pPr>
        <w:pStyle w:val="Reference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F30E0A">
        <w:rPr>
          <w:sz w:val="24"/>
          <w:szCs w:val="24"/>
        </w:rPr>
        <w:t>Z.</w:t>
      </w:r>
      <w:r w:rsidR="00F55913">
        <w:rPr>
          <w:sz w:val="24"/>
          <w:szCs w:val="24"/>
        </w:rPr>
        <w:t xml:space="preserve"> </w:t>
      </w:r>
      <w:r w:rsidRPr="00F30E0A">
        <w:rPr>
          <w:sz w:val="24"/>
          <w:szCs w:val="24"/>
        </w:rPr>
        <w:t>Yu, J. Thomas, </w:t>
      </w:r>
      <w:r w:rsidR="00F55913" w:rsidRPr="00F30E0A">
        <w:rPr>
          <w:i/>
          <w:iCs/>
          <w:sz w:val="24"/>
          <w:szCs w:val="24"/>
        </w:rPr>
        <w:t xml:space="preserve">Adv. Mater. </w:t>
      </w:r>
      <w:r w:rsidR="00F55913" w:rsidRPr="00F30E0A">
        <w:rPr>
          <w:sz w:val="24"/>
          <w:szCs w:val="24"/>
        </w:rPr>
        <w:t>201</w:t>
      </w:r>
      <w:r w:rsidR="00F55913">
        <w:rPr>
          <w:sz w:val="24"/>
          <w:szCs w:val="24"/>
        </w:rPr>
        <w:t>4</w:t>
      </w:r>
      <w:r w:rsidR="00F55913" w:rsidRPr="00F30E0A">
        <w:rPr>
          <w:sz w:val="24"/>
          <w:szCs w:val="24"/>
        </w:rPr>
        <w:t>, 2</w:t>
      </w:r>
      <w:r w:rsidR="00F55913">
        <w:rPr>
          <w:sz w:val="24"/>
          <w:szCs w:val="24"/>
        </w:rPr>
        <w:t>6</w:t>
      </w:r>
      <w:r w:rsidR="00F55913" w:rsidRPr="00F30E0A">
        <w:rPr>
          <w:sz w:val="24"/>
          <w:szCs w:val="24"/>
        </w:rPr>
        <w:t xml:space="preserve">, </w:t>
      </w:r>
      <w:r w:rsidR="00F55913">
        <w:rPr>
          <w:sz w:val="24"/>
          <w:szCs w:val="24"/>
        </w:rPr>
        <w:t>4279</w:t>
      </w:r>
      <w:r w:rsidR="00F55913" w:rsidRPr="00F30E0A">
        <w:rPr>
          <w:sz w:val="24"/>
          <w:szCs w:val="24"/>
        </w:rPr>
        <w:t>.</w:t>
      </w:r>
    </w:p>
    <w:p w14:paraId="5F9EA1C1" w14:textId="64918398" w:rsidR="003245AF" w:rsidRPr="00842789" w:rsidRDefault="00F30E0A" w:rsidP="009E646D">
      <w:pPr>
        <w:pStyle w:val="Reference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F30E0A">
        <w:rPr>
          <w:sz w:val="24"/>
          <w:szCs w:val="24"/>
        </w:rPr>
        <w:t xml:space="preserve">K. S. Kumar, N. Choudhary, Y. Jung, J. Thomas, </w:t>
      </w:r>
      <w:r w:rsidRPr="00F30E0A">
        <w:rPr>
          <w:i/>
          <w:iCs/>
          <w:color w:val="000000"/>
          <w:sz w:val="24"/>
          <w:szCs w:val="24"/>
        </w:rPr>
        <w:t>ACS Energy Lett.</w:t>
      </w:r>
      <w:r w:rsidRPr="00F30E0A">
        <w:rPr>
          <w:color w:val="000000"/>
          <w:sz w:val="24"/>
          <w:szCs w:val="24"/>
        </w:rPr>
        <w:t>, </w:t>
      </w:r>
      <w:r w:rsidRPr="004004D6">
        <w:rPr>
          <w:bCs/>
          <w:color w:val="000000"/>
          <w:sz w:val="24"/>
          <w:szCs w:val="24"/>
        </w:rPr>
        <w:t>2018</w:t>
      </w:r>
      <w:r w:rsidRPr="00F30E0A">
        <w:rPr>
          <w:color w:val="000000"/>
          <w:sz w:val="24"/>
          <w:szCs w:val="24"/>
        </w:rPr>
        <w:t>, </w:t>
      </w:r>
      <w:r w:rsidRPr="009E646D">
        <w:rPr>
          <w:iCs/>
          <w:color w:val="000000"/>
          <w:sz w:val="24"/>
          <w:szCs w:val="24"/>
        </w:rPr>
        <w:t>3</w:t>
      </w:r>
      <w:r w:rsidRPr="009E646D">
        <w:rPr>
          <w:color w:val="000000"/>
          <w:sz w:val="24"/>
          <w:szCs w:val="24"/>
        </w:rPr>
        <w:t> </w:t>
      </w:r>
      <w:r w:rsidRPr="00F30E0A">
        <w:rPr>
          <w:color w:val="000000"/>
          <w:sz w:val="24"/>
          <w:szCs w:val="24"/>
        </w:rPr>
        <w:t>(2), pp 482–495</w:t>
      </w:r>
      <w:r w:rsidR="009E646D">
        <w:rPr>
          <w:color w:val="000000"/>
          <w:sz w:val="24"/>
          <w:szCs w:val="24"/>
        </w:rPr>
        <w:t>.</w:t>
      </w:r>
    </w:p>
    <w:p w14:paraId="00130D45" w14:textId="5FDC40D6" w:rsidR="00842789" w:rsidRPr="00F30E0A" w:rsidRDefault="00842789" w:rsidP="009E646D">
      <w:pPr>
        <w:pStyle w:val="Reference"/>
        <w:numPr>
          <w:ilvl w:val="0"/>
          <w:numId w:val="2"/>
        </w:numPr>
        <w:ind w:left="426" w:hanging="426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Y.Yang</w:t>
      </w:r>
      <w:proofErr w:type="spellEnd"/>
      <w:proofErr w:type="gramEnd"/>
      <w:r>
        <w:rPr>
          <w:sz w:val="24"/>
          <w:szCs w:val="24"/>
        </w:rPr>
        <w:t xml:space="preserve">, Q. Huang, L. </w:t>
      </w:r>
      <w:proofErr w:type="spellStart"/>
      <w:r>
        <w:rPr>
          <w:sz w:val="24"/>
          <w:szCs w:val="24"/>
        </w:rPr>
        <w:t>Niu</w:t>
      </w:r>
      <w:proofErr w:type="spellEnd"/>
      <w:r>
        <w:rPr>
          <w:sz w:val="24"/>
          <w:szCs w:val="24"/>
        </w:rPr>
        <w:t xml:space="preserve">, D. Wang, C. Yan, Y. She, Z. Zheng, </w:t>
      </w:r>
      <w:r w:rsidRPr="00F30E0A">
        <w:rPr>
          <w:i/>
          <w:iCs/>
          <w:sz w:val="24"/>
          <w:szCs w:val="24"/>
        </w:rPr>
        <w:t xml:space="preserve">Adv. Mater. </w:t>
      </w:r>
      <w:r w:rsidRPr="00F30E0A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F30E0A">
        <w:rPr>
          <w:sz w:val="24"/>
          <w:szCs w:val="24"/>
        </w:rPr>
        <w:t>, 2</w:t>
      </w:r>
      <w:r>
        <w:rPr>
          <w:sz w:val="24"/>
          <w:szCs w:val="24"/>
        </w:rPr>
        <w:t>9</w:t>
      </w:r>
      <w:r w:rsidRPr="00F30E0A">
        <w:rPr>
          <w:sz w:val="24"/>
          <w:szCs w:val="24"/>
        </w:rPr>
        <w:t xml:space="preserve">, </w:t>
      </w:r>
      <w:r>
        <w:rPr>
          <w:sz w:val="24"/>
          <w:szCs w:val="24"/>
        </w:rPr>
        <w:t>1606679.</w:t>
      </w:r>
    </w:p>
    <w:p w14:paraId="3E0B5917" w14:textId="220B8728" w:rsidR="003245AF" w:rsidRDefault="003245AF" w:rsidP="009E646D">
      <w:pPr>
        <w:pStyle w:val="Reference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F30E0A">
        <w:rPr>
          <w:sz w:val="24"/>
          <w:szCs w:val="24"/>
        </w:rPr>
        <w:t xml:space="preserve">S. J. Varma, K. S. Kumar, S. Seal, S. Rajaraman, J. Thomas, </w:t>
      </w:r>
      <w:r w:rsidRPr="00F30E0A">
        <w:rPr>
          <w:i/>
          <w:sz w:val="24"/>
          <w:szCs w:val="24"/>
        </w:rPr>
        <w:t>Adv. Sci.</w:t>
      </w:r>
      <w:r w:rsidRPr="00F30E0A">
        <w:rPr>
          <w:sz w:val="24"/>
          <w:szCs w:val="24"/>
        </w:rPr>
        <w:t xml:space="preserve"> 2018, 5, 1800340.</w:t>
      </w:r>
    </w:p>
    <w:p w14:paraId="2F4CCA1F" w14:textId="68778F77" w:rsidR="00F55913" w:rsidRDefault="00F55913" w:rsidP="009E646D">
      <w:pPr>
        <w:pStyle w:val="Reference"/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Z. Yu, B. Duong, D. </w:t>
      </w:r>
      <w:proofErr w:type="spellStart"/>
      <w:r>
        <w:rPr>
          <w:sz w:val="24"/>
          <w:szCs w:val="24"/>
        </w:rPr>
        <w:t>Abbitt</w:t>
      </w:r>
      <w:proofErr w:type="spellEnd"/>
      <w:r>
        <w:rPr>
          <w:sz w:val="24"/>
          <w:szCs w:val="24"/>
        </w:rPr>
        <w:t xml:space="preserve">, J. Thomas, </w:t>
      </w:r>
      <w:r w:rsidRPr="00F30E0A">
        <w:rPr>
          <w:i/>
          <w:iCs/>
          <w:sz w:val="24"/>
          <w:szCs w:val="24"/>
        </w:rPr>
        <w:t xml:space="preserve">Adv. Mater. </w:t>
      </w:r>
      <w:r w:rsidRPr="00F30E0A">
        <w:rPr>
          <w:sz w:val="24"/>
          <w:szCs w:val="24"/>
        </w:rPr>
        <w:t>2013, 25, 3302.</w:t>
      </w:r>
    </w:p>
    <w:p w14:paraId="4DC7B9E5" w14:textId="197CD203" w:rsidR="00F55913" w:rsidRDefault="009E646D" w:rsidP="009E646D">
      <w:pPr>
        <w:pStyle w:val="Reference"/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I. Shakir, M. Shahid, S. </w:t>
      </w:r>
      <w:proofErr w:type="spellStart"/>
      <w:r>
        <w:rPr>
          <w:sz w:val="24"/>
          <w:szCs w:val="24"/>
        </w:rPr>
        <w:t>Cherevko</w:t>
      </w:r>
      <w:proofErr w:type="spellEnd"/>
      <w:r>
        <w:rPr>
          <w:sz w:val="24"/>
          <w:szCs w:val="24"/>
        </w:rPr>
        <w:t xml:space="preserve">, C-H. Chung, D. J. Kang, </w:t>
      </w:r>
      <w:proofErr w:type="spellStart"/>
      <w:r w:rsidRPr="009E646D">
        <w:rPr>
          <w:i/>
          <w:sz w:val="24"/>
          <w:szCs w:val="24"/>
        </w:rPr>
        <w:t>Electrochim</w:t>
      </w:r>
      <w:proofErr w:type="spellEnd"/>
      <w:r w:rsidRPr="009E646D">
        <w:rPr>
          <w:i/>
          <w:sz w:val="24"/>
          <w:szCs w:val="24"/>
        </w:rPr>
        <w:t>. Acta.</w:t>
      </w:r>
      <w:r>
        <w:rPr>
          <w:sz w:val="24"/>
          <w:szCs w:val="24"/>
        </w:rPr>
        <w:t xml:space="preserve"> 2011, 58, pp 76-80.</w:t>
      </w:r>
    </w:p>
    <w:p w14:paraId="14969970" w14:textId="77777777" w:rsidR="00DE1F45" w:rsidRPr="005D106D" w:rsidRDefault="00B02D8F" w:rsidP="00DE1F45">
      <w:pPr>
        <w:pStyle w:val="Reference"/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J. </w:t>
      </w:r>
      <w:r w:rsidRPr="005D106D">
        <w:rPr>
          <w:sz w:val="24"/>
          <w:szCs w:val="24"/>
        </w:rPr>
        <w:t xml:space="preserve">Cherusseri, K.S. Kumar, D. Pandey, J. Thomas, Small 2019, 15, </w:t>
      </w:r>
      <w:r w:rsidR="00287A61" w:rsidRPr="005D106D">
        <w:rPr>
          <w:sz w:val="24"/>
          <w:szCs w:val="24"/>
        </w:rPr>
        <w:t>1902606.</w:t>
      </w:r>
    </w:p>
    <w:p w14:paraId="5941FBD1" w14:textId="78748CE0" w:rsidR="00DE1F45" w:rsidRPr="005D106D" w:rsidRDefault="00DE1F45" w:rsidP="005D106D">
      <w:pPr>
        <w:pStyle w:val="Reference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5D106D">
        <w:rPr>
          <w:noProof/>
          <w:sz w:val="24"/>
          <w:szCs w:val="24"/>
        </w:rPr>
        <w:t xml:space="preserve">Moyer, K., Meng, C., Marshall, B., Assal, O., Eaves, J., Perez, D., Karkkainen, R., </w:t>
      </w:r>
      <w:r w:rsidRPr="005D106D">
        <w:rPr>
          <w:bCs/>
          <w:noProof/>
          <w:sz w:val="24"/>
          <w:szCs w:val="24"/>
        </w:rPr>
        <w:t>Roberson, L.,</w:t>
      </w:r>
      <w:r w:rsidRPr="005D106D">
        <w:rPr>
          <w:noProof/>
          <w:sz w:val="24"/>
          <w:szCs w:val="24"/>
        </w:rPr>
        <w:t xml:space="preserve"> Pint, C. L.  “Carbon fiber reinforced structural lithium-ion battery composite: Multifunctional power integration for CubeSats.” </w:t>
      </w:r>
      <w:r w:rsidRPr="005D106D">
        <w:rPr>
          <w:i/>
          <w:noProof/>
          <w:sz w:val="24"/>
          <w:szCs w:val="24"/>
        </w:rPr>
        <w:t>Energy Storage Materials.</w:t>
      </w:r>
      <w:r w:rsidRPr="005D106D">
        <w:rPr>
          <w:noProof/>
          <w:sz w:val="24"/>
          <w:szCs w:val="24"/>
        </w:rPr>
        <w:t xml:space="preserve"> </w:t>
      </w:r>
      <w:r w:rsidRPr="005D106D">
        <w:rPr>
          <w:b/>
          <w:noProof/>
          <w:sz w:val="24"/>
          <w:szCs w:val="24"/>
        </w:rPr>
        <w:t>2020</w:t>
      </w:r>
      <w:r w:rsidRPr="005D106D">
        <w:rPr>
          <w:noProof/>
          <w:sz w:val="24"/>
          <w:szCs w:val="24"/>
        </w:rPr>
        <w:t xml:space="preserve">, 24, 676-681. </w:t>
      </w:r>
      <w:hyperlink r:id="rId13" w:history="1">
        <w:r w:rsidRPr="005D106D">
          <w:rPr>
            <w:rStyle w:val="Hyperlink"/>
            <w:sz w:val="24"/>
            <w:szCs w:val="24"/>
          </w:rPr>
          <w:t>doi.org/10.1016/j.ensm.2019.08.003</w:t>
        </w:r>
      </w:hyperlink>
      <w:r w:rsidRPr="005D106D">
        <w:rPr>
          <w:sz w:val="24"/>
          <w:szCs w:val="24"/>
        </w:rPr>
        <w:t>.</w:t>
      </w:r>
    </w:p>
    <w:p w14:paraId="2D1C1D59" w14:textId="77777777" w:rsidR="003245AF" w:rsidRDefault="003245AF" w:rsidP="00C7148B">
      <w:pPr>
        <w:spacing w:line="360" w:lineRule="auto"/>
        <w:ind w:firstLine="720"/>
        <w:jc w:val="both"/>
      </w:pPr>
      <w:bookmarkStart w:id="1" w:name="_GoBack"/>
      <w:bookmarkEnd w:id="1"/>
    </w:p>
    <w:p w14:paraId="13E8717E" w14:textId="77777777" w:rsidR="000961DD" w:rsidRPr="00F46502" w:rsidRDefault="000961DD">
      <w:pPr>
        <w:jc w:val="both"/>
        <w:rPr>
          <w:sz w:val="36"/>
          <w:lang w:val="en-US"/>
        </w:rPr>
      </w:pPr>
    </w:p>
    <w:p w14:paraId="5756B4C1" w14:textId="77777777" w:rsidR="000961DD" w:rsidRPr="00F46502" w:rsidRDefault="000961DD">
      <w:pPr>
        <w:jc w:val="both"/>
        <w:rPr>
          <w:sz w:val="36"/>
          <w:lang w:val="en-US"/>
        </w:rPr>
      </w:pPr>
    </w:p>
    <w:p w14:paraId="346142FB" w14:textId="77777777" w:rsidR="00492A6C" w:rsidRPr="00F46502" w:rsidRDefault="00492A6C">
      <w:pPr>
        <w:jc w:val="both"/>
        <w:rPr>
          <w:sz w:val="36"/>
        </w:rPr>
      </w:pPr>
    </w:p>
    <w:sectPr w:rsidR="00492A6C" w:rsidRPr="00F46502" w:rsidSect="008E4F7E">
      <w:headerReference w:type="default" r:id="rId14"/>
      <w:footerReference w:type="default" r:id="rId15"/>
      <w:pgSz w:w="12240" w:h="15840"/>
      <w:pgMar w:top="1440" w:right="1440" w:bottom="1440" w:left="1440" w:header="284" w:footer="706" w:gutter="0"/>
      <w:cols w:space="720"/>
      <w:docGrid w:linePitch="360" w:charSpace="-61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oberson, Luke B. (KSC-UBG00)" w:date="2021-04-19T19:54:00Z" w:initials="RLB(">
    <w:p w14:paraId="35C8F8DB" w14:textId="70BA5519" w:rsidR="008F68FE" w:rsidRDefault="008F68FE">
      <w:pPr>
        <w:pStyle w:val="CommentText"/>
      </w:pPr>
      <w:r>
        <w:rPr>
          <w:rStyle w:val="CommentReference"/>
        </w:rPr>
        <w:annotationRef/>
      </w:r>
      <w:r w:rsidR="00EB7612">
        <w:t xml:space="preserve">Recommend adding if the sandwiched cells are in series or parallel.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C8F8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C8F8DB" w16cid:durableId="24285E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9B12D" w14:textId="77777777" w:rsidR="00C4182F" w:rsidRDefault="00C4182F">
      <w:r>
        <w:separator/>
      </w:r>
    </w:p>
  </w:endnote>
  <w:endnote w:type="continuationSeparator" w:id="0">
    <w:p w14:paraId="552D1512" w14:textId="77777777" w:rsidR="00C4182F" w:rsidRDefault="00C4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85B5C" w14:textId="77777777" w:rsidR="000961DD" w:rsidRDefault="000961DD">
    <w:pPr>
      <w:pStyle w:val="Footer"/>
      <w:pBdr>
        <w:top w:val="single" w:sz="4" w:space="1" w:color="00000A"/>
        <w:left w:val="none" w:sz="0" w:space="0" w:color="000000"/>
        <w:bottom w:val="none" w:sz="0" w:space="0" w:color="000000"/>
        <w:right w:val="none" w:sz="0" w:space="0" w:color="000000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62896" w14:textId="77777777" w:rsidR="00C4182F" w:rsidRDefault="00C4182F">
      <w:r>
        <w:separator/>
      </w:r>
    </w:p>
  </w:footnote>
  <w:footnote w:type="continuationSeparator" w:id="0">
    <w:p w14:paraId="3C7269D4" w14:textId="77777777" w:rsidR="00C4182F" w:rsidRDefault="00C41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C436E" w14:textId="07BFFA0C" w:rsidR="008E4F7E" w:rsidRPr="008E4F7E" w:rsidRDefault="008E4F7E" w:rsidP="008E4F7E">
    <w:pPr>
      <w:pStyle w:val="Header"/>
      <w:pBdr>
        <w:top w:val="none" w:sz="0" w:space="0" w:color="000000"/>
        <w:left w:val="none" w:sz="0" w:space="0" w:color="000000"/>
        <w:bottom w:val="single" w:sz="4" w:space="1" w:color="00000A"/>
        <w:right w:val="none" w:sz="0" w:space="0" w:color="000000"/>
      </w:pBdr>
      <w:tabs>
        <w:tab w:val="left" w:pos="5920"/>
      </w:tabs>
    </w:pPr>
    <w:r>
      <w:t xml:space="preserve"> </w:t>
    </w:r>
    <w:r w:rsidR="00720330">
      <w:t>ECS</w:t>
    </w:r>
    <w:r w:rsidR="00564E2E">
      <w:rPr>
        <w:noProof/>
        <w:lang w:val="en-US" w:eastAsia="en-US"/>
      </w:rPr>
      <w:t xml:space="preserve"> </w:t>
    </w:r>
    <w:r w:rsidR="00DE7CD7">
      <w:rPr>
        <w:noProof/>
        <w:lang w:val="en-US" w:eastAsia="en-US"/>
      </w:rPr>
      <w:t>202</w:t>
    </w:r>
    <w:r w:rsidR="00564E2E">
      <w:rPr>
        <w:noProof/>
        <w:lang w:val="en-US" w:eastAsia="en-US"/>
      </w:rPr>
      <w:t>1</w:t>
    </w:r>
    <w:r>
      <w:t xml:space="preserve">                                                                   </w:t>
    </w:r>
    <w:r w:rsidR="008E2671">
      <w:t xml:space="preserve">                                           </w:t>
    </w:r>
  </w:p>
  <w:p w14:paraId="6BE3D842" w14:textId="77777777" w:rsidR="000961DD" w:rsidRDefault="000961DD" w:rsidP="008E4F7E">
    <w:pPr>
      <w:pStyle w:val="Header"/>
      <w:pBdr>
        <w:top w:val="none" w:sz="0" w:space="0" w:color="000000"/>
        <w:left w:val="none" w:sz="0" w:space="0" w:color="000000"/>
        <w:bottom w:val="single" w:sz="4" w:space="1" w:color="00000A"/>
        <w:right w:val="none" w:sz="0" w:space="0" w:color="000000"/>
      </w:pBdr>
      <w:tabs>
        <w:tab w:val="clear" w:pos="4320"/>
        <w:tab w:val="clear" w:pos="8640"/>
        <w:tab w:val="left" w:pos="59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17CE3"/>
    <w:multiLevelType w:val="hybridMultilevel"/>
    <w:tmpl w:val="4A342D44"/>
    <w:lvl w:ilvl="0" w:tplc="EBD030B2">
      <w:start w:val="1"/>
      <w:numFmt w:val="decimal"/>
      <w:pStyle w:val="Referenc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0C9B"/>
    <w:multiLevelType w:val="hybridMultilevel"/>
    <w:tmpl w:val="6C56B7B0"/>
    <w:lvl w:ilvl="0" w:tplc="6D1E8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D247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A89B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DA1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63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24FD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908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2A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86E7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CB584B"/>
    <w:multiLevelType w:val="hybridMultilevel"/>
    <w:tmpl w:val="0F14E9B8"/>
    <w:lvl w:ilvl="0" w:tplc="93B4D4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son, Luke B. (KSC-UBG00)">
    <w15:presenceInfo w15:providerId="AD" w15:userId="S::lroberso@ndc.nasa.gov::5ad7cdd6-3063-438b-983d-410ac5de6f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1tDQHInNTYyNDIyUdpeDU4uLM/DyQAqNaAGmo5YwsAAAA"/>
  </w:docVars>
  <w:rsids>
    <w:rsidRoot w:val="00083AF0"/>
    <w:rsid w:val="00025D1A"/>
    <w:rsid w:val="000660DC"/>
    <w:rsid w:val="00072608"/>
    <w:rsid w:val="00083AF0"/>
    <w:rsid w:val="000961DD"/>
    <w:rsid w:val="000A2CCD"/>
    <w:rsid w:val="000E3E35"/>
    <w:rsid w:val="001077B9"/>
    <w:rsid w:val="00112B88"/>
    <w:rsid w:val="001203F4"/>
    <w:rsid w:val="001B1FC6"/>
    <w:rsid w:val="001E57ED"/>
    <w:rsid w:val="00230E39"/>
    <w:rsid w:val="002713F8"/>
    <w:rsid w:val="00287A61"/>
    <w:rsid w:val="00294A93"/>
    <w:rsid w:val="003245AF"/>
    <w:rsid w:val="00346F1B"/>
    <w:rsid w:val="003905D7"/>
    <w:rsid w:val="004004D6"/>
    <w:rsid w:val="00412E41"/>
    <w:rsid w:val="0042728B"/>
    <w:rsid w:val="00492A6C"/>
    <w:rsid w:val="004A0A3A"/>
    <w:rsid w:val="004A2428"/>
    <w:rsid w:val="004B1CF3"/>
    <w:rsid w:val="004C6A6B"/>
    <w:rsid w:val="005255EE"/>
    <w:rsid w:val="00550CB5"/>
    <w:rsid w:val="00562F3D"/>
    <w:rsid w:val="00564E2E"/>
    <w:rsid w:val="00592FE2"/>
    <w:rsid w:val="005C374B"/>
    <w:rsid w:val="005D106D"/>
    <w:rsid w:val="005E3738"/>
    <w:rsid w:val="006204D7"/>
    <w:rsid w:val="00633802"/>
    <w:rsid w:val="00663B50"/>
    <w:rsid w:val="00667287"/>
    <w:rsid w:val="0067524E"/>
    <w:rsid w:val="006D3A91"/>
    <w:rsid w:val="006E1305"/>
    <w:rsid w:val="00720330"/>
    <w:rsid w:val="00792A7C"/>
    <w:rsid w:val="007A022A"/>
    <w:rsid w:val="007B571F"/>
    <w:rsid w:val="00842789"/>
    <w:rsid w:val="008E2671"/>
    <w:rsid w:val="008E4F7E"/>
    <w:rsid w:val="008F68FE"/>
    <w:rsid w:val="00920215"/>
    <w:rsid w:val="00974FE8"/>
    <w:rsid w:val="009A62F7"/>
    <w:rsid w:val="009C0F39"/>
    <w:rsid w:val="009C7CC5"/>
    <w:rsid w:val="009E1534"/>
    <w:rsid w:val="009E646D"/>
    <w:rsid w:val="009F03E5"/>
    <w:rsid w:val="00A15DC0"/>
    <w:rsid w:val="00A1750A"/>
    <w:rsid w:val="00A23D60"/>
    <w:rsid w:val="00A87048"/>
    <w:rsid w:val="00AC0C8F"/>
    <w:rsid w:val="00AE2C6D"/>
    <w:rsid w:val="00B02D8F"/>
    <w:rsid w:val="00B12BBD"/>
    <w:rsid w:val="00B209A2"/>
    <w:rsid w:val="00B64446"/>
    <w:rsid w:val="00B873F5"/>
    <w:rsid w:val="00BE057D"/>
    <w:rsid w:val="00C4182F"/>
    <w:rsid w:val="00C46317"/>
    <w:rsid w:val="00C7148B"/>
    <w:rsid w:val="00C75C6C"/>
    <w:rsid w:val="00CD2842"/>
    <w:rsid w:val="00CF2DF4"/>
    <w:rsid w:val="00CF3342"/>
    <w:rsid w:val="00D0177D"/>
    <w:rsid w:val="00D47296"/>
    <w:rsid w:val="00D65876"/>
    <w:rsid w:val="00D7007B"/>
    <w:rsid w:val="00D83E12"/>
    <w:rsid w:val="00D96010"/>
    <w:rsid w:val="00DC316F"/>
    <w:rsid w:val="00DE1F45"/>
    <w:rsid w:val="00DE7CD7"/>
    <w:rsid w:val="00E21BC0"/>
    <w:rsid w:val="00E2246D"/>
    <w:rsid w:val="00E50769"/>
    <w:rsid w:val="00E8384B"/>
    <w:rsid w:val="00EB1949"/>
    <w:rsid w:val="00EB7612"/>
    <w:rsid w:val="00F30E0A"/>
    <w:rsid w:val="00F46502"/>
    <w:rsid w:val="00F55913"/>
    <w:rsid w:val="00F74260"/>
    <w:rsid w:val="00F75515"/>
    <w:rsid w:val="00FB7879"/>
    <w:rsid w:val="00FD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0E97952"/>
  <w15:docId w15:val="{C2B0D3C2-5C33-4F78-90EA-DACE3612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1DD"/>
    <w:pPr>
      <w:suppressAutoHyphens/>
    </w:pPr>
    <w:rPr>
      <w:kern w:val="1"/>
      <w:sz w:val="24"/>
      <w:szCs w:val="24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rsid w:val="000961DD"/>
    <w:rPr>
      <w:sz w:val="24"/>
      <w:szCs w:val="24"/>
      <w:lang w:val="sk-SK" w:eastAsia="sk-SK"/>
    </w:rPr>
  </w:style>
  <w:style w:type="character" w:customStyle="1" w:styleId="FooterChar">
    <w:name w:val="Footer Char"/>
    <w:rsid w:val="000961DD"/>
    <w:rPr>
      <w:sz w:val="24"/>
      <w:szCs w:val="24"/>
      <w:lang w:val="sk-SK" w:eastAsia="sk-SK"/>
    </w:rPr>
  </w:style>
  <w:style w:type="paragraph" w:customStyle="1" w:styleId="Heading">
    <w:name w:val="Heading"/>
    <w:basedOn w:val="Normal"/>
    <w:next w:val="BodyText"/>
    <w:rsid w:val="000961DD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BodyText">
    <w:name w:val="Body Text"/>
    <w:basedOn w:val="Normal"/>
    <w:rsid w:val="000961DD"/>
    <w:pPr>
      <w:spacing w:after="140" w:line="288" w:lineRule="auto"/>
    </w:pPr>
  </w:style>
  <w:style w:type="paragraph" w:styleId="List">
    <w:name w:val="List"/>
    <w:basedOn w:val="BodyText"/>
    <w:rsid w:val="000961DD"/>
    <w:rPr>
      <w:rFonts w:cs="Lohit Devanagari"/>
    </w:rPr>
  </w:style>
  <w:style w:type="paragraph" w:styleId="Caption">
    <w:name w:val="caption"/>
    <w:basedOn w:val="Normal"/>
    <w:qFormat/>
    <w:rsid w:val="000961D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rsid w:val="000961DD"/>
    <w:pPr>
      <w:suppressLineNumbers/>
    </w:pPr>
    <w:rPr>
      <w:rFonts w:cs="Lohit Devanagari"/>
    </w:rPr>
  </w:style>
  <w:style w:type="paragraph" w:styleId="Header">
    <w:name w:val="header"/>
    <w:basedOn w:val="Normal"/>
    <w:rsid w:val="000961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61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4D7"/>
    <w:rPr>
      <w:rFonts w:ascii="Tahoma" w:hAnsi="Tahoma" w:cs="Tahoma"/>
      <w:kern w:val="1"/>
      <w:sz w:val="16"/>
      <w:szCs w:val="16"/>
      <w:lang w:val="sk-SK" w:eastAsia="sk-SK"/>
    </w:rPr>
  </w:style>
  <w:style w:type="paragraph" w:customStyle="1" w:styleId="Reference">
    <w:name w:val="Reference"/>
    <w:basedOn w:val="Normal"/>
    <w:rsid w:val="0067524E"/>
    <w:pPr>
      <w:numPr>
        <w:numId w:val="1"/>
      </w:numPr>
      <w:suppressAutoHyphens w:val="0"/>
      <w:ind w:left="426" w:hanging="426"/>
      <w:jc w:val="both"/>
    </w:pPr>
    <w:rPr>
      <w:kern w:val="0"/>
      <w:sz w:val="20"/>
      <w:szCs w:val="20"/>
      <w:lang w:val="en-US" w:eastAsia="en-US"/>
    </w:rPr>
  </w:style>
  <w:style w:type="paragraph" w:customStyle="1" w:styleId="Paragraph">
    <w:name w:val="Paragraph"/>
    <w:basedOn w:val="Normal"/>
    <w:rsid w:val="009F03E5"/>
    <w:pPr>
      <w:suppressAutoHyphens w:val="0"/>
      <w:ind w:firstLine="284"/>
      <w:jc w:val="both"/>
    </w:pPr>
    <w:rPr>
      <w:kern w:val="0"/>
      <w:sz w:val="20"/>
      <w:szCs w:val="20"/>
      <w:lang w:val="en-US" w:eastAsia="en-US"/>
    </w:rPr>
  </w:style>
  <w:style w:type="table" w:styleId="TableGrid">
    <w:name w:val="Table Grid"/>
    <w:basedOn w:val="TableNormal"/>
    <w:rsid w:val="009F03E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14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30E0A"/>
    <w:rPr>
      <w:i/>
      <w:iCs/>
    </w:rPr>
  </w:style>
  <w:style w:type="character" w:customStyle="1" w:styleId="citationyear">
    <w:name w:val="citation_year"/>
    <w:basedOn w:val="DefaultParagraphFont"/>
    <w:rsid w:val="00F30E0A"/>
  </w:style>
  <w:style w:type="character" w:customStyle="1" w:styleId="citationvolume">
    <w:name w:val="citation_volume"/>
    <w:basedOn w:val="DefaultParagraphFont"/>
    <w:rsid w:val="00F30E0A"/>
  </w:style>
  <w:style w:type="character" w:styleId="CommentReference">
    <w:name w:val="annotation reference"/>
    <w:basedOn w:val="DefaultParagraphFont"/>
    <w:uiPriority w:val="99"/>
    <w:semiHidden/>
    <w:unhideWhenUsed/>
    <w:rsid w:val="008F6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8FE"/>
    <w:rPr>
      <w:kern w:val="1"/>
      <w:lang w:val="sk-SK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8FE"/>
    <w:rPr>
      <w:b/>
      <w:bCs/>
      <w:kern w:val="1"/>
      <w:lang w:val="sk-SK" w:eastAsia="sk-SK"/>
    </w:rPr>
  </w:style>
  <w:style w:type="character" w:styleId="Hyperlink">
    <w:name w:val="Hyperlink"/>
    <w:rsid w:val="00DE1F45"/>
    <w:rPr>
      <w:color w:val="0000FF"/>
      <w:u w:val="single"/>
    </w:rPr>
  </w:style>
  <w:style w:type="character" w:customStyle="1" w:styleId="EndNoteBibliographyChar">
    <w:name w:val="EndNote Bibliography Char"/>
    <w:link w:val="EndNoteBibliography"/>
    <w:locked/>
    <w:rsid w:val="00DE1F45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DE1F45"/>
    <w:pPr>
      <w:suppressAutoHyphens w:val="0"/>
    </w:pPr>
    <w:rPr>
      <w:rFonts w:ascii="Calibri" w:hAnsi="Calibri" w:cs="Calibri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1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3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doi.org/10.1016/j.ensm.2019.08.00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3.pn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 for Advances of Organic Chemistry 2007</vt:lpstr>
    </vt:vector>
  </TitlesOfParts>
  <Company>IIST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Advances of Organic Chemistry 2007</dc:title>
  <dc:creator>rseb</dc:creator>
  <cp:lastModifiedBy>Roberson, Luke B. (KSC-UBG00)</cp:lastModifiedBy>
  <cp:revision>2</cp:revision>
  <cp:lastPrinted>1901-01-01T04:00:00Z</cp:lastPrinted>
  <dcterms:created xsi:type="dcterms:W3CDTF">2021-04-20T00:13:00Z</dcterms:created>
  <dcterms:modified xsi:type="dcterms:W3CDTF">2021-04-20T00:13:00Z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xhome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