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40825" w14:textId="77777777" w:rsidR="00E86000" w:rsidRDefault="00C64205">
      <w:pPr>
        <w:spacing w:line="240" w:lineRule="atLeast"/>
        <w:jc w:val="both"/>
        <w:rPr>
          <w:sz w:val="20"/>
        </w:rPr>
      </w:pPr>
      <w:r>
        <w:rPr>
          <w:b/>
          <w:sz w:val="20"/>
        </w:rPr>
        <w:t>INTERPRETATION OF VEHICLE TUMBLING PREDICTIONS FROM 6-DOF ENTRY AND DESCENT SIMULATION</w:t>
      </w:r>
    </w:p>
    <w:p w14:paraId="0E092918" w14:textId="77777777" w:rsidR="00302F8C" w:rsidRDefault="009779D2" w:rsidP="001449C9">
      <w:pPr>
        <w:rPr>
          <w:sz w:val="20"/>
        </w:rPr>
      </w:pPr>
      <w:r>
        <w:rPr>
          <w:sz w:val="20"/>
        </w:rPr>
        <w:t>J. T. Needels</w:t>
      </w:r>
      <w:r w:rsidR="0053240E">
        <w:rPr>
          <w:sz w:val="20"/>
          <w:vertAlign w:val="superscript"/>
        </w:rPr>
        <w:t>1</w:t>
      </w:r>
      <w:r w:rsidR="00973CE8">
        <w:rPr>
          <w:sz w:val="20"/>
        </w:rPr>
        <w:t>,</w:t>
      </w:r>
      <w:r>
        <w:rPr>
          <w:sz w:val="20"/>
        </w:rPr>
        <w:t xml:space="preserve"> </w:t>
      </w:r>
      <w:r w:rsidR="0053240E">
        <w:rPr>
          <w:sz w:val="20"/>
        </w:rPr>
        <w:t>P. J. Gage</w:t>
      </w:r>
      <w:r w:rsidR="0053240E">
        <w:rPr>
          <w:sz w:val="20"/>
          <w:vertAlign w:val="superscript"/>
        </w:rPr>
        <w:t>2</w:t>
      </w:r>
      <w:r w:rsidR="0053240E">
        <w:rPr>
          <w:sz w:val="20"/>
        </w:rPr>
        <w:t xml:space="preserve">, </w:t>
      </w:r>
      <w:r>
        <w:rPr>
          <w:sz w:val="20"/>
        </w:rPr>
        <w:t>and J. P. Hill</w:t>
      </w:r>
      <w:r>
        <w:rPr>
          <w:sz w:val="20"/>
          <w:vertAlign w:val="superscript"/>
        </w:rPr>
        <w:t>3</w:t>
      </w:r>
      <w:r w:rsidR="00694048">
        <w:rPr>
          <w:sz w:val="20"/>
        </w:rPr>
        <w:t xml:space="preserve">, </w:t>
      </w:r>
      <w:r w:rsidR="00694048">
        <w:rPr>
          <w:sz w:val="20"/>
          <w:vertAlign w:val="superscript"/>
        </w:rPr>
        <w:t>1</w:t>
      </w:r>
      <w:r>
        <w:rPr>
          <w:sz w:val="20"/>
        </w:rPr>
        <w:t xml:space="preserve">Neerim Corporation, </w:t>
      </w:r>
      <w:r w:rsidR="001449C9" w:rsidRPr="001449C9">
        <w:rPr>
          <w:sz w:val="20"/>
        </w:rPr>
        <w:t>5937 Chelton Drive Oakland</w:t>
      </w:r>
      <w:r w:rsidR="00416F92">
        <w:rPr>
          <w:sz w:val="20"/>
        </w:rPr>
        <w:t>,</w:t>
      </w:r>
      <w:r w:rsidR="001449C9" w:rsidRPr="001449C9">
        <w:rPr>
          <w:sz w:val="20"/>
        </w:rPr>
        <w:t xml:space="preserve"> CA 94611</w:t>
      </w:r>
      <w:r w:rsidR="00694048">
        <w:rPr>
          <w:sz w:val="20"/>
        </w:rPr>
        <w:t>,</w:t>
      </w:r>
    </w:p>
    <w:p w14:paraId="107A334C" w14:textId="7ADA45AF" w:rsidR="00694048" w:rsidRPr="001449C9" w:rsidRDefault="003D2B82" w:rsidP="001449C9">
      <w:pPr>
        <w:rPr>
          <w:rFonts w:ascii="Segoe UI" w:hAnsi="Segoe UI" w:cs="Segoe UI"/>
          <w:sz w:val="21"/>
          <w:szCs w:val="21"/>
        </w:rPr>
      </w:pPr>
      <w:r>
        <w:rPr>
          <w:sz w:val="20"/>
        </w:rPr>
        <w:t>jacob.t.needels@nasa.gov</w:t>
      </w:r>
      <w:r w:rsidR="009779D2">
        <w:rPr>
          <w:sz w:val="20"/>
        </w:rPr>
        <w:t>,</w:t>
      </w:r>
      <w:r w:rsidR="00694048">
        <w:rPr>
          <w:sz w:val="20"/>
        </w:rPr>
        <w:t xml:space="preserve"> </w:t>
      </w:r>
      <w:r w:rsidR="00694048">
        <w:rPr>
          <w:sz w:val="20"/>
          <w:vertAlign w:val="superscript"/>
        </w:rPr>
        <w:t>2</w:t>
      </w:r>
      <w:r w:rsidR="009779D2">
        <w:rPr>
          <w:sz w:val="20"/>
        </w:rPr>
        <w:t xml:space="preserve">Neerim Corporation, </w:t>
      </w:r>
      <w:r w:rsidR="001449C9" w:rsidRPr="001449C9">
        <w:rPr>
          <w:sz w:val="20"/>
        </w:rPr>
        <w:t>5937 Chelton Drive Oakland</w:t>
      </w:r>
      <w:r w:rsidR="00416F92">
        <w:rPr>
          <w:sz w:val="20"/>
        </w:rPr>
        <w:t>,</w:t>
      </w:r>
      <w:r w:rsidR="001449C9" w:rsidRPr="001449C9">
        <w:rPr>
          <w:sz w:val="20"/>
        </w:rPr>
        <w:t xml:space="preserve"> CA 94611</w:t>
      </w:r>
      <w:r w:rsidR="001449C9">
        <w:rPr>
          <w:sz w:val="20"/>
        </w:rPr>
        <w:t xml:space="preserve">, </w:t>
      </w:r>
      <w:r>
        <w:rPr>
          <w:sz w:val="20"/>
        </w:rPr>
        <w:t>peter.j.gage@nasa.gov</w:t>
      </w:r>
      <w:r w:rsidR="009779D2">
        <w:rPr>
          <w:sz w:val="20"/>
        </w:rPr>
        <w:t xml:space="preserve">, </w:t>
      </w:r>
      <w:r w:rsidR="009779D2">
        <w:rPr>
          <w:sz w:val="20"/>
          <w:vertAlign w:val="superscript"/>
        </w:rPr>
        <w:t>3</w:t>
      </w:r>
      <w:r w:rsidR="00416F92">
        <w:rPr>
          <w:sz w:val="20"/>
        </w:rPr>
        <w:t>NASA Ames Res</w:t>
      </w:r>
      <w:r w:rsidR="004C2054">
        <w:rPr>
          <w:sz w:val="20"/>
        </w:rPr>
        <w:t>e</w:t>
      </w:r>
      <w:r w:rsidR="00416F92">
        <w:rPr>
          <w:sz w:val="20"/>
        </w:rPr>
        <w:t>arch Center, Moffett Field, CA 94035,</w:t>
      </w:r>
      <w:r w:rsidRPr="003D2B82">
        <w:t xml:space="preserve"> </w:t>
      </w:r>
      <w:r w:rsidRPr="003D2B82">
        <w:rPr>
          <w:sz w:val="20"/>
        </w:rPr>
        <w:t>jeffrey.p.hill@nasa.gov</w:t>
      </w:r>
      <w:r w:rsidR="009779D2">
        <w:rPr>
          <w:sz w:val="20"/>
        </w:rPr>
        <w:t>.</w:t>
      </w:r>
    </w:p>
    <w:p w14:paraId="3B0E9937" w14:textId="77777777" w:rsidR="00694048" w:rsidRDefault="00694048" w:rsidP="00D95E45">
      <w:pPr>
        <w:spacing w:line="240" w:lineRule="atLeast"/>
        <w:jc w:val="both"/>
        <w:rPr>
          <w:sz w:val="20"/>
        </w:rPr>
      </w:pPr>
    </w:p>
    <w:p w14:paraId="3A18AC12" w14:textId="77777777" w:rsidR="00694048" w:rsidRDefault="00694048">
      <w:pPr>
        <w:spacing w:line="240" w:lineRule="atLeast"/>
        <w:ind w:firstLine="288"/>
        <w:jc w:val="both"/>
        <w:rPr>
          <w:sz w:val="20"/>
        </w:rPr>
        <w:sectPr w:rsidR="00694048">
          <w:headerReference w:type="even" r:id="rId7"/>
          <w:footerReference w:type="even" r:id="rId8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5F8E0741" w14:textId="06FC6BBE" w:rsidR="00D95E45" w:rsidRPr="00E86000" w:rsidRDefault="00D41E9E" w:rsidP="00D95E45">
      <w:pPr>
        <w:spacing w:line="240" w:lineRule="atLeast"/>
        <w:ind w:firstLine="288"/>
        <w:jc w:val="both"/>
        <w:rPr>
          <w:sz w:val="20"/>
        </w:rPr>
      </w:pPr>
      <w:r>
        <w:rPr>
          <w:b/>
          <w:sz w:val="20"/>
        </w:rPr>
        <w:t>Brief Presenter Biography</w:t>
      </w:r>
      <w:r w:rsidR="00D95E45" w:rsidRPr="00E86000">
        <w:rPr>
          <w:b/>
          <w:sz w:val="20"/>
        </w:rPr>
        <w:t>:</w:t>
      </w:r>
      <w:r w:rsidR="0046691D">
        <w:rPr>
          <w:sz w:val="20"/>
        </w:rPr>
        <w:t xml:space="preserve"> Jacob Needels is a systems engineer with Neerim Corporation in the Entry</w:t>
      </w:r>
      <w:r w:rsidR="006E1EA0">
        <w:rPr>
          <w:sz w:val="20"/>
        </w:rPr>
        <w:t xml:space="preserve"> Systems and</w:t>
      </w:r>
      <w:r w:rsidR="0046691D">
        <w:rPr>
          <w:sz w:val="20"/>
        </w:rPr>
        <w:t xml:space="preserve"> Vehicle Development Branch at NASA Ames Research Center. He holds a B.S. in Mechanical Engineering from the University of California, Davis and an M.S. in Aeronautics and Astronautics from Stanford University.</w:t>
      </w:r>
    </w:p>
    <w:p w14:paraId="66B924D9" w14:textId="77777777" w:rsidR="00D95E45" w:rsidRDefault="00D95E45">
      <w:pPr>
        <w:spacing w:line="240" w:lineRule="atLeast"/>
        <w:ind w:firstLine="288"/>
        <w:jc w:val="both"/>
        <w:rPr>
          <w:b/>
          <w:sz w:val="20"/>
        </w:rPr>
      </w:pPr>
    </w:p>
    <w:p w14:paraId="67C789AC" w14:textId="77777777" w:rsidR="00192C44" w:rsidRDefault="00694048" w:rsidP="00C64205">
      <w:pPr>
        <w:spacing w:line="240" w:lineRule="atLeast"/>
        <w:ind w:firstLine="288"/>
        <w:jc w:val="both"/>
        <w:rPr>
          <w:sz w:val="20"/>
        </w:rPr>
      </w:pPr>
      <w:r>
        <w:rPr>
          <w:b/>
          <w:sz w:val="20"/>
        </w:rPr>
        <w:t>Introduction:</w:t>
      </w:r>
      <w:r>
        <w:rPr>
          <w:sz w:val="20"/>
        </w:rPr>
        <w:t xml:space="preserve">  </w:t>
      </w:r>
    </w:p>
    <w:p w14:paraId="6CF97A73" w14:textId="71CAED9D" w:rsidR="00D36434" w:rsidRDefault="00C64205" w:rsidP="003D2B82">
      <w:pPr>
        <w:spacing w:line="240" w:lineRule="atLeast"/>
        <w:ind w:firstLine="288"/>
        <w:jc w:val="both"/>
        <w:rPr>
          <w:sz w:val="20"/>
        </w:rPr>
      </w:pPr>
      <w:r w:rsidRPr="00C64205">
        <w:rPr>
          <w:sz w:val="20"/>
        </w:rPr>
        <w:t>Blunt body entry vehicles are subject to dynamic instability during terminal descent. This often manifests as limit cycle oscillations in total angle of attack, but can d</w:t>
      </w:r>
      <w:r w:rsidR="00C347B4">
        <w:rPr>
          <w:sz w:val="20"/>
        </w:rPr>
        <w:t>iverge into tumbling behavior u</w:t>
      </w:r>
      <w:r w:rsidRPr="00C64205">
        <w:rPr>
          <w:sz w:val="20"/>
        </w:rPr>
        <w:t>n</w:t>
      </w:r>
      <w:r w:rsidR="00C347B4">
        <w:rPr>
          <w:sz w:val="20"/>
        </w:rPr>
        <w:t>d</w:t>
      </w:r>
      <w:r w:rsidRPr="00C64205">
        <w:rPr>
          <w:sz w:val="20"/>
        </w:rPr>
        <w:t xml:space="preserve">er certain conditions. </w:t>
      </w:r>
      <w:r w:rsidR="003078FF">
        <w:rPr>
          <w:sz w:val="20"/>
        </w:rPr>
        <w:t xml:space="preserve">For the </w:t>
      </w:r>
      <w:r w:rsidR="003078FF" w:rsidRPr="00C64205">
        <w:rPr>
          <w:sz w:val="20"/>
        </w:rPr>
        <w:t>Mars Sample Return Earth Entry Vehicle (MSR EEV)</w:t>
      </w:r>
      <w:r w:rsidR="003078FF">
        <w:rPr>
          <w:sz w:val="20"/>
        </w:rPr>
        <w:t xml:space="preserve">, there is a constraint on the orientation of the sample tubes so backward </w:t>
      </w:r>
      <w:r w:rsidR="00447902">
        <w:rPr>
          <w:sz w:val="20"/>
        </w:rPr>
        <w:t>impact</w:t>
      </w:r>
      <w:r w:rsidR="003078FF">
        <w:rPr>
          <w:sz w:val="20"/>
        </w:rPr>
        <w:t xml:space="preserve"> is impermissible. </w:t>
      </w:r>
      <w:r w:rsidR="00E25FD2">
        <w:rPr>
          <w:sz w:val="20"/>
        </w:rPr>
        <w:t xml:space="preserve">Past </w:t>
      </w:r>
      <w:r w:rsidR="003078FF">
        <w:rPr>
          <w:sz w:val="20"/>
        </w:rPr>
        <w:t>missions have chosen to deploy parachutes to preclude tumbling, but active events after release of MSR EEV have been ground-ruled out with the intent to maximize system reliability.</w:t>
      </w:r>
      <w:r w:rsidR="00D36434">
        <w:rPr>
          <w:sz w:val="20"/>
        </w:rPr>
        <w:t xml:space="preserve"> Prevention of tumbling during subsonic descent is a </w:t>
      </w:r>
      <w:r w:rsidR="000C53E9">
        <w:rPr>
          <w:sz w:val="20"/>
        </w:rPr>
        <w:t xml:space="preserve">design </w:t>
      </w:r>
      <w:r w:rsidR="00D36434">
        <w:rPr>
          <w:sz w:val="20"/>
        </w:rPr>
        <w:t>driver for MSR EEV.</w:t>
      </w:r>
    </w:p>
    <w:p w14:paraId="39DB8E5B" w14:textId="77777777" w:rsidR="00C64205" w:rsidRPr="00C64205" w:rsidRDefault="003078FF" w:rsidP="00C64205">
      <w:pPr>
        <w:spacing w:line="240" w:lineRule="atLeast"/>
        <w:ind w:firstLine="288"/>
        <w:jc w:val="both"/>
        <w:rPr>
          <w:sz w:val="20"/>
        </w:rPr>
      </w:pPr>
      <w:r>
        <w:rPr>
          <w:sz w:val="20"/>
        </w:rPr>
        <w:t>During preliminary design of the MSR EEV, s</w:t>
      </w:r>
      <w:r w:rsidR="00C64205" w:rsidRPr="00C64205">
        <w:rPr>
          <w:sz w:val="20"/>
        </w:rPr>
        <w:t>ix degree-of-freedom numerical simulation</w:t>
      </w:r>
      <w:r>
        <w:rPr>
          <w:sz w:val="20"/>
        </w:rPr>
        <w:t xml:space="preserve">s </w:t>
      </w:r>
      <w:r w:rsidR="00C64205" w:rsidRPr="00C64205">
        <w:rPr>
          <w:sz w:val="20"/>
        </w:rPr>
        <w:t>indicate</w:t>
      </w:r>
      <w:r>
        <w:rPr>
          <w:sz w:val="20"/>
        </w:rPr>
        <w:t>d</w:t>
      </w:r>
      <w:r w:rsidR="00C64205" w:rsidRPr="00C64205">
        <w:rPr>
          <w:sz w:val="20"/>
        </w:rPr>
        <w:t xml:space="preserve"> an unacc</w:t>
      </w:r>
      <w:r>
        <w:rPr>
          <w:sz w:val="20"/>
        </w:rPr>
        <w:t>eptably high probability of tum</w:t>
      </w:r>
      <w:r w:rsidR="00C64205" w:rsidRPr="00C64205">
        <w:rPr>
          <w:sz w:val="20"/>
        </w:rPr>
        <w:t>bling for a 60 degree sphere-cone forebody geometry</w:t>
      </w:r>
      <w:r>
        <w:rPr>
          <w:sz w:val="20"/>
        </w:rPr>
        <w:t>, which necessitated a design change</w:t>
      </w:r>
      <w:r w:rsidR="00C64205" w:rsidRPr="00C64205">
        <w:rPr>
          <w:sz w:val="20"/>
        </w:rPr>
        <w:t xml:space="preserve">. </w:t>
      </w:r>
      <w:r w:rsidR="00920E76">
        <w:rPr>
          <w:sz w:val="20"/>
        </w:rPr>
        <w:t xml:space="preserve">Decreasing the forebody angle was expected to improve dynamic stability, but would also adversely impact </w:t>
      </w:r>
      <w:r w:rsidR="00C64205" w:rsidRPr="00C64205">
        <w:rPr>
          <w:sz w:val="20"/>
        </w:rPr>
        <w:t>mass, aeroheating, and manufacturing risk</w:t>
      </w:r>
      <w:r w:rsidR="00920E76">
        <w:rPr>
          <w:sz w:val="20"/>
        </w:rPr>
        <w:t>. Hence there was strong motivation to understand the physical drivers for the onset of tumbling, and to determine:</w:t>
      </w:r>
      <w:r w:rsidR="00C64205" w:rsidRPr="00C64205">
        <w:rPr>
          <w:sz w:val="20"/>
        </w:rPr>
        <w:t xml:space="preserve"> (a) whether the causes of tumbling are representative of physically realizable vehicle entry configurations and (b) what changes can be made to existing design and analysis practices to ensure a stable vehicle.</w:t>
      </w:r>
    </w:p>
    <w:p w14:paraId="36F10736" w14:textId="46C23927" w:rsidR="00D36434" w:rsidRDefault="00AD4B80" w:rsidP="003D2B82">
      <w:pPr>
        <w:spacing w:line="240" w:lineRule="atLeast"/>
        <w:ind w:firstLine="288"/>
        <w:jc w:val="both"/>
        <w:rPr>
          <w:sz w:val="20"/>
        </w:rPr>
      </w:pPr>
      <w:r>
        <w:rPr>
          <w:sz w:val="20"/>
        </w:rPr>
        <w:t>The methodology for a Monte Carlo analysis of the entry trajectory</w:t>
      </w:r>
      <w:r w:rsidR="00FE3FC0">
        <w:rPr>
          <w:sz w:val="20"/>
        </w:rPr>
        <w:t>, which was performed by colleagues at NASA Langley Research Center,</w:t>
      </w:r>
      <w:r>
        <w:rPr>
          <w:sz w:val="20"/>
        </w:rPr>
        <w:t xml:space="preserve"> is similar to that performed with </w:t>
      </w:r>
      <w:r w:rsidR="000C53E9">
        <w:rPr>
          <w:sz w:val="20"/>
        </w:rPr>
        <w:t xml:space="preserve">the </w:t>
      </w:r>
      <w:r>
        <w:rPr>
          <w:sz w:val="20"/>
        </w:rPr>
        <w:t>POST2 software for other flight projects [</w:t>
      </w:r>
      <w:r w:rsidR="0046691D">
        <w:rPr>
          <w:sz w:val="20"/>
        </w:rPr>
        <w:t>1</w:t>
      </w:r>
      <w:r w:rsidR="008841E7">
        <w:rPr>
          <w:sz w:val="20"/>
        </w:rPr>
        <w:t>,2</w:t>
      </w:r>
      <w:r w:rsidR="0046691D">
        <w:rPr>
          <w:sz w:val="20"/>
        </w:rPr>
        <w:t>].</w:t>
      </w:r>
      <w:r>
        <w:rPr>
          <w:sz w:val="20"/>
        </w:rPr>
        <w:t xml:space="preserve"> M</w:t>
      </w:r>
      <w:r w:rsidR="00C64205" w:rsidRPr="00C64205">
        <w:rPr>
          <w:sz w:val="20"/>
        </w:rPr>
        <w:t xml:space="preserve">ore than 30 </w:t>
      </w:r>
      <w:r>
        <w:rPr>
          <w:sz w:val="20"/>
        </w:rPr>
        <w:t>input parameters are assigned a range of possible values and an associated statistical distribution, to account for</w:t>
      </w:r>
      <w:r w:rsidR="00C64205" w:rsidRPr="00C64205">
        <w:rPr>
          <w:sz w:val="20"/>
        </w:rPr>
        <w:t xml:space="preserve"> uncertainties in mass properties, aerodynamic properties, and entry state. </w:t>
      </w:r>
      <w:r>
        <w:rPr>
          <w:sz w:val="20"/>
        </w:rPr>
        <w:t>The resulting range of aerodynamic loads, aerothermal loads and landing locations are used to define performance requirements for various elements of the system.</w:t>
      </w:r>
      <w:r w:rsidR="00912940">
        <w:rPr>
          <w:sz w:val="20"/>
        </w:rPr>
        <w:t xml:space="preserve"> </w:t>
      </w:r>
      <w:r w:rsidR="00FE3FC0">
        <w:rPr>
          <w:sz w:val="20"/>
        </w:rPr>
        <w:t>The investigation reported here involves analysis of pre-existing trajectory information.</w:t>
      </w:r>
    </w:p>
    <w:p w14:paraId="57AE6766" w14:textId="64572B7E" w:rsidR="00A0241E" w:rsidRDefault="00AD4B80" w:rsidP="00A0241E">
      <w:pPr>
        <w:spacing w:line="240" w:lineRule="atLeast"/>
        <w:ind w:firstLine="288"/>
        <w:jc w:val="both"/>
        <w:rPr>
          <w:sz w:val="20"/>
        </w:rPr>
      </w:pPr>
      <w:r w:rsidRPr="0046691D">
        <w:rPr>
          <w:sz w:val="20"/>
        </w:rPr>
        <w:t xml:space="preserve">Attempts to correlate </w:t>
      </w:r>
      <w:r w:rsidR="000362F4" w:rsidRPr="0046691D">
        <w:rPr>
          <w:sz w:val="20"/>
        </w:rPr>
        <w:t xml:space="preserve">input parameters with onset of tumbling were only moderately successful: while </w:t>
      </w:r>
      <w:r w:rsidR="009B7894">
        <w:rPr>
          <w:sz w:val="20"/>
        </w:rPr>
        <w:t>r</w:t>
      </w:r>
      <w:r w:rsidR="000362F4" w:rsidRPr="0046691D">
        <w:rPr>
          <w:sz w:val="20"/>
        </w:rPr>
        <w:t xml:space="preserve">adial </w:t>
      </w:r>
      <w:r w:rsidR="009B7894">
        <w:rPr>
          <w:sz w:val="20"/>
        </w:rPr>
        <w:t>center of gravity (CG)</w:t>
      </w:r>
      <w:r w:rsidR="000362F4" w:rsidRPr="0046691D">
        <w:rPr>
          <w:sz w:val="20"/>
        </w:rPr>
        <w:t xml:space="preserve"> offset and</w:t>
      </w:r>
      <w:r w:rsidR="00447902">
        <w:rPr>
          <w:sz w:val="20"/>
        </w:rPr>
        <w:t xml:space="preserve"> the uncertainty adder applied to the total pitch damping term,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</w:rPr>
              <m:t>mq</m:t>
            </m:r>
          </m:sub>
        </m:sSub>
        <m:r>
          <w:rPr>
            <w:rFonts w:ascii="Cambria Math" w:hAnsi="Cambria Math"/>
            <w:sz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</w:rPr>
              <m:t>nr</m:t>
            </m:r>
          </m:sub>
        </m:sSub>
      </m:oMath>
      <w:r w:rsidR="00447902">
        <w:rPr>
          <w:sz w:val="20"/>
        </w:rPr>
        <w:t>,</w:t>
      </w:r>
      <w:r w:rsidR="000362F4" w:rsidRPr="0046691D">
        <w:rPr>
          <w:sz w:val="20"/>
        </w:rPr>
        <w:t xml:space="preserve"> were identified as the top two contributors to tumbling, there are cases with larger CG offsets and larger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</w:rPr>
              <m:t>mq</m:t>
            </m:r>
          </m:sub>
        </m:sSub>
        <m:r>
          <w:rPr>
            <w:rFonts w:ascii="Cambria Math" w:hAnsi="Cambria Math"/>
            <w:sz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</w:rPr>
              <m:t>nr</m:t>
            </m:r>
          </m:sub>
        </m:sSub>
      </m:oMath>
      <w:r w:rsidR="000362F4" w:rsidRPr="0046691D">
        <w:rPr>
          <w:sz w:val="20"/>
        </w:rPr>
        <w:t xml:space="preserve"> adder values that do not tumble.</w:t>
      </w:r>
      <w:r w:rsidR="00C64205" w:rsidRPr="0046691D">
        <w:rPr>
          <w:sz w:val="20"/>
        </w:rPr>
        <w:t xml:space="preserve"> Vehicle total pitch damping c</w:t>
      </w:r>
      <w:r w:rsidR="008C14F3" w:rsidRPr="0046691D">
        <w:rPr>
          <w:sz w:val="20"/>
        </w:rPr>
        <w:t>oefficient is often the focus for</w:t>
      </w:r>
      <w:r w:rsidR="00C64205" w:rsidRPr="0046691D">
        <w:rPr>
          <w:sz w:val="20"/>
        </w:rPr>
        <w:t xml:space="preserve"> dynamic stabi</w:t>
      </w:r>
      <w:r w:rsidR="008C14F3" w:rsidRPr="0046691D">
        <w:rPr>
          <w:sz w:val="20"/>
        </w:rPr>
        <w:t>li</w:t>
      </w:r>
      <w:r w:rsidR="00C64205" w:rsidRPr="0046691D">
        <w:rPr>
          <w:sz w:val="20"/>
        </w:rPr>
        <w:t>ty</w:t>
      </w:r>
      <w:r w:rsidR="00D36434" w:rsidRPr="0046691D">
        <w:rPr>
          <w:sz w:val="20"/>
        </w:rPr>
        <w:t xml:space="preserve"> margin estimation</w:t>
      </w:r>
      <w:r w:rsidR="008C14F3" w:rsidRPr="0046691D">
        <w:rPr>
          <w:sz w:val="20"/>
        </w:rPr>
        <w:t>, but</w:t>
      </w:r>
      <w:r w:rsidR="00C64205" w:rsidRPr="0046691D">
        <w:rPr>
          <w:sz w:val="20"/>
        </w:rPr>
        <w:t xml:space="preserve"> processing of Monte Carlo output data showed only a weak dependence on pitch damping value. However, all tumbling vehicles were shown to have developed high roll rates (&gt;100 deg/sec) during</w:t>
      </w:r>
      <w:r w:rsidR="00447902">
        <w:rPr>
          <w:sz w:val="20"/>
        </w:rPr>
        <w:t xml:space="preserve"> the hypersonic</w:t>
      </w:r>
      <w:r w:rsidR="00C64205" w:rsidRPr="0046691D">
        <w:rPr>
          <w:sz w:val="20"/>
        </w:rPr>
        <w:t xml:space="preserve"> entry</w:t>
      </w:r>
      <w:r w:rsidR="00447902">
        <w:rPr>
          <w:sz w:val="20"/>
        </w:rPr>
        <w:t xml:space="preserve"> phase</w:t>
      </w:r>
      <w:r w:rsidR="00C64205" w:rsidRPr="0046691D">
        <w:rPr>
          <w:sz w:val="20"/>
        </w:rPr>
        <w:t>. Anomalous roll behavior has been studied extensively in military</w:t>
      </w:r>
      <w:r w:rsidR="00F14522">
        <w:rPr>
          <w:sz w:val="20"/>
        </w:rPr>
        <w:t xml:space="preserve"> reentry vehicles</w:t>
      </w:r>
      <w:r w:rsidR="008841E7">
        <w:rPr>
          <w:sz w:val="20"/>
        </w:rPr>
        <w:t xml:space="preserve"> [3</w:t>
      </w:r>
      <w:r w:rsidR="008C14F3" w:rsidRPr="0046691D">
        <w:rPr>
          <w:sz w:val="20"/>
        </w:rPr>
        <w:t>]</w:t>
      </w:r>
      <w:r w:rsidR="00C64205" w:rsidRPr="0046691D">
        <w:rPr>
          <w:sz w:val="20"/>
        </w:rPr>
        <w:t xml:space="preserve">, and found to be due to the interaction of configurational asymmetries in mass and aerodynamic properties. </w:t>
      </w:r>
      <w:r w:rsidR="000362F4" w:rsidRPr="0046691D">
        <w:rPr>
          <w:sz w:val="20"/>
        </w:rPr>
        <w:t xml:space="preserve">The </w:t>
      </w:r>
      <w:r w:rsidR="00447902">
        <w:rPr>
          <w:sz w:val="20"/>
        </w:rPr>
        <w:t>presentation</w:t>
      </w:r>
      <w:r w:rsidR="00F14522">
        <w:rPr>
          <w:sz w:val="20"/>
        </w:rPr>
        <w:t xml:space="preserve"> </w:t>
      </w:r>
      <w:r w:rsidR="000362F4" w:rsidRPr="0046691D">
        <w:rPr>
          <w:sz w:val="20"/>
        </w:rPr>
        <w:t>will include details on the confirmation that this is also</w:t>
      </w:r>
      <w:r w:rsidR="00C64205" w:rsidRPr="0046691D">
        <w:rPr>
          <w:sz w:val="20"/>
        </w:rPr>
        <w:t xml:space="preserve"> the case for MSR EEV. </w:t>
      </w:r>
      <w:r w:rsidR="00EF2095" w:rsidRPr="0046691D">
        <w:rPr>
          <w:sz w:val="20"/>
        </w:rPr>
        <w:t>H</w:t>
      </w:r>
      <w:r w:rsidR="00C64205" w:rsidRPr="0046691D">
        <w:rPr>
          <w:sz w:val="20"/>
        </w:rPr>
        <w:t xml:space="preserve">igh roll rates are associated with a large magnitude cross product between </w:t>
      </w:r>
      <w:r w:rsidR="000362F4" w:rsidRPr="0046691D">
        <w:rPr>
          <w:sz w:val="20"/>
        </w:rPr>
        <w:t>radial center of gravity offset</w:t>
      </w:r>
      <w:r w:rsidR="00C64205" w:rsidRPr="0046691D">
        <w:rPr>
          <w:sz w:val="20"/>
        </w:rPr>
        <w:t xml:space="preserve"> and aerodynamic</w:t>
      </w:r>
      <w:r w:rsidR="009A6175" w:rsidRPr="0046691D">
        <w:rPr>
          <w:sz w:val="20"/>
        </w:rPr>
        <w:t xml:space="preserve"> </w:t>
      </w:r>
      <w:r w:rsidR="00C64205" w:rsidRPr="0046691D">
        <w:rPr>
          <w:sz w:val="20"/>
        </w:rPr>
        <w:t>uncertainty adders</w:t>
      </w:r>
      <w:r w:rsidR="00973CE8" w:rsidRPr="0046691D">
        <w:rPr>
          <w:sz w:val="20"/>
        </w:rPr>
        <w:t xml:space="preserve">, as shown in Figure 1, </w:t>
      </w:r>
      <w:r w:rsidR="000C53E9">
        <w:rPr>
          <w:sz w:val="20"/>
        </w:rPr>
        <w:t xml:space="preserve">which </w:t>
      </w:r>
      <w:r w:rsidR="00973CE8" w:rsidRPr="0046691D">
        <w:rPr>
          <w:sz w:val="20"/>
        </w:rPr>
        <w:t>result</w:t>
      </w:r>
      <w:r w:rsidR="000C53E9">
        <w:rPr>
          <w:sz w:val="20"/>
        </w:rPr>
        <w:t>s</w:t>
      </w:r>
      <w:r w:rsidR="00973CE8" w:rsidRPr="0046691D">
        <w:rPr>
          <w:sz w:val="20"/>
        </w:rPr>
        <w:t xml:space="preserve"> in a</w:t>
      </w:r>
      <w:r w:rsidR="00C64205" w:rsidRPr="0046691D">
        <w:rPr>
          <w:sz w:val="20"/>
        </w:rPr>
        <w:t xml:space="preserve"> persistent r</w:t>
      </w:r>
      <w:r w:rsidR="009A6175" w:rsidRPr="0046691D">
        <w:rPr>
          <w:sz w:val="20"/>
        </w:rPr>
        <w:t>oll moment</w:t>
      </w:r>
      <w:r w:rsidR="00973CE8" w:rsidRPr="0046691D">
        <w:rPr>
          <w:sz w:val="20"/>
        </w:rPr>
        <w:t xml:space="preserve"> that</w:t>
      </w:r>
      <w:r w:rsidR="009A6175" w:rsidRPr="0046691D">
        <w:rPr>
          <w:sz w:val="20"/>
        </w:rPr>
        <w:t xml:space="preserve"> </w:t>
      </w:r>
      <w:r w:rsidR="00C64205" w:rsidRPr="0046691D">
        <w:rPr>
          <w:sz w:val="20"/>
        </w:rPr>
        <w:t xml:space="preserve">leads to severe spin-up during the hypersonic dynamic pressure pulse. </w:t>
      </w:r>
    </w:p>
    <w:p w14:paraId="58C1AA84" w14:textId="7F2C7B94" w:rsidR="008C60DD" w:rsidRDefault="00447902" w:rsidP="008C60DD">
      <w:pPr>
        <w:keepNext/>
        <w:spacing w:line="240" w:lineRule="atLeast"/>
        <w:ind w:firstLine="288"/>
      </w:pPr>
      <w:r w:rsidRPr="00447902">
        <w:rPr>
          <w:noProof/>
        </w:rPr>
        <w:drawing>
          <wp:inline distT="0" distB="0" distL="0" distR="0" wp14:anchorId="6E3D70B4" wp14:editId="3AEC11A5">
            <wp:extent cx="2768600" cy="241917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7027"/>
                    <a:stretch/>
                  </pic:blipFill>
                  <pic:spPr bwMode="auto">
                    <a:xfrm>
                      <a:off x="0" y="0"/>
                      <a:ext cx="2777321" cy="242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76A77" w14:textId="77777777" w:rsidR="00302F8C" w:rsidRPr="004C2054" w:rsidRDefault="008C60DD" w:rsidP="008C60DD">
      <w:pPr>
        <w:pStyle w:val="Caption"/>
        <w:rPr>
          <w:color w:val="auto"/>
          <w:sz w:val="20"/>
        </w:rPr>
      </w:pPr>
      <w:r w:rsidRPr="004C2054">
        <w:rPr>
          <w:color w:val="auto"/>
        </w:rPr>
        <w:t xml:space="preserve">Figure </w:t>
      </w:r>
      <w:r w:rsidRPr="004C2054">
        <w:rPr>
          <w:color w:val="auto"/>
        </w:rPr>
        <w:fldChar w:fldCharType="begin"/>
      </w:r>
      <w:r w:rsidRPr="004C2054">
        <w:rPr>
          <w:color w:val="auto"/>
        </w:rPr>
        <w:instrText xml:space="preserve"> SEQ Figure \* ARABIC </w:instrText>
      </w:r>
      <w:r w:rsidRPr="004C2054">
        <w:rPr>
          <w:color w:val="auto"/>
        </w:rPr>
        <w:fldChar w:fldCharType="separate"/>
      </w:r>
      <w:r w:rsidRPr="004C2054">
        <w:rPr>
          <w:noProof/>
          <w:color w:val="auto"/>
        </w:rPr>
        <w:t>1</w:t>
      </w:r>
      <w:r w:rsidRPr="004C2054">
        <w:rPr>
          <w:color w:val="auto"/>
        </w:rPr>
        <w:fldChar w:fldCharType="end"/>
      </w:r>
      <w:r w:rsidRPr="004C2054">
        <w:rPr>
          <w:color w:val="auto"/>
        </w:rPr>
        <w:t>. Impact of Monte Carlo Inputs on Roll Rate</w:t>
      </w:r>
    </w:p>
    <w:p w14:paraId="646E9687" w14:textId="1E373637" w:rsidR="00327F21" w:rsidRDefault="00C64205">
      <w:pPr>
        <w:spacing w:line="240" w:lineRule="atLeast"/>
        <w:ind w:firstLine="288"/>
        <w:jc w:val="both"/>
        <w:rPr>
          <w:sz w:val="20"/>
        </w:rPr>
      </w:pPr>
      <w:r>
        <w:rPr>
          <w:sz w:val="20"/>
        </w:rPr>
        <w:t>The high-dimensional input</w:t>
      </w:r>
      <w:r w:rsidRPr="00C64205">
        <w:rPr>
          <w:sz w:val="20"/>
        </w:rPr>
        <w:t xml:space="preserve"> space of Monte Carlo simulations make it unattr</w:t>
      </w:r>
      <w:r w:rsidR="00EF2095">
        <w:rPr>
          <w:sz w:val="20"/>
        </w:rPr>
        <w:t>active to perform sensitivity assessments for</w:t>
      </w:r>
      <w:r w:rsidRPr="00C64205">
        <w:rPr>
          <w:sz w:val="20"/>
        </w:rPr>
        <w:t xml:space="preserve"> dynamic stability. </w:t>
      </w:r>
      <w:r w:rsidR="000362F4">
        <w:rPr>
          <w:sz w:val="20"/>
        </w:rPr>
        <w:t>An</w:t>
      </w:r>
      <w:r w:rsidRPr="00C64205">
        <w:rPr>
          <w:sz w:val="20"/>
        </w:rPr>
        <w:t xml:space="preserve"> analytical sta</w:t>
      </w:r>
      <w:r w:rsidR="008841E7">
        <w:rPr>
          <w:sz w:val="20"/>
        </w:rPr>
        <w:t>bility criterion due to Jaffe [4</w:t>
      </w:r>
      <w:r w:rsidRPr="00C64205">
        <w:rPr>
          <w:sz w:val="20"/>
        </w:rPr>
        <w:t xml:space="preserve">], </w:t>
      </w:r>
      <w:r w:rsidR="000362F4">
        <w:rPr>
          <w:sz w:val="20"/>
        </w:rPr>
        <w:t>which derives from</w:t>
      </w:r>
      <w:r w:rsidRPr="00C64205">
        <w:rPr>
          <w:sz w:val="20"/>
        </w:rPr>
        <w:t xml:space="preserve"> simplification of the equations of m</w:t>
      </w:r>
      <w:r w:rsidR="000362F4">
        <w:rPr>
          <w:sz w:val="20"/>
        </w:rPr>
        <w:t xml:space="preserve">otion for terminal descent, </w:t>
      </w:r>
      <w:r w:rsidRPr="00C64205">
        <w:rPr>
          <w:sz w:val="20"/>
        </w:rPr>
        <w:t xml:space="preserve">requires only a subset of vehicle aerodynamic and mass </w:t>
      </w:r>
      <w:r w:rsidRPr="00C64205">
        <w:rPr>
          <w:sz w:val="20"/>
        </w:rPr>
        <w:lastRenderedPageBreak/>
        <w:t>properties, as well as vehicle roll rate. Results of the Jaffe criterion ar</w:t>
      </w:r>
      <w:r>
        <w:rPr>
          <w:sz w:val="20"/>
        </w:rPr>
        <w:t xml:space="preserve">e consistent with POST2 results, and provide insight into both stability margin of a particular </w:t>
      </w:r>
      <w:r w:rsidR="00CB2C64">
        <w:rPr>
          <w:sz w:val="20"/>
        </w:rPr>
        <w:t xml:space="preserve">point </w:t>
      </w:r>
      <w:r>
        <w:rPr>
          <w:sz w:val="20"/>
        </w:rPr>
        <w:t>design, as well as sensitivity to variation of design parameters.</w:t>
      </w:r>
      <w:r w:rsidR="008C14F3">
        <w:rPr>
          <w:sz w:val="20"/>
        </w:rPr>
        <w:t xml:space="preserve"> The </w:t>
      </w:r>
      <w:r w:rsidR="00F14522">
        <w:rPr>
          <w:sz w:val="20"/>
        </w:rPr>
        <w:t>presentation</w:t>
      </w:r>
      <w:r w:rsidR="008C14F3">
        <w:rPr>
          <w:sz w:val="20"/>
        </w:rPr>
        <w:t xml:space="preserve"> will include discussion of the relevant sensitivities and the design guidance that they provide.</w:t>
      </w:r>
      <w:r w:rsidR="00327F21">
        <w:rPr>
          <w:sz w:val="20"/>
        </w:rPr>
        <w:t xml:space="preserve"> Figure 2 provides </w:t>
      </w:r>
      <w:r w:rsidR="00973CE8">
        <w:rPr>
          <w:sz w:val="20"/>
        </w:rPr>
        <w:t>an example, for sensitivity to drag coefficient.</w:t>
      </w:r>
      <w:r w:rsidR="00AF4740">
        <w:rPr>
          <w:sz w:val="20"/>
        </w:rPr>
        <w:t xml:space="preserve"> It does not correspond to a specific EEV design, but the general trends are representative.</w:t>
      </w:r>
    </w:p>
    <w:p w14:paraId="0191A89E" w14:textId="77777777" w:rsidR="008C60DD" w:rsidRDefault="00973CE8" w:rsidP="008C60DD">
      <w:pPr>
        <w:keepNext/>
        <w:spacing w:line="240" w:lineRule="atLeast"/>
        <w:ind w:firstLine="288"/>
        <w:jc w:val="both"/>
      </w:pPr>
      <w:r w:rsidRPr="00973CE8">
        <w:rPr>
          <w:noProof/>
          <w:sz w:val="20"/>
        </w:rPr>
        <w:drawing>
          <wp:inline distT="0" distB="0" distL="0" distR="0" wp14:anchorId="029CF6DA" wp14:editId="034782E0">
            <wp:extent cx="2689860" cy="183746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6" cy="18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5445" w14:textId="27A12348" w:rsidR="00D36434" w:rsidRPr="00AF4740" w:rsidRDefault="008C60DD" w:rsidP="00AF4740">
      <w:pPr>
        <w:pStyle w:val="Caption"/>
        <w:jc w:val="both"/>
        <w:rPr>
          <w:color w:val="auto"/>
          <w:sz w:val="20"/>
        </w:rPr>
      </w:pPr>
      <w:r w:rsidRPr="004C2054">
        <w:rPr>
          <w:color w:val="auto"/>
        </w:rPr>
        <w:t xml:space="preserve">Figure </w:t>
      </w:r>
      <w:r w:rsidRPr="004C2054">
        <w:rPr>
          <w:color w:val="auto"/>
        </w:rPr>
        <w:fldChar w:fldCharType="begin"/>
      </w:r>
      <w:r w:rsidRPr="004C2054">
        <w:rPr>
          <w:color w:val="auto"/>
        </w:rPr>
        <w:instrText xml:space="preserve"> SEQ Figure \* ARABIC </w:instrText>
      </w:r>
      <w:r w:rsidRPr="004C2054">
        <w:rPr>
          <w:color w:val="auto"/>
        </w:rPr>
        <w:fldChar w:fldCharType="separate"/>
      </w:r>
      <w:r w:rsidRPr="004C2054">
        <w:rPr>
          <w:noProof/>
          <w:color w:val="auto"/>
        </w:rPr>
        <w:t>2</w:t>
      </w:r>
      <w:r w:rsidRPr="004C2054">
        <w:rPr>
          <w:color w:val="auto"/>
        </w:rPr>
        <w:fldChar w:fldCharType="end"/>
      </w:r>
      <w:r w:rsidRPr="004C2054">
        <w:rPr>
          <w:color w:val="auto"/>
        </w:rPr>
        <w:t>. Design Sensitivity Assessment using the Jaffe</w:t>
      </w:r>
      <w:r w:rsidR="00D176AA">
        <w:rPr>
          <w:color w:val="auto"/>
        </w:rPr>
        <w:t xml:space="preserve"> Stability</w:t>
      </w:r>
      <w:bookmarkStart w:id="0" w:name="_GoBack"/>
      <w:bookmarkEnd w:id="0"/>
      <w:r w:rsidRPr="004C2054">
        <w:rPr>
          <w:color w:val="auto"/>
        </w:rPr>
        <w:t xml:space="preserve"> Criterion</w:t>
      </w:r>
    </w:p>
    <w:p w14:paraId="5632E5F8" w14:textId="726069A3" w:rsidR="00694048" w:rsidRDefault="00694048">
      <w:pPr>
        <w:spacing w:line="240" w:lineRule="atLeast"/>
        <w:ind w:firstLine="288"/>
        <w:jc w:val="both"/>
        <w:rPr>
          <w:sz w:val="20"/>
        </w:rPr>
      </w:pPr>
      <w:r>
        <w:rPr>
          <w:b/>
          <w:sz w:val="20"/>
        </w:rPr>
        <w:t>References:</w:t>
      </w:r>
      <w:r>
        <w:rPr>
          <w:sz w:val="20"/>
        </w:rPr>
        <w:t xml:space="preserve"> </w:t>
      </w:r>
      <w:r w:rsidR="0046691D">
        <w:rPr>
          <w:sz w:val="20"/>
        </w:rPr>
        <w:t xml:space="preserve">[1] </w:t>
      </w:r>
      <w:r w:rsidR="0046691D" w:rsidRPr="0046691D">
        <w:rPr>
          <w:sz w:val="20"/>
          <w:lang w:eastAsia="ja-JP"/>
        </w:rPr>
        <w:t>Schoenenberger</w:t>
      </w:r>
      <w:r w:rsidR="0046691D">
        <w:rPr>
          <w:sz w:val="20"/>
          <w:lang w:eastAsia="ja-JP"/>
        </w:rPr>
        <w:t xml:space="preserve"> M., </w:t>
      </w:r>
      <w:r w:rsidR="00416F92">
        <w:rPr>
          <w:sz w:val="20"/>
          <w:lang w:eastAsia="ja-JP"/>
        </w:rPr>
        <w:t>et al</w:t>
      </w:r>
      <w:r w:rsidR="008B671A">
        <w:rPr>
          <w:sz w:val="20"/>
          <w:lang w:eastAsia="ja-JP"/>
        </w:rPr>
        <w:t>.</w:t>
      </w:r>
      <w:r w:rsidR="00416F92">
        <w:rPr>
          <w:sz w:val="20"/>
          <w:lang w:eastAsia="ja-JP"/>
        </w:rPr>
        <w:t xml:space="preserve"> (2009)</w:t>
      </w:r>
      <w:r w:rsidR="00416F92" w:rsidRPr="00416F92">
        <w:rPr>
          <w:sz w:val="20"/>
          <w:lang w:eastAsia="ja-JP"/>
        </w:rPr>
        <w:t xml:space="preserve"> </w:t>
      </w:r>
      <w:r w:rsidR="00416F92" w:rsidRPr="00416F92">
        <w:rPr>
          <w:sz w:val="20"/>
        </w:rPr>
        <w:t>41st AIAA Thermophysics Conference</w:t>
      </w:r>
      <w:r w:rsidR="00F83CE0">
        <w:rPr>
          <w:sz w:val="20"/>
        </w:rPr>
        <w:t xml:space="preserve"> </w:t>
      </w:r>
      <w:r w:rsidR="00416F92">
        <w:rPr>
          <w:sz w:val="20"/>
        </w:rPr>
        <w:t>[2] Prince J, et al</w:t>
      </w:r>
      <w:r w:rsidR="008B671A">
        <w:rPr>
          <w:sz w:val="20"/>
        </w:rPr>
        <w:t>.</w:t>
      </w:r>
      <w:r w:rsidR="00416F92">
        <w:rPr>
          <w:sz w:val="20"/>
        </w:rPr>
        <w:t xml:space="preserve"> (2011) </w:t>
      </w:r>
      <w:r w:rsidR="00416F92">
        <w:rPr>
          <w:i/>
          <w:sz w:val="20"/>
        </w:rPr>
        <w:t xml:space="preserve">Journal of Spacecraft and Rockets, 48:5, </w:t>
      </w:r>
      <w:r w:rsidR="008841E7">
        <w:rPr>
          <w:sz w:val="20"/>
        </w:rPr>
        <w:t>756:764.</w:t>
      </w:r>
      <w:r w:rsidR="00F83CE0">
        <w:rPr>
          <w:sz w:val="20"/>
        </w:rPr>
        <w:t xml:space="preserve"> </w:t>
      </w:r>
      <w:r w:rsidR="008841E7">
        <w:rPr>
          <w:sz w:val="20"/>
        </w:rPr>
        <w:t>[3</w:t>
      </w:r>
      <w:r w:rsidR="0046691D">
        <w:rPr>
          <w:sz w:val="20"/>
        </w:rPr>
        <w:t xml:space="preserve">] Glover L. (1965) </w:t>
      </w:r>
      <w:r w:rsidR="0046691D">
        <w:rPr>
          <w:i/>
          <w:sz w:val="20"/>
        </w:rPr>
        <w:t>Journal of Spacecraft and Rockets</w:t>
      </w:r>
      <w:r w:rsidR="0046691D">
        <w:rPr>
          <w:sz w:val="20"/>
        </w:rPr>
        <w:t xml:space="preserve">, </w:t>
      </w:r>
      <w:r w:rsidR="0046691D">
        <w:rPr>
          <w:i/>
          <w:sz w:val="20"/>
        </w:rPr>
        <w:t>2:2</w:t>
      </w:r>
      <w:r w:rsidR="0046691D">
        <w:rPr>
          <w:sz w:val="20"/>
        </w:rPr>
        <w:t>, 220-225.</w:t>
      </w:r>
      <w:r w:rsidR="00F83CE0">
        <w:rPr>
          <w:sz w:val="20"/>
        </w:rPr>
        <w:t xml:space="preserve"> </w:t>
      </w:r>
      <w:r w:rsidR="008841E7">
        <w:rPr>
          <w:sz w:val="20"/>
        </w:rPr>
        <w:t>[4</w:t>
      </w:r>
      <w:r w:rsidR="00AD4B80">
        <w:rPr>
          <w:sz w:val="20"/>
        </w:rPr>
        <w:t xml:space="preserve">] </w:t>
      </w:r>
      <w:r w:rsidR="008708B9">
        <w:rPr>
          <w:sz w:val="20"/>
        </w:rPr>
        <w:t>Jaffe P. (1969</w:t>
      </w:r>
      <w:r>
        <w:rPr>
          <w:sz w:val="20"/>
        </w:rPr>
        <w:t xml:space="preserve">) </w:t>
      </w:r>
      <w:r w:rsidR="008708B9">
        <w:rPr>
          <w:i/>
          <w:sz w:val="20"/>
        </w:rPr>
        <w:t>AIAA Journal, 7:6</w:t>
      </w:r>
      <w:r>
        <w:rPr>
          <w:i/>
          <w:sz w:val="20"/>
        </w:rPr>
        <w:t>,</w:t>
      </w:r>
      <w:r w:rsidR="00C61CEB">
        <w:rPr>
          <w:sz w:val="20"/>
        </w:rPr>
        <w:t xml:space="preserve"> 1157–1158</w:t>
      </w:r>
      <w:r>
        <w:rPr>
          <w:sz w:val="20"/>
        </w:rPr>
        <w:t xml:space="preserve">. </w:t>
      </w:r>
    </w:p>
    <w:p w14:paraId="79AD2D10" w14:textId="77777777" w:rsidR="00E86000" w:rsidRDefault="00E86000" w:rsidP="00D95E45">
      <w:pPr>
        <w:spacing w:line="240" w:lineRule="atLeast"/>
        <w:jc w:val="both"/>
        <w:rPr>
          <w:sz w:val="20"/>
        </w:rPr>
      </w:pPr>
    </w:p>
    <w:sectPr w:rsidR="00E86000">
      <w:type w:val="continuous"/>
      <w:pgSz w:w="12240" w:h="15840"/>
      <w:pgMar w:top="1440" w:right="1440" w:bottom="1440" w:left="1440" w:header="720" w:footer="720" w:gutter="0"/>
      <w:cols w:num="2" w:space="48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BE30C" w16cex:dateUtc="2021-04-22T1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9F7170" w16cid:durableId="242BF521"/>
  <w16cid:commentId w16cid:paraId="18BBB1DA" w16cid:durableId="242BF8B6"/>
  <w16cid:commentId w16cid:paraId="47437672" w16cid:durableId="242BE3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1C5BF" w14:textId="77777777" w:rsidR="00B95A33" w:rsidRDefault="00B95A33">
      <w:r>
        <w:separator/>
      </w:r>
    </w:p>
  </w:endnote>
  <w:endnote w:type="continuationSeparator" w:id="0">
    <w:p w14:paraId="5111A745" w14:textId="77777777" w:rsidR="00B95A33" w:rsidRDefault="00B9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5103" w14:textId="77777777" w:rsidR="006A128D" w:rsidRDefault="006A128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90D4C" w14:textId="77777777" w:rsidR="00B95A33" w:rsidRDefault="00B95A33">
      <w:r>
        <w:separator/>
      </w:r>
    </w:p>
  </w:footnote>
  <w:footnote w:type="continuationSeparator" w:id="0">
    <w:p w14:paraId="220591AD" w14:textId="77777777" w:rsidR="00B95A33" w:rsidRDefault="00B95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0EBDC" w14:textId="77777777" w:rsidR="006A128D" w:rsidRDefault="006A128D">
    <w:pPr>
      <w:pStyle w:val="Header"/>
      <w:jc w:val="center"/>
    </w:pPr>
    <w:r>
      <w:t>SHORT TITLE HERE:  A. B. Author and C. D. Author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B7"/>
    <w:rsid w:val="000362F4"/>
    <w:rsid w:val="0007510D"/>
    <w:rsid w:val="000773C3"/>
    <w:rsid w:val="000C53E9"/>
    <w:rsid w:val="000D1584"/>
    <w:rsid w:val="000F15C0"/>
    <w:rsid w:val="000F22F4"/>
    <w:rsid w:val="001449C9"/>
    <w:rsid w:val="00154C4C"/>
    <w:rsid w:val="00186083"/>
    <w:rsid w:val="00192C44"/>
    <w:rsid w:val="001A0718"/>
    <w:rsid w:val="001E73DB"/>
    <w:rsid w:val="00220009"/>
    <w:rsid w:val="002212C1"/>
    <w:rsid w:val="00234805"/>
    <w:rsid w:val="00243A6A"/>
    <w:rsid w:val="00302F8C"/>
    <w:rsid w:val="003078FF"/>
    <w:rsid w:val="00312E48"/>
    <w:rsid w:val="00327F21"/>
    <w:rsid w:val="003371F5"/>
    <w:rsid w:val="00372671"/>
    <w:rsid w:val="003C6DEF"/>
    <w:rsid w:val="003D2B82"/>
    <w:rsid w:val="003E06B7"/>
    <w:rsid w:val="00416F92"/>
    <w:rsid w:val="00447902"/>
    <w:rsid w:val="0046691D"/>
    <w:rsid w:val="00477D67"/>
    <w:rsid w:val="004C2054"/>
    <w:rsid w:val="00515753"/>
    <w:rsid w:val="0053240E"/>
    <w:rsid w:val="00582623"/>
    <w:rsid w:val="005C4CC9"/>
    <w:rsid w:val="006377F3"/>
    <w:rsid w:val="00661A37"/>
    <w:rsid w:val="00672E93"/>
    <w:rsid w:val="00694048"/>
    <w:rsid w:val="006A128D"/>
    <w:rsid w:val="006B3026"/>
    <w:rsid w:val="006D7F7D"/>
    <w:rsid w:val="006E1EA0"/>
    <w:rsid w:val="006F35A9"/>
    <w:rsid w:val="00783C63"/>
    <w:rsid w:val="00813CDC"/>
    <w:rsid w:val="008329A1"/>
    <w:rsid w:val="00832D82"/>
    <w:rsid w:val="008708B9"/>
    <w:rsid w:val="008841E7"/>
    <w:rsid w:val="008B671A"/>
    <w:rsid w:val="008C14F3"/>
    <w:rsid w:val="008C60DD"/>
    <w:rsid w:val="00912940"/>
    <w:rsid w:val="00920E76"/>
    <w:rsid w:val="00933410"/>
    <w:rsid w:val="00957FAA"/>
    <w:rsid w:val="0096407E"/>
    <w:rsid w:val="00973CE8"/>
    <w:rsid w:val="009779D2"/>
    <w:rsid w:val="00985655"/>
    <w:rsid w:val="009A6175"/>
    <w:rsid w:val="009B39B0"/>
    <w:rsid w:val="009B7894"/>
    <w:rsid w:val="009E1E35"/>
    <w:rsid w:val="00A0241E"/>
    <w:rsid w:val="00A03A79"/>
    <w:rsid w:val="00A5130F"/>
    <w:rsid w:val="00A91D2A"/>
    <w:rsid w:val="00AD4B80"/>
    <w:rsid w:val="00AF08B2"/>
    <w:rsid w:val="00AF4740"/>
    <w:rsid w:val="00B01590"/>
    <w:rsid w:val="00B3291B"/>
    <w:rsid w:val="00B95A33"/>
    <w:rsid w:val="00C347B4"/>
    <w:rsid w:val="00C61CEB"/>
    <w:rsid w:val="00C64205"/>
    <w:rsid w:val="00C71A16"/>
    <w:rsid w:val="00C84AB7"/>
    <w:rsid w:val="00CA37FE"/>
    <w:rsid w:val="00CB2C64"/>
    <w:rsid w:val="00CB315E"/>
    <w:rsid w:val="00CE5D0E"/>
    <w:rsid w:val="00D176AA"/>
    <w:rsid w:val="00D253BF"/>
    <w:rsid w:val="00D36434"/>
    <w:rsid w:val="00D41E9E"/>
    <w:rsid w:val="00D95E45"/>
    <w:rsid w:val="00DE0C69"/>
    <w:rsid w:val="00E25FD2"/>
    <w:rsid w:val="00E3629C"/>
    <w:rsid w:val="00E86000"/>
    <w:rsid w:val="00E92C51"/>
    <w:rsid w:val="00EF2095"/>
    <w:rsid w:val="00F14522"/>
    <w:rsid w:val="00F353CA"/>
    <w:rsid w:val="00F726C7"/>
    <w:rsid w:val="00F83CE0"/>
    <w:rsid w:val="00FD2BED"/>
    <w:rsid w:val="00FE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2D03F"/>
  <w15:chartTrackingRefBased/>
  <w15:docId w15:val="{DA46BA56-C920-45A2-A7B2-C9D9922C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Pr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72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26C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8C60DD"/>
    <w:pPr>
      <w:spacing w:after="200"/>
    </w:pPr>
    <w:rPr>
      <w:i/>
      <w:iCs/>
      <w:color w:val="44546A" w:themeColor="text2"/>
      <w:szCs w:val="18"/>
    </w:rPr>
  </w:style>
  <w:style w:type="paragraph" w:styleId="Revision">
    <w:name w:val="Revision"/>
    <w:hidden/>
    <w:uiPriority w:val="71"/>
    <w:semiHidden/>
    <w:rsid w:val="006E1EA0"/>
    <w:rPr>
      <w:sz w:val="18"/>
      <w:lang w:eastAsia="en-US"/>
    </w:rPr>
  </w:style>
  <w:style w:type="character" w:styleId="CommentReference">
    <w:name w:val="annotation reference"/>
    <w:basedOn w:val="DefaultParagraphFont"/>
    <w:rsid w:val="006E1E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1EA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E1E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EA0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4479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4D9D168-49E1-433C-BD34-3D7A6EF8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two-page abstracts in Word 97 (PC)</vt:lpstr>
    </vt:vector>
  </TitlesOfParts>
  <Company>CASS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two-page abstracts in Word 97 (PC)</dc:title>
  <dc:subject/>
  <dc:creator>LPI</dc:creator>
  <cp:keywords/>
  <cp:lastModifiedBy>Needels, Jacob T. (ARC-TSS)[Analytical Mechanics Associates, INC.]</cp:lastModifiedBy>
  <cp:revision>14</cp:revision>
  <cp:lastPrinted>2011-07-22T19:46:00Z</cp:lastPrinted>
  <dcterms:created xsi:type="dcterms:W3CDTF">2021-04-23T21:08:00Z</dcterms:created>
  <dcterms:modified xsi:type="dcterms:W3CDTF">2021-04-27T17:14:00Z</dcterms:modified>
</cp:coreProperties>
</file>