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36B11" w14:textId="09EFAADC" w:rsidR="00520193" w:rsidRDefault="00520193" w:rsidP="00E5737E">
      <w:pPr>
        <w:jc w:val="center"/>
      </w:pPr>
      <w:r>
        <w:t>Abstract for AIAA SciTech Conference 2022 Paper</w:t>
      </w:r>
    </w:p>
    <w:p w14:paraId="4A7A756A" w14:textId="56F745E3" w:rsidR="00520193" w:rsidRDefault="00520193" w:rsidP="00E5737E">
      <w:pPr>
        <w:jc w:val="center"/>
      </w:pPr>
    </w:p>
    <w:p w14:paraId="67410242" w14:textId="079182A4" w:rsidR="00520193" w:rsidRDefault="00520193" w:rsidP="00E5737E">
      <w:pPr>
        <w:jc w:val="center"/>
      </w:pPr>
      <w:r>
        <w:t>Title:   Methodology and Development of SLS Ascent Boost Phase Loads</w:t>
      </w:r>
    </w:p>
    <w:p w14:paraId="744D858C" w14:textId="77777777" w:rsidR="00E5737E" w:rsidRDefault="00E5737E" w:rsidP="00E5737E">
      <w:pPr>
        <w:jc w:val="center"/>
      </w:pPr>
    </w:p>
    <w:p w14:paraId="61876F82" w14:textId="457E44E2" w:rsidR="00520193" w:rsidRDefault="00520193">
      <w:r>
        <w:t>Authors:</w:t>
      </w:r>
    </w:p>
    <w:p w14:paraId="182574A3" w14:textId="65A64EFF" w:rsidR="00520193" w:rsidRDefault="00520193">
      <w:r>
        <w:t>Lauren Griggs, Dynamic Concepts, Inc.</w:t>
      </w:r>
    </w:p>
    <w:p w14:paraId="5F293D42" w14:textId="57CC8557" w:rsidR="00520193" w:rsidRDefault="00520193">
      <w:r>
        <w:t>Jayme Allgood, Dynamic Concepts, Inc.</w:t>
      </w:r>
    </w:p>
    <w:p w14:paraId="5C2444A1" w14:textId="619D1CC8" w:rsidR="00520193" w:rsidRDefault="00520193">
      <w:r>
        <w:t>Scott Swatzell, Dynamic Concepts, Inc.</w:t>
      </w:r>
    </w:p>
    <w:p w14:paraId="63661486" w14:textId="74F4C640" w:rsidR="00520193" w:rsidRDefault="00520193">
      <w:r>
        <w:t>Thomas Howsman, Dynamic Concepts, Inc.</w:t>
      </w:r>
    </w:p>
    <w:p w14:paraId="6D666E72" w14:textId="25271B0F" w:rsidR="00E5737E" w:rsidRDefault="00E5737E">
      <w:r>
        <w:t>Austin Decker, NASA Marshall Space Flight Center</w:t>
      </w:r>
    </w:p>
    <w:p w14:paraId="5AC218A8" w14:textId="6338D19A" w:rsidR="00520193" w:rsidRDefault="00520193"/>
    <w:p w14:paraId="15CDE25B" w14:textId="58F95E13" w:rsidR="00520193" w:rsidRDefault="00E5737E">
      <w:r>
        <w:t>Abstract:</w:t>
      </w:r>
    </w:p>
    <w:p w14:paraId="62F49739" w14:textId="6C9C34C4" w:rsidR="00E5737E" w:rsidRDefault="00E5737E">
      <w:r>
        <w:t xml:space="preserve">The methodologies and development of the loads experienced in the boost phase of ascent flight of the NASA </w:t>
      </w:r>
      <w:r w:rsidR="002B698D">
        <w:t>Space Launch System (</w:t>
      </w:r>
      <w:r>
        <w:t>SLS</w:t>
      </w:r>
      <w:r w:rsidR="002B698D">
        <w:t>)</w:t>
      </w:r>
      <w:r>
        <w:t xml:space="preserve"> Block I vehicle will be presented in this </w:t>
      </w:r>
      <w:r w:rsidR="00EC147D">
        <w:t xml:space="preserve">paper.   As is common practice, a series of fixed time/mass finite element models of the vehicle were developed </w:t>
      </w:r>
      <w:r w:rsidR="00866D19">
        <w:t xml:space="preserve">for the purpose of evaluating the structural loads and accelerations for particular Mach ranges associated with the boost phase of flight.  </w:t>
      </w:r>
      <w:r w:rsidR="00B463D7">
        <w:t>Load contributors, which vary between Mach bins, include the flight mechanic</w:t>
      </w:r>
      <w:r w:rsidR="00D87FA0">
        <w:t>s</w:t>
      </w:r>
      <w:bookmarkStart w:id="0" w:name="_GoBack"/>
      <w:bookmarkEnd w:id="0"/>
      <w:r w:rsidR="00B463D7">
        <w:t xml:space="preserve"> induced portion of the loads (e.g., </w:t>
      </w:r>
      <w:r w:rsidR="00CE57DA">
        <w:t>Static-Elastic (</w:t>
      </w:r>
      <w:r w:rsidR="00B463D7">
        <w:t>STEL</w:t>
      </w:r>
      <w:r w:rsidR="00CE57DA">
        <w:t>) or Vehicle Load Indicator (VLI) tool results</w:t>
      </w:r>
      <w:r w:rsidR="00B463D7">
        <w:t xml:space="preserve">), gust loads, buffet loads, solid rocket motor thrust oscillations, maneuvering loads, </w:t>
      </w:r>
      <w:r w:rsidR="00103D2D">
        <w:t xml:space="preserve">and preplanned test input induced loads.    Each of these load contributors will be examined </w:t>
      </w:r>
      <w:r w:rsidR="002F6DDD">
        <w:t xml:space="preserve">in this paper, as well </w:t>
      </w:r>
      <w:r w:rsidR="00505598">
        <w:t>as</w:t>
      </w:r>
      <w:r w:rsidR="002F6DDD">
        <w:t xml:space="preserve"> the boost phase loads combination equation</w:t>
      </w:r>
      <w:r w:rsidR="00505598">
        <w:t xml:space="preserve"> used to generate the final loads.</w:t>
      </w:r>
    </w:p>
    <w:p w14:paraId="43BE6BD8" w14:textId="6CCC2F5A" w:rsidR="002B698D" w:rsidRDefault="002B698D">
      <w:r>
        <w:t>Introduction:</w:t>
      </w:r>
    </w:p>
    <w:p w14:paraId="70419284" w14:textId="0A48D2C3" w:rsidR="002B698D" w:rsidRDefault="002B698D">
      <w:r>
        <w:t xml:space="preserve">The SLS is the first super-heavy launch vehicle developed by NASA since the Saturn V.  SLS and its accompanying Orion Multi-Purpose Crew Vehicle (MPCV) spacecraft </w:t>
      </w:r>
      <w:r w:rsidR="009D1788">
        <w:t>experience complex loading conditions during boost phase flight, which begins at liftoff and ends at Solid Rocket Booster (SRB) separation.  As this is the Flight Readiness Analysis Cycle (FRAC) for the Artemis I flight of SLS/Orion, the ascent loads take advantage of day-of-launch (DOL) winds; therefore all FRAC ascent loads have been computed using trajectories associated with the second wind of a DOL pair.  To mitigate buffet responses seen in earlier loads cycles, the total angle of attack between Mach 0.8-2.0 is limited to 4 degrees.  With the DOL wind profiles, this constraint is consistently achievable.</w:t>
      </w:r>
    </w:p>
    <w:p w14:paraId="26CA27A2" w14:textId="0B6108AB" w:rsidR="00505598" w:rsidRDefault="00505598">
      <w:r>
        <w:t>The FRAC analysis used trajectories corresponding to the transition (April-May and October/November), summer (June-September), and winter (December-February) launch periods.  A full ascent analysis was run for each launch period.</w:t>
      </w:r>
    </w:p>
    <w:p w14:paraId="435EC76F" w14:textId="15549FC7" w:rsidR="009D1788" w:rsidRDefault="009D1788">
      <w:r>
        <w:t>Modeling:</w:t>
      </w:r>
    </w:p>
    <w:p w14:paraId="28BA4C0A" w14:textId="36BB14D7" w:rsidR="00520193" w:rsidRDefault="009D1788">
      <w:r w:rsidRPr="009D1788">
        <w:lastRenderedPageBreak/>
        <w:t xml:space="preserve">The integrated SLS finite element models were produced by integrating the element Craig-Bampton reduced models within NASTRAN.  For the </w:t>
      </w:r>
      <w:r>
        <w:t>boost phase</w:t>
      </w:r>
      <w:r w:rsidRPr="009D1788">
        <w:t xml:space="preserve"> SLS, the element models used were the </w:t>
      </w:r>
      <w:r>
        <w:t xml:space="preserve">SRBs, the Core Stage, the Launch Vehicle Stage Adapter (LVSA), the </w:t>
      </w:r>
      <w:r w:rsidRPr="009D1788">
        <w:t xml:space="preserve">Interim Cryogenic Propulsion Stage (ICPS), the MPCV Stage Adapter (MSA), and the </w:t>
      </w:r>
      <w:r>
        <w:t xml:space="preserve">Orion </w:t>
      </w:r>
      <w:r w:rsidRPr="009D1788">
        <w:t xml:space="preserve">MPCV.  These element models have all been validated </w:t>
      </w:r>
      <w:r>
        <w:t>through element level static and dynamic testing</w:t>
      </w:r>
      <w:r w:rsidRPr="009D1788">
        <w:t xml:space="preserve">.  Each element model delivery also included Load Transformation Matrices (LTMs), and additional integrated vehicle LTMs were generated by the Integrated Vehicle Loads Team.  Element models retained modes to a minimum of 100 Hz, and the integrated vehicle model retained modes up to 100 Hz.  </w:t>
      </w:r>
      <w:r w:rsidR="000B5271">
        <w:t>For boost phase flight, t</w:t>
      </w:r>
      <w:r>
        <w:t xml:space="preserve">he integrated vehicle models were constructed with Core Stage fill increments of </w:t>
      </w:r>
      <w:r w:rsidR="000B5271">
        <w:t xml:space="preserve">5 percent and SRB burn time increments of 10 seconds, with the fill level and burn time matched to the levels from </w:t>
      </w:r>
      <w:r w:rsidR="00924D5C">
        <w:t xml:space="preserve">the trajectory for </w:t>
      </w:r>
      <w:r w:rsidR="000B5271">
        <w:t>each Mach bin</w:t>
      </w:r>
      <w:r w:rsidR="00924D5C">
        <w:t>.</w:t>
      </w:r>
    </w:p>
    <w:p w14:paraId="421B502D" w14:textId="0F2A7D94" w:rsidR="00CE57DA" w:rsidRDefault="00CE57DA">
      <w:r>
        <w:t>Forcing Functions</w:t>
      </w:r>
    </w:p>
    <w:p w14:paraId="6C204A50" w14:textId="03CE6D3F" w:rsidR="00CE57DA" w:rsidRDefault="00CE57DA">
      <w:pPr>
        <w:rPr>
          <w:rFonts w:cstheme="minorHAnsi"/>
        </w:rPr>
      </w:pPr>
      <w:r>
        <w:t xml:space="preserve">The STEL and VLI analyses used the ascent distributed aerodynamic lineloads, which were provided separately for the SLS vehicle core and SRBs.  The liftoff/transition aerodynamic lineloads were valid from Mach 0-0.3, and the ascent database began at Mach 0.5, so linear interpolation between the two databases was used to generate lineloads for Mach numbers in the Mach 0.3-0.5 regime.  The ascent lineloads cover Mach 0.5-5.0 with </w:t>
      </w:r>
      <w:r>
        <w:rPr>
          <w:rFonts w:ascii="Symbol" w:hAnsi="Symbol"/>
        </w:rPr>
        <w:t xml:space="preserve">a </w:t>
      </w:r>
      <w:r>
        <w:rPr>
          <w:rFonts w:cstheme="minorHAnsi"/>
        </w:rPr>
        <w:t>and</w:t>
      </w:r>
      <w:r>
        <w:rPr>
          <w:rFonts w:ascii="Symbol" w:hAnsi="Symbol"/>
        </w:rPr>
        <w:t xml:space="preserve"> b </w:t>
      </w:r>
      <w:r>
        <w:rPr>
          <w:rFonts w:cstheme="minorHAnsi"/>
        </w:rPr>
        <w:t>angles from -6 to 6 degrees covered.</w:t>
      </w:r>
      <w:r w:rsidR="00947AC6">
        <w:rPr>
          <w:rFonts w:cstheme="minorHAnsi"/>
        </w:rPr>
        <w:t xml:space="preserve">  A power-on base drag database was also utilized.</w:t>
      </w:r>
    </w:p>
    <w:p w14:paraId="3551C2CD" w14:textId="6C446FB7" w:rsidR="00CE57DA" w:rsidRDefault="00CE57DA">
      <w:pPr>
        <w:rPr>
          <w:rFonts w:cstheme="minorHAnsi"/>
        </w:rPr>
      </w:pPr>
      <w:r>
        <w:rPr>
          <w:rFonts w:cstheme="minorHAnsi"/>
        </w:rPr>
        <w:t xml:space="preserve">In addition to the flight mechanics loads analyses, buffet and gust analyses were performed.  The buffet </w:t>
      </w:r>
      <w:r w:rsidR="00947AC6">
        <w:rPr>
          <w:rFonts w:cstheme="minorHAnsi"/>
        </w:rPr>
        <w:t>forcing functions (BFF) were derived from testing at the Langley Research Center (</w:t>
      </w:r>
      <w:r w:rsidR="0035472C">
        <w:rPr>
          <w:rFonts w:cstheme="minorHAnsi"/>
        </w:rPr>
        <w:t>LaRC) Transonic</w:t>
      </w:r>
      <w:r w:rsidR="00947AC6">
        <w:rPr>
          <w:rFonts w:cstheme="minorHAnsi"/>
        </w:rPr>
        <w:t xml:space="preserve"> Dynamics Tunnel (TDT).  65 BFF were provided with total angle of attack up to 6 degrees covering Mach numbers from 0.8 to 1.19.  BFF for total angles of attack above 4 degrees were excluded from analysis based on the constraint applied to the input trajectories.  The gust analysis </w:t>
      </w:r>
      <w:r w:rsidR="00AD5277">
        <w:rPr>
          <w:rFonts w:cstheme="minorHAnsi"/>
        </w:rPr>
        <w:t>used a set of turbulent gust forcing functions rather than</w:t>
      </w:r>
      <w:r w:rsidR="00947AC6">
        <w:rPr>
          <w:rFonts w:cstheme="minorHAnsi"/>
        </w:rPr>
        <w:t xml:space="preserve"> the </w:t>
      </w:r>
      <w:r w:rsidR="00AD5277">
        <w:rPr>
          <w:rFonts w:cstheme="minorHAnsi"/>
        </w:rPr>
        <w:t xml:space="preserve">traditional </w:t>
      </w:r>
      <w:r w:rsidR="00947AC6">
        <w:rPr>
          <w:rFonts w:cstheme="minorHAnsi"/>
        </w:rPr>
        <w:t xml:space="preserve">synthetic </w:t>
      </w:r>
      <w:r w:rsidR="00AD5277">
        <w:rPr>
          <w:rFonts w:cstheme="minorHAnsi"/>
        </w:rPr>
        <w:t xml:space="preserve">tuned </w:t>
      </w:r>
      <w:r w:rsidR="00947AC6">
        <w:rPr>
          <w:rFonts w:cstheme="minorHAnsi"/>
        </w:rPr>
        <w:t>1-cos</w:t>
      </w:r>
      <w:r w:rsidR="00AD5277">
        <w:rPr>
          <w:rFonts w:cstheme="minorHAnsi"/>
        </w:rPr>
        <w:t>ine</w:t>
      </w:r>
      <w:r w:rsidR="00947AC6">
        <w:rPr>
          <w:rFonts w:cstheme="minorHAnsi"/>
        </w:rPr>
        <w:t xml:space="preserve"> </w:t>
      </w:r>
      <w:r w:rsidR="00AD5277">
        <w:rPr>
          <w:rFonts w:cstheme="minorHAnsi"/>
        </w:rPr>
        <w:t>profiles for the altitudes where the turbulent database was available and used severe tuned gusts for the remaining regimes.</w:t>
      </w:r>
    </w:p>
    <w:p w14:paraId="1BC6FAEF" w14:textId="7C216814" w:rsidR="00AD5277" w:rsidRDefault="00AD5277">
      <w:pPr>
        <w:rPr>
          <w:rFonts w:cstheme="minorHAnsi"/>
        </w:rPr>
      </w:pPr>
      <w:r>
        <w:rPr>
          <w:rFonts w:cstheme="minorHAnsi"/>
        </w:rPr>
        <w:t>In addition to the aerodynamic forcing functions, SRB and Core Stage Engine (CSE) thrust oscillation (TO) were assessed.  For the SRBs, the TO response driven by the first three acoustic modes of the motor case, called 1L, 2L, and 3L respectively</w:t>
      </w:r>
      <w:r w:rsidR="007659DB">
        <w:rPr>
          <w:rFonts w:cstheme="minorHAnsi"/>
        </w:rPr>
        <w:t xml:space="preserve">, was analyzed.  Separate 1L forcing functions were provided for the 1L end-of-burn TO analysis.  The 3L mode was analyzed using frequency domain forcing functions derived from the original time domain set.  CSE TO accounts for </w:t>
      </w:r>
      <w:r w:rsidR="00457CB5">
        <w:rPr>
          <w:rFonts w:cstheme="minorHAnsi"/>
        </w:rPr>
        <w:t>the low frequency (0-100 Hz) oscillatory thrust from the RS-25 CSE.  These forcing functions were derived from high speed data from heritage Space Shuttle Main Engine (SSME) tests.  The CSE TO forcing functions were provided as power spectral density (PSD), and the analysis was therefore performed in the frequency domain.</w:t>
      </w:r>
    </w:p>
    <w:p w14:paraId="28A2D2DC" w14:textId="2C56A88A" w:rsidR="00457CB5" w:rsidRDefault="00457CB5">
      <w:pPr>
        <w:rPr>
          <w:rFonts w:cstheme="minorHAnsi"/>
        </w:rPr>
      </w:pPr>
      <w:r>
        <w:rPr>
          <w:rFonts w:cstheme="minorHAnsi"/>
        </w:rPr>
        <w:t>Results</w:t>
      </w:r>
    </w:p>
    <w:p w14:paraId="138C90E0" w14:textId="1A0868A0" w:rsidR="00457CB5" w:rsidRDefault="0035472C">
      <w:pPr>
        <w:rPr>
          <w:rFonts w:cstheme="minorHAnsi"/>
        </w:rPr>
      </w:pPr>
      <w:r>
        <w:rPr>
          <w:rFonts w:cstheme="minorHAnsi"/>
        </w:rPr>
        <w:t xml:space="preserve">The results from the individual sub-event analyses were combined using a statistical Loads Combination Equation (LCE).  Buffet and CSE TO were assumed to follow a Raleigh distribution, and tuned lateral gust was assumed to follow a gamma distribution.  Flight mechanics loads (STEL, VLI, and maneuvering) </w:t>
      </w:r>
      <w:r w:rsidR="00202C64">
        <w:rPr>
          <w:rFonts w:cstheme="minorHAnsi"/>
        </w:rPr>
        <w:t>we</w:t>
      </w:r>
      <w:r>
        <w:rPr>
          <w:rFonts w:cstheme="minorHAnsi"/>
        </w:rPr>
        <w:t xml:space="preserve">re treated completely as mean terms, and SRB TO and </w:t>
      </w:r>
      <w:r w:rsidR="00202C64">
        <w:rPr>
          <w:rFonts w:cstheme="minorHAnsi"/>
        </w:rPr>
        <w:t>turbulent gust used ordered statistics for the mean and dispersed terms.</w:t>
      </w:r>
    </w:p>
    <w:p w14:paraId="4FA27932" w14:textId="77777777" w:rsidR="00202C64" w:rsidRDefault="00202C64">
      <w:pPr>
        <w:rPr>
          <w:rFonts w:cstheme="minorHAnsi"/>
        </w:rPr>
      </w:pPr>
    </w:p>
    <w:p w14:paraId="04E41AC2" w14:textId="77777777" w:rsidR="00CE57DA" w:rsidRPr="00CE57DA" w:rsidRDefault="00CE57DA">
      <w:pPr>
        <w:rPr>
          <w:rFonts w:cstheme="minorHAnsi"/>
        </w:rPr>
      </w:pPr>
    </w:p>
    <w:p w14:paraId="57AC7F2C" w14:textId="21332839" w:rsidR="00520193" w:rsidRDefault="00520193"/>
    <w:p w14:paraId="429AC73B" w14:textId="77777777" w:rsidR="00520193" w:rsidRDefault="00520193"/>
    <w:p w14:paraId="41AF4450" w14:textId="77777777" w:rsidR="00E92AC6" w:rsidRDefault="00520193" w:rsidP="00E92AC6">
      <w:pPr>
        <w:keepNext/>
      </w:pPr>
      <w:r>
        <w:t xml:space="preserve"> </w:t>
      </w:r>
      <w:r w:rsidR="00E92AC6" w:rsidRPr="00E92AC6">
        <w:rPr>
          <w:noProof/>
        </w:rPr>
        <w:drawing>
          <wp:inline distT="0" distB="0" distL="0" distR="0" wp14:anchorId="4C4FD3F2" wp14:editId="35011356">
            <wp:extent cx="5943600" cy="17011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701165"/>
                    </a:xfrm>
                    <a:prstGeom prst="rect">
                      <a:avLst/>
                    </a:prstGeom>
                    <a:noFill/>
                    <a:ln>
                      <a:noFill/>
                    </a:ln>
                  </pic:spPr>
                </pic:pic>
              </a:graphicData>
            </a:graphic>
          </wp:inline>
        </w:drawing>
      </w:r>
    </w:p>
    <w:p w14:paraId="5EFC439A" w14:textId="4CC13711" w:rsidR="00E92AC6" w:rsidRDefault="00E92AC6" w:rsidP="00E92AC6">
      <w:pPr>
        <w:pStyle w:val="Caption"/>
      </w:pPr>
      <w:r>
        <w:t xml:space="preserve">Figure </w:t>
      </w:r>
      <w:r w:rsidR="00D87FA0">
        <w:fldChar w:fldCharType="begin"/>
      </w:r>
      <w:r w:rsidR="00D87FA0">
        <w:instrText xml:space="preserve"> SEQ Figure \* ARABIC </w:instrText>
      </w:r>
      <w:r w:rsidR="00D87FA0">
        <w:fldChar w:fldCharType="separate"/>
      </w:r>
      <w:r>
        <w:rPr>
          <w:noProof/>
        </w:rPr>
        <w:t>1</w:t>
      </w:r>
      <w:r w:rsidR="00D87FA0">
        <w:rPr>
          <w:noProof/>
        </w:rPr>
        <w:fldChar w:fldCharType="end"/>
      </w:r>
      <w:r>
        <w:t>.  FRAC Ascent Boost LCE</w:t>
      </w:r>
    </w:p>
    <w:p w14:paraId="2B6A59F9" w14:textId="75772E36" w:rsidR="00E92AC6" w:rsidRDefault="00E92AC6" w:rsidP="00E92AC6">
      <w:r>
        <w:t>The FRAC ascent analysis recovered nearly 200,000 row</w:t>
      </w:r>
      <w:r w:rsidR="00505598">
        <w:t>s from the element provided LTMs.  A subset of the recoveries w</w:t>
      </w:r>
      <w:r w:rsidR="00E6617C">
        <w:t>as</w:t>
      </w:r>
      <w:r w:rsidR="00505598">
        <w:t xml:space="preserve"> used as Critical Load Indicators (CLI) to allow a timely assessment of the SLS vehicle structural health status with respect to the FRAC loads.</w:t>
      </w:r>
      <w:r w:rsidR="00E825E2">
        <w:t xml:space="preserve">  LTM responses and CLI results were enveloped over all three seasons and provided to the SLS elements and MPCV for assessment.</w:t>
      </w:r>
      <w:r w:rsidR="00505598">
        <w:t xml:space="preserve"> </w:t>
      </w:r>
    </w:p>
    <w:p w14:paraId="6A41A1FB" w14:textId="34A893AF" w:rsidR="00505598" w:rsidRDefault="00505598" w:rsidP="00E92AC6">
      <w:r>
        <w:t>Summary/Conclusions</w:t>
      </w:r>
    </w:p>
    <w:p w14:paraId="4236723F" w14:textId="570BDB53" w:rsidR="00505598" w:rsidRPr="00E92AC6" w:rsidRDefault="00505598" w:rsidP="00E92AC6">
      <w:r>
        <w:t xml:space="preserve">Overall, the ascent boost </w:t>
      </w:r>
      <w:r w:rsidR="0032524E">
        <w:t xml:space="preserve">analysis and modeling are sufficient for their intended purpose of supporting SLS/Orion Artemis I certification of flight readiness.  The test validated element models, test-derived forcing functions, and heritage data for </w:t>
      </w:r>
      <w:r w:rsidR="00BA6E12">
        <w:t xml:space="preserve">the boost phase flight propulsion elements </w:t>
      </w:r>
      <w:r w:rsidR="00E825E2">
        <w:t>provide a high level of maturity, and the high fidelity of the analyses performed is appropriate for this phase of SLS/Orion development.</w:t>
      </w:r>
    </w:p>
    <w:sectPr w:rsidR="00505598" w:rsidRPr="00E92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93"/>
    <w:rsid w:val="000B5271"/>
    <w:rsid w:val="00103D2D"/>
    <w:rsid w:val="00145E22"/>
    <w:rsid w:val="00202C64"/>
    <w:rsid w:val="00223833"/>
    <w:rsid w:val="002B698D"/>
    <w:rsid w:val="002F6DDD"/>
    <w:rsid w:val="0032524E"/>
    <w:rsid w:val="0035472C"/>
    <w:rsid w:val="00457CB5"/>
    <w:rsid w:val="00505598"/>
    <w:rsid w:val="00520193"/>
    <w:rsid w:val="007659DB"/>
    <w:rsid w:val="00866D19"/>
    <w:rsid w:val="00924D5C"/>
    <w:rsid w:val="00947AC6"/>
    <w:rsid w:val="009D1788"/>
    <w:rsid w:val="00AD5277"/>
    <w:rsid w:val="00B463D7"/>
    <w:rsid w:val="00BA6E12"/>
    <w:rsid w:val="00CE57DA"/>
    <w:rsid w:val="00D87FA0"/>
    <w:rsid w:val="00DA4444"/>
    <w:rsid w:val="00E5737E"/>
    <w:rsid w:val="00E6617C"/>
    <w:rsid w:val="00E825E2"/>
    <w:rsid w:val="00E92AC6"/>
    <w:rsid w:val="00EC147D"/>
    <w:rsid w:val="00F87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89A0"/>
  <w15:chartTrackingRefBased/>
  <w15:docId w15:val="{27AD97FB-BFC0-4B95-9B02-1614F4D7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92AC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Howsman</dc:creator>
  <cp:keywords/>
  <dc:description/>
  <cp:lastModifiedBy>Decker, Austin F. (MSFC-EV31)</cp:lastModifiedBy>
  <cp:revision>9</cp:revision>
  <dcterms:created xsi:type="dcterms:W3CDTF">2021-05-27T05:29:00Z</dcterms:created>
  <dcterms:modified xsi:type="dcterms:W3CDTF">2021-05-28T23:02:00Z</dcterms:modified>
</cp:coreProperties>
</file>