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B781E" w14:textId="77777777" w:rsidR="00F565BA" w:rsidRPr="006B42CE" w:rsidRDefault="00371969" w:rsidP="00143CD2">
      <w:pPr>
        <w:pStyle w:val="Title"/>
        <w:rPr>
          <w:sz w:val="48"/>
          <w:szCs w:val="48"/>
        </w:rPr>
      </w:pPr>
      <w:r>
        <w:rPr>
          <w:sz w:val="48"/>
          <w:szCs w:val="48"/>
        </w:rPr>
        <w:t>Development of a</w:t>
      </w:r>
      <w:r w:rsidR="00472092">
        <w:rPr>
          <w:sz w:val="48"/>
          <w:szCs w:val="48"/>
        </w:rPr>
        <w:t xml:space="preserve">n </w:t>
      </w:r>
      <w:r>
        <w:rPr>
          <w:sz w:val="48"/>
          <w:szCs w:val="48"/>
        </w:rPr>
        <w:t xml:space="preserve">Inertia Relief </w:t>
      </w:r>
      <w:r w:rsidR="00472092">
        <w:rPr>
          <w:sz w:val="48"/>
          <w:szCs w:val="48"/>
        </w:rPr>
        <w:t xml:space="preserve">Method </w:t>
      </w:r>
      <w:r>
        <w:rPr>
          <w:sz w:val="48"/>
          <w:szCs w:val="48"/>
        </w:rPr>
        <w:t xml:space="preserve">for </w:t>
      </w:r>
      <w:r w:rsidR="00472092">
        <w:rPr>
          <w:sz w:val="48"/>
          <w:szCs w:val="48"/>
        </w:rPr>
        <w:t xml:space="preserve">Aircraft with Dissimilar Engines in </w:t>
      </w:r>
      <w:r>
        <w:rPr>
          <w:sz w:val="48"/>
          <w:szCs w:val="48"/>
        </w:rPr>
        <w:t>LEAPS</w:t>
      </w:r>
    </w:p>
    <w:p w14:paraId="6FDBED10" w14:textId="77777777" w:rsidR="00F565BA" w:rsidRPr="006B42CE" w:rsidRDefault="006203AC" w:rsidP="00F565BA">
      <w:pPr>
        <w:jc w:val="center"/>
        <w:rPr>
          <w:sz w:val="32"/>
          <w:szCs w:val="32"/>
        </w:rPr>
      </w:pPr>
      <w:r>
        <w:rPr>
          <w:sz w:val="32"/>
          <w:szCs w:val="32"/>
        </w:rPr>
        <w:t>Bryce L. Horvath</w:t>
      </w:r>
      <w:r w:rsidR="00F565BA" w:rsidRPr="006B42CE">
        <w:rPr>
          <w:sz w:val="32"/>
          <w:szCs w:val="32"/>
          <w:vertAlign w:val="superscript"/>
        </w:rPr>
        <w:footnoteReference w:id="1"/>
      </w:r>
    </w:p>
    <w:p w14:paraId="63227AAB" w14:textId="77777777" w:rsidR="00F565BA" w:rsidRPr="006B42CE" w:rsidRDefault="00FC0171" w:rsidP="00F565BA">
      <w:pPr>
        <w:spacing w:after="240"/>
        <w:jc w:val="center"/>
        <w:rPr>
          <w:i/>
          <w:sz w:val="24"/>
          <w:szCs w:val="24"/>
        </w:rPr>
      </w:pPr>
      <w:r>
        <w:rPr>
          <w:i/>
          <w:sz w:val="24"/>
          <w:szCs w:val="24"/>
        </w:rPr>
        <w:t>NASA Langley Research Center</w:t>
      </w:r>
      <w:r w:rsidR="00F565BA" w:rsidRPr="006B42CE">
        <w:rPr>
          <w:i/>
          <w:sz w:val="24"/>
          <w:szCs w:val="24"/>
        </w:rPr>
        <w:t xml:space="preserve">, </w:t>
      </w:r>
      <w:r w:rsidR="006203AC">
        <w:rPr>
          <w:i/>
          <w:sz w:val="24"/>
          <w:szCs w:val="24"/>
        </w:rPr>
        <w:t>Hampton</w:t>
      </w:r>
      <w:r w:rsidR="00F565BA" w:rsidRPr="006B42CE">
        <w:rPr>
          <w:i/>
          <w:sz w:val="24"/>
          <w:szCs w:val="24"/>
        </w:rPr>
        <w:t xml:space="preserve">, </w:t>
      </w:r>
      <w:r w:rsidR="006203AC">
        <w:rPr>
          <w:i/>
          <w:sz w:val="24"/>
          <w:szCs w:val="24"/>
        </w:rPr>
        <w:t>VA</w:t>
      </w:r>
      <w:r w:rsidR="00F565BA" w:rsidRPr="006B42CE">
        <w:rPr>
          <w:i/>
          <w:sz w:val="24"/>
          <w:szCs w:val="24"/>
        </w:rPr>
        <w:t xml:space="preserve">, </w:t>
      </w:r>
      <w:r>
        <w:rPr>
          <w:i/>
          <w:sz w:val="24"/>
          <w:szCs w:val="24"/>
        </w:rPr>
        <w:t>23681</w:t>
      </w:r>
      <w:r w:rsidR="00F565BA" w:rsidRPr="006B42CE">
        <w:rPr>
          <w:i/>
          <w:sz w:val="24"/>
          <w:szCs w:val="24"/>
        </w:rPr>
        <w:t xml:space="preserve">, </w:t>
      </w:r>
      <w:r w:rsidR="006203AC">
        <w:rPr>
          <w:i/>
          <w:sz w:val="24"/>
          <w:szCs w:val="24"/>
        </w:rPr>
        <w:t>USA</w:t>
      </w:r>
    </w:p>
    <w:p w14:paraId="3CC8D5B4" w14:textId="77777777" w:rsidR="00F565BA" w:rsidRPr="006B42CE" w:rsidRDefault="006203AC" w:rsidP="00F565BA">
      <w:pPr>
        <w:jc w:val="center"/>
        <w:rPr>
          <w:sz w:val="32"/>
          <w:szCs w:val="32"/>
        </w:rPr>
      </w:pPr>
      <w:r>
        <w:rPr>
          <w:sz w:val="32"/>
          <w:szCs w:val="32"/>
        </w:rPr>
        <w:t>Gregory</w:t>
      </w:r>
      <w:r w:rsidR="00F565BA" w:rsidRPr="006B42CE">
        <w:rPr>
          <w:sz w:val="32"/>
          <w:szCs w:val="32"/>
        </w:rPr>
        <w:t xml:space="preserve"> </w:t>
      </w:r>
      <w:r>
        <w:rPr>
          <w:sz w:val="32"/>
          <w:szCs w:val="32"/>
        </w:rPr>
        <w:t>A</w:t>
      </w:r>
      <w:r w:rsidR="00F565BA" w:rsidRPr="006B42CE">
        <w:rPr>
          <w:sz w:val="32"/>
          <w:szCs w:val="32"/>
        </w:rPr>
        <w:t xml:space="preserve">. </w:t>
      </w:r>
      <w:r>
        <w:rPr>
          <w:sz w:val="32"/>
          <w:szCs w:val="32"/>
        </w:rPr>
        <w:t>Wrenn</w:t>
      </w:r>
      <w:r w:rsidR="00F565BA" w:rsidRPr="006B42CE">
        <w:rPr>
          <w:sz w:val="32"/>
          <w:szCs w:val="32"/>
          <w:vertAlign w:val="superscript"/>
        </w:rPr>
        <w:footnoteReference w:id="2"/>
      </w:r>
    </w:p>
    <w:p w14:paraId="7FBB1D39" w14:textId="77777777" w:rsidR="00F565BA" w:rsidRPr="006B42CE" w:rsidRDefault="3CE58A52" w:rsidP="6CDDD25F">
      <w:pPr>
        <w:spacing w:after="240"/>
        <w:jc w:val="center"/>
        <w:rPr>
          <w:i/>
          <w:iCs/>
          <w:sz w:val="24"/>
          <w:szCs w:val="24"/>
        </w:rPr>
      </w:pPr>
      <w:r w:rsidRPr="6CDDD25F">
        <w:rPr>
          <w:i/>
          <w:iCs/>
          <w:sz w:val="24"/>
          <w:szCs w:val="24"/>
        </w:rPr>
        <w:t>Analytical Mechanics Associates, Inc.</w:t>
      </w:r>
      <w:r w:rsidR="00F565BA" w:rsidRPr="6CDDD25F">
        <w:rPr>
          <w:i/>
          <w:iCs/>
          <w:sz w:val="24"/>
          <w:szCs w:val="24"/>
        </w:rPr>
        <w:t xml:space="preserve">, </w:t>
      </w:r>
      <w:r w:rsidR="05BB7F07" w:rsidRPr="6CDDD25F">
        <w:rPr>
          <w:i/>
          <w:iCs/>
          <w:sz w:val="24"/>
          <w:szCs w:val="24"/>
        </w:rPr>
        <w:t>Hampton</w:t>
      </w:r>
      <w:r w:rsidR="00F565BA" w:rsidRPr="6CDDD25F">
        <w:rPr>
          <w:i/>
          <w:iCs/>
          <w:sz w:val="24"/>
          <w:szCs w:val="24"/>
        </w:rPr>
        <w:t xml:space="preserve">, </w:t>
      </w:r>
      <w:r w:rsidR="6279A967" w:rsidRPr="6CDDD25F">
        <w:rPr>
          <w:i/>
          <w:iCs/>
          <w:sz w:val="24"/>
          <w:szCs w:val="24"/>
        </w:rPr>
        <w:t>VA</w:t>
      </w:r>
      <w:r w:rsidR="00F565BA" w:rsidRPr="6CDDD25F">
        <w:rPr>
          <w:i/>
          <w:iCs/>
          <w:sz w:val="24"/>
          <w:szCs w:val="24"/>
        </w:rPr>
        <w:t xml:space="preserve">, </w:t>
      </w:r>
      <w:r w:rsidR="56DF2EEB" w:rsidRPr="6CDDD25F">
        <w:rPr>
          <w:i/>
          <w:iCs/>
          <w:sz w:val="24"/>
          <w:szCs w:val="24"/>
        </w:rPr>
        <w:t>23666</w:t>
      </w:r>
      <w:r w:rsidR="00F565BA" w:rsidRPr="6CDDD25F">
        <w:rPr>
          <w:i/>
          <w:iCs/>
          <w:sz w:val="24"/>
          <w:szCs w:val="24"/>
        </w:rPr>
        <w:t xml:space="preserve">, </w:t>
      </w:r>
      <w:r w:rsidR="15CD1901" w:rsidRPr="6CDDD25F">
        <w:rPr>
          <w:i/>
          <w:iCs/>
          <w:sz w:val="24"/>
          <w:szCs w:val="24"/>
        </w:rPr>
        <w:t>USA</w:t>
      </w:r>
    </w:p>
    <w:p w14:paraId="485D14CF" w14:textId="6C0B1AC2" w:rsidR="00ED6992" w:rsidRDefault="00ED6992" w:rsidP="00F565BA">
      <w:pPr>
        <w:spacing w:before="480" w:after="480"/>
        <w:ind w:left="720" w:right="720" w:firstLine="288"/>
        <w:rPr>
          <w:b/>
        </w:rPr>
      </w:pPr>
      <w:r>
        <w:rPr>
          <w:b/>
        </w:rPr>
        <w:t xml:space="preserve">Weight estimation is a critical element </w:t>
      </w:r>
      <w:r w:rsidR="00CE742F">
        <w:rPr>
          <w:b/>
        </w:rPr>
        <w:t>of</w:t>
      </w:r>
      <w:r>
        <w:rPr>
          <w:b/>
        </w:rPr>
        <w:t xml:space="preserve"> the aircraft conceptual design process. The </w:t>
      </w:r>
      <w:r w:rsidR="00F07ED6">
        <w:rPr>
          <w:b/>
        </w:rPr>
        <w:t>Layered</w:t>
      </w:r>
      <w:r>
        <w:rPr>
          <w:b/>
        </w:rPr>
        <w:t xml:space="preserve"> and </w:t>
      </w:r>
      <w:r w:rsidR="00F07ED6">
        <w:rPr>
          <w:b/>
        </w:rPr>
        <w:t>Extensible</w:t>
      </w:r>
      <w:r>
        <w:rPr>
          <w:b/>
        </w:rPr>
        <w:t xml:space="preserve"> Aircraft Performance System (LEAPS) is an aircraft conceptual </w:t>
      </w:r>
      <w:r w:rsidR="00F07ED6">
        <w:rPr>
          <w:b/>
        </w:rPr>
        <w:t>design</w:t>
      </w:r>
      <w:r>
        <w:rPr>
          <w:b/>
        </w:rPr>
        <w:t xml:space="preserve"> tool that is under development by the Systems Analysis and Concepts Directorate (SACD) at </w:t>
      </w:r>
      <w:r w:rsidR="001803BD">
        <w:rPr>
          <w:b/>
        </w:rPr>
        <w:t xml:space="preserve">the </w:t>
      </w:r>
      <w:r>
        <w:rPr>
          <w:b/>
        </w:rPr>
        <w:t xml:space="preserve">NASA Langley Research Center. LEAPS includes modules that represent aircraft design disciplines. </w:t>
      </w:r>
      <w:r w:rsidR="00F07ED6">
        <w:rPr>
          <w:b/>
        </w:rPr>
        <w:t>This work presents a</w:t>
      </w:r>
      <w:r w:rsidR="00541BA9">
        <w:rPr>
          <w:b/>
        </w:rPr>
        <w:t xml:space="preserve">n </w:t>
      </w:r>
      <w:r w:rsidR="00F07ED6">
        <w:rPr>
          <w:b/>
        </w:rPr>
        <w:t>update to the LEAPS wing weight estimation method to allow for engine inertia relief to be accurately accounted for when analyzing aircraft with multiple dissimilar engines.</w:t>
      </w:r>
    </w:p>
    <w:p w14:paraId="35F421D7" w14:textId="77777777" w:rsidR="00F565BA" w:rsidRPr="00F565BA" w:rsidRDefault="00F565BA" w:rsidP="00F565BA">
      <w:pPr>
        <w:keepNext/>
        <w:numPr>
          <w:ilvl w:val="0"/>
          <w:numId w:val="3"/>
        </w:numPr>
        <w:tabs>
          <w:tab w:val="clear" w:pos="360"/>
          <w:tab w:val="num" w:pos="180"/>
        </w:tabs>
        <w:spacing w:before="240" w:after="60"/>
        <w:ind w:left="180" w:hanging="180"/>
        <w:jc w:val="center"/>
        <w:outlineLvl w:val="0"/>
        <w:rPr>
          <w:b/>
          <w:kern w:val="32"/>
          <w:sz w:val="22"/>
        </w:rPr>
      </w:pPr>
      <w:r w:rsidRPr="00F565BA">
        <w:rPr>
          <w:b/>
          <w:kern w:val="32"/>
          <w:sz w:val="22"/>
        </w:rPr>
        <w:t>Nomenclature</w:t>
      </w:r>
    </w:p>
    <w:p w14:paraId="71C30A5F" w14:textId="77777777" w:rsidR="00F565BA" w:rsidRDefault="00F565BA" w:rsidP="00F565BA">
      <w:pPr>
        <w:widowControl w:val="0"/>
        <w:tabs>
          <w:tab w:val="left" w:pos="864"/>
          <w:tab w:val="left" w:pos="1152"/>
        </w:tabs>
      </w:pPr>
      <w:r w:rsidRPr="00F565BA">
        <w:rPr>
          <w:i/>
        </w:rPr>
        <w:t>A</w:t>
      </w:r>
      <w:r w:rsidR="00FC0171">
        <w:rPr>
          <w:i/>
        </w:rPr>
        <w:t>MMIT</w:t>
      </w:r>
      <w:r w:rsidRPr="00F565BA">
        <w:tab/>
      </w:r>
      <w:r w:rsidR="009F7247">
        <w:tab/>
      </w:r>
      <w:r w:rsidRPr="00F565BA">
        <w:t>=</w:t>
      </w:r>
      <w:r w:rsidRPr="00F565BA">
        <w:tab/>
      </w:r>
      <w:r w:rsidR="00FC0171">
        <w:t>Aircraft Structural Analysis Method for Immediate Weight Estimation</w:t>
      </w:r>
    </w:p>
    <w:p w14:paraId="6271D379" w14:textId="77777777" w:rsidR="006E2742" w:rsidRDefault="006E2742" w:rsidP="00F565BA">
      <w:pPr>
        <w:widowControl w:val="0"/>
        <w:tabs>
          <w:tab w:val="left" w:pos="864"/>
          <w:tab w:val="left" w:pos="1152"/>
        </w:tabs>
      </w:pPr>
      <w:r w:rsidRPr="00E04050">
        <w:rPr>
          <w:i/>
        </w:rPr>
        <w:t>BWB</w:t>
      </w:r>
      <w:r>
        <w:tab/>
      </w:r>
      <w:r>
        <w:tab/>
        <w:t>=</w:t>
      </w:r>
      <w:r>
        <w:tab/>
        <w:t>Blended Wing Body</w:t>
      </w:r>
    </w:p>
    <w:p w14:paraId="43CAB7A0" w14:textId="77777777" w:rsidR="00BE28E2" w:rsidRPr="00F565BA" w:rsidRDefault="00BE28E2" w:rsidP="00F565BA">
      <w:pPr>
        <w:widowControl w:val="0"/>
        <w:tabs>
          <w:tab w:val="left" w:pos="864"/>
          <w:tab w:val="left" w:pos="1152"/>
        </w:tabs>
      </w:pPr>
      <w:r w:rsidRPr="05C155EA">
        <w:rPr>
          <w:i/>
          <w:iCs/>
        </w:rPr>
        <w:t>EIRF</w:t>
      </w:r>
      <w:r>
        <w:tab/>
      </w:r>
      <w:r>
        <w:tab/>
        <w:t>=</w:t>
      </w:r>
      <w:r>
        <w:tab/>
        <w:t>Engine Inertia Relief Factor</w:t>
      </w:r>
    </w:p>
    <w:p w14:paraId="52F359D4" w14:textId="77777777" w:rsidR="009F7247" w:rsidRDefault="0DE83228" w:rsidP="05C155EA">
      <w:pPr>
        <w:widowControl w:val="0"/>
        <w:tabs>
          <w:tab w:val="left" w:pos="864"/>
          <w:tab w:val="left" w:pos="1152"/>
        </w:tabs>
      </w:pPr>
      <w:r w:rsidRPr="0041171A">
        <w:rPr>
          <w:i/>
        </w:rPr>
        <w:t>EPSM</w:t>
      </w:r>
      <w:r w:rsidR="00241BAB">
        <w:tab/>
      </w:r>
      <w:r w:rsidR="00241BAB">
        <w:tab/>
      </w:r>
      <w:r>
        <w:t>=</w:t>
      </w:r>
      <w:r w:rsidR="00241BAB">
        <w:tab/>
      </w:r>
      <w:r>
        <w:t>Equivalent Plate Structural Modeling</w:t>
      </w:r>
      <w:r w:rsidRPr="53805726">
        <w:rPr>
          <w:i/>
          <w:iCs/>
        </w:rPr>
        <w:t xml:space="preserve"> </w:t>
      </w:r>
    </w:p>
    <w:p w14:paraId="5CC9F8A6" w14:textId="77777777" w:rsidR="009F7247" w:rsidRDefault="009F7247" w:rsidP="00F565BA">
      <w:pPr>
        <w:widowControl w:val="0"/>
        <w:tabs>
          <w:tab w:val="left" w:pos="864"/>
          <w:tab w:val="left" w:pos="1152"/>
        </w:tabs>
      </w:pPr>
      <w:r w:rsidRPr="53805726">
        <w:rPr>
          <w:i/>
          <w:iCs/>
        </w:rPr>
        <w:t>FLOPS</w:t>
      </w:r>
      <w:r>
        <w:rPr>
          <w:i/>
        </w:rPr>
        <w:tab/>
      </w:r>
      <w:r>
        <w:rPr>
          <w:i/>
        </w:rPr>
        <w:tab/>
      </w:r>
      <w:r w:rsidRPr="53805726">
        <w:rPr>
          <w:i/>
          <w:iCs/>
        </w:rPr>
        <w:t>=</w:t>
      </w:r>
      <w:r>
        <w:tab/>
        <w:t>Flight Optimization System</w:t>
      </w:r>
    </w:p>
    <w:p w14:paraId="4B54E1F4" w14:textId="77777777" w:rsidR="009F7247" w:rsidRDefault="009F7247" w:rsidP="00F565BA">
      <w:pPr>
        <w:widowControl w:val="0"/>
        <w:tabs>
          <w:tab w:val="left" w:pos="864"/>
          <w:tab w:val="left" w:pos="1152"/>
        </w:tabs>
      </w:pPr>
      <w:r w:rsidRPr="009F7247">
        <w:rPr>
          <w:i/>
        </w:rPr>
        <w:t>LEAPS</w:t>
      </w:r>
      <w:r>
        <w:tab/>
      </w:r>
      <w:r>
        <w:tab/>
        <w:t>=</w:t>
      </w:r>
      <w:r>
        <w:tab/>
      </w:r>
      <w:r w:rsidR="00B27289">
        <w:t>Layered and Extensible Aircraft Performance System</w:t>
      </w:r>
    </w:p>
    <w:p w14:paraId="126D2BD4" w14:textId="77777777" w:rsidR="00155D3E" w:rsidRDefault="00155D3E" w:rsidP="00F565BA">
      <w:pPr>
        <w:widowControl w:val="0"/>
        <w:tabs>
          <w:tab w:val="left" w:pos="864"/>
          <w:tab w:val="left" w:pos="1152"/>
        </w:tabs>
      </w:pPr>
      <w:r w:rsidRPr="00155D3E">
        <w:rPr>
          <w:i/>
        </w:rPr>
        <w:t>NEW</w:t>
      </w:r>
      <w:r>
        <w:tab/>
      </w:r>
      <w:r>
        <w:tab/>
        <w:t>=</w:t>
      </w:r>
      <w:r>
        <w:tab/>
        <w:t>Number of wing mounted engines</w:t>
      </w:r>
    </w:p>
    <w:p w14:paraId="013723DC" w14:textId="77777777" w:rsidR="006B1BAA" w:rsidRPr="009F7247" w:rsidRDefault="006B1BAA" w:rsidP="00F565BA">
      <w:pPr>
        <w:widowControl w:val="0"/>
        <w:tabs>
          <w:tab w:val="left" w:pos="864"/>
          <w:tab w:val="left" w:pos="1152"/>
        </w:tabs>
      </w:pPr>
      <w:r w:rsidRPr="007F099D">
        <w:rPr>
          <w:i/>
        </w:rPr>
        <w:t>SACD</w:t>
      </w:r>
      <w:r>
        <w:tab/>
      </w:r>
      <w:r>
        <w:tab/>
        <w:t xml:space="preserve">= </w:t>
      </w:r>
      <w:r>
        <w:tab/>
        <w:t>Systems Analysis and Concepts Directorate</w:t>
      </w:r>
    </w:p>
    <w:p w14:paraId="3B67591B" w14:textId="77777777" w:rsidR="00F565BA" w:rsidRPr="00B84376" w:rsidRDefault="009F7247" w:rsidP="00F565BA">
      <w:pPr>
        <w:widowControl w:val="0"/>
        <w:tabs>
          <w:tab w:val="left" w:pos="864"/>
          <w:tab w:val="left" w:pos="1152"/>
        </w:tabs>
      </w:pPr>
      <w:r w:rsidRPr="05C155EA">
        <w:rPr>
          <w:i/>
          <w:iCs/>
        </w:rPr>
        <w:t>SUITCASE</w:t>
      </w:r>
      <w:r w:rsidR="00F565BA" w:rsidRPr="00F565BA">
        <w:rPr>
          <w:i/>
        </w:rPr>
        <w:tab/>
      </w:r>
      <w:r w:rsidR="00F565BA" w:rsidRPr="00F565BA">
        <w:t>=</w:t>
      </w:r>
      <w:r w:rsidR="00241BAB">
        <w:tab/>
      </w:r>
      <w:r w:rsidR="31AB838B" w:rsidRPr="00B84376">
        <w:t>SUITe of codes for Aeroelastic Sizing using EPSM</w:t>
      </w:r>
      <w:r w:rsidR="00F565BA" w:rsidRPr="00B84376">
        <w:tab/>
      </w:r>
    </w:p>
    <w:p w14:paraId="06D244C5" w14:textId="77777777" w:rsidR="00F565BA" w:rsidRPr="00F565BA" w:rsidRDefault="00F565BA" w:rsidP="00F565BA">
      <w:pPr>
        <w:keepNext/>
        <w:numPr>
          <w:ilvl w:val="0"/>
          <w:numId w:val="3"/>
        </w:numPr>
        <w:tabs>
          <w:tab w:val="clear" w:pos="360"/>
          <w:tab w:val="num" w:pos="180"/>
        </w:tabs>
        <w:spacing w:before="240" w:after="60"/>
        <w:ind w:left="180" w:hanging="180"/>
        <w:jc w:val="center"/>
        <w:outlineLvl w:val="0"/>
        <w:rPr>
          <w:b/>
          <w:kern w:val="32"/>
          <w:sz w:val="22"/>
        </w:rPr>
      </w:pPr>
      <w:r w:rsidRPr="00F565BA">
        <w:rPr>
          <w:b/>
          <w:kern w:val="32"/>
          <w:sz w:val="22"/>
        </w:rPr>
        <w:t>Introduction</w:t>
      </w:r>
    </w:p>
    <w:p w14:paraId="4BA4DDFB" w14:textId="4D3BA391" w:rsidR="00894D6D" w:rsidRDefault="00894D6D" w:rsidP="00894D6D">
      <w:pPr>
        <w:tabs>
          <w:tab w:val="left" w:pos="288"/>
        </w:tabs>
        <w:ind w:firstLine="180"/>
      </w:pPr>
      <w:r>
        <w:t xml:space="preserve">Conceptual aircraft design is the critical phase of the aircraft development process where </w:t>
      </w:r>
      <w:r w:rsidR="00CE742F">
        <w:t>preliminary</w:t>
      </w:r>
      <w:r>
        <w:t xml:space="preserve"> analyses and </w:t>
      </w:r>
      <w:r w:rsidR="00B27289">
        <w:t>performance</w:t>
      </w:r>
      <w:r>
        <w:t xml:space="preserve"> estimates are conducted. </w:t>
      </w:r>
      <w:r w:rsidR="00516BD3">
        <w:t>Early</w:t>
      </w:r>
      <w:r>
        <w:t xml:space="preserve"> weight and </w:t>
      </w:r>
      <w:r w:rsidR="00B27289">
        <w:t>performance</w:t>
      </w:r>
      <w:r>
        <w:t xml:space="preserve"> estimates </w:t>
      </w:r>
      <w:r w:rsidR="00CE742F">
        <w:t>are</w:t>
      </w:r>
      <w:r w:rsidR="00516BD3">
        <w:t xml:space="preserve"> often</w:t>
      </w:r>
      <w:r w:rsidR="00CE742F">
        <w:t xml:space="preserve"> used </w:t>
      </w:r>
      <w:r>
        <w:t xml:space="preserve">to plan budgets and schedules. </w:t>
      </w:r>
      <w:r w:rsidR="007F099D">
        <w:t>Subsequently</w:t>
      </w:r>
      <w:r w:rsidR="00516BD3">
        <w:t>,</w:t>
      </w:r>
      <w:r w:rsidR="007F099D">
        <w:t xml:space="preserve"> a</w:t>
      </w:r>
      <w:r w:rsidR="00CE742F">
        <w:t xml:space="preserve"> poor prediction </w:t>
      </w:r>
      <w:r w:rsidR="007F099D">
        <w:t xml:space="preserve">of either </w:t>
      </w:r>
      <w:r w:rsidR="00CE742F">
        <w:t xml:space="preserve">can lead to the cancelation of a promising </w:t>
      </w:r>
      <w:r w:rsidR="00516BD3">
        <w:t>concept</w:t>
      </w:r>
      <w:r w:rsidR="00CE742F">
        <w:t xml:space="preserve"> or alternatively the advancement of a </w:t>
      </w:r>
      <w:r w:rsidR="00516BD3">
        <w:t>concept</w:t>
      </w:r>
      <w:r w:rsidR="00CE742F">
        <w:t xml:space="preserve"> that </w:t>
      </w:r>
      <w:r w:rsidR="00516BD3">
        <w:t>is likely to</w:t>
      </w:r>
      <w:r w:rsidR="00CE742F">
        <w:t xml:space="preserve"> encounter future </w:t>
      </w:r>
      <w:r w:rsidR="007F099D">
        <w:t>technical issues</w:t>
      </w:r>
      <w:r w:rsidR="00CE742F">
        <w:t>. Therefore</w:t>
      </w:r>
      <w:r w:rsidR="00B84376">
        <w:t>,</w:t>
      </w:r>
      <w:r w:rsidR="00CE742F">
        <w:t xml:space="preserve"> t</w:t>
      </w:r>
      <w:r>
        <w:t xml:space="preserve">he success of a </w:t>
      </w:r>
      <w:r w:rsidR="00B27289">
        <w:t>project</w:t>
      </w:r>
      <w:r>
        <w:t xml:space="preserve"> </w:t>
      </w:r>
      <w:r w:rsidR="00B27289">
        <w:t>depends</w:t>
      </w:r>
      <w:r>
        <w:t xml:space="preserve"> heavily on the quality of the conceptual </w:t>
      </w:r>
      <w:r w:rsidR="00B27289">
        <w:t>design</w:t>
      </w:r>
      <w:r>
        <w:t xml:space="preserve"> phase analyses. </w:t>
      </w:r>
    </w:p>
    <w:p w14:paraId="0EE4CAAA" w14:textId="2E7C39A6" w:rsidR="00B27289" w:rsidRDefault="00F23346" w:rsidP="00894D6D">
      <w:pPr>
        <w:tabs>
          <w:tab w:val="left" w:pos="288"/>
        </w:tabs>
        <w:ind w:firstLine="180"/>
      </w:pPr>
      <w:r>
        <w:t>The Layered and Extensible Aircraft Performance System (</w:t>
      </w:r>
      <w:r w:rsidR="00B27289">
        <w:t>LEAPS</w:t>
      </w:r>
      <w:r>
        <w:t>)</w:t>
      </w:r>
      <w:r w:rsidR="00B27289">
        <w:t xml:space="preserve"> is an integrated </w:t>
      </w:r>
      <w:r w:rsidR="006B1BAA">
        <w:t>aircraft analysis tool being developed by members of the Systems Analysis and Concepts Directorate (SACD</w:t>
      </w:r>
      <w:r w:rsidR="00FE0969">
        <w:t>) at</w:t>
      </w:r>
      <w:r w:rsidR="006B1BAA">
        <w:t xml:space="preserve"> </w:t>
      </w:r>
      <w:r w:rsidR="00856312">
        <w:t xml:space="preserve">the </w:t>
      </w:r>
      <w:r w:rsidR="006B1BAA">
        <w:t>NASA Langley Research Center</w:t>
      </w:r>
      <w:r w:rsidR="00031F1D">
        <w:t xml:space="preserve"> </w:t>
      </w:r>
      <w:r w:rsidR="00A00C37">
        <w:t>[</w:t>
      </w:r>
      <w:r w:rsidR="00516BD3">
        <w:t>1</w:t>
      </w:r>
      <w:r w:rsidR="00A00C37">
        <w:t>]</w:t>
      </w:r>
      <w:r w:rsidR="006B1BAA">
        <w:t>. LEAPS</w:t>
      </w:r>
      <w:r>
        <w:t xml:space="preserve"> </w:t>
      </w:r>
      <w:r w:rsidR="006B1BAA">
        <w:t>is being developed to fill the analysis gaps in traditional analysis tools such as the Flight Optimization System (FLOPS)</w:t>
      </w:r>
      <w:r w:rsidR="00031F1D">
        <w:t xml:space="preserve"> </w:t>
      </w:r>
      <w:r w:rsidR="00CE742F">
        <w:t>[</w:t>
      </w:r>
      <w:r w:rsidR="00516BD3">
        <w:t>2</w:t>
      </w:r>
      <w:r w:rsidR="00CE742F">
        <w:t>]</w:t>
      </w:r>
      <w:r w:rsidR="006B1BAA">
        <w:t xml:space="preserve">. </w:t>
      </w:r>
      <w:r w:rsidR="00A00C37">
        <w:t xml:space="preserve">LEAPS integrates multiple modules that represent disciplines for aircraft design. The LEAPS weights module includes methods largely based on the methods used in FLOPS. However, as </w:t>
      </w:r>
      <w:r w:rsidR="00CE742F">
        <w:t>FLOPS was primarily developed in the 1980’s and 1990’s</w:t>
      </w:r>
      <w:r w:rsidR="00B84376">
        <w:t>,</w:t>
      </w:r>
      <w:r w:rsidR="00CE742F">
        <w:t xml:space="preserve"> </w:t>
      </w:r>
      <w:r w:rsidR="00A00C37">
        <w:t xml:space="preserve">aircraft design has </w:t>
      </w:r>
      <w:r w:rsidR="00CE742F">
        <w:t xml:space="preserve">since </w:t>
      </w:r>
      <w:r w:rsidR="00A00C37">
        <w:t xml:space="preserve">progressed </w:t>
      </w:r>
      <w:r w:rsidR="00CE742F">
        <w:t>and several</w:t>
      </w:r>
      <w:r w:rsidR="00A00C37">
        <w:t xml:space="preserve"> of the inherited methods are </w:t>
      </w:r>
      <w:r w:rsidR="00CE742F">
        <w:t>unable to accommodate</w:t>
      </w:r>
      <w:r w:rsidR="00A00C37">
        <w:t xml:space="preserve"> modern</w:t>
      </w:r>
      <w:r w:rsidR="00CE742F">
        <w:t xml:space="preserve"> </w:t>
      </w:r>
      <w:r w:rsidR="007760C9">
        <w:t xml:space="preserve">trends </w:t>
      </w:r>
      <w:r w:rsidR="00CE742F">
        <w:t>in</w:t>
      </w:r>
      <w:r w:rsidR="00A00C37">
        <w:t xml:space="preserve"> aircraft</w:t>
      </w:r>
      <w:r w:rsidR="00CE742F">
        <w:t xml:space="preserve"> design</w:t>
      </w:r>
      <w:r w:rsidR="00A00C37">
        <w:t>.</w:t>
      </w:r>
    </w:p>
    <w:p w14:paraId="7A3FA57C" w14:textId="04D018FB" w:rsidR="00F565BA" w:rsidRPr="008857A4" w:rsidRDefault="00A00C37" w:rsidP="008857A4">
      <w:pPr>
        <w:tabs>
          <w:tab w:val="left" w:pos="288"/>
        </w:tabs>
      </w:pPr>
      <w:r>
        <w:tab/>
        <w:t xml:space="preserve">One such method is the engine inertia relief method in the </w:t>
      </w:r>
      <w:r w:rsidR="00CE742F">
        <w:t xml:space="preserve">wing </w:t>
      </w:r>
      <w:r w:rsidR="001444A0">
        <w:t>structural weight</w:t>
      </w:r>
      <w:r w:rsidR="00CE742F">
        <w:t xml:space="preserve"> routine. This method was </w:t>
      </w:r>
      <w:r>
        <w:t xml:space="preserve">developed </w:t>
      </w:r>
      <w:r w:rsidR="00CE742F">
        <w:t xml:space="preserve">with </w:t>
      </w:r>
      <w:r w:rsidR="008D60E4">
        <w:t xml:space="preserve">consideration for </w:t>
      </w:r>
      <w:r w:rsidR="00CE742F">
        <w:t xml:space="preserve">future </w:t>
      </w:r>
      <w:r w:rsidR="003243AD">
        <w:t xml:space="preserve">aircraft </w:t>
      </w:r>
      <w:r w:rsidR="008D60E4">
        <w:t>as</w:t>
      </w:r>
      <w:r w:rsidR="003243AD">
        <w:t xml:space="preserve"> </w:t>
      </w:r>
      <w:r w:rsidR="00CE742F">
        <w:t xml:space="preserve">it is </w:t>
      </w:r>
      <w:r w:rsidR="008D60E4">
        <w:t>capable</w:t>
      </w:r>
      <w:r w:rsidR="00CE742F">
        <w:t xml:space="preserve"> </w:t>
      </w:r>
      <w:r w:rsidR="008D60E4">
        <w:t>of predicting</w:t>
      </w:r>
      <w:r w:rsidR="003243AD">
        <w:t xml:space="preserve"> the inertia relief of</w:t>
      </w:r>
      <w:r>
        <w:t xml:space="preserve"> large </w:t>
      </w:r>
      <w:r w:rsidR="00C26A98">
        <w:t>numbers of distributed engines</w:t>
      </w:r>
      <w:r w:rsidR="00B84376">
        <w:t>.</w:t>
      </w:r>
      <w:r w:rsidR="00C26A98">
        <w:t xml:space="preserve"> </w:t>
      </w:r>
      <w:r w:rsidR="00B84376">
        <w:t>H</w:t>
      </w:r>
      <w:r w:rsidR="00C26A98">
        <w:t>owever</w:t>
      </w:r>
      <w:r w:rsidR="00B84376">
        <w:t>,</w:t>
      </w:r>
      <w:r w:rsidR="00C26A98">
        <w:t xml:space="preserve"> it is built upon the </w:t>
      </w:r>
      <w:r w:rsidR="00CE742F">
        <w:t xml:space="preserve">core </w:t>
      </w:r>
      <w:r w:rsidR="00C26A98">
        <w:t xml:space="preserve">assumption that </w:t>
      </w:r>
      <w:r w:rsidR="00CE742F">
        <w:t>each</w:t>
      </w:r>
      <w:r w:rsidR="00C26A98">
        <w:t xml:space="preserve"> </w:t>
      </w:r>
      <w:r w:rsidR="00CE742F">
        <w:t xml:space="preserve">wing mounted </w:t>
      </w:r>
      <w:r w:rsidR="00C26A98">
        <w:t xml:space="preserve">engine </w:t>
      </w:r>
      <w:r w:rsidR="00CE742F">
        <w:t>is</w:t>
      </w:r>
      <w:r w:rsidR="00C26A98">
        <w:t xml:space="preserve"> identical. </w:t>
      </w:r>
      <w:r w:rsidR="00982730">
        <w:t xml:space="preserve">As </w:t>
      </w:r>
      <w:r w:rsidR="00982730">
        <w:lastRenderedPageBreak/>
        <w:t>modern aircraft design has seen aircraft that incorporate dissimilar engines [</w:t>
      </w:r>
      <w:r w:rsidR="00516BD3">
        <w:t>3</w:t>
      </w:r>
      <w:r w:rsidR="001444A0">
        <w:t xml:space="preserve">, </w:t>
      </w:r>
      <w:r w:rsidR="00516BD3">
        <w:t>4</w:t>
      </w:r>
      <w:r w:rsidR="00982730">
        <w:t>], this assumption has limit</w:t>
      </w:r>
      <w:r w:rsidR="00B84376">
        <w:t>ed</w:t>
      </w:r>
      <w:r w:rsidR="00982730">
        <w:t xml:space="preserve"> the aircraft that can be evaluated accurately with LEAPS. </w:t>
      </w:r>
      <w:r w:rsidR="00C26A98">
        <w:t xml:space="preserve">The objective of this </w:t>
      </w:r>
      <w:r w:rsidR="00636527">
        <w:t xml:space="preserve">manuscript </w:t>
      </w:r>
      <w:r w:rsidR="00C26A98">
        <w:t xml:space="preserve">is to validate </w:t>
      </w:r>
      <w:r w:rsidR="008857A4">
        <w:t>the LEAPS engine inertia relief</w:t>
      </w:r>
      <w:r w:rsidR="00C26A98">
        <w:t xml:space="preserve"> methodology to confirm its effectiveness for aircraft with large numbers of </w:t>
      </w:r>
      <w:r w:rsidR="008857A4">
        <w:t xml:space="preserve">distributed </w:t>
      </w:r>
      <w:r w:rsidR="00C26A98">
        <w:t>engines and to validate a</w:t>
      </w:r>
      <w:r w:rsidR="00636527">
        <w:t xml:space="preserve">n extension </w:t>
      </w:r>
      <w:r w:rsidR="00C26A98">
        <w:t xml:space="preserve">to this method to allow for dissimilar </w:t>
      </w:r>
      <w:r w:rsidR="001444A0">
        <w:t>engines</w:t>
      </w:r>
      <w:r w:rsidR="00C26A98">
        <w:t xml:space="preserve">. </w:t>
      </w:r>
    </w:p>
    <w:p w14:paraId="76BC7C0E" w14:textId="4ECFFC5D" w:rsidR="00F565BA" w:rsidRPr="00F565BA" w:rsidRDefault="00C46CAA" w:rsidP="00F565BA">
      <w:pPr>
        <w:keepNext/>
        <w:numPr>
          <w:ilvl w:val="0"/>
          <w:numId w:val="3"/>
        </w:numPr>
        <w:tabs>
          <w:tab w:val="clear" w:pos="360"/>
          <w:tab w:val="num" w:pos="180"/>
        </w:tabs>
        <w:spacing w:before="240" w:after="60"/>
        <w:ind w:left="180" w:hanging="180"/>
        <w:jc w:val="center"/>
        <w:outlineLvl w:val="0"/>
        <w:rPr>
          <w:b/>
          <w:kern w:val="32"/>
          <w:sz w:val="22"/>
        </w:rPr>
      </w:pPr>
      <w:r>
        <w:rPr>
          <w:b/>
          <w:kern w:val="32"/>
          <w:sz w:val="22"/>
        </w:rPr>
        <w:t xml:space="preserve">Wing </w:t>
      </w:r>
      <w:r w:rsidR="00F50B36">
        <w:rPr>
          <w:b/>
          <w:kern w:val="32"/>
          <w:sz w:val="22"/>
        </w:rPr>
        <w:t xml:space="preserve">Structural </w:t>
      </w:r>
      <w:r>
        <w:rPr>
          <w:b/>
          <w:kern w:val="32"/>
          <w:sz w:val="22"/>
        </w:rPr>
        <w:t>Weight</w:t>
      </w:r>
      <w:r w:rsidR="00F86F43">
        <w:rPr>
          <w:b/>
          <w:kern w:val="32"/>
          <w:sz w:val="22"/>
        </w:rPr>
        <w:t xml:space="preserve"> Prediction</w:t>
      </w:r>
      <w:r>
        <w:rPr>
          <w:b/>
          <w:kern w:val="32"/>
          <w:sz w:val="22"/>
        </w:rPr>
        <w:t xml:space="preserve"> and Engine Inertia </w:t>
      </w:r>
      <w:r w:rsidR="00CD4CA7">
        <w:rPr>
          <w:b/>
          <w:kern w:val="32"/>
          <w:sz w:val="22"/>
        </w:rPr>
        <w:t>Relief</w:t>
      </w:r>
      <w:r w:rsidR="00B84376">
        <w:rPr>
          <w:b/>
          <w:kern w:val="32"/>
          <w:sz w:val="22"/>
        </w:rPr>
        <w:t xml:space="preserve"> i</w:t>
      </w:r>
      <w:r w:rsidR="0088017C">
        <w:rPr>
          <w:b/>
          <w:kern w:val="32"/>
          <w:sz w:val="22"/>
        </w:rPr>
        <w:t>n LEAPS</w:t>
      </w:r>
    </w:p>
    <w:p w14:paraId="37F02896" w14:textId="6EBC6EC4" w:rsidR="00720866" w:rsidRDefault="00646C09" w:rsidP="00720866">
      <w:pPr>
        <w:tabs>
          <w:tab w:val="left" w:pos="288"/>
        </w:tabs>
        <w:ind w:firstLine="288"/>
      </w:pPr>
      <w:r>
        <w:t xml:space="preserve">Before discussing </w:t>
      </w:r>
      <w:r w:rsidR="00901F25">
        <w:t xml:space="preserve">the </w:t>
      </w:r>
      <w:r w:rsidR="002638A3">
        <w:t>methodology extension</w:t>
      </w:r>
      <w:r w:rsidR="00B84376">
        <w:t>,</w:t>
      </w:r>
      <w:r w:rsidR="00901F25">
        <w:t xml:space="preserve"> </w:t>
      </w:r>
      <w:r>
        <w:t xml:space="preserve">it is useful to </w:t>
      </w:r>
      <w:r w:rsidR="008F1B63">
        <w:t xml:space="preserve">provide a brief overview </w:t>
      </w:r>
      <w:r w:rsidR="002638A3">
        <w:t xml:space="preserve">of </w:t>
      </w:r>
      <w:r w:rsidR="008F1B63">
        <w:t xml:space="preserve">the method used in </w:t>
      </w:r>
      <w:r>
        <w:t xml:space="preserve">LEAPS </w:t>
      </w:r>
      <w:r w:rsidR="008F1B63">
        <w:t>to determine</w:t>
      </w:r>
      <w:r>
        <w:t xml:space="preserve"> wing weight. </w:t>
      </w:r>
      <w:r w:rsidR="00D07E62">
        <w:t xml:space="preserve">As </w:t>
      </w:r>
      <w:r w:rsidR="00AF6F2B">
        <w:t xml:space="preserve">this </w:t>
      </w:r>
      <w:r w:rsidR="00D07E62">
        <w:t>method is identical to the FLOPS wing sizing method, a detailed description can be found in</w:t>
      </w:r>
      <w:r w:rsidR="008D60E4">
        <w:t xml:space="preserve"> the documentation of the FLOPS weight estimation method</w:t>
      </w:r>
      <w:r w:rsidR="00D07E62">
        <w:t xml:space="preserve"> [</w:t>
      </w:r>
      <w:r w:rsidR="00516BD3">
        <w:t>5</w:t>
      </w:r>
      <w:r w:rsidR="00D07E62">
        <w:t xml:space="preserve">]. </w:t>
      </w:r>
      <w:r w:rsidR="00720866">
        <w:t xml:space="preserve">LEAPS includes two different wing </w:t>
      </w:r>
      <w:r w:rsidR="001444A0">
        <w:t>definitions which each use a different weight estimation method: The</w:t>
      </w:r>
      <w:r w:rsidR="00720866">
        <w:t xml:space="preserve"> method</w:t>
      </w:r>
      <w:r w:rsidR="006F3338">
        <w:t xml:space="preserve"> used for simple</w:t>
      </w:r>
      <w:r w:rsidR="001444A0">
        <w:t xml:space="preserve"> wings</w:t>
      </w:r>
      <w:r w:rsidR="00720866">
        <w:t xml:space="preserve"> uses basic </w:t>
      </w:r>
      <w:r w:rsidR="008D60E4">
        <w:t xml:space="preserve">trapezoidal </w:t>
      </w:r>
      <w:r w:rsidR="00720866">
        <w:t xml:space="preserve">wing </w:t>
      </w:r>
      <w:r w:rsidR="008D60E4">
        <w:t>geometry</w:t>
      </w:r>
      <w:r w:rsidR="00720866">
        <w:t xml:space="preserve"> </w:t>
      </w:r>
      <w:r w:rsidR="008D60E4">
        <w:t xml:space="preserve">and assumes no wing breaks; </w:t>
      </w:r>
      <w:r w:rsidR="00720866">
        <w:t xml:space="preserve">while the ‘detailed’ method allows for the user to incorporate relatively complex geometry such as </w:t>
      </w:r>
      <w:r w:rsidR="008D60E4">
        <w:t>wing breaks to allow for variations in thickness, chord, and sweep</w:t>
      </w:r>
      <w:r w:rsidR="00720866">
        <w:t>. While most of the weight estimation methods in LEAPS could be des</w:t>
      </w:r>
      <w:r w:rsidR="00B84376">
        <w:t>cribed as regression equations</w:t>
      </w:r>
      <w:r w:rsidR="00856312">
        <w:t>,</w:t>
      </w:r>
      <w:r w:rsidR="00B84376">
        <w:t xml:space="preserve"> </w:t>
      </w:r>
      <w:r w:rsidR="00720866">
        <w:t xml:space="preserve">the detailed wing weight method is perhaps most accurately described as a hybrid between regression equations and a beam based structural sizing. </w:t>
      </w:r>
    </w:p>
    <w:p w14:paraId="1351D3F1" w14:textId="4B20168D" w:rsidR="00E653E5" w:rsidRPr="00EE340B" w:rsidRDefault="00720866" w:rsidP="00720866">
      <w:pPr>
        <w:tabs>
          <w:tab w:val="left" w:pos="288"/>
        </w:tabs>
      </w:pPr>
      <w:r>
        <w:tab/>
        <w:t xml:space="preserve">Regardless of </w:t>
      </w:r>
      <w:r w:rsidR="00D07E62">
        <w:t xml:space="preserve">whether the simple or detailed </w:t>
      </w:r>
      <w:r w:rsidR="006E2742">
        <w:t>wing definition is used</w:t>
      </w:r>
      <w:r>
        <w:t xml:space="preserve">, </w:t>
      </w:r>
      <w:r w:rsidR="00646C09">
        <w:t xml:space="preserve">LEAPS </w:t>
      </w:r>
      <w:r w:rsidR="001444A0">
        <w:t>calculates</w:t>
      </w:r>
      <w:r w:rsidR="00646C09">
        <w:t xml:space="preserve"> wing </w:t>
      </w:r>
      <w:r w:rsidR="001444A0">
        <w:t xml:space="preserve">structural </w:t>
      </w:r>
      <w:r w:rsidR="00646C09">
        <w:t xml:space="preserve">weight </w:t>
      </w:r>
      <w:r w:rsidR="001444A0">
        <w:t>with</w:t>
      </w:r>
      <w:r w:rsidR="00646C09">
        <w:t xml:space="preserve"> four terms</w:t>
      </w:r>
      <w:r w:rsidR="001444A0">
        <w:t>:</w:t>
      </w:r>
      <w:r w:rsidR="00646C09">
        <w:t xml:space="preserve"> bending material weight, </w:t>
      </w:r>
      <w:r w:rsidR="001444A0">
        <w:t>shear material</w:t>
      </w:r>
      <w:r w:rsidR="00646C09">
        <w:t xml:space="preserve"> weight, miscellaneous weight, and </w:t>
      </w:r>
      <w:r w:rsidR="007760C9">
        <w:t xml:space="preserve">blended </w:t>
      </w:r>
      <w:r w:rsidR="00646C09">
        <w:t>wing body</w:t>
      </w:r>
      <w:r w:rsidR="00941668">
        <w:t xml:space="preserve"> (BWB)</w:t>
      </w:r>
      <w:r w:rsidR="00646C09">
        <w:t xml:space="preserve"> aft body weight. Bending material weight represents the portions of the structure responsible for resisting </w:t>
      </w:r>
      <w:r w:rsidR="00901F25">
        <w:t xml:space="preserve">structural </w:t>
      </w:r>
      <w:r w:rsidR="00646C09">
        <w:t xml:space="preserve">bending loads. </w:t>
      </w:r>
      <w:r w:rsidR="00646C09" w:rsidRPr="00EE340B">
        <w:t xml:space="preserve">The </w:t>
      </w:r>
      <w:r w:rsidR="001444A0" w:rsidRPr="00EE340B">
        <w:t>shear material</w:t>
      </w:r>
      <w:r w:rsidR="00646C09" w:rsidRPr="00EE340B">
        <w:t xml:space="preserve"> weight term loosely represents the portions of the structure responsible for resisting shear</w:t>
      </w:r>
      <w:r w:rsidR="001444A0" w:rsidRPr="00EE340B">
        <w:t xml:space="preserve"> and</w:t>
      </w:r>
      <w:r w:rsidR="00646C09" w:rsidRPr="00EE340B">
        <w:t xml:space="preserve"> </w:t>
      </w:r>
      <w:r w:rsidR="001444A0" w:rsidRPr="00EE340B">
        <w:t>the</w:t>
      </w:r>
      <w:r w:rsidR="00646C09" w:rsidRPr="00EE340B">
        <w:t xml:space="preserve"> control surfaces. </w:t>
      </w:r>
      <w:r w:rsidR="001444A0" w:rsidRPr="00EE340B">
        <w:t>The m</w:t>
      </w:r>
      <w:r w:rsidR="00941668" w:rsidRPr="00EE340B">
        <w:t>iscellaneous weight</w:t>
      </w:r>
      <w:r w:rsidR="00646C09" w:rsidRPr="00EE340B">
        <w:t xml:space="preserve"> include</w:t>
      </w:r>
      <w:r w:rsidR="001444A0" w:rsidRPr="00EE340B">
        <w:t>s weight</w:t>
      </w:r>
      <w:r w:rsidR="00941668" w:rsidRPr="00EE340B">
        <w:t xml:space="preserve"> not include</w:t>
      </w:r>
      <w:r w:rsidR="001444A0" w:rsidRPr="00EE340B">
        <w:t>d</w:t>
      </w:r>
      <w:r w:rsidR="00941668" w:rsidRPr="00EE340B">
        <w:t xml:space="preserve"> </w:t>
      </w:r>
      <w:r w:rsidR="001444A0" w:rsidRPr="00EE340B">
        <w:t xml:space="preserve">in the other </w:t>
      </w:r>
      <w:r w:rsidR="006F3338" w:rsidRPr="00EE340B">
        <w:t xml:space="preserve">three </w:t>
      </w:r>
      <w:r w:rsidR="001444A0" w:rsidRPr="00EE340B">
        <w:t>terms</w:t>
      </w:r>
      <w:r w:rsidR="00941668" w:rsidRPr="00EE340B">
        <w:t xml:space="preserve">. </w:t>
      </w:r>
      <w:r w:rsidR="001444A0" w:rsidRPr="00EE340B">
        <w:t xml:space="preserve">The </w:t>
      </w:r>
      <w:r w:rsidR="00941668" w:rsidRPr="00EE340B">
        <w:t xml:space="preserve">BWB aft body weight is the weight </w:t>
      </w:r>
      <w:r w:rsidR="472B58FE" w:rsidRPr="00EE340B">
        <w:t xml:space="preserve">of </w:t>
      </w:r>
      <w:r w:rsidR="00941668" w:rsidRPr="00EE340B">
        <w:t xml:space="preserve">the aft portion of the body </w:t>
      </w:r>
      <w:r w:rsidR="00B84376" w:rsidRPr="00EE340B">
        <w:t>which</w:t>
      </w:r>
      <w:r w:rsidR="00941668" w:rsidRPr="00EE340B">
        <w:t xml:space="preserve"> is not included i</w:t>
      </w:r>
      <w:r w:rsidR="00901F25" w:rsidRPr="00EE340B">
        <w:t>n the fuselage weigh</w:t>
      </w:r>
      <w:r w:rsidR="006F3338" w:rsidRPr="00EE340B">
        <w:t>t</w:t>
      </w:r>
      <w:r w:rsidR="00901F25" w:rsidRPr="00EE340B">
        <w:t xml:space="preserve">. </w:t>
      </w:r>
    </w:p>
    <w:p w14:paraId="453C8909" w14:textId="3A3A4C26" w:rsidR="00B85E12" w:rsidRPr="00EE340B" w:rsidRDefault="00720866" w:rsidP="00D07E62">
      <w:pPr>
        <w:tabs>
          <w:tab w:val="left" w:pos="288"/>
        </w:tabs>
        <w:ind w:firstLine="288"/>
      </w:pPr>
      <w:r w:rsidRPr="00EE340B">
        <w:t xml:space="preserve">A key part of </w:t>
      </w:r>
      <w:r w:rsidR="00D07E62" w:rsidRPr="00EE340B">
        <w:t xml:space="preserve">the calculation of </w:t>
      </w:r>
      <w:r w:rsidR="000F740A" w:rsidRPr="00EE340B">
        <w:t xml:space="preserve">the </w:t>
      </w:r>
      <w:r w:rsidR="006E2742" w:rsidRPr="00EE340B">
        <w:t>bending material weight</w:t>
      </w:r>
      <w:r w:rsidR="00D07E62" w:rsidRPr="00EE340B">
        <w:t xml:space="preserve"> is</w:t>
      </w:r>
      <w:r w:rsidRPr="00EE340B">
        <w:t xml:space="preserve"> the calculation of the inertia relief provided to the structure by the wing mounted engines.</w:t>
      </w:r>
      <w:r w:rsidR="00D07E62" w:rsidRPr="00EE340B">
        <w:t xml:space="preserve"> </w:t>
      </w:r>
      <w:r w:rsidR="00B85E12" w:rsidRPr="00EE340B">
        <w:t>In a general sense</w:t>
      </w:r>
      <w:r w:rsidR="00B84376" w:rsidRPr="00EE340B">
        <w:t>,</w:t>
      </w:r>
      <w:r w:rsidR="00B85E12" w:rsidRPr="00EE340B">
        <w:t xml:space="preserve"> i</w:t>
      </w:r>
      <w:r w:rsidR="00EF7F5C" w:rsidRPr="00EE340B">
        <w:t xml:space="preserve">nertia relief is the application of loads representing the inertia of the vehicle. In the case of the wings, inertial loads generally act to reduce the sizing loads and subsequent weight of the structure. </w:t>
      </w:r>
      <w:r w:rsidR="00776C81" w:rsidRPr="00EE340B">
        <w:t xml:space="preserve">While inertia relief is a </w:t>
      </w:r>
      <w:r w:rsidR="009E4C94" w:rsidRPr="00EE340B">
        <w:t>function of</w:t>
      </w:r>
      <w:r w:rsidR="00776C81" w:rsidRPr="00EE340B">
        <w:t xml:space="preserve"> many aspect</w:t>
      </w:r>
      <w:r w:rsidR="00225D72" w:rsidRPr="00EE340B">
        <w:t>s</w:t>
      </w:r>
      <w:r w:rsidR="00776C81" w:rsidRPr="00EE340B">
        <w:t xml:space="preserve"> of aircraft design, from a very simplified perspective adding more weight or shifting weight outboard will result in</w:t>
      </w:r>
      <w:r w:rsidR="00BF52F1" w:rsidRPr="00EE340B">
        <w:t xml:space="preserve"> the potential for</w:t>
      </w:r>
      <w:r w:rsidR="00776C81" w:rsidRPr="00EE340B">
        <w:t xml:space="preserve"> more inertia relief. </w:t>
      </w:r>
      <w:r w:rsidR="00EF7F5C" w:rsidRPr="00EE340B">
        <w:t xml:space="preserve">As LEAPS uses a simplified approach suitable for conceptual design, </w:t>
      </w:r>
      <w:r w:rsidR="00530EAE" w:rsidRPr="00EE340B">
        <w:t xml:space="preserve">LEAPS accounts for the inertia of the wing structure and engines using different methods. </w:t>
      </w:r>
      <w:r w:rsidR="00FE76AA" w:rsidRPr="00EE340B">
        <w:t xml:space="preserve">This work is focused solely on the engine inertia relief method. </w:t>
      </w:r>
      <w:r w:rsidR="005C05CB" w:rsidRPr="00EE340B">
        <w:t xml:space="preserve">The engine </w:t>
      </w:r>
      <w:r w:rsidR="00EF7F5C" w:rsidRPr="00EE340B">
        <w:t>i</w:t>
      </w:r>
      <w:r w:rsidR="00D07E62" w:rsidRPr="00EE340B">
        <w:t xml:space="preserve">nertia relief </w:t>
      </w:r>
      <w:r w:rsidR="005C05CB" w:rsidRPr="00EE340B">
        <w:t xml:space="preserve">method </w:t>
      </w:r>
      <w:r w:rsidR="00EF7F5C" w:rsidRPr="00EE340B">
        <w:t xml:space="preserve">takes the form of a </w:t>
      </w:r>
      <w:r w:rsidR="00D07E62" w:rsidRPr="00EE340B">
        <w:t>reduction of the wing</w:t>
      </w:r>
      <w:r w:rsidR="00B85E12" w:rsidRPr="00EE340B">
        <w:t xml:space="preserve"> structural</w:t>
      </w:r>
      <w:r w:rsidR="00D07E62" w:rsidRPr="00EE340B">
        <w:t xml:space="preserve"> weight due to the </w:t>
      </w:r>
      <w:r w:rsidR="00F50B36" w:rsidRPr="00EE340B">
        <w:t xml:space="preserve">weight, </w:t>
      </w:r>
      <w:r w:rsidR="00B85E12" w:rsidRPr="00EE340B">
        <w:t>location</w:t>
      </w:r>
      <w:r w:rsidR="00F50B36" w:rsidRPr="00EE340B">
        <w:t>, and number</w:t>
      </w:r>
      <w:r w:rsidR="00B85E12" w:rsidRPr="00EE340B">
        <w:t xml:space="preserve"> </w:t>
      </w:r>
      <w:r w:rsidR="000F740A" w:rsidRPr="00EE340B">
        <w:t xml:space="preserve">of </w:t>
      </w:r>
      <w:r w:rsidR="004753E0" w:rsidRPr="00EE340B">
        <w:t xml:space="preserve">wing mounted </w:t>
      </w:r>
      <w:r w:rsidR="000F740A" w:rsidRPr="00EE340B">
        <w:t xml:space="preserve">engines. </w:t>
      </w:r>
    </w:p>
    <w:p w14:paraId="53749BF8" w14:textId="3D8C508B" w:rsidR="001C13C3" w:rsidRPr="00EE340B" w:rsidRDefault="00901F25" w:rsidP="000F740A">
      <w:pPr>
        <w:tabs>
          <w:tab w:val="left" w:pos="288"/>
        </w:tabs>
        <w:ind w:firstLine="288"/>
      </w:pPr>
      <w:r w:rsidRPr="00EE340B">
        <w:t xml:space="preserve">The </w:t>
      </w:r>
      <w:r w:rsidR="00EF7F5C" w:rsidRPr="00EE340B">
        <w:t xml:space="preserve">key </w:t>
      </w:r>
      <w:r w:rsidRPr="00EE340B">
        <w:t xml:space="preserve">output of the </w:t>
      </w:r>
      <w:r w:rsidR="000F740A" w:rsidRPr="00EE340B">
        <w:t xml:space="preserve">LEAPS </w:t>
      </w:r>
      <w:r w:rsidRPr="00EE340B">
        <w:t>engine inertia relief method is the engine inertia relief factor</w:t>
      </w:r>
      <w:r w:rsidR="00D07E62" w:rsidRPr="00EE340B">
        <w:t xml:space="preserve"> (EIRF)</w:t>
      </w:r>
      <w:r w:rsidRPr="00EE340B">
        <w:t xml:space="preserve">. </w:t>
      </w:r>
      <w:r w:rsidR="006F3338" w:rsidRPr="00EE340B">
        <w:t xml:space="preserve">The engine inertia relief factor can loosely be thought of as a multiple on the wing bending material weight. Its values range from 1.0 to 0.84 where a value of 1.0 represents no engine inertia relief and 0.84 represents the maximum inertia relief. </w:t>
      </w:r>
      <w:r w:rsidR="009F6AC3" w:rsidRPr="00EE340B">
        <w:t xml:space="preserve">The </w:t>
      </w:r>
      <w:r w:rsidR="004A5BFE" w:rsidRPr="00EE340B">
        <w:t xml:space="preserve">minimum value </w:t>
      </w:r>
      <w:r w:rsidR="009F6AC3" w:rsidRPr="00EE340B">
        <w:t xml:space="preserve">is </w:t>
      </w:r>
      <w:r w:rsidR="002B13D9" w:rsidRPr="00EE340B">
        <w:t>the culmination of</w:t>
      </w:r>
      <w:r w:rsidR="009F6AC3" w:rsidRPr="00EE340B">
        <w:t xml:space="preserve"> several</w:t>
      </w:r>
      <w:r w:rsidR="004A5BFE" w:rsidRPr="00EE340B">
        <w:t xml:space="preserve"> physical trends that limit the weight reduction </w:t>
      </w:r>
      <w:r w:rsidR="00D1247A" w:rsidRPr="00EE340B">
        <w:t>due to</w:t>
      </w:r>
      <w:r w:rsidR="004A5BFE" w:rsidRPr="00EE340B">
        <w:t xml:space="preserve"> inertia relief. While the exact cause of the </w:t>
      </w:r>
      <w:r w:rsidR="00D279EC" w:rsidRPr="00EE340B">
        <w:t>limitation</w:t>
      </w:r>
      <w:r w:rsidR="004A5BFE" w:rsidRPr="00EE340B">
        <w:t xml:space="preserve"> will depend heavily on the aircraft, wing, and engine configuration, these include the structure required to resist load cases that are not </w:t>
      </w:r>
      <w:r w:rsidR="00C73AE1" w:rsidRPr="00EE340B">
        <w:t>alleviated</w:t>
      </w:r>
      <w:r w:rsidR="004A5BFE" w:rsidRPr="00EE340B">
        <w:t xml:space="preserve"> through inertia relief (such as the loading caused by a runway bump), the minimum gauge of the structural elements, additional </w:t>
      </w:r>
      <w:r w:rsidR="00D279EC" w:rsidRPr="00EE340B">
        <w:t xml:space="preserve">‘local’ </w:t>
      </w:r>
      <w:r w:rsidR="004A5BFE" w:rsidRPr="00EE340B">
        <w:t>structure required to mount the engines</w:t>
      </w:r>
      <w:r w:rsidR="00D279EC" w:rsidRPr="00EE340B">
        <w:t xml:space="preserve"> to the wing structure</w:t>
      </w:r>
      <w:r w:rsidR="004A5BFE" w:rsidRPr="00EE340B">
        <w:t xml:space="preserve"> as </w:t>
      </w:r>
      <w:r w:rsidR="00D279EC" w:rsidRPr="00EE340B">
        <w:t>the engines</w:t>
      </w:r>
      <w:r w:rsidR="004A5BFE" w:rsidRPr="00EE340B">
        <w:t xml:space="preserve"> </w:t>
      </w:r>
      <w:r w:rsidR="00C73AE1" w:rsidRPr="00EE340B">
        <w:t>are made</w:t>
      </w:r>
      <w:r w:rsidR="004A5BFE" w:rsidRPr="00EE340B">
        <w:t xml:space="preserve"> heavier, and the increased potential for flutter as engines are either made heavier or moved further outboard. </w:t>
      </w:r>
      <w:r w:rsidR="00CD6347" w:rsidRPr="00EE340B">
        <w:t xml:space="preserve">As </w:t>
      </w:r>
      <w:r w:rsidR="008E04EB" w:rsidRPr="00EE340B">
        <w:t>these</w:t>
      </w:r>
      <w:r w:rsidR="00CD6347" w:rsidRPr="00EE340B">
        <w:t xml:space="preserve"> </w:t>
      </w:r>
      <w:r w:rsidR="00046608" w:rsidRPr="00EE340B">
        <w:t>trends are outside of the scope of the LEAPS wing weight methodology, i</w:t>
      </w:r>
      <w:r w:rsidR="001C13C3" w:rsidRPr="00EE340B">
        <w:t xml:space="preserve">n LEAPS </w:t>
      </w:r>
      <w:r w:rsidR="00046608" w:rsidRPr="00EE340B">
        <w:t xml:space="preserve">they are </w:t>
      </w:r>
      <w:r w:rsidR="00AE6F5E" w:rsidRPr="00EE340B">
        <w:t xml:space="preserve">collectively </w:t>
      </w:r>
      <w:r w:rsidR="00046608" w:rsidRPr="00EE340B">
        <w:t>represented by the 0.84 limit on the inertia relief factor</w:t>
      </w:r>
      <w:r w:rsidR="008E04EB" w:rsidRPr="00EE340B">
        <w:t>.</w:t>
      </w:r>
    </w:p>
    <w:p w14:paraId="3E61F8DC" w14:textId="11F16912" w:rsidR="00F6321D" w:rsidRDefault="001C13C3" w:rsidP="000F740A">
      <w:pPr>
        <w:tabs>
          <w:tab w:val="left" w:pos="288"/>
        </w:tabs>
        <w:ind w:firstLine="288"/>
      </w:pPr>
      <w:r w:rsidRPr="00EE340B">
        <w:t xml:space="preserve">EIRF </w:t>
      </w:r>
      <w:r w:rsidR="00901F25" w:rsidRPr="00EE340B">
        <w:t xml:space="preserve">is calculated </w:t>
      </w:r>
      <w:r w:rsidR="00D07E62" w:rsidRPr="00EE340B">
        <w:t>using different methods</w:t>
      </w:r>
      <w:r w:rsidR="00901F25" w:rsidRPr="00EE340B">
        <w:t xml:space="preserve"> </w:t>
      </w:r>
      <w:r w:rsidR="009A2C71" w:rsidRPr="00EE340B">
        <w:t xml:space="preserve">for </w:t>
      </w:r>
      <w:r w:rsidR="00901F25" w:rsidRPr="00EE340B">
        <w:t xml:space="preserve">both the simple and detailed wing </w:t>
      </w:r>
      <w:r w:rsidR="009A2C71" w:rsidRPr="00EE340B">
        <w:t>definitions</w:t>
      </w:r>
      <w:r w:rsidR="00901F25" w:rsidRPr="00EE340B">
        <w:t>. The simple method</w:t>
      </w:r>
      <w:r w:rsidR="00D07E62" w:rsidRPr="00EE340B">
        <w:t xml:space="preserve"> leverages</w:t>
      </w:r>
      <w:r w:rsidR="00901F25" w:rsidRPr="00EE340B">
        <w:t xml:space="preserve"> a single equation that is a function of the number of wing mounted engine</w:t>
      </w:r>
      <w:r w:rsidR="001C36B5" w:rsidRPr="00EE340B">
        <w:t>s</w:t>
      </w:r>
      <w:r w:rsidR="00361B45" w:rsidRPr="00EE340B">
        <w:t>.</w:t>
      </w:r>
      <w:r w:rsidR="00D07E62" w:rsidRPr="00EE340B">
        <w:t xml:space="preserve"> </w:t>
      </w:r>
      <w:r w:rsidR="00901F25" w:rsidRPr="00EE340B">
        <w:t>The detailed method is a</w:t>
      </w:r>
      <w:r w:rsidR="00901F25">
        <w:t xml:space="preserve"> complex process that is a function of the number of engines, engine</w:t>
      </w:r>
      <w:r w:rsidR="00F6321D">
        <w:t xml:space="preserve"> pod</w:t>
      </w:r>
      <w:r w:rsidR="00901F25">
        <w:t xml:space="preserve"> weight, engine locations, and wing geometry.</w:t>
      </w:r>
      <w:r w:rsidR="00AF6B2D">
        <w:t xml:space="preserve"> </w:t>
      </w:r>
      <w:r w:rsidR="003E6365">
        <w:t xml:space="preserve">A more detailed description of both </w:t>
      </w:r>
      <w:r w:rsidR="00AF6B2D">
        <w:t>methods can be found in the documentation of the FLOPS weights method [5].</w:t>
      </w:r>
      <w:r w:rsidR="00901F25">
        <w:t xml:space="preserve"> </w:t>
      </w:r>
    </w:p>
    <w:p w14:paraId="1C9129C4" w14:textId="33761AE3" w:rsidR="00A82742" w:rsidRDefault="00812294" w:rsidP="00F565BA">
      <w:pPr>
        <w:tabs>
          <w:tab w:val="left" w:pos="288"/>
        </w:tabs>
        <w:ind w:firstLine="288"/>
      </w:pPr>
      <w:r>
        <w:t xml:space="preserve">The </w:t>
      </w:r>
      <w:r w:rsidR="00FF5B1F">
        <w:t>engine inertia method in</w:t>
      </w:r>
      <w:r w:rsidR="00A81DDA">
        <w:t xml:space="preserve"> LEAPS is only able to calculate an EIRF if all the engines have identical weights or belong to the same engine set. For the purposes of this study</w:t>
      </w:r>
      <w:r w:rsidR="00856312">
        <w:t>,</w:t>
      </w:r>
      <w:r w:rsidR="00A81DDA">
        <w:t xml:space="preserve"> an engine set is defined as a group </w:t>
      </w:r>
      <w:r w:rsidR="007760C9">
        <w:t xml:space="preserve">of </w:t>
      </w:r>
      <w:r w:rsidR="00A81DDA">
        <w:t xml:space="preserve">identical </w:t>
      </w:r>
      <w:r w:rsidR="008A60D0">
        <w:t xml:space="preserve">wing mounted engines arranged symmetrically about the </w:t>
      </w:r>
      <w:r w:rsidR="003E6365">
        <w:t>central axis of the aircraft</w:t>
      </w:r>
      <w:r w:rsidR="00A81DDA">
        <w:t xml:space="preserve">. </w:t>
      </w:r>
      <w:r w:rsidR="00A82742">
        <w:t xml:space="preserve">As the engines are attached symmetrically to </w:t>
      </w:r>
      <w:r w:rsidR="003E6365">
        <w:t>the port and starboard</w:t>
      </w:r>
      <w:r w:rsidR="00A82742">
        <w:t xml:space="preserve"> </w:t>
      </w:r>
      <w:r w:rsidR="003E6365">
        <w:t>semi-span wing sections</w:t>
      </w:r>
      <w:r w:rsidR="006B0645">
        <w:t>,</w:t>
      </w:r>
      <w:r w:rsidR="00A82742">
        <w:t xml:space="preserve"> </w:t>
      </w:r>
      <w:r w:rsidR="003E6365">
        <w:t>a set will always have an even number of engines with a minimum of two engines</w:t>
      </w:r>
      <w:r w:rsidR="00A82742">
        <w:t>.</w:t>
      </w:r>
    </w:p>
    <w:p w14:paraId="07FC162E" w14:textId="4B0143A3" w:rsidR="00901F25" w:rsidRDefault="00A81DDA" w:rsidP="00F565BA">
      <w:pPr>
        <w:tabs>
          <w:tab w:val="left" w:pos="288"/>
        </w:tabs>
        <w:ind w:firstLine="288"/>
      </w:pPr>
      <w:r>
        <w:t xml:space="preserve">The proposed modification to allow for </w:t>
      </w:r>
      <w:r w:rsidR="006F73F5">
        <w:t xml:space="preserve">inertia relief with </w:t>
      </w:r>
      <w:r w:rsidR="00BB5DAB">
        <w:t>dissimilar engines</w:t>
      </w:r>
      <w:r w:rsidR="00FF5B1F">
        <w:t xml:space="preserve"> </w:t>
      </w:r>
      <w:r w:rsidR="0074127C">
        <w:t>will be</w:t>
      </w:r>
      <w:r w:rsidR="001F6803">
        <w:t xml:space="preserve"> </w:t>
      </w:r>
      <w:r w:rsidR="00FF5B1F">
        <w:t xml:space="preserve">to </w:t>
      </w:r>
      <w:r>
        <w:t xml:space="preserve">calculate an individual EIRF for each engine </w:t>
      </w:r>
      <w:r w:rsidR="00FF5B1F">
        <w:t>set</w:t>
      </w:r>
      <w:r>
        <w:t xml:space="preserve">. The method used to calculate EIRF for each engine set is identical to the method that is currently implemented in LEAPS, with the one exception being that it considers only the engines from its respective set. </w:t>
      </w:r>
      <w:r w:rsidR="00C90753">
        <w:t>In essence</w:t>
      </w:r>
      <w:r w:rsidR="00DC3587">
        <w:t>,</w:t>
      </w:r>
      <w:r w:rsidR="00C90753">
        <w:t xml:space="preserve"> the current calculation is repeated once for each engine set. </w:t>
      </w:r>
      <w:r w:rsidR="00361B45">
        <w:t xml:space="preserve">The EIRF values for each engine </w:t>
      </w:r>
      <w:r w:rsidR="0074127C">
        <w:t xml:space="preserve">set </w:t>
      </w:r>
      <w:r>
        <w:t>are then</w:t>
      </w:r>
      <w:r w:rsidR="00361B45">
        <w:t xml:space="preserve"> </w:t>
      </w:r>
      <w:r w:rsidR="00FF5B1F">
        <w:t>multiplied together</w:t>
      </w:r>
      <w:r w:rsidR="00361B45">
        <w:t xml:space="preserve"> </w:t>
      </w:r>
      <w:r w:rsidR="00FF5B1F">
        <w:t>to calculate the total</w:t>
      </w:r>
      <w:r w:rsidR="00901F25">
        <w:t xml:space="preserve"> EIRF</w:t>
      </w:r>
      <w:r w:rsidR="00FF5B1F">
        <w:t xml:space="preserve"> as shown in the following equation.</w:t>
      </w:r>
    </w:p>
    <w:p w14:paraId="6CEB8B3F" w14:textId="77777777" w:rsidR="00F6321D" w:rsidRDefault="00F6321D" w:rsidP="00A81DDA">
      <w:pPr>
        <w:tabs>
          <w:tab w:val="left" w:pos="288"/>
        </w:tabs>
      </w:pPr>
    </w:p>
    <w:p w14:paraId="2349D3FE" w14:textId="1F399A15" w:rsidR="00F6321D" w:rsidRDefault="00C14394" w:rsidP="002A3AAC">
      <w:pPr>
        <w:pStyle w:val="Caption"/>
        <w:jc w:val="right"/>
      </w:pPr>
      <w:bookmarkStart w:id="0" w:name="_Ref53736695"/>
      <m:oMath>
        <m:r>
          <m:rPr>
            <m:sty m:val="bi"/>
          </m:rPr>
          <w:rPr>
            <w:rFonts w:ascii="Cambria Math" w:hAnsi="Cambria Math"/>
          </w:rPr>
          <w:lastRenderedPageBreak/>
          <m:t>EIRF=EIR</m:t>
        </m:r>
        <m:sSub>
          <m:sSubPr>
            <m:ctrlPr>
              <w:rPr>
                <w:rFonts w:ascii="Cambria Math" w:hAnsi="Cambria Math"/>
                <w:b w:val="0"/>
                <w:i/>
              </w:rPr>
            </m:ctrlPr>
          </m:sSubPr>
          <m:e>
            <m:r>
              <m:rPr>
                <m:sty m:val="bi"/>
              </m:rPr>
              <w:rPr>
                <w:rFonts w:ascii="Cambria Math" w:hAnsi="Cambria Math"/>
              </w:rPr>
              <m:t>F</m:t>
            </m:r>
          </m:e>
          <m:sub>
            <m:r>
              <m:rPr>
                <m:sty m:val="bi"/>
              </m:rPr>
              <w:rPr>
                <w:rFonts w:ascii="Cambria Math" w:hAnsi="Cambria Math"/>
              </w:rPr>
              <m:t>1</m:t>
            </m:r>
          </m:sub>
        </m:sSub>
        <m:r>
          <m:rPr>
            <m:sty m:val="bi"/>
          </m:rPr>
          <w:rPr>
            <w:rFonts w:ascii="Cambria Math" w:hAnsi="Cambria Math"/>
          </w:rPr>
          <m:t>*EIR</m:t>
        </m:r>
        <m:sSub>
          <m:sSubPr>
            <m:ctrlPr>
              <w:rPr>
                <w:rFonts w:ascii="Cambria Math" w:hAnsi="Cambria Math"/>
                <w:b w:val="0"/>
                <w:i/>
              </w:rPr>
            </m:ctrlPr>
          </m:sSubPr>
          <m:e>
            <m:r>
              <m:rPr>
                <m:sty m:val="bi"/>
              </m:rPr>
              <w:rPr>
                <w:rFonts w:ascii="Cambria Math" w:hAnsi="Cambria Math"/>
              </w:rPr>
              <m:t>F</m:t>
            </m:r>
          </m:e>
          <m:sub>
            <m:r>
              <m:rPr>
                <m:sty m:val="bi"/>
              </m:rPr>
              <w:rPr>
                <w:rFonts w:ascii="Cambria Math" w:hAnsi="Cambria Math"/>
              </w:rPr>
              <m:t>2</m:t>
            </m:r>
          </m:sub>
        </m:sSub>
        <m:r>
          <m:rPr>
            <m:sty m:val="bi"/>
          </m:rPr>
          <w:rPr>
            <w:rFonts w:ascii="Cambria Math" w:hAnsi="Cambria Math"/>
          </w:rPr>
          <m:t>*…*EIR</m:t>
        </m:r>
        <m:sSub>
          <m:sSubPr>
            <m:ctrlPr>
              <w:rPr>
                <w:rFonts w:ascii="Cambria Math" w:hAnsi="Cambria Math"/>
                <w:b w:val="0"/>
                <w:i/>
              </w:rPr>
            </m:ctrlPr>
          </m:sSubPr>
          <m:e>
            <m:r>
              <m:rPr>
                <m:sty m:val="bi"/>
              </m:rPr>
              <w:rPr>
                <w:rFonts w:ascii="Cambria Math" w:hAnsi="Cambria Math"/>
              </w:rPr>
              <m:t>F</m:t>
            </m:r>
          </m:e>
          <m:sub>
            <m:r>
              <m:rPr>
                <m:sty m:val="bi"/>
              </m:rPr>
              <w:rPr>
                <w:rFonts w:ascii="Cambria Math" w:hAnsi="Cambria Math"/>
              </w:rPr>
              <m:t>n</m:t>
            </m:r>
          </m:sub>
        </m:sSub>
      </m:oMath>
      <w:r w:rsidR="002A3AAC" w:rsidRPr="00C14394">
        <w:rPr>
          <w:b w:val="0"/>
        </w:rPr>
        <w:tab/>
      </w:r>
      <w:r w:rsidR="002A3AAC" w:rsidRPr="00C14394">
        <w:rPr>
          <w:b w:val="0"/>
        </w:rPr>
        <w:tab/>
      </w:r>
      <w:r w:rsidR="006F73F5" w:rsidRPr="00C14394">
        <w:rPr>
          <w:b w:val="0"/>
        </w:rPr>
        <w:tab/>
      </w:r>
      <w:r w:rsidR="002A3AAC">
        <w:tab/>
      </w:r>
      <w:r w:rsidR="002A3AAC">
        <w:tab/>
      </w:r>
      <w:r w:rsidR="002A3AAC">
        <w:tab/>
      </w:r>
      <w:r w:rsidR="002A3AAC">
        <w:tab/>
      </w:r>
      <w:r w:rsidR="002A3AAC">
        <w:tab/>
      </w:r>
      <w:r w:rsidR="002A3AAC">
        <w:tab/>
      </w:r>
      <w:r w:rsidR="002A3AAC">
        <w:tab/>
      </w:r>
      <w:r w:rsidR="002A3AAC">
        <w:tab/>
        <w:t xml:space="preserve">  </w:t>
      </w:r>
      <w:r w:rsidR="002A3AAC" w:rsidRPr="00C14394">
        <w:rPr>
          <w:b w:val="0"/>
        </w:rPr>
        <w:t>(</w:t>
      </w:r>
      <w:bookmarkEnd w:id="0"/>
      <w:r w:rsidR="00B84376" w:rsidRPr="00C14394">
        <w:rPr>
          <w:b w:val="0"/>
        </w:rPr>
        <w:t>1</w:t>
      </w:r>
      <w:r w:rsidR="002A3AAC" w:rsidRPr="00C14394">
        <w:rPr>
          <w:b w:val="0"/>
        </w:rPr>
        <w:t>)</w:t>
      </w:r>
    </w:p>
    <w:p w14:paraId="62568486" w14:textId="77777777" w:rsidR="00A343E6" w:rsidRPr="00F6321D" w:rsidRDefault="00A343E6" w:rsidP="00A81DDA"/>
    <w:p w14:paraId="2C26ECEF" w14:textId="54485A02" w:rsidR="00124369" w:rsidRDefault="00FF5B1F" w:rsidP="00FF5B1F">
      <w:pPr>
        <w:tabs>
          <w:tab w:val="left" w:pos="288"/>
        </w:tabs>
        <w:ind w:firstLine="288"/>
      </w:pPr>
      <w:r>
        <w:t>In this equation</w:t>
      </w:r>
      <w:r w:rsidR="00B11BF9">
        <w:t>,</w:t>
      </w:r>
      <w:r w:rsidR="00361B45">
        <w:t xml:space="preserve"> </w:t>
      </w:r>
      <m:oMath>
        <m:r>
          <w:rPr>
            <w:rFonts w:ascii="Cambria Math" w:hAnsi="Cambria Math"/>
          </w:rPr>
          <m:t>EIRF</m:t>
        </m:r>
      </m:oMath>
      <w:r w:rsidR="00361B45">
        <w:t xml:space="preserve"> represents the engine inertia relief for all the</w:t>
      </w:r>
      <w:r w:rsidR="00A81DDA">
        <w:t xml:space="preserve"> engine sets</w:t>
      </w:r>
      <w:r w:rsidR="00B11BF9">
        <w:t>,</w:t>
      </w:r>
      <w:r w:rsidR="00A81DDA">
        <w:t xml:space="preserve"> and</w:t>
      </w:r>
      <w:r w:rsidR="00361B45">
        <w:t xml:space="preserve"> </w:t>
      </w:r>
      <m:oMath>
        <m:r>
          <w:rPr>
            <w:rFonts w:ascii="Cambria Math" w:hAnsi="Cambria Math"/>
          </w:rPr>
          <m:t>EIR</m:t>
        </m:r>
        <m:sSub>
          <m:sSubPr>
            <m:ctrlPr>
              <w:rPr>
                <w:rFonts w:ascii="Cambria Math" w:hAnsi="Cambria Math"/>
                <w:i/>
              </w:rPr>
            </m:ctrlPr>
          </m:sSubPr>
          <m:e>
            <m:r>
              <w:rPr>
                <w:rFonts w:ascii="Cambria Math" w:hAnsi="Cambria Math"/>
              </w:rPr>
              <m:t>F</m:t>
            </m:r>
          </m:e>
          <m:sub>
            <m:r>
              <w:rPr>
                <w:rFonts w:ascii="Cambria Math" w:hAnsi="Cambria Math"/>
              </w:rPr>
              <m:t>n</m:t>
            </m:r>
          </m:sub>
        </m:sSub>
      </m:oMath>
      <w:r w:rsidR="00361B45">
        <w:t xml:space="preserve"> represents the calculated engine inertia </w:t>
      </w:r>
      <w:r w:rsidR="00EA2082">
        <w:t>relief</w:t>
      </w:r>
      <w:r w:rsidR="00361B45">
        <w:t xml:space="preserve"> factor for </w:t>
      </w:r>
      <w:r w:rsidR="00A81DDA">
        <w:t>each</w:t>
      </w:r>
      <w:r w:rsidR="00361B45">
        <w:t xml:space="preserve"> individual engine set. </w:t>
      </w:r>
      <w:r w:rsidR="00F6321D">
        <w:t>This modification is ap</w:t>
      </w:r>
      <w:r w:rsidR="00361B45">
        <w:t>plied before the minimum value restriction is applied</w:t>
      </w:r>
      <w:r w:rsidR="00B11BF9">
        <w:t>.</w:t>
      </w:r>
      <w:r w:rsidR="00361B45">
        <w:t xml:space="preserve"> </w:t>
      </w:r>
      <w:r w:rsidR="00E243BC">
        <w:t>Therefore,</w:t>
      </w:r>
      <w:r w:rsidR="00361B45">
        <w:t xml:space="preserve"> the minimum value for the EIRF remains </w:t>
      </w:r>
      <w:r w:rsidR="00F6321D">
        <w:t>0.84</w:t>
      </w:r>
      <w:r w:rsidR="00A81DDA">
        <w:t xml:space="preserve"> as shown in the following equation</w:t>
      </w:r>
      <w:r w:rsidR="00B11BF9">
        <w:t>:</w:t>
      </w:r>
    </w:p>
    <w:p w14:paraId="6C5C6802" w14:textId="77777777" w:rsidR="00A81DDA" w:rsidRDefault="00A81DDA" w:rsidP="00361B45">
      <w:pPr>
        <w:tabs>
          <w:tab w:val="left" w:pos="288"/>
        </w:tabs>
      </w:pPr>
    </w:p>
    <w:p w14:paraId="300F171A" w14:textId="072A002F" w:rsidR="00A81DDA" w:rsidRDefault="00C14394" w:rsidP="00026B25">
      <w:pPr>
        <w:pStyle w:val="Caption"/>
        <w:jc w:val="right"/>
      </w:pPr>
      <m:oMath>
        <m:r>
          <m:rPr>
            <m:sty m:val="bi"/>
          </m:rPr>
          <w:rPr>
            <w:rFonts w:ascii="Cambria Math" w:hAnsi="Cambria Math"/>
          </w:rPr>
          <m:t>EIRF=</m:t>
        </m:r>
        <m:d>
          <m:dPr>
            <m:begChr m:val="{"/>
            <m:endChr m:val=""/>
            <m:ctrlPr>
              <w:rPr>
                <w:rFonts w:ascii="Cambria Math" w:hAnsi="Cambria Math"/>
                <w:b w:val="0"/>
                <w:i/>
              </w:rPr>
            </m:ctrlPr>
          </m:dPr>
          <m:e>
            <m:eqArr>
              <m:eqArrPr>
                <m:ctrlPr>
                  <w:rPr>
                    <w:rFonts w:ascii="Cambria Math" w:hAnsi="Cambria Math"/>
                    <w:b w:val="0"/>
                    <w:i/>
                  </w:rPr>
                </m:ctrlPr>
              </m:eqArrPr>
              <m:e>
                <m:r>
                  <m:rPr>
                    <m:sty m:val="bi"/>
                  </m:rPr>
                  <w:rPr>
                    <w:rFonts w:ascii="Cambria Math" w:hAnsi="Cambria Math"/>
                  </w:rPr>
                  <m:t xml:space="preserve"> 0.84,  &amp;EIRF&lt;0.84</m:t>
                </m:r>
              </m:e>
              <m:e>
                <m:r>
                  <m:rPr>
                    <m:sty m:val="bi"/>
                  </m:rPr>
                  <w:rPr>
                    <w:rFonts w:ascii="Cambria Math" w:hAnsi="Cambria Math"/>
                  </w:rPr>
                  <m:t xml:space="preserve"> EIRF,  &amp;EIRF≥0.84</m:t>
                </m:r>
              </m:e>
            </m:eqArr>
          </m:e>
        </m:d>
        <m:r>
          <m:rPr>
            <m:sty m:val="bi"/>
          </m:rPr>
          <w:rPr>
            <w:rFonts w:ascii="Cambria Math" w:hAnsi="Cambria Math"/>
          </w:rPr>
          <m:t xml:space="preserve"> </m:t>
        </m:r>
      </m:oMath>
      <w:r w:rsidR="00026B25" w:rsidRPr="00C14394">
        <w:rPr>
          <w:b w:val="0"/>
        </w:rPr>
        <w:t xml:space="preserve"> </w:t>
      </w:r>
      <w:r w:rsidR="00026B25" w:rsidRPr="00C14394">
        <w:rPr>
          <w:b w:val="0"/>
        </w:rPr>
        <w:tab/>
      </w:r>
      <w:r w:rsidR="00026B25" w:rsidRPr="00C14394">
        <w:rPr>
          <w:b w:val="0"/>
        </w:rPr>
        <w:tab/>
      </w:r>
      <w:r w:rsidR="00026B25" w:rsidRPr="00C14394">
        <w:rPr>
          <w:b w:val="0"/>
        </w:rPr>
        <w:tab/>
      </w:r>
      <w:r w:rsidR="00026B25" w:rsidRPr="00C14394">
        <w:rPr>
          <w:b w:val="0"/>
        </w:rPr>
        <w:tab/>
      </w:r>
      <w:r w:rsidR="006F73F5" w:rsidRPr="00C14394">
        <w:rPr>
          <w:b w:val="0"/>
        </w:rPr>
        <w:tab/>
      </w:r>
      <w:r w:rsidR="006F73F5">
        <w:t xml:space="preserve"> </w:t>
      </w:r>
      <w:r w:rsidR="00026B25">
        <w:tab/>
      </w:r>
      <w:r w:rsidR="00026B25">
        <w:tab/>
      </w:r>
      <w:r w:rsidR="00026B25">
        <w:tab/>
      </w:r>
      <w:r w:rsidR="00026B25">
        <w:tab/>
      </w:r>
      <w:r w:rsidR="00026B25">
        <w:tab/>
      </w:r>
      <w:r w:rsidR="00026B25">
        <w:tab/>
      </w:r>
      <w:r w:rsidR="00026B25">
        <w:tab/>
      </w:r>
      <w:r w:rsidR="00026B25">
        <w:tab/>
      </w:r>
      <w:r w:rsidR="00026B25" w:rsidRPr="00026B25">
        <w:rPr>
          <w:b w:val="0"/>
        </w:rPr>
        <w:t>(</w:t>
      </w:r>
      <w:r w:rsidR="0025316B">
        <w:rPr>
          <w:b w:val="0"/>
        </w:rPr>
        <w:t>2</w:t>
      </w:r>
      <w:r w:rsidR="00026B25" w:rsidRPr="00026B25">
        <w:rPr>
          <w:b w:val="0"/>
        </w:rPr>
        <w:t>)</w:t>
      </w:r>
    </w:p>
    <w:p w14:paraId="4DF61C62" w14:textId="77777777" w:rsidR="00A81DDA" w:rsidRDefault="00A81DDA" w:rsidP="00A81DDA"/>
    <w:p w14:paraId="75ABB091" w14:textId="6B82DC28" w:rsidR="00BB5DAB" w:rsidRDefault="00A81DDA" w:rsidP="00361B45">
      <w:pPr>
        <w:tabs>
          <w:tab w:val="left" w:pos="288"/>
        </w:tabs>
      </w:pPr>
      <w:r>
        <w:tab/>
      </w:r>
      <w:r w:rsidR="00FF5B1F">
        <w:t>This final value</w:t>
      </w:r>
      <w:r w:rsidR="0075527B">
        <w:t xml:space="preserve"> of </w:t>
      </w:r>
      <m:oMath>
        <m:r>
          <w:rPr>
            <w:rFonts w:ascii="Cambria Math" w:hAnsi="Cambria Math"/>
          </w:rPr>
          <m:t>EIRF</m:t>
        </m:r>
      </m:oMath>
      <w:r w:rsidR="00FF5B1F">
        <w:t xml:space="preserve"> is then applied to the wing weight calculation in the same way as the </w:t>
      </w:r>
      <w:r w:rsidR="006569E7">
        <w:t xml:space="preserve">established </w:t>
      </w:r>
      <w:r w:rsidR="00FF5B1F">
        <w:t xml:space="preserve">method in LEAPS. The </w:t>
      </w:r>
      <w:r>
        <w:t xml:space="preserve">advantage of this </w:t>
      </w:r>
      <w:r w:rsidR="00FF5B1F">
        <w:t xml:space="preserve">limited </w:t>
      </w:r>
      <w:r>
        <w:t>modification is that</w:t>
      </w:r>
      <w:r w:rsidR="00BB5DAB">
        <w:t xml:space="preserve"> it is effectively an </w:t>
      </w:r>
      <w:r w:rsidR="009D6FE8">
        <w:t xml:space="preserve">extension </w:t>
      </w:r>
      <w:r w:rsidR="00BB5DAB">
        <w:t>of</w:t>
      </w:r>
      <w:r>
        <w:t xml:space="preserve"> the </w:t>
      </w:r>
      <w:r w:rsidR="009D6FE8">
        <w:t xml:space="preserve">established </w:t>
      </w:r>
      <w:r w:rsidR="00FF5B1F">
        <w:t>method</w:t>
      </w:r>
      <w:r w:rsidR="00CB64D5">
        <w:t xml:space="preserve"> and has no impact on the calculations for aircraft with</w:t>
      </w:r>
      <w:r w:rsidR="006B0645">
        <w:t xml:space="preserve"> a</w:t>
      </w:r>
      <w:r w:rsidR="00CB64D5">
        <w:t xml:space="preserve"> single engine set</w:t>
      </w:r>
      <w:r w:rsidR="00BB5DAB">
        <w:t xml:space="preserve">. </w:t>
      </w:r>
      <w:r w:rsidR="00EF13FB">
        <w:t>This eliminates the need to develop an entirely new method from the ground up. Furthermore, the predicted weight for aircraft with a single engine set will remain unchanged.</w:t>
      </w:r>
      <w:r w:rsidR="0069276A">
        <w:t xml:space="preserve"> </w:t>
      </w:r>
    </w:p>
    <w:p w14:paraId="56A1AA21" w14:textId="341F10D1" w:rsidR="00EA2082" w:rsidRDefault="0022227A" w:rsidP="00361B45">
      <w:pPr>
        <w:tabs>
          <w:tab w:val="left" w:pos="288"/>
        </w:tabs>
      </w:pPr>
      <w:r>
        <w:tab/>
      </w:r>
      <w:r w:rsidR="00EA2082">
        <w:t xml:space="preserve">The remainder of the paper is focused on </w:t>
      </w:r>
      <w:r w:rsidR="00BB08BD">
        <w:t xml:space="preserve">evaluating </w:t>
      </w:r>
      <w:r w:rsidR="00EA2082">
        <w:t xml:space="preserve">both the existing engine inertia </w:t>
      </w:r>
      <w:r w:rsidR="00B11BF9">
        <w:t>relief</w:t>
      </w:r>
      <w:r w:rsidR="00EA2082">
        <w:t xml:space="preserve"> method and the updated engine inertia relief method. This includes a discussion of the tools and methods used for validation, results from the validation analysis, and a discussion of the results.</w:t>
      </w:r>
    </w:p>
    <w:p w14:paraId="13088CC8" w14:textId="77777777" w:rsidR="00F565BA" w:rsidRPr="00F565BA" w:rsidRDefault="00843B3E" w:rsidP="00F565BA">
      <w:pPr>
        <w:keepNext/>
        <w:numPr>
          <w:ilvl w:val="0"/>
          <w:numId w:val="3"/>
        </w:numPr>
        <w:tabs>
          <w:tab w:val="clear" w:pos="360"/>
          <w:tab w:val="num" w:pos="180"/>
        </w:tabs>
        <w:spacing w:before="240" w:after="60"/>
        <w:ind w:left="180" w:hanging="180"/>
        <w:jc w:val="center"/>
        <w:outlineLvl w:val="0"/>
        <w:rPr>
          <w:b/>
          <w:kern w:val="32"/>
          <w:sz w:val="22"/>
        </w:rPr>
      </w:pPr>
      <w:r>
        <w:rPr>
          <w:b/>
          <w:kern w:val="32"/>
          <w:sz w:val="22"/>
        </w:rPr>
        <w:t>Validation Tools</w:t>
      </w:r>
      <w:r w:rsidR="00EA2082">
        <w:rPr>
          <w:b/>
          <w:kern w:val="32"/>
          <w:sz w:val="22"/>
        </w:rPr>
        <w:t xml:space="preserve"> and Methods</w:t>
      </w:r>
    </w:p>
    <w:p w14:paraId="2852E6AB" w14:textId="00FCD93D" w:rsidR="00325582" w:rsidRDefault="0022227A" w:rsidP="00BB08BD">
      <w:pPr>
        <w:tabs>
          <w:tab w:val="left" w:pos="288"/>
        </w:tabs>
      </w:pPr>
      <w:r>
        <w:tab/>
      </w:r>
      <w:r w:rsidR="00F6321D">
        <w:t xml:space="preserve">Several methods were used to validate the proposed </w:t>
      </w:r>
      <w:r w:rsidR="0069276A">
        <w:t>LEAPS inertia relief method</w:t>
      </w:r>
      <w:r w:rsidR="00F6321D">
        <w:t xml:space="preserve">. These include </w:t>
      </w:r>
      <w:r w:rsidR="00B21577">
        <w:t>comparisons</w:t>
      </w:r>
      <w:r w:rsidR="00AD504D">
        <w:t xml:space="preserve"> between </w:t>
      </w:r>
      <w:r w:rsidR="008F366D">
        <w:t>the</w:t>
      </w:r>
      <w:r w:rsidR="00AD504D">
        <w:t xml:space="preserve"> </w:t>
      </w:r>
      <w:r w:rsidR="00170C78">
        <w:t xml:space="preserve">existing </w:t>
      </w:r>
      <w:r w:rsidR="0069276A">
        <w:t xml:space="preserve">and </w:t>
      </w:r>
      <w:r w:rsidR="00170C78">
        <w:t xml:space="preserve">updated </w:t>
      </w:r>
      <w:r w:rsidR="0069276A">
        <w:t xml:space="preserve">inertia relief </w:t>
      </w:r>
      <w:r w:rsidR="00AD504D">
        <w:t>methods</w:t>
      </w:r>
      <w:r w:rsidR="00B21577">
        <w:t xml:space="preserve"> and comparisons with </w:t>
      </w:r>
      <w:r w:rsidR="009B1E1D">
        <w:t xml:space="preserve">higher-fidelity </w:t>
      </w:r>
      <w:r w:rsidR="00B21577">
        <w:t>structural analysis and design tools.</w:t>
      </w:r>
      <w:r w:rsidR="00155308">
        <w:t xml:space="preserve"> </w:t>
      </w:r>
      <w:r w:rsidR="00EC5F43">
        <w:t xml:space="preserve">The tools used in this comparison are the </w:t>
      </w:r>
      <w:r w:rsidR="00EC5F43" w:rsidRPr="00B84376">
        <w:t xml:space="preserve">SUITe of </w:t>
      </w:r>
      <w:r w:rsidR="0094325D">
        <w:t>C</w:t>
      </w:r>
      <w:r w:rsidR="00EC5F43" w:rsidRPr="00B84376">
        <w:t>odes for Aeroelastic Sizing using EPSM</w:t>
      </w:r>
      <w:r w:rsidR="00EC5F43">
        <w:t xml:space="preserve"> (SUITCASE)</w:t>
      </w:r>
      <w:r w:rsidR="00C43F43">
        <w:t>, where EPSM stands for Equivalent Plate Structural Modeling</w:t>
      </w:r>
      <w:r w:rsidR="000C2474">
        <w:t>,</w:t>
      </w:r>
      <w:r w:rsidR="00EC5F43">
        <w:t xml:space="preserve"> and the Aircraft Structural Analysis Method for Immediate Weight Estimation (AMMIT). </w:t>
      </w:r>
      <w:r w:rsidR="00325582">
        <w:t xml:space="preserve">LEAPS leverages a series of regression equations to estimate wing weight based on a combination of historical data and physical trends. Alternatively, SUITCASE and AMMIT use </w:t>
      </w:r>
      <w:r w:rsidR="00F87698">
        <w:t>physics-based</w:t>
      </w:r>
      <w:r w:rsidR="00325582">
        <w:t xml:space="preserve"> methods to determine the ideal structure to resist a given set of load cases. In this regard</w:t>
      </w:r>
      <w:r w:rsidR="00B11BF9">
        <w:t>,</w:t>
      </w:r>
      <w:r w:rsidR="00325582">
        <w:t xml:space="preserve"> they are more flexible and generally</w:t>
      </w:r>
      <w:r w:rsidR="00983464">
        <w:t xml:space="preserve"> provide a more </w:t>
      </w:r>
      <w:r w:rsidR="00C630C4">
        <w:t>realistic</w:t>
      </w:r>
      <w:r w:rsidR="00983464">
        <w:t xml:space="preserve"> estimate of </w:t>
      </w:r>
      <w:r w:rsidR="00B11BF9">
        <w:t>structural</w:t>
      </w:r>
      <w:r w:rsidR="00983464">
        <w:t xml:space="preserve"> weight. The trade</w:t>
      </w:r>
      <w:r w:rsidR="00B11BF9">
        <w:t>-</w:t>
      </w:r>
      <w:r w:rsidR="00983464">
        <w:t xml:space="preserve">off is that SUITCASE and AMMIT require significantly more </w:t>
      </w:r>
      <w:r w:rsidR="00AD63A5">
        <w:t xml:space="preserve">aircraft data </w:t>
      </w:r>
      <w:r w:rsidR="00983464">
        <w:t>and computational resources than the LEAPS wing weight method.</w:t>
      </w:r>
      <w:r w:rsidR="00565F5A">
        <w:t xml:space="preserve"> </w:t>
      </w:r>
      <w:r w:rsidR="00325582">
        <w:t>This section describes the approaches used</w:t>
      </w:r>
      <w:r w:rsidR="00565F5A">
        <w:t xml:space="preserve"> to evaluate the proposed method, as well as an overview of the methods used in SUITCASE and AMMIT</w:t>
      </w:r>
      <w:r w:rsidR="00AD63A5">
        <w:t xml:space="preserve">. </w:t>
      </w:r>
      <w:r w:rsidR="00325582">
        <w:t>The results of the comparisons are provided in the subsequent section.</w:t>
      </w:r>
    </w:p>
    <w:p w14:paraId="0593A1DD" w14:textId="77777777" w:rsidR="00B21577" w:rsidRPr="00EB70FE" w:rsidRDefault="006B3BEA" w:rsidP="0041171A">
      <w:pPr>
        <w:pStyle w:val="Heading2"/>
        <w:keepNext/>
        <w:numPr>
          <w:ilvl w:val="0"/>
          <w:numId w:val="31"/>
        </w:numPr>
      </w:pPr>
      <w:r w:rsidRPr="00EB70FE">
        <w:t>Base Method Comparison</w:t>
      </w:r>
    </w:p>
    <w:p w14:paraId="0BB53DE8" w14:textId="42AB1AF0" w:rsidR="00DB3DAD" w:rsidRDefault="00B21577" w:rsidP="00B21577">
      <w:pPr>
        <w:ind w:firstLine="288"/>
      </w:pPr>
      <w:r>
        <w:t xml:space="preserve">The first test applied to </w:t>
      </w:r>
      <w:r w:rsidR="00DB3DAD">
        <w:t>the proposed method</w:t>
      </w:r>
      <w:r>
        <w:t xml:space="preserve"> was</w:t>
      </w:r>
      <w:r w:rsidR="0069276A">
        <w:t xml:space="preserve"> to determine</w:t>
      </w:r>
      <w:r>
        <w:t xml:space="preserve"> </w:t>
      </w:r>
      <w:r w:rsidR="00BE779A">
        <w:t>whether</w:t>
      </w:r>
      <w:r>
        <w:t xml:space="preserve"> it is consistent with the </w:t>
      </w:r>
      <w:r w:rsidR="00DB3DAD">
        <w:t>current</w:t>
      </w:r>
      <w:r>
        <w:t xml:space="preserve"> </w:t>
      </w:r>
      <w:r w:rsidR="0069276A">
        <w:t xml:space="preserve">inertia relief </w:t>
      </w:r>
      <w:r>
        <w:t>method</w:t>
      </w:r>
      <w:r w:rsidR="00DB3DAD">
        <w:t xml:space="preserve"> in LEAPS</w:t>
      </w:r>
      <w:r w:rsidR="00B536E9">
        <w:t xml:space="preserve">. This was accomplished </w:t>
      </w:r>
      <w:r w:rsidR="00DB3DAD">
        <w:t xml:space="preserve">by using </w:t>
      </w:r>
      <w:r w:rsidR="00AF65F8">
        <w:t xml:space="preserve">a </w:t>
      </w:r>
      <w:r w:rsidR="00DB3DAD">
        <w:t>theoretical</w:t>
      </w:r>
      <w:r w:rsidR="00B536E9">
        <w:t xml:space="preserve"> aircraft with</w:t>
      </w:r>
      <w:r w:rsidR="0069276A">
        <w:t xml:space="preserve"> identical</w:t>
      </w:r>
      <w:r w:rsidR="00B536E9">
        <w:t xml:space="preserve"> wing mounted engines and dividing the engine weight between multiple engine sets. </w:t>
      </w:r>
      <w:r w:rsidR="00155308">
        <w:t xml:space="preserve">As the total engine weight and location is unchanged, the calculated inertia relief factor should </w:t>
      </w:r>
      <w:r w:rsidR="00DB3DAD">
        <w:t xml:space="preserve">be </w:t>
      </w:r>
      <w:r w:rsidR="00145963">
        <w:t xml:space="preserve">identical </w:t>
      </w:r>
      <w:r w:rsidR="00DB3DAD">
        <w:t>regardless of the method used</w:t>
      </w:r>
      <w:r w:rsidR="00155308">
        <w:t xml:space="preserve">. </w:t>
      </w:r>
    </w:p>
    <w:p w14:paraId="43149D9C" w14:textId="146100D9" w:rsidR="0069276A" w:rsidRDefault="00B536E9" w:rsidP="00B21577">
      <w:pPr>
        <w:ind w:firstLine="288"/>
      </w:pPr>
      <w:r>
        <w:t xml:space="preserve">A combination of two approaches were used to divide the engine weight into multiple sets. The first approach was to simply split the engines </w:t>
      </w:r>
      <w:r w:rsidR="00155308">
        <w:t>such that each engine pair belongs to a unique set</w:t>
      </w:r>
      <w:r>
        <w:t xml:space="preserve">. For </w:t>
      </w:r>
      <w:r w:rsidR="000536B5">
        <w:t>example,</w:t>
      </w:r>
      <w:r>
        <w:t xml:space="preserve"> if an aircraft has four identical wing mounted engines, </w:t>
      </w:r>
      <w:r w:rsidR="000536B5">
        <w:t xml:space="preserve">they </w:t>
      </w:r>
      <w:r>
        <w:t xml:space="preserve">would be divided into a set of two inboard engines and a set of two outboard engines. </w:t>
      </w:r>
      <w:r w:rsidR="00B6341F">
        <w:t xml:space="preserve">All other factors being the same, the </w:t>
      </w:r>
      <w:r w:rsidR="0069276A">
        <w:t xml:space="preserve">EIRF calculated </w:t>
      </w:r>
      <w:r w:rsidR="00382E40">
        <w:t>for the aircraft with the single set of</w:t>
      </w:r>
      <w:r w:rsidR="00B6341F">
        <w:t xml:space="preserve"> four</w:t>
      </w:r>
      <w:r w:rsidR="00382E40">
        <w:t xml:space="preserve"> engines and for the aircraft with the </w:t>
      </w:r>
      <w:r w:rsidR="00B6341F">
        <w:t xml:space="preserve">two sets of two </w:t>
      </w:r>
      <w:r w:rsidR="00382E40">
        <w:t xml:space="preserve">engine </w:t>
      </w:r>
      <w:r w:rsidR="00BB7075">
        <w:t>should be identical</w:t>
      </w:r>
      <w:r w:rsidR="00382E40">
        <w:t>.</w:t>
      </w:r>
    </w:p>
    <w:p w14:paraId="08EF4995" w14:textId="6975F287" w:rsidR="00B21577" w:rsidRDefault="00B536E9" w:rsidP="00B21577">
      <w:pPr>
        <w:ind w:firstLine="288"/>
      </w:pPr>
      <w:r>
        <w:t xml:space="preserve">The second approach was to </w:t>
      </w:r>
      <w:r w:rsidR="00DB3DAD">
        <w:t xml:space="preserve">divide large </w:t>
      </w:r>
      <w:r>
        <w:t xml:space="preserve">engines into </w:t>
      </w:r>
      <w:r w:rsidR="00DB3DAD">
        <w:t>several</w:t>
      </w:r>
      <w:r>
        <w:t xml:space="preserve"> engines</w:t>
      </w:r>
      <w:r w:rsidR="00DB3DAD">
        <w:t xml:space="preserve"> located at the same point with each pair of smaller engines in its own engine set</w:t>
      </w:r>
      <w:r>
        <w:t xml:space="preserve">. </w:t>
      </w:r>
      <w:r w:rsidR="00B16330">
        <w:t>For example</w:t>
      </w:r>
      <w:r w:rsidR="00AF65F8">
        <w:t>,</w:t>
      </w:r>
      <w:r w:rsidR="00B16330">
        <w:t xml:space="preserve"> the EIRF would be calculated for an aircraft wit</w:t>
      </w:r>
      <w:r w:rsidR="00A13F6B">
        <w:t>h two</w:t>
      </w:r>
      <w:r w:rsidR="00B16330">
        <w:t xml:space="preserve"> engines </w:t>
      </w:r>
      <w:r w:rsidR="00A13F6B">
        <w:t xml:space="preserve">each </w:t>
      </w:r>
      <w:r w:rsidR="00B16330">
        <w:t>located at 30% span and that would be compared to the EIRF</w:t>
      </w:r>
      <w:r w:rsidR="00A13F6B">
        <w:t xml:space="preserve"> calculated</w:t>
      </w:r>
      <w:r w:rsidR="00B16330">
        <w:t xml:space="preserve"> for an aircraft with </w:t>
      </w:r>
      <w:r w:rsidR="00A13F6B">
        <w:t>four engines divided into two sets</w:t>
      </w:r>
      <w:r w:rsidR="00AF65F8">
        <w:t xml:space="preserve"> that are</w:t>
      </w:r>
      <w:r w:rsidR="00A13F6B">
        <w:t xml:space="preserve"> located at 30% span and with the same total weight as the two engine case. </w:t>
      </w:r>
      <w:r>
        <w:t>While</w:t>
      </w:r>
      <w:r w:rsidR="00155308">
        <w:t xml:space="preserve"> multiple engines located at the exact same wing location is</w:t>
      </w:r>
      <w:r>
        <w:t xml:space="preserve"> not physically </w:t>
      </w:r>
      <w:r w:rsidR="00155308">
        <w:t>possible</w:t>
      </w:r>
      <w:r>
        <w:t xml:space="preserve">, </w:t>
      </w:r>
      <w:r w:rsidR="00155308">
        <w:t>it provide</w:t>
      </w:r>
      <w:r w:rsidR="00CF45C3">
        <w:t>s</w:t>
      </w:r>
      <w:r w:rsidR="00155308">
        <w:t xml:space="preserve"> a useful theoretical means for evaluating whether the proposed method provides </w:t>
      </w:r>
      <w:r w:rsidR="00DB697E">
        <w:t>a</w:t>
      </w:r>
      <w:r w:rsidR="00155308">
        <w:t xml:space="preserve"> consistent </w:t>
      </w:r>
      <w:r w:rsidR="00DB697E">
        <w:t>result</w:t>
      </w:r>
      <w:r w:rsidR="00155308">
        <w:t xml:space="preserve">. </w:t>
      </w:r>
    </w:p>
    <w:p w14:paraId="5EE69FC9" w14:textId="77777777" w:rsidR="00F565BA" w:rsidRPr="0041171A" w:rsidRDefault="00843B3E" w:rsidP="6CDDD25F">
      <w:pPr>
        <w:numPr>
          <w:ilvl w:val="0"/>
          <w:numId w:val="4"/>
        </w:numPr>
        <w:tabs>
          <w:tab w:val="left" w:pos="288"/>
        </w:tabs>
        <w:spacing w:before="240"/>
        <w:outlineLvl w:val="1"/>
        <w:rPr>
          <w:b/>
        </w:rPr>
      </w:pPr>
      <w:r>
        <w:rPr>
          <w:b/>
        </w:rPr>
        <w:t>SUITCASE</w:t>
      </w:r>
    </w:p>
    <w:p w14:paraId="508CC6DF" w14:textId="6BC14A9D" w:rsidR="00296DB8" w:rsidRDefault="00FA064B" w:rsidP="00296DB8">
      <w:pPr>
        <w:tabs>
          <w:tab w:val="left" w:pos="288"/>
        </w:tabs>
        <w:ind w:firstLine="288"/>
      </w:pPr>
      <w:r>
        <w:t xml:space="preserve">As comparisons with the existing LEAPS </w:t>
      </w:r>
      <w:r w:rsidR="00670A45">
        <w:t xml:space="preserve">engine inertia relief </w:t>
      </w:r>
      <w:r>
        <w:t xml:space="preserve">method are limited to aircraft that physically have identical engines, higher order structural analysis tools were </w:t>
      </w:r>
      <w:r w:rsidR="004E524F">
        <w:t xml:space="preserve">leveraged </w:t>
      </w:r>
      <w:r>
        <w:t xml:space="preserve">to </w:t>
      </w:r>
      <w:r w:rsidR="008E2757">
        <w:t xml:space="preserve">evaluate cases </w:t>
      </w:r>
      <w:r w:rsidR="00BA3BE1">
        <w:t>with dissimilar engines</w:t>
      </w:r>
      <w:r>
        <w:t xml:space="preserve">. </w:t>
      </w:r>
      <w:r w:rsidR="26BE3542">
        <w:t xml:space="preserve">The SUITCASE structural analysis and optimization tool is an </w:t>
      </w:r>
      <w:r w:rsidR="181FFBC9">
        <w:t>integrated design and analysis code that</w:t>
      </w:r>
      <w:r w:rsidR="4CA2EDA2">
        <w:t xml:space="preserve"> computes trimmed static aeroelastic loads </w:t>
      </w:r>
      <w:r w:rsidR="43345EB2">
        <w:t>and uses the</w:t>
      </w:r>
      <w:r w:rsidR="0041171A">
        <w:t xml:space="preserve"> </w:t>
      </w:r>
      <w:r w:rsidR="43345EB2">
        <w:t>EPSM</w:t>
      </w:r>
      <w:r w:rsidR="000C2474">
        <w:t xml:space="preserve"> </w:t>
      </w:r>
      <w:r w:rsidR="43345EB2">
        <w:t>structural analysis tool to compute strength constraints and their sensiti</w:t>
      </w:r>
      <w:r w:rsidR="711DE18B">
        <w:t xml:space="preserve">vity </w:t>
      </w:r>
      <w:r w:rsidR="711DE18B">
        <w:lastRenderedPageBreak/>
        <w:t xml:space="preserve">derivatives for subsequent </w:t>
      </w:r>
      <w:r w:rsidR="27511831">
        <w:t>structural optimization. SUITCASE performs several cycles of optimization until a design is converged for minimum structural weight using wing skin and shear web thicknesses as the design variables.</w:t>
      </w:r>
      <w:r w:rsidR="711DE18B">
        <w:t xml:space="preserve"> </w:t>
      </w:r>
      <w:r w:rsidR="07AF6BD4">
        <w:t xml:space="preserve">The EPSM structural analysis tool uses regionally defined </w:t>
      </w:r>
      <w:r w:rsidR="683C76B2">
        <w:t xml:space="preserve">high order </w:t>
      </w:r>
      <w:r w:rsidR="07AF6BD4">
        <w:t xml:space="preserve">orthogonal </w:t>
      </w:r>
      <w:r w:rsidR="00D85189">
        <w:t xml:space="preserve">Legendre </w:t>
      </w:r>
      <w:r w:rsidR="07AF6BD4">
        <w:t xml:space="preserve">polynomials </w:t>
      </w:r>
      <w:r w:rsidR="0098DF85">
        <w:t xml:space="preserve">as displacement functions to </w:t>
      </w:r>
      <w:r w:rsidR="22A48F85">
        <w:t>determine structural displacements and wing skin stresses and strains.</w:t>
      </w:r>
      <w:r w:rsidR="476EBFAC">
        <w:t xml:space="preserve"> Only strength constraints were considered for this study, but SUITCASE can also perform flutter analyses and compute flutter constr</w:t>
      </w:r>
      <w:r w:rsidR="1C816DFF">
        <w:t xml:space="preserve">aints </w:t>
      </w:r>
      <w:r w:rsidR="31EC56F3">
        <w:t>for inclusion in the optimization.</w:t>
      </w:r>
      <w:r w:rsidR="1C816DFF">
        <w:t xml:space="preserve"> </w:t>
      </w:r>
    </w:p>
    <w:p w14:paraId="43B64595" w14:textId="687A439C" w:rsidR="26BE3542" w:rsidRDefault="00296DB8" w:rsidP="00296DB8">
      <w:pPr>
        <w:tabs>
          <w:tab w:val="left" w:pos="288"/>
        </w:tabs>
        <w:ind w:firstLine="288"/>
      </w:pPr>
      <w:r w:rsidRPr="00296DB8">
        <w:t xml:space="preserve">The wing structural weight predicted by SUITCASE was compared with the predicted structural weight from LEAPS in order to determine </w:t>
      </w:r>
      <w:r w:rsidR="008C5ADA">
        <w:t xml:space="preserve">if LEAPS </w:t>
      </w:r>
      <w:r w:rsidRPr="00296DB8">
        <w:t>provid</w:t>
      </w:r>
      <w:r w:rsidR="008C5ADA">
        <w:t>e</w:t>
      </w:r>
      <w:r w:rsidRPr="00296DB8">
        <w:t xml:space="preserve"> an acceptable level of accuracy.</w:t>
      </w:r>
      <w:r>
        <w:t xml:space="preserve"> </w:t>
      </w:r>
      <w:r w:rsidR="74531775">
        <w:t xml:space="preserve">The same structural model was used for all cases with the engine weights and locations being applied to the structure as a set of point masses. </w:t>
      </w:r>
      <w:r w:rsidR="1C816DFF">
        <w:t>The following load cases were used to size the wing structure:</w:t>
      </w:r>
    </w:p>
    <w:p w14:paraId="42984689" w14:textId="77777777" w:rsidR="73300B99" w:rsidRPr="0041171A" w:rsidRDefault="73300B99" w:rsidP="00EE6ADB">
      <w:pPr>
        <w:pStyle w:val="ListParagraph"/>
        <w:keepNext/>
        <w:numPr>
          <w:ilvl w:val="0"/>
          <w:numId w:val="29"/>
        </w:numPr>
        <w:tabs>
          <w:tab w:val="left" w:pos="288"/>
        </w:tabs>
        <w:rPr>
          <w:rFonts w:ascii="Times New Roman" w:hAnsi="Times New Roman"/>
          <w:sz w:val="20"/>
          <w:szCs w:val="20"/>
        </w:rPr>
      </w:pPr>
      <w:r w:rsidRPr="0041171A">
        <w:rPr>
          <w:rFonts w:ascii="Times New Roman" w:hAnsi="Times New Roman"/>
          <w:sz w:val="20"/>
          <w:szCs w:val="20"/>
        </w:rPr>
        <w:t>+1.0G mid-cruise case</w:t>
      </w:r>
    </w:p>
    <w:p w14:paraId="66D6D4B4" w14:textId="77777777" w:rsidR="73300B99" w:rsidRPr="0041171A" w:rsidRDefault="73300B99" w:rsidP="00EE6ADB">
      <w:pPr>
        <w:pStyle w:val="ListParagraph"/>
        <w:keepNext/>
        <w:numPr>
          <w:ilvl w:val="0"/>
          <w:numId w:val="29"/>
        </w:numPr>
        <w:tabs>
          <w:tab w:val="left" w:pos="288"/>
        </w:tabs>
        <w:rPr>
          <w:rFonts w:ascii="Times New Roman" w:hAnsi="Times New Roman"/>
          <w:sz w:val="20"/>
          <w:szCs w:val="20"/>
        </w:rPr>
      </w:pPr>
      <w:r w:rsidRPr="0041171A">
        <w:rPr>
          <w:rFonts w:ascii="Times New Roman" w:hAnsi="Times New Roman"/>
          <w:sz w:val="20"/>
          <w:szCs w:val="20"/>
        </w:rPr>
        <w:t>+2.5G heavy weight pull-up maneuver</w:t>
      </w:r>
    </w:p>
    <w:p w14:paraId="5AAADC8C" w14:textId="77777777" w:rsidR="73300B99" w:rsidRPr="0041171A" w:rsidRDefault="73300B99" w:rsidP="00EE6ADB">
      <w:pPr>
        <w:pStyle w:val="ListParagraph"/>
        <w:keepNext/>
        <w:numPr>
          <w:ilvl w:val="0"/>
          <w:numId w:val="29"/>
        </w:numPr>
        <w:tabs>
          <w:tab w:val="left" w:pos="288"/>
        </w:tabs>
        <w:rPr>
          <w:rFonts w:ascii="Times New Roman" w:hAnsi="Times New Roman"/>
          <w:sz w:val="20"/>
          <w:szCs w:val="20"/>
        </w:rPr>
      </w:pPr>
      <w:r w:rsidRPr="0041171A">
        <w:rPr>
          <w:rFonts w:ascii="Times New Roman" w:hAnsi="Times New Roman"/>
          <w:sz w:val="20"/>
          <w:szCs w:val="20"/>
        </w:rPr>
        <w:t>-1.0G heavy weight push-over maneuver</w:t>
      </w:r>
    </w:p>
    <w:p w14:paraId="67DBDAEC" w14:textId="77777777" w:rsidR="73300B99" w:rsidRPr="0041171A" w:rsidRDefault="73300B99" w:rsidP="00EE6ADB">
      <w:pPr>
        <w:pStyle w:val="ListParagraph"/>
        <w:keepNext/>
        <w:numPr>
          <w:ilvl w:val="0"/>
          <w:numId w:val="29"/>
        </w:numPr>
        <w:tabs>
          <w:tab w:val="left" w:pos="288"/>
        </w:tabs>
        <w:rPr>
          <w:rFonts w:ascii="Times New Roman" w:hAnsi="Times New Roman"/>
          <w:sz w:val="20"/>
          <w:szCs w:val="20"/>
        </w:rPr>
      </w:pPr>
      <w:r w:rsidRPr="0041171A">
        <w:rPr>
          <w:rFonts w:ascii="Times New Roman" w:hAnsi="Times New Roman"/>
          <w:sz w:val="20"/>
          <w:szCs w:val="20"/>
        </w:rPr>
        <w:t>+2.5G light weight pull-up maneuver</w:t>
      </w:r>
    </w:p>
    <w:p w14:paraId="786A776F" w14:textId="77777777" w:rsidR="73300B99" w:rsidRPr="0041171A" w:rsidRDefault="73300B99" w:rsidP="00EE6ADB">
      <w:pPr>
        <w:pStyle w:val="ListParagraph"/>
        <w:keepNext/>
        <w:numPr>
          <w:ilvl w:val="0"/>
          <w:numId w:val="29"/>
        </w:numPr>
        <w:tabs>
          <w:tab w:val="left" w:pos="288"/>
        </w:tabs>
        <w:rPr>
          <w:rFonts w:ascii="Times New Roman" w:hAnsi="Times New Roman"/>
          <w:sz w:val="20"/>
          <w:szCs w:val="20"/>
        </w:rPr>
      </w:pPr>
      <w:r w:rsidRPr="0041171A">
        <w:rPr>
          <w:rFonts w:ascii="Times New Roman" w:hAnsi="Times New Roman"/>
          <w:sz w:val="20"/>
          <w:szCs w:val="20"/>
        </w:rPr>
        <w:t>-1.0G light weight push-over maneuver</w:t>
      </w:r>
    </w:p>
    <w:p w14:paraId="2774C627" w14:textId="77777777" w:rsidR="73300B99" w:rsidRDefault="73300B99" w:rsidP="0041171A">
      <w:pPr>
        <w:pStyle w:val="ListParagraph"/>
        <w:numPr>
          <w:ilvl w:val="0"/>
          <w:numId w:val="29"/>
        </w:numPr>
        <w:tabs>
          <w:tab w:val="left" w:pos="288"/>
        </w:tabs>
        <w:rPr>
          <w:rFonts w:ascii="Times New Roman" w:hAnsi="Times New Roman"/>
          <w:sz w:val="20"/>
          <w:szCs w:val="20"/>
        </w:rPr>
      </w:pPr>
      <w:r w:rsidRPr="0041171A">
        <w:rPr>
          <w:rFonts w:ascii="Times New Roman" w:hAnsi="Times New Roman"/>
          <w:sz w:val="20"/>
          <w:szCs w:val="20"/>
        </w:rPr>
        <w:t>+2.0G taxi bump</w:t>
      </w:r>
    </w:p>
    <w:p w14:paraId="45E27E24" w14:textId="77777777" w:rsidR="00843B3E" w:rsidRPr="00F565BA" w:rsidRDefault="00843B3E" w:rsidP="00FA064B">
      <w:pPr>
        <w:keepNext/>
        <w:numPr>
          <w:ilvl w:val="0"/>
          <w:numId w:val="4"/>
        </w:numPr>
        <w:tabs>
          <w:tab w:val="left" w:pos="288"/>
        </w:tabs>
        <w:spacing w:before="240"/>
        <w:outlineLvl w:val="1"/>
        <w:rPr>
          <w:b/>
        </w:rPr>
      </w:pPr>
      <w:r>
        <w:rPr>
          <w:b/>
        </w:rPr>
        <w:t>AMMIT</w:t>
      </w:r>
    </w:p>
    <w:p w14:paraId="1D0DF8DB" w14:textId="2BD424C1" w:rsidR="003C52E4" w:rsidRDefault="003C52E4" w:rsidP="00155308">
      <w:pPr>
        <w:tabs>
          <w:tab w:val="left" w:pos="288"/>
        </w:tabs>
        <w:ind w:firstLine="288"/>
      </w:pPr>
      <w:r>
        <w:t xml:space="preserve">The </w:t>
      </w:r>
      <w:r w:rsidR="009F3CFE">
        <w:t xml:space="preserve">AMMIT </w:t>
      </w:r>
      <w:r>
        <w:t xml:space="preserve">structural analysis tool </w:t>
      </w:r>
      <w:r w:rsidR="009F3CFE">
        <w:t>is an aircraft conceptual structural design tool</w:t>
      </w:r>
      <w:r>
        <w:t xml:space="preserve"> intended to aide in trade space exploration and early conceptual design</w:t>
      </w:r>
      <w:r w:rsidR="00155308">
        <w:t xml:space="preserve"> [</w:t>
      </w:r>
      <w:r w:rsidR="00516BD3">
        <w:t>6</w:t>
      </w:r>
      <w:r w:rsidR="00155308">
        <w:t>]</w:t>
      </w:r>
      <w:r w:rsidR="009F3CFE">
        <w:t xml:space="preserve">. </w:t>
      </w:r>
      <w:r>
        <w:t xml:space="preserve">AMMIT includes structural line models and handbook methods wrapped in a simple to use interface that can enable rapid, physics-based structural designs without requiring extensive structural expertise. </w:t>
      </w:r>
      <w:r w:rsidR="00296DB8">
        <w:t>While AMMIT is considered</w:t>
      </w:r>
      <w:r w:rsidR="008632A1">
        <w:t xml:space="preserve"> </w:t>
      </w:r>
      <w:r w:rsidR="00100707">
        <w:t xml:space="preserve">to be a </w:t>
      </w:r>
      <w:r w:rsidR="008632A1">
        <w:t>lower fidelity analysis tool than SUITCASE, it</w:t>
      </w:r>
      <w:r>
        <w:t xml:space="preserve"> was </w:t>
      </w:r>
      <w:r w:rsidR="008632A1">
        <w:t>used</w:t>
      </w:r>
      <w:r>
        <w:t xml:space="preserve"> as a supplement for SUITCASE for select aircraft in this study.</w:t>
      </w:r>
      <w:r w:rsidR="00155308">
        <w:t xml:space="preserve"> The following load cases were</w:t>
      </w:r>
      <w:r>
        <w:t xml:space="preserve"> utilized to size the wing structure:</w:t>
      </w:r>
    </w:p>
    <w:p w14:paraId="3C10B1DD" w14:textId="2AB2734B" w:rsidR="003C52E4" w:rsidRPr="00F767AB" w:rsidRDefault="003C52E4" w:rsidP="00296DB8">
      <w:pPr>
        <w:pStyle w:val="ListParagraph"/>
        <w:keepNext/>
        <w:numPr>
          <w:ilvl w:val="0"/>
          <w:numId w:val="29"/>
        </w:numPr>
        <w:tabs>
          <w:tab w:val="left" w:pos="288"/>
        </w:tabs>
        <w:rPr>
          <w:rFonts w:ascii="Times New Roman" w:hAnsi="Times New Roman"/>
          <w:sz w:val="20"/>
          <w:szCs w:val="20"/>
        </w:rPr>
      </w:pPr>
      <w:r w:rsidRPr="00F767AB">
        <w:rPr>
          <w:rFonts w:ascii="Times New Roman" w:hAnsi="Times New Roman"/>
          <w:sz w:val="20"/>
          <w:szCs w:val="20"/>
        </w:rPr>
        <w:t xml:space="preserve">+2.5G </w:t>
      </w:r>
      <w:r w:rsidR="00C6596E">
        <w:rPr>
          <w:rFonts w:ascii="Times New Roman" w:hAnsi="Times New Roman"/>
          <w:sz w:val="20"/>
          <w:szCs w:val="20"/>
        </w:rPr>
        <w:t xml:space="preserve">heavy weight pull-up </w:t>
      </w:r>
      <w:r w:rsidRPr="00F767AB">
        <w:rPr>
          <w:rFonts w:ascii="Times New Roman" w:hAnsi="Times New Roman"/>
          <w:sz w:val="20"/>
          <w:szCs w:val="20"/>
        </w:rPr>
        <w:t xml:space="preserve">maneuver </w:t>
      </w:r>
    </w:p>
    <w:p w14:paraId="67844FFD" w14:textId="480C42A0" w:rsidR="003C52E4" w:rsidRPr="00F767AB" w:rsidRDefault="003C52E4" w:rsidP="00296DB8">
      <w:pPr>
        <w:pStyle w:val="ListParagraph"/>
        <w:keepNext/>
        <w:numPr>
          <w:ilvl w:val="0"/>
          <w:numId w:val="29"/>
        </w:numPr>
        <w:tabs>
          <w:tab w:val="left" w:pos="288"/>
        </w:tabs>
        <w:rPr>
          <w:rFonts w:ascii="Times New Roman" w:hAnsi="Times New Roman"/>
          <w:sz w:val="20"/>
          <w:szCs w:val="20"/>
        </w:rPr>
      </w:pPr>
      <w:r w:rsidRPr="00F767AB">
        <w:rPr>
          <w:rFonts w:ascii="Times New Roman" w:hAnsi="Times New Roman"/>
          <w:sz w:val="20"/>
          <w:szCs w:val="20"/>
        </w:rPr>
        <w:t xml:space="preserve">+2.5G </w:t>
      </w:r>
      <w:r w:rsidR="00C6596E">
        <w:rPr>
          <w:rFonts w:ascii="Times New Roman" w:hAnsi="Times New Roman"/>
          <w:sz w:val="20"/>
          <w:szCs w:val="20"/>
        </w:rPr>
        <w:t xml:space="preserve">light weight pull-up </w:t>
      </w:r>
      <w:r w:rsidRPr="00F767AB">
        <w:rPr>
          <w:rFonts w:ascii="Times New Roman" w:hAnsi="Times New Roman"/>
          <w:sz w:val="20"/>
          <w:szCs w:val="20"/>
        </w:rPr>
        <w:t xml:space="preserve">maneuver </w:t>
      </w:r>
    </w:p>
    <w:p w14:paraId="59FD7B8B" w14:textId="06EC8C30" w:rsidR="003C52E4" w:rsidRPr="00F767AB" w:rsidRDefault="003C52E4" w:rsidP="00296DB8">
      <w:pPr>
        <w:pStyle w:val="ListParagraph"/>
        <w:keepNext/>
        <w:numPr>
          <w:ilvl w:val="0"/>
          <w:numId w:val="29"/>
        </w:numPr>
        <w:tabs>
          <w:tab w:val="left" w:pos="288"/>
        </w:tabs>
        <w:rPr>
          <w:rFonts w:ascii="Times New Roman" w:hAnsi="Times New Roman"/>
          <w:sz w:val="20"/>
          <w:szCs w:val="20"/>
        </w:rPr>
      </w:pPr>
      <w:r w:rsidRPr="00F767AB">
        <w:rPr>
          <w:rFonts w:ascii="Times New Roman" w:hAnsi="Times New Roman"/>
          <w:sz w:val="20"/>
          <w:szCs w:val="20"/>
        </w:rPr>
        <w:t>-1</w:t>
      </w:r>
      <w:r w:rsidR="0021789E">
        <w:rPr>
          <w:rFonts w:ascii="Times New Roman" w:hAnsi="Times New Roman"/>
          <w:sz w:val="20"/>
          <w:szCs w:val="20"/>
        </w:rPr>
        <w:t>.0</w:t>
      </w:r>
      <w:r w:rsidRPr="00F767AB">
        <w:rPr>
          <w:rFonts w:ascii="Times New Roman" w:hAnsi="Times New Roman"/>
          <w:sz w:val="20"/>
          <w:szCs w:val="20"/>
        </w:rPr>
        <w:t xml:space="preserve">G </w:t>
      </w:r>
      <w:r w:rsidR="00C6596E">
        <w:rPr>
          <w:rFonts w:ascii="Times New Roman" w:hAnsi="Times New Roman"/>
          <w:sz w:val="20"/>
          <w:szCs w:val="20"/>
        </w:rPr>
        <w:t xml:space="preserve">heavy weight </w:t>
      </w:r>
      <w:r w:rsidRPr="00F767AB">
        <w:rPr>
          <w:rFonts w:ascii="Times New Roman" w:hAnsi="Times New Roman"/>
          <w:sz w:val="20"/>
          <w:szCs w:val="20"/>
        </w:rPr>
        <w:t>maneuver</w:t>
      </w:r>
    </w:p>
    <w:p w14:paraId="6C796D25" w14:textId="65684C6D" w:rsidR="003C52E4" w:rsidRPr="00F767AB" w:rsidRDefault="003C52E4" w:rsidP="00296DB8">
      <w:pPr>
        <w:pStyle w:val="ListParagraph"/>
        <w:keepNext/>
        <w:numPr>
          <w:ilvl w:val="0"/>
          <w:numId w:val="29"/>
        </w:numPr>
        <w:tabs>
          <w:tab w:val="left" w:pos="288"/>
        </w:tabs>
        <w:rPr>
          <w:rFonts w:ascii="Times New Roman" w:hAnsi="Times New Roman"/>
          <w:sz w:val="20"/>
          <w:szCs w:val="20"/>
        </w:rPr>
      </w:pPr>
      <w:r w:rsidRPr="00F767AB">
        <w:rPr>
          <w:rFonts w:ascii="Times New Roman" w:hAnsi="Times New Roman"/>
          <w:sz w:val="20"/>
          <w:szCs w:val="20"/>
        </w:rPr>
        <w:t>-1</w:t>
      </w:r>
      <w:r w:rsidR="0021789E">
        <w:rPr>
          <w:rFonts w:ascii="Times New Roman" w:hAnsi="Times New Roman"/>
          <w:sz w:val="20"/>
          <w:szCs w:val="20"/>
        </w:rPr>
        <w:t>.0</w:t>
      </w:r>
      <w:r w:rsidRPr="00F767AB">
        <w:rPr>
          <w:rFonts w:ascii="Times New Roman" w:hAnsi="Times New Roman"/>
          <w:sz w:val="20"/>
          <w:szCs w:val="20"/>
        </w:rPr>
        <w:t xml:space="preserve">G </w:t>
      </w:r>
      <w:r w:rsidR="00C6596E">
        <w:rPr>
          <w:rFonts w:ascii="Times New Roman" w:hAnsi="Times New Roman"/>
          <w:sz w:val="20"/>
          <w:szCs w:val="20"/>
        </w:rPr>
        <w:t xml:space="preserve">light weight </w:t>
      </w:r>
      <w:r w:rsidRPr="00F767AB">
        <w:rPr>
          <w:rFonts w:ascii="Times New Roman" w:hAnsi="Times New Roman"/>
          <w:sz w:val="20"/>
          <w:szCs w:val="20"/>
        </w:rPr>
        <w:t xml:space="preserve">maneuver </w:t>
      </w:r>
    </w:p>
    <w:p w14:paraId="095D02A1" w14:textId="23B819D7" w:rsidR="003C52E4" w:rsidRPr="00F767AB" w:rsidRDefault="0021789E" w:rsidP="00296DB8">
      <w:pPr>
        <w:pStyle w:val="ListParagraph"/>
        <w:keepNext/>
        <w:numPr>
          <w:ilvl w:val="0"/>
          <w:numId w:val="29"/>
        </w:numPr>
        <w:tabs>
          <w:tab w:val="left" w:pos="288"/>
        </w:tabs>
        <w:rPr>
          <w:rFonts w:ascii="Times New Roman" w:hAnsi="Times New Roman"/>
          <w:sz w:val="20"/>
          <w:szCs w:val="20"/>
        </w:rPr>
      </w:pPr>
      <w:r>
        <w:rPr>
          <w:rFonts w:ascii="Times New Roman" w:hAnsi="Times New Roman"/>
          <w:sz w:val="20"/>
          <w:szCs w:val="20"/>
        </w:rPr>
        <w:t xml:space="preserve">+1.0G </w:t>
      </w:r>
      <w:r w:rsidR="00C6596E">
        <w:rPr>
          <w:rFonts w:ascii="Times New Roman" w:hAnsi="Times New Roman"/>
          <w:sz w:val="20"/>
          <w:szCs w:val="20"/>
        </w:rPr>
        <w:t xml:space="preserve">heavy weight cruise </w:t>
      </w:r>
      <w:r>
        <w:rPr>
          <w:rFonts w:ascii="Times New Roman" w:hAnsi="Times New Roman"/>
          <w:sz w:val="20"/>
          <w:szCs w:val="20"/>
        </w:rPr>
        <w:t>e</w:t>
      </w:r>
      <w:r w:rsidR="003C52E4" w:rsidRPr="00F767AB">
        <w:rPr>
          <w:rFonts w:ascii="Times New Roman" w:hAnsi="Times New Roman"/>
          <w:sz w:val="20"/>
          <w:szCs w:val="20"/>
        </w:rPr>
        <w:t>ngine out</w:t>
      </w:r>
    </w:p>
    <w:p w14:paraId="503A9A67" w14:textId="73C13D41" w:rsidR="009F7247" w:rsidRDefault="0021789E" w:rsidP="00296DB8">
      <w:pPr>
        <w:pStyle w:val="ListParagraph"/>
        <w:keepNext/>
        <w:numPr>
          <w:ilvl w:val="0"/>
          <w:numId w:val="29"/>
        </w:numPr>
        <w:tabs>
          <w:tab w:val="left" w:pos="288"/>
        </w:tabs>
        <w:rPr>
          <w:rFonts w:ascii="Times New Roman" w:hAnsi="Times New Roman"/>
          <w:sz w:val="20"/>
          <w:szCs w:val="20"/>
        </w:rPr>
      </w:pPr>
      <w:r>
        <w:rPr>
          <w:rFonts w:ascii="Times New Roman" w:hAnsi="Times New Roman"/>
          <w:sz w:val="20"/>
          <w:szCs w:val="20"/>
        </w:rPr>
        <w:t xml:space="preserve">+1.0G </w:t>
      </w:r>
      <w:r w:rsidR="00C6596E">
        <w:rPr>
          <w:rFonts w:ascii="Times New Roman" w:hAnsi="Times New Roman"/>
          <w:sz w:val="20"/>
          <w:szCs w:val="20"/>
        </w:rPr>
        <w:t>light weight cruise</w:t>
      </w:r>
      <w:r w:rsidR="00C6596E" w:rsidRPr="00F767AB">
        <w:rPr>
          <w:rFonts w:ascii="Times New Roman" w:hAnsi="Times New Roman"/>
          <w:sz w:val="20"/>
          <w:szCs w:val="20"/>
        </w:rPr>
        <w:t xml:space="preserve"> </w:t>
      </w:r>
      <w:r>
        <w:rPr>
          <w:rFonts w:ascii="Times New Roman" w:hAnsi="Times New Roman"/>
          <w:sz w:val="20"/>
          <w:szCs w:val="20"/>
        </w:rPr>
        <w:t>engine out</w:t>
      </w:r>
    </w:p>
    <w:p w14:paraId="734238EE" w14:textId="5757E11F" w:rsidR="0041171A" w:rsidRPr="00124EFE" w:rsidRDefault="0021789E" w:rsidP="00843B3E">
      <w:pPr>
        <w:pStyle w:val="ListParagraph"/>
        <w:numPr>
          <w:ilvl w:val="0"/>
          <w:numId w:val="29"/>
        </w:numPr>
        <w:tabs>
          <w:tab w:val="left" w:pos="288"/>
        </w:tabs>
        <w:rPr>
          <w:rFonts w:ascii="Times New Roman" w:hAnsi="Times New Roman"/>
          <w:sz w:val="20"/>
          <w:szCs w:val="20"/>
        </w:rPr>
      </w:pPr>
      <w:r>
        <w:rPr>
          <w:rFonts w:ascii="Times New Roman" w:hAnsi="Times New Roman"/>
          <w:sz w:val="20"/>
          <w:szCs w:val="20"/>
        </w:rPr>
        <w:t>+</w:t>
      </w:r>
      <w:r w:rsidR="0041171A">
        <w:rPr>
          <w:rFonts w:ascii="Times New Roman" w:hAnsi="Times New Roman"/>
          <w:sz w:val="20"/>
          <w:szCs w:val="20"/>
        </w:rPr>
        <w:t>2</w:t>
      </w:r>
      <w:r>
        <w:rPr>
          <w:rFonts w:ascii="Times New Roman" w:hAnsi="Times New Roman"/>
          <w:sz w:val="20"/>
          <w:szCs w:val="20"/>
        </w:rPr>
        <w:t>.0</w:t>
      </w:r>
      <w:r w:rsidR="0041171A">
        <w:rPr>
          <w:rFonts w:ascii="Times New Roman" w:hAnsi="Times New Roman"/>
          <w:sz w:val="20"/>
          <w:szCs w:val="20"/>
        </w:rPr>
        <w:t xml:space="preserve">G </w:t>
      </w:r>
      <w:r w:rsidR="00EA0EE8">
        <w:rPr>
          <w:rFonts w:ascii="Times New Roman" w:hAnsi="Times New Roman"/>
          <w:sz w:val="20"/>
          <w:szCs w:val="20"/>
        </w:rPr>
        <w:t xml:space="preserve">heavy weight </w:t>
      </w:r>
      <w:r w:rsidR="0041171A">
        <w:rPr>
          <w:rFonts w:ascii="Times New Roman" w:hAnsi="Times New Roman"/>
          <w:sz w:val="20"/>
          <w:szCs w:val="20"/>
        </w:rPr>
        <w:t>taxi bump</w:t>
      </w:r>
      <w:r>
        <w:rPr>
          <w:rFonts w:ascii="Times New Roman" w:hAnsi="Times New Roman"/>
          <w:sz w:val="20"/>
          <w:szCs w:val="20"/>
        </w:rPr>
        <w:t xml:space="preserve"> </w:t>
      </w:r>
    </w:p>
    <w:p w14:paraId="4E8F08A8" w14:textId="77777777" w:rsidR="00F565BA" w:rsidRPr="00F565BA" w:rsidRDefault="00C46CAA" w:rsidP="00F565BA">
      <w:pPr>
        <w:keepNext/>
        <w:numPr>
          <w:ilvl w:val="0"/>
          <w:numId w:val="3"/>
        </w:numPr>
        <w:tabs>
          <w:tab w:val="clear" w:pos="360"/>
          <w:tab w:val="num" w:pos="180"/>
        </w:tabs>
        <w:spacing w:before="240" w:after="60"/>
        <w:ind w:left="180" w:hanging="180"/>
        <w:jc w:val="center"/>
        <w:outlineLvl w:val="0"/>
        <w:rPr>
          <w:b/>
          <w:kern w:val="32"/>
          <w:sz w:val="22"/>
        </w:rPr>
      </w:pPr>
      <w:r>
        <w:rPr>
          <w:b/>
          <w:kern w:val="32"/>
          <w:sz w:val="22"/>
        </w:rPr>
        <w:t>Results and Discussion</w:t>
      </w:r>
    </w:p>
    <w:p w14:paraId="604BFB28" w14:textId="5D95505A" w:rsidR="00092F64" w:rsidRDefault="00092F64" w:rsidP="00092F64">
      <w:pPr>
        <w:tabs>
          <w:tab w:val="left" w:pos="288"/>
        </w:tabs>
        <w:ind w:firstLine="288"/>
      </w:pPr>
      <w:r>
        <w:t>The results of the validation effort are present</w:t>
      </w:r>
      <w:r w:rsidR="4686E6F9">
        <w:t>ed</w:t>
      </w:r>
      <w:r>
        <w:t xml:space="preserve"> in this section. First</w:t>
      </w:r>
      <w:r w:rsidR="009B5D1B">
        <w:t>,</w:t>
      </w:r>
      <w:r w:rsidR="00286E7F">
        <w:t xml:space="preserve"> a comparison between the wing weight calculated by the LEAPS method and SUITCASE</w:t>
      </w:r>
      <w:r w:rsidR="009B5D1B">
        <w:t xml:space="preserve"> </w:t>
      </w:r>
      <w:r w:rsidR="00286E7F">
        <w:t xml:space="preserve">is presented </w:t>
      </w:r>
      <w:r w:rsidR="009B5D1B">
        <w:t>for an aircraft</w:t>
      </w:r>
      <w:r w:rsidR="0039522A">
        <w:t xml:space="preserve"> with increasing numbers of </w:t>
      </w:r>
      <w:r w:rsidR="009B5D1B">
        <w:t xml:space="preserve">identical </w:t>
      </w:r>
      <w:r w:rsidR="0039522A">
        <w:t>engines</w:t>
      </w:r>
      <w:r>
        <w:t xml:space="preserve">. </w:t>
      </w:r>
      <w:r w:rsidR="00182109">
        <w:t xml:space="preserve">This is followed by the results of the </w:t>
      </w:r>
      <w:r w:rsidR="0039522A">
        <w:t xml:space="preserve">validation </w:t>
      </w:r>
      <w:r w:rsidR="00286E7F">
        <w:t>effort for</w:t>
      </w:r>
      <w:r>
        <w:t xml:space="preserve"> the updated engine inertia relief </w:t>
      </w:r>
      <w:r w:rsidR="009B5D1B">
        <w:t>method</w:t>
      </w:r>
      <w:r w:rsidR="0039522A">
        <w:t xml:space="preserve">. </w:t>
      </w:r>
      <w:r>
        <w:t>The section ends with a discussion of the results</w:t>
      </w:r>
      <w:r w:rsidR="00B658A7">
        <w:t xml:space="preserve"> of the validation efforts</w:t>
      </w:r>
      <w:r>
        <w:t>.</w:t>
      </w:r>
      <w:r w:rsidR="007B4DB0">
        <w:t xml:space="preserve"> </w:t>
      </w:r>
    </w:p>
    <w:p w14:paraId="5DEF1D79" w14:textId="7F269807" w:rsidR="00F565BA" w:rsidRPr="00F565BA" w:rsidRDefault="007B4DB0" w:rsidP="00092F64">
      <w:pPr>
        <w:tabs>
          <w:tab w:val="left" w:pos="288"/>
        </w:tabs>
        <w:ind w:firstLine="288"/>
      </w:pPr>
      <w:r>
        <w:t xml:space="preserve">As SUITCASE </w:t>
      </w:r>
      <w:r w:rsidR="00BE6EC6">
        <w:t xml:space="preserve">and AMMIT </w:t>
      </w:r>
      <w:r>
        <w:t>calculate a structural weight value comparable to the first and</w:t>
      </w:r>
      <w:r w:rsidR="00AF65F8">
        <w:t xml:space="preserve"> second LEAPS wing weight terms</w:t>
      </w:r>
      <w:r w:rsidR="00701A5F">
        <w:t>,</w:t>
      </w:r>
      <w:r>
        <w:t xml:space="preserve"> for the purposes of this comparison </w:t>
      </w:r>
      <w:r w:rsidR="00C5092F">
        <w:t xml:space="preserve">the </w:t>
      </w:r>
      <w:r>
        <w:t>misce</w:t>
      </w:r>
      <w:r w:rsidR="006E2742">
        <w:t>llaneous wing structural weight</w:t>
      </w:r>
      <w:r w:rsidR="001C7767">
        <w:t xml:space="preserve"> term</w:t>
      </w:r>
      <w:r w:rsidR="00C5092F">
        <w:t xml:space="preserve"> </w:t>
      </w:r>
      <w:r>
        <w:t>has been excluded.</w:t>
      </w:r>
      <w:r w:rsidR="00F31F7C">
        <w:t xml:space="preserve"> </w:t>
      </w:r>
      <w:r w:rsidR="00BE6EC6">
        <w:t>The miscellaneous weight is relatively small compared to the other terms</w:t>
      </w:r>
      <w:r w:rsidR="00701A5F">
        <w:t>,</w:t>
      </w:r>
      <w:r w:rsidR="00BE6EC6">
        <w:t xml:space="preserve"> and t</w:t>
      </w:r>
      <w:r w:rsidR="00F31F7C">
        <w:t xml:space="preserve">he weight and location of the engines </w:t>
      </w:r>
      <w:r w:rsidR="000A2CF7">
        <w:t xml:space="preserve">have </w:t>
      </w:r>
      <w:r w:rsidR="00F31F7C">
        <w:t>no impact on the miscellaneous weight</w:t>
      </w:r>
      <w:r w:rsidR="00BE6EC6">
        <w:t>.</w:t>
      </w:r>
    </w:p>
    <w:p w14:paraId="394A9308" w14:textId="0C2A52BA" w:rsidR="0039522A" w:rsidRPr="00CE606B" w:rsidRDefault="002230E4" w:rsidP="00B07E3E">
      <w:pPr>
        <w:pStyle w:val="Heading2"/>
        <w:keepNext/>
        <w:numPr>
          <w:ilvl w:val="0"/>
          <w:numId w:val="30"/>
        </w:numPr>
      </w:pPr>
      <w:r>
        <w:t>Evalu</w:t>
      </w:r>
      <w:r w:rsidR="00B83353">
        <w:t>ation</w:t>
      </w:r>
      <w:r w:rsidRPr="00CE606B">
        <w:t xml:space="preserve"> </w:t>
      </w:r>
      <w:r w:rsidR="0039522A" w:rsidRPr="00CE606B">
        <w:t>of</w:t>
      </w:r>
      <w:r w:rsidR="007F0051">
        <w:t xml:space="preserve"> </w:t>
      </w:r>
      <w:r w:rsidR="00AB35D2">
        <w:t xml:space="preserve">the </w:t>
      </w:r>
      <w:r w:rsidR="00D44515">
        <w:t xml:space="preserve">Existing </w:t>
      </w:r>
      <w:r w:rsidR="007F0051">
        <w:t>LEAPS</w:t>
      </w:r>
      <w:r w:rsidR="0039522A" w:rsidRPr="00CE606B">
        <w:t xml:space="preserve"> </w:t>
      </w:r>
      <w:r w:rsidR="00324AD0">
        <w:t xml:space="preserve">Inertia Relief </w:t>
      </w:r>
      <w:r w:rsidR="0039522A" w:rsidRPr="00CE606B">
        <w:t xml:space="preserve">Method </w:t>
      </w:r>
    </w:p>
    <w:p w14:paraId="7CF77F35" w14:textId="4E307F18" w:rsidR="00324AD0" w:rsidRDefault="00A46EB6" w:rsidP="00324AD0">
      <w:pPr>
        <w:ind w:firstLine="288"/>
      </w:pPr>
      <w:r>
        <w:t>As the proposed method is a</w:t>
      </w:r>
      <w:r w:rsidR="00107A5F">
        <w:t xml:space="preserve">n extension of </w:t>
      </w:r>
      <w:r>
        <w:t>the existing LEAPS method</w:t>
      </w:r>
      <w:r w:rsidR="00DB0DFE">
        <w:t>,</w:t>
      </w:r>
      <w:r>
        <w:t xml:space="preserve"> a key goal was to confirm that the LEAPS method accurately captures the trends in engine inertia relief for aircraft with large numbers of engines. </w:t>
      </w:r>
      <w:r w:rsidR="00324AD0">
        <w:t xml:space="preserve">This analysis was performed on a theoretical aircraft similar in size to the Boeing 737. The analyzed configurations are shown in </w:t>
      </w:r>
      <w:r w:rsidR="00446C4A">
        <w:t>Table 1</w:t>
      </w:r>
      <w:r w:rsidR="00324AD0">
        <w:t>. Total engine weight was held constant while the number of wing mounted engines was varied from two to thirty</w:t>
      </w:r>
      <w:r w:rsidR="00835BA7">
        <w:t>-</w:t>
      </w:r>
      <w:r w:rsidR="00324AD0">
        <w:t xml:space="preserve">two. </w:t>
      </w:r>
      <w:r w:rsidR="003E32EE">
        <w:t>As symmetry is assumed across both semi-spans of the wing</w:t>
      </w:r>
      <w:r w:rsidR="00835BA7">
        <w:t>,</w:t>
      </w:r>
      <w:r w:rsidR="00324AD0">
        <w:t xml:space="preserve"> the</w:t>
      </w:r>
      <w:r w:rsidR="003E32EE">
        <w:t xml:space="preserve"> locations and weights are defined </w:t>
      </w:r>
      <w:r w:rsidR="00324AD0">
        <w:t xml:space="preserve">only </w:t>
      </w:r>
      <w:r w:rsidR="003E32EE">
        <w:t>for</w:t>
      </w:r>
      <w:r w:rsidR="00324AD0">
        <w:t xml:space="preserve"> one</w:t>
      </w:r>
      <w:r w:rsidR="003E32EE">
        <w:t xml:space="preserve"> semi-span. </w:t>
      </w:r>
    </w:p>
    <w:p w14:paraId="3DD80446" w14:textId="36BB2F49" w:rsidR="00C20067" w:rsidRDefault="00324AD0" w:rsidP="00324AD0">
      <w:pPr>
        <w:ind w:firstLine="288"/>
      </w:pPr>
      <w:r>
        <w:t xml:space="preserve">A comparison of the results for both SUITCASE and LEAPS </w:t>
      </w:r>
      <w:r w:rsidR="004716EE">
        <w:t xml:space="preserve">is </w:t>
      </w:r>
      <w:r w:rsidR="00387072">
        <w:t xml:space="preserve">plotted </w:t>
      </w:r>
      <w:r w:rsidR="00755177">
        <w:t xml:space="preserve">in </w:t>
      </w:r>
      <w:r w:rsidR="00DA1BF9">
        <w:t>Figure 1</w:t>
      </w:r>
      <w:r w:rsidR="00755177">
        <w:t xml:space="preserve">. </w:t>
      </w:r>
      <w:r w:rsidR="00F85CD8">
        <w:t>The t</w:t>
      </w:r>
      <w:r w:rsidR="00755177">
        <w:t xml:space="preserve">rends between LEAPS and SUITCASE are </w:t>
      </w:r>
      <w:r w:rsidR="004B5E52">
        <w:t xml:space="preserve">close </w:t>
      </w:r>
      <w:r w:rsidR="00755177">
        <w:t xml:space="preserve">with both </w:t>
      </w:r>
      <w:r w:rsidR="00EC7780">
        <w:t>methods predicting</w:t>
      </w:r>
      <w:r w:rsidR="00755177">
        <w:t xml:space="preserve"> a rapid decrease in wing weight </w:t>
      </w:r>
      <w:r w:rsidR="00EC7780">
        <w:t>between two and sixteen engines</w:t>
      </w:r>
      <w:r w:rsidR="00835BA7">
        <w:t>. This is</w:t>
      </w:r>
      <w:r w:rsidR="00EC7780">
        <w:t xml:space="preserve"> followed by </w:t>
      </w:r>
      <w:r w:rsidR="00755177">
        <w:t>a plateauing of wing weight</w:t>
      </w:r>
      <w:r w:rsidR="00EC7780">
        <w:t xml:space="preserve"> between sixteen and thirty</w:t>
      </w:r>
      <w:r w:rsidR="00835BA7">
        <w:t>-</w:t>
      </w:r>
      <w:r w:rsidR="00EC7780">
        <w:t>two engines</w:t>
      </w:r>
      <w:r w:rsidR="00755177">
        <w:t>.</w:t>
      </w:r>
      <w:r w:rsidR="00F85CD8">
        <w:t xml:space="preserve"> </w:t>
      </w:r>
      <w:r w:rsidR="00657532">
        <w:t>In LEAPS</w:t>
      </w:r>
      <w:r w:rsidR="00835BA7">
        <w:t>,</w:t>
      </w:r>
      <w:r w:rsidR="00657532">
        <w:t xml:space="preserve"> this plateauing represents the minimum EIRF value of 0.84, </w:t>
      </w:r>
      <w:r w:rsidR="00AD11ED">
        <w:t xml:space="preserve">and this </w:t>
      </w:r>
      <w:r w:rsidR="00657532">
        <w:t xml:space="preserve">effectively </w:t>
      </w:r>
      <w:r w:rsidR="00AD11ED">
        <w:t>limits</w:t>
      </w:r>
      <w:r w:rsidR="00657532">
        <w:t xml:space="preserve"> the maximum inertia relief benefit. </w:t>
      </w:r>
      <w:r>
        <w:t>Based on the results of this analysis</w:t>
      </w:r>
      <w:r w:rsidR="00AD11ED">
        <w:t>,</w:t>
      </w:r>
      <w:r>
        <w:t xml:space="preserve"> the current LEAPS method was deemed to be an acceptable base for extension into a method capable of modeling dissimilar engines.</w:t>
      </w:r>
    </w:p>
    <w:p w14:paraId="2328BA30" w14:textId="77777777" w:rsidR="00031F1D" w:rsidRDefault="00031F1D" w:rsidP="002A3AAC">
      <w:pPr>
        <w:ind w:firstLine="288"/>
      </w:pPr>
    </w:p>
    <w:p w14:paraId="6C7B8539" w14:textId="4C9CEC43" w:rsidR="008A3553" w:rsidRDefault="008A3553" w:rsidP="008A3553">
      <w:pPr>
        <w:pStyle w:val="Caption"/>
        <w:keepNext/>
        <w:jc w:val="center"/>
      </w:pPr>
      <w:bookmarkStart w:id="1" w:name="_Ref53581775"/>
      <w:r>
        <w:t xml:space="preserve">Table </w:t>
      </w:r>
      <w:bookmarkEnd w:id="1"/>
      <w:r w:rsidR="00446C4A">
        <w:t>1</w:t>
      </w:r>
      <w:r>
        <w:t xml:space="preserve"> Engine </w:t>
      </w:r>
      <w:r w:rsidR="001923BE">
        <w:t xml:space="preserve">relative weight and </w:t>
      </w:r>
      <w:r w:rsidR="00B371F0">
        <w:t xml:space="preserve">semi-span </w:t>
      </w:r>
      <w:r w:rsidR="001923BE">
        <w:t>location</w:t>
      </w:r>
      <w:r>
        <w:t xml:space="preserve"> for </w:t>
      </w:r>
      <w:r w:rsidR="00E63532">
        <w:t xml:space="preserve">each </w:t>
      </w:r>
      <w:r w:rsidR="00F30FE4">
        <w:t xml:space="preserve">evaluated </w:t>
      </w:r>
      <w:r w:rsidR="00E63532">
        <w:t xml:space="preserve">case in the </w:t>
      </w:r>
      <w:r>
        <w:t xml:space="preserve">number of engines </w:t>
      </w:r>
      <w:r w:rsidR="00E63532">
        <w:t>study</w:t>
      </w:r>
      <w:r>
        <w:t>.</w:t>
      </w:r>
    </w:p>
    <w:tbl>
      <w:tblPr>
        <w:tblStyle w:val="GridTable1Light"/>
        <w:tblW w:w="6376" w:type="dxa"/>
        <w:jc w:val="center"/>
        <w:tblLook w:val="0420" w:firstRow="1" w:lastRow="0" w:firstColumn="0" w:lastColumn="0" w:noHBand="0" w:noVBand="1"/>
      </w:tblPr>
      <w:tblGrid>
        <w:gridCol w:w="1211"/>
        <w:gridCol w:w="1037"/>
        <w:gridCol w:w="1032"/>
        <w:gridCol w:w="1032"/>
        <w:gridCol w:w="1032"/>
        <w:gridCol w:w="1032"/>
      </w:tblGrid>
      <w:tr w:rsidR="00C20067" w:rsidRPr="002C6464" w14:paraId="11DB774A" w14:textId="77777777" w:rsidTr="002C6464">
        <w:trPr>
          <w:cnfStyle w:val="100000000000" w:firstRow="1" w:lastRow="0" w:firstColumn="0" w:lastColumn="0" w:oddVBand="0" w:evenVBand="0" w:oddHBand="0" w:evenHBand="0" w:firstRowFirstColumn="0" w:firstRowLastColumn="0" w:lastRowFirstColumn="0" w:lastRowLastColumn="0"/>
          <w:trHeight w:val="449"/>
          <w:jc w:val="center"/>
        </w:trPr>
        <w:tc>
          <w:tcPr>
            <w:tcW w:w="1211" w:type="dxa"/>
            <w:vAlign w:val="center"/>
            <w:hideMark/>
          </w:tcPr>
          <w:p w14:paraId="59B2C7FA"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Percent Span Location</w:t>
            </w:r>
          </w:p>
        </w:tc>
        <w:tc>
          <w:tcPr>
            <w:tcW w:w="1037" w:type="dxa"/>
            <w:vAlign w:val="center"/>
            <w:hideMark/>
          </w:tcPr>
          <w:p w14:paraId="3AAEADCB"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2 Engine Case</w:t>
            </w:r>
          </w:p>
        </w:tc>
        <w:tc>
          <w:tcPr>
            <w:tcW w:w="1032" w:type="dxa"/>
            <w:vAlign w:val="center"/>
            <w:hideMark/>
          </w:tcPr>
          <w:p w14:paraId="5A4E14C5"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4 Engine Case</w:t>
            </w:r>
          </w:p>
        </w:tc>
        <w:tc>
          <w:tcPr>
            <w:tcW w:w="1032" w:type="dxa"/>
            <w:vAlign w:val="center"/>
            <w:hideMark/>
          </w:tcPr>
          <w:p w14:paraId="007FA31C"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8 Engine Case</w:t>
            </w:r>
          </w:p>
        </w:tc>
        <w:tc>
          <w:tcPr>
            <w:tcW w:w="1032" w:type="dxa"/>
            <w:vAlign w:val="center"/>
            <w:hideMark/>
          </w:tcPr>
          <w:p w14:paraId="3BA11EF9"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16 Engine Case</w:t>
            </w:r>
          </w:p>
        </w:tc>
        <w:tc>
          <w:tcPr>
            <w:tcW w:w="1032" w:type="dxa"/>
            <w:vAlign w:val="center"/>
            <w:hideMark/>
          </w:tcPr>
          <w:p w14:paraId="2F2DF9F8"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32 Engine Case</w:t>
            </w:r>
          </w:p>
        </w:tc>
      </w:tr>
      <w:tr w:rsidR="00C20067" w:rsidRPr="002C6464" w14:paraId="5669FDB4" w14:textId="77777777" w:rsidTr="002C6464">
        <w:trPr>
          <w:trHeight w:val="288"/>
          <w:jc w:val="center"/>
        </w:trPr>
        <w:tc>
          <w:tcPr>
            <w:tcW w:w="1211" w:type="dxa"/>
            <w:noWrap/>
            <w:vAlign w:val="center"/>
            <w:hideMark/>
          </w:tcPr>
          <w:p w14:paraId="2B7BFD58" w14:textId="77777777" w:rsidR="00C20067" w:rsidRPr="002C6464" w:rsidRDefault="00C20067" w:rsidP="00F30FE4">
            <w:pPr>
              <w:keepNext/>
              <w:jc w:val="center"/>
              <w:rPr>
                <w:rFonts w:ascii="Calibri" w:hAnsi="Calibri" w:cs="Calibri"/>
                <w:b/>
                <w:color w:val="000000"/>
                <w:sz w:val="18"/>
                <w:szCs w:val="22"/>
              </w:rPr>
            </w:pPr>
            <w:r w:rsidRPr="002C6464">
              <w:rPr>
                <w:rFonts w:ascii="Calibri" w:hAnsi="Calibri" w:cs="Calibri"/>
                <w:b/>
                <w:color w:val="000000"/>
                <w:sz w:val="18"/>
                <w:szCs w:val="22"/>
              </w:rPr>
              <w:t>25%</w:t>
            </w:r>
          </w:p>
        </w:tc>
        <w:tc>
          <w:tcPr>
            <w:tcW w:w="1037" w:type="dxa"/>
            <w:noWrap/>
            <w:vAlign w:val="center"/>
            <w:hideMark/>
          </w:tcPr>
          <w:p w14:paraId="4EB2D9EE"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100%</w:t>
            </w:r>
          </w:p>
        </w:tc>
        <w:tc>
          <w:tcPr>
            <w:tcW w:w="1032" w:type="dxa"/>
            <w:noWrap/>
            <w:vAlign w:val="center"/>
            <w:hideMark/>
          </w:tcPr>
          <w:p w14:paraId="3E5F6BCF"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50%</w:t>
            </w:r>
          </w:p>
        </w:tc>
        <w:tc>
          <w:tcPr>
            <w:tcW w:w="1032" w:type="dxa"/>
            <w:noWrap/>
            <w:vAlign w:val="center"/>
            <w:hideMark/>
          </w:tcPr>
          <w:p w14:paraId="6DB7B0B3"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25%</w:t>
            </w:r>
          </w:p>
        </w:tc>
        <w:tc>
          <w:tcPr>
            <w:tcW w:w="1032" w:type="dxa"/>
            <w:noWrap/>
            <w:vAlign w:val="center"/>
            <w:hideMark/>
          </w:tcPr>
          <w:p w14:paraId="3B02AE53"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12.5%</w:t>
            </w:r>
          </w:p>
        </w:tc>
        <w:tc>
          <w:tcPr>
            <w:tcW w:w="1032" w:type="dxa"/>
            <w:noWrap/>
            <w:vAlign w:val="center"/>
            <w:hideMark/>
          </w:tcPr>
          <w:p w14:paraId="70E6842F"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6.25%</w:t>
            </w:r>
          </w:p>
        </w:tc>
      </w:tr>
      <w:tr w:rsidR="00C20067" w:rsidRPr="002C6464" w14:paraId="76C96F27" w14:textId="77777777" w:rsidTr="002C6464">
        <w:trPr>
          <w:trHeight w:val="288"/>
          <w:jc w:val="center"/>
        </w:trPr>
        <w:tc>
          <w:tcPr>
            <w:tcW w:w="1211" w:type="dxa"/>
            <w:noWrap/>
            <w:vAlign w:val="center"/>
            <w:hideMark/>
          </w:tcPr>
          <w:p w14:paraId="3B36BB55" w14:textId="77777777" w:rsidR="00C20067" w:rsidRPr="002C6464" w:rsidRDefault="00C20067" w:rsidP="00F30FE4">
            <w:pPr>
              <w:keepNext/>
              <w:jc w:val="center"/>
              <w:rPr>
                <w:rFonts w:ascii="Calibri" w:hAnsi="Calibri" w:cs="Calibri"/>
                <w:b/>
                <w:color w:val="000000"/>
                <w:sz w:val="18"/>
                <w:szCs w:val="22"/>
              </w:rPr>
            </w:pPr>
            <w:r w:rsidRPr="002C6464">
              <w:rPr>
                <w:rFonts w:ascii="Calibri" w:hAnsi="Calibri" w:cs="Calibri"/>
                <w:b/>
                <w:color w:val="000000"/>
                <w:sz w:val="18"/>
                <w:szCs w:val="22"/>
              </w:rPr>
              <w:t>30%</w:t>
            </w:r>
          </w:p>
        </w:tc>
        <w:tc>
          <w:tcPr>
            <w:tcW w:w="1037" w:type="dxa"/>
            <w:noWrap/>
            <w:vAlign w:val="center"/>
            <w:hideMark/>
          </w:tcPr>
          <w:p w14:paraId="3DBD76A8"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287DEF83"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025A3E53"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5B159F70"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679268C0"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6.25%</w:t>
            </w:r>
          </w:p>
        </w:tc>
      </w:tr>
      <w:tr w:rsidR="00C20067" w:rsidRPr="002C6464" w14:paraId="1F82C1EF" w14:textId="77777777" w:rsidTr="002C6464">
        <w:trPr>
          <w:trHeight w:val="288"/>
          <w:jc w:val="center"/>
        </w:trPr>
        <w:tc>
          <w:tcPr>
            <w:tcW w:w="1211" w:type="dxa"/>
            <w:noWrap/>
            <w:vAlign w:val="center"/>
            <w:hideMark/>
          </w:tcPr>
          <w:p w14:paraId="28BA3078" w14:textId="77777777" w:rsidR="00C20067" w:rsidRPr="002C6464" w:rsidRDefault="00C20067" w:rsidP="00F30FE4">
            <w:pPr>
              <w:keepNext/>
              <w:jc w:val="center"/>
              <w:rPr>
                <w:rFonts w:ascii="Calibri" w:hAnsi="Calibri" w:cs="Calibri"/>
                <w:b/>
                <w:color w:val="000000"/>
                <w:sz w:val="18"/>
                <w:szCs w:val="22"/>
              </w:rPr>
            </w:pPr>
            <w:r w:rsidRPr="002C6464">
              <w:rPr>
                <w:rFonts w:ascii="Calibri" w:hAnsi="Calibri" w:cs="Calibri"/>
                <w:b/>
                <w:color w:val="000000"/>
                <w:sz w:val="18"/>
                <w:szCs w:val="22"/>
              </w:rPr>
              <w:t>35%</w:t>
            </w:r>
          </w:p>
        </w:tc>
        <w:tc>
          <w:tcPr>
            <w:tcW w:w="1037" w:type="dxa"/>
            <w:noWrap/>
            <w:vAlign w:val="center"/>
            <w:hideMark/>
          </w:tcPr>
          <w:p w14:paraId="09E22478"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439DBDE6"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50%</w:t>
            </w:r>
          </w:p>
        </w:tc>
        <w:tc>
          <w:tcPr>
            <w:tcW w:w="1032" w:type="dxa"/>
            <w:noWrap/>
            <w:vAlign w:val="center"/>
            <w:hideMark/>
          </w:tcPr>
          <w:p w14:paraId="158B0423"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25%</w:t>
            </w:r>
          </w:p>
        </w:tc>
        <w:tc>
          <w:tcPr>
            <w:tcW w:w="1032" w:type="dxa"/>
            <w:noWrap/>
            <w:vAlign w:val="center"/>
            <w:hideMark/>
          </w:tcPr>
          <w:p w14:paraId="112A758E"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12.5%</w:t>
            </w:r>
          </w:p>
        </w:tc>
        <w:tc>
          <w:tcPr>
            <w:tcW w:w="1032" w:type="dxa"/>
            <w:noWrap/>
            <w:vAlign w:val="center"/>
            <w:hideMark/>
          </w:tcPr>
          <w:p w14:paraId="24EC7CF6"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6.25%</w:t>
            </w:r>
          </w:p>
        </w:tc>
      </w:tr>
      <w:tr w:rsidR="00C20067" w:rsidRPr="002C6464" w14:paraId="68AF2001" w14:textId="77777777" w:rsidTr="002C6464">
        <w:trPr>
          <w:trHeight w:val="288"/>
          <w:jc w:val="center"/>
        </w:trPr>
        <w:tc>
          <w:tcPr>
            <w:tcW w:w="1211" w:type="dxa"/>
            <w:noWrap/>
            <w:vAlign w:val="center"/>
            <w:hideMark/>
          </w:tcPr>
          <w:p w14:paraId="7656BC1F" w14:textId="77777777" w:rsidR="00C20067" w:rsidRPr="002C6464" w:rsidRDefault="00C20067" w:rsidP="00F30FE4">
            <w:pPr>
              <w:keepNext/>
              <w:jc w:val="center"/>
              <w:rPr>
                <w:rFonts w:ascii="Calibri" w:hAnsi="Calibri" w:cs="Calibri"/>
                <w:b/>
                <w:color w:val="000000"/>
                <w:sz w:val="18"/>
                <w:szCs w:val="22"/>
              </w:rPr>
            </w:pPr>
            <w:r w:rsidRPr="002C6464">
              <w:rPr>
                <w:rFonts w:ascii="Calibri" w:hAnsi="Calibri" w:cs="Calibri"/>
                <w:b/>
                <w:color w:val="000000"/>
                <w:sz w:val="18"/>
                <w:szCs w:val="22"/>
              </w:rPr>
              <w:t>40%</w:t>
            </w:r>
          </w:p>
        </w:tc>
        <w:tc>
          <w:tcPr>
            <w:tcW w:w="1037" w:type="dxa"/>
            <w:noWrap/>
            <w:vAlign w:val="center"/>
            <w:hideMark/>
          </w:tcPr>
          <w:p w14:paraId="787BEA58"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44DA2030"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7F11B2C4"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65040788"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66A1CFD6"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6.25%</w:t>
            </w:r>
          </w:p>
        </w:tc>
      </w:tr>
      <w:tr w:rsidR="00C20067" w:rsidRPr="002C6464" w14:paraId="3467802B" w14:textId="77777777" w:rsidTr="002C6464">
        <w:trPr>
          <w:trHeight w:val="288"/>
          <w:jc w:val="center"/>
        </w:trPr>
        <w:tc>
          <w:tcPr>
            <w:tcW w:w="1211" w:type="dxa"/>
            <w:noWrap/>
            <w:vAlign w:val="center"/>
            <w:hideMark/>
          </w:tcPr>
          <w:p w14:paraId="216BA959" w14:textId="77777777" w:rsidR="00C20067" w:rsidRPr="002C6464" w:rsidRDefault="00C20067" w:rsidP="00F30FE4">
            <w:pPr>
              <w:keepNext/>
              <w:jc w:val="center"/>
              <w:rPr>
                <w:rFonts w:ascii="Calibri" w:hAnsi="Calibri" w:cs="Calibri"/>
                <w:b/>
                <w:color w:val="000000"/>
                <w:sz w:val="18"/>
                <w:szCs w:val="22"/>
              </w:rPr>
            </w:pPr>
            <w:r w:rsidRPr="002C6464">
              <w:rPr>
                <w:rFonts w:ascii="Calibri" w:hAnsi="Calibri" w:cs="Calibri"/>
                <w:b/>
                <w:color w:val="000000"/>
                <w:sz w:val="18"/>
                <w:szCs w:val="22"/>
              </w:rPr>
              <w:t>45%</w:t>
            </w:r>
          </w:p>
        </w:tc>
        <w:tc>
          <w:tcPr>
            <w:tcW w:w="1037" w:type="dxa"/>
            <w:noWrap/>
            <w:vAlign w:val="center"/>
            <w:hideMark/>
          </w:tcPr>
          <w:p w14:paraId="3A4C6CC9"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20F6305D"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1FAA355B"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25%</w:t>
            </w:r>
          </w:p>
        </w:tc>
        <w:tc>
          <w:tcPr>
            <w:tcW w:w="1032" w:type="dxa"/>
            <w:noWrap/>
            <w:vAlign w:val="center"/>
            <w:hideMark/>
          </w:tcPr>
          <w:p w14:paraId="5FCDA82B"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12.5%</w:t>
            </w:r>
          </w:p>
        </w:tc>
        <w:tc>
          <w:tcPr>
            <w:tcW w:w="1032" w:type="dxa"/>
            <w:noWrap/>
            <w:vAlign w:val="center"/>
            <w:hideMark/>
          </w:tcPr>
          <w:p w14:paraId="6FB957BA"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6.25%</w:t>
            </w:r>
          </w:p>
        </w:tc>
      </w:tr>
      <w:tr w:rsidR="00C20067" w:rsidRPr="002C6464" w14:paraId="3A51EA97" w14:textId="77777777" w:rsidTr="002C6464">
        <w:trPr>
          <w:trHeight w:val="288"/>
          <w:jc w:val="center"/>
        </w:trPr>
        <w:tc>
          <w:tcPr>
            <w:tcW w:w="1211" w:type="dxa"/>
            <w:noWrap/>
            <w:vAlign w:val="center"/>
            <w:hideMark/>
          </w:tcPr>
          <w:p w14:paraId="01ACC65E" w14:textId="77777777" w:rsidR="00C20067" w:rsidRPr="002C6464" w:rsidRDefault="00C20067" w:rsidP="00F30FE4">
            <w:pPr>
              <w:keepNext/>
              <w:jc w:val="center"/>
              <w:rPr>
                <w:rFonts w:ascii="Calibri" w:hAnsi="Calibri" w:cs="Calibri"/>
                <w:b/>
                <w:color w:val="000000"/>
                <w:sz w:val="18"/>
                <w:szCs w:val="22"/>
              </w:rPr>
            </w:pPr>
            <w:r w:rsidRPr="002C6464">
              <w:rPr>
                <w:rFonts w:ascii="Calibri" w:hAnsi="Calibri" w:cs="Calibri"/>
                <w:b/>
                <w:color w:val="000000"/>
                <w:sz w:val="18"/>
                <w:szCs w:val="22"/>
              </w:rPr>
              <w:t>50%</w:t>
            </w:r>
          </w:p>
        </w:tc>
        <w:tc>
          <w:tcPr>
            <w:tcW w:w="1037" w:type="dxa"/>
            <w:noWrap/>
            <w:vAlign w:val="center"/>
            <w:hideMark/>
          </w:tcPr>
          <w:p w14:paraId="5C42C855"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090C49F7"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377E2E1F"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7EBC273C"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133A300C"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6.25%</w:t>
            </w:r>
          </w:p>
        </w:tc>
      </w:tr>
      <w:tr w:rsidR="00C20067" w:rsidRPr="002C6464" w14:paraId="1D0372B8" w14:textId="77777777" w:rsidTr="002C6464">
        <w:trPr>
          <w:trHeight w:val="288"/>
          <w:jc w:val="center"/>
        </w:trPr>
        <w:tc>
          <w:tcPr>
            <w:tcW w:w="1211" w:type="dxa"/>
            <w:noWrap/>
            <w:vAlign w:val="center"/>
            <w:hideMark/>
          </w:tcPr>
          <w:p w14:paraId="73A17F77" w14:textId="77777777" w:rsidR="00C20067" w:rsidRPr="002C6464" w:rsidRDefault="00C20067" w:rsidP="00F30FE4">
            <w:pPr>
              <w:keepNext/>
              <w:jc w:val="center"/>
              <w:rPr>
                <w:rFonts w:ascii="Calibri" w:hAnsi="Calibri" w:cs="Calibri"/>
                <w:b/>
                <w:color w:val="000000"/>
                <w:sz w:val="18"/>
                <w:szCs w:val="22"/>
              </w:rPr>
            </w:pPr>
            <w:r w:rsidRPr="002C6464">
              <w:rPr>
                <w:rFonts w:ascii="Calibri" w:hAnsi="Calibri" w:cs="Calibri"/>
                <w:b/>
                <w:color w:val="000000"/>
                <w:sz w:val="18"/>
                <w:szCs w:val="22"/>
              </w:rPr>
              <w:t>55%</w:t>
            </w:r>
          </w:p>
        </w:tc>
        <w:tc>
          <w:tcPr>
            <w:tcW w:w="1037" w:type="dxa"/>
            <w:noWrap/>
            <w:vAlign w:val="center"/>
            <w:hideMark/>
          </w:tcPr>
          <w:p w14:paraId="15A3E58E"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4BAA2CA9"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5A803273"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25%</w:t>
            </w:r>
          </w:p>
        </w:tc>
        <w:tc>
          <w:tcPr>
            <w:tcW w:w="1032" w:type="dxa"/>
            <w:noWrap/>
            <w:vAlign w:val="center"/>
            <w:hideMark/>
          </w:tcPr>
          <w:p w14:paraId="031C4491"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12.5%</w:t>
            </w:r>
          </w:p>
        </w:tc>
        <w:tc>
          <w:tcPr>
            <w:tcW w:w="1032" w:type="dxa"/>
            <w:noWrap/>
            <w:vAlign w:val="center"/>
            <w:hideMark/>
          </w:tcPr>
          <w:p w14:paraId="6E7F1988"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6.25%</w:t>
            </w:r>
          </w:p>
        </w:tc>
      </w:tr>
      <w:tr w:rsidR="00C20067" w:rsidRPr="002C6464" w14:paraId="71865B9E" w14:textId="77777777" w:rsidTr="002C6464">
        <w:trPr>
          <w:trHeight w:val="288"/>
          <w:jc w:val="center"/>
        </w:trPr>
        <w:tc>
          <w:tcPr>
            <w:tcW w:w="1211" w:type="dxa"/>
            <w:noWrap/>
            <w:vAlign w:val="center"/>
            <w:hideMark/>
          </w:tcPr>
          <w:p w14:paraId="2854AE13" w14:textId="77777777" w:rsidR="00C20067" w:rsidRPr="002C6464" w:rsidRDefault="00C20067" w:rsidP="00F30FE4">
            <w:pPr>
              <w:keepNext/>
              <w:jc w:val="center"/>
              <w:rPr>
                <w:rFonts w:ascii="Calibri" w:hAnsi="Calibri" w:cs="Calibri"/>
                <w:b/>
                <w:color w:val="000000"/>
                <w:sz w:val="18"/>
                <w:szCs w:val="22"/>
              </w:rPr>
            </w:pPr>
            <w:r w:rsidRPr="002C6464">
              <w:rPr>
                <w:rFonts w:ascii="Calibri" w:hAnsi="Calibri" w:cs="Calibri"/>
                <w:b/>
                <w:color w:val="000000"/>
                <w:sz w:val="18"/>
                <w:szCs w:val="22"/>
              </w:rPr>
              <w:t>60%</w:t>
            </w:r>
          </w:p>
        </w:tc>
        <w:tc>
          <w:tcPr>
            <w:tcW w:w="1037" w:type="dxa"/>
            <w:noWrap/>
            <w:vAlign w:val="center"/>
            <w:hideMark/>
          </w:tcPr>
          <w:p w14:paraId="53A6CF57"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416D1E89"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1239571F"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3CD00293"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12FF91BB"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6.25%</w:t>
            </w:r>
          </w:p>
        </w:tc>
      </w:tr>
      <w:tr w:rsidR="00C20067" w:rsidRPr="002C6464" w14:paraId="010C3BE9" w14:textId="77777777" w:rsidTr="002C6464">
        <w:trPr>
          <w:trHeight w:val="288"/>
          <w:jc w:val="center"/>
        </w:trPr>
        <w:tc>
          <w:tcPr>
            <w:tcW w:w="1211" w:type="dxa"/>
            <w:noWrap/>
            <w:vAlign w:val="center"/>
            <w:hideMark/>
          </w:tcPr>
          <w:p w14:paraId="4A75AE70" w14:textId="77777777" w:rsidR="00C20067" w:rsidRPr="002C6464" w:rsidRDefault="00C20067" w:rsidP="00F30FE4">
            <w:pPr>
              <w:keepNext/>
              <w:jc w:val="center"/>
              <w:rPr>
                <w:rFonts w:ascii="Calibri" w:hAnsi="Calibri" w:cs="Calibri"/>
                <w:b/>
                <w:color w:val="000000"/>
                <w:sz w:val="18"/>
                <w:szCs w:val="22"/>
              </w:rPr>
            </w:pPr>
            <w:r w:rsidRPr="002C6464">
              <w:rPr>
                <w:rFonts w:ascii="Calibri" w:hAnsi="Calibri" w:cs="Calibri"/>
                <w:b/>
                <w:color w:val="000000"/>
                <w:sz w:val="18"/>
                <w:szCs w:val="22"/>
              </w:rPr>
              <w:t>65%</w:t>
            </w:r>
          </w:p>
        </w:tc>
        <w:tc>
          <w:tcPr>
            <w:tcW w:w="1037" w:type="dxa"/>
            <w:noWrap/>
            <w:vAlign w:val="center"/>
            <w:hideMark/>
          </w:tcPr>
          <w:p w14:paraId="1FB1EA36"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0772E633"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5DF5D811"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3B6EDE17"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12.5%</w:t>
            </w:r>
          </w:p>
        </w:tc>
        <w:tc>
          <w:tcPr>
            <w:tcW w:w="1032" w:type="dxa"/>
            <w:noWrap/>
            <w:vAlign w:val="center"/>
            <w:hideMark/>
          </w:tcPr>
          <w:p w14:paraId="274AF0FF"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6.25%</w:t>
            </w:r>
          </w:p>
        </w:tc>
      </w:tr>
      <w:tr w:rsidR="00C20067" w:rsidRPr="002C6464" w14:paraId="13F4DCC0" w14:textId="77777777" w:rsidTr="002C6464">
        <w:trPr>
          <w:trHeight w:val="288"/>
          <w:jc w:val="center"/>
        </w:trPr>
        <w:tc>
          <w:tcPr>
            <w:tcW w:w="1211" w:type="dxa"/>
            <w:noWrap/>
            <w:vAlign w:val="center"/>
            <w:hideMark/>
          </w:tcPr>
          <w:p w14:paraId="4D6301E1" w14:textId="77777777" w:rsidR="00C20067" w:rsidRPr="002C6464" w:rsidRDefault="00C20067" w:rsidP="00F30FE4">
            <w:pPr>
              <w:keepNext/>
              <w:jc w:val="center"/>
              <w:rPr>
                <w:rFonts w:ascii="Calibri" w:hAnsi="Calibri" w:cs="Calibri"/>
                <w:b/>
                <w:color w:val="000000"/>
                <w:sz w:val="18"/>
                <w:szCs w:val="22"/>
              </w:rPr>
            </w:pPr>
            <w:r w:rsidRPr="002C6464">
              <w:rPr>
                <w:rFonts w:ascii="Calibri" w:hAnsi="Calibri" w:cs="Calibri"/>
                <w:b/>
                <w:color w:val="000000"/>
                <w:sz w:val="18"/>
                <w:szCs w:val="22"/>
              </w:rPr>
              <w:t>70%</w:t>
            </w:r>
          </w:p>
        </w:tc>
        <w:tc>
          <w:tcPr>
            <w:tcW w:w="1037" w:type="dxa"/>
            <w:noWrap/>
            <w:vAlign w:val="center"/>
            <w:hideMark/>
          </w:tcPr>
          <w:p w14:paraId="6A4C0355"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0128BD15"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12EA8302"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49B095EE"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1674A544"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6.25%</w:t>
            </w:r>
          </w:p>
        </w:tc>
      </w:tr>
      <w:tr w:rsidR="00C20067" w:rsidRPr="002C6464" w14:paraId="1CFE156A" w14:textId="77777777" w:rsidTr="002C6464">
        <w:trPr>
          <w:trHeight w:val="288"/>
          <w:jc w:val="center"/>
        </w:trPr>
        <w:tc>
          <w:tcPr>
            <w:tcW w:w="1211" w:type="dxa"/>
            <w:noWrap/>
            <w:vAlign w:val="center"/>
            <w:hideMark/>
          </w:tcPr>
          <w:p w14:paraId="33C56A52" w14:textId="77777777" w:rsidR="00C20067" w:rsidRPr="002C6464" w:rsidRDefault="00C20067" w:rsidP="00F30FE4">
            <w:pPr>
              <w:keepNext/>
              <w:jc w:val="center"/>
              <w:rPr>
                <w:rFonts w:ascii="Calibri" w:hAnsi="Calibri" w:cs="Calibri"/>
                <w:b/>
                <w:color w:val="000000"/>
                <w:sz w:val="18"/>
                <w:szCs w:val="22"/>
              </w:rPr>
            </w:pPr>
            <w:r w:rsidRPr="002C6464">
              <w:rPr>
                <w:rFonts w:ascii="Calibri" w:hAnsi="Calibri" w:cs="Calibri"/>
                <w:b/>
                <w:color w:val="000000"/>
                <w:sz w:val="18"/>
                <w:szCs w:val="22"/>
              </w:rPr>
              <w:t>75%</w:t>
            </w:r>
          </w:p>
        </w:tc>
        <w:tc>
          <w:tcPr>
            <w:tcW w:w="1037" w:type="dxa"/>
            <w:noWrap/>
            <w:vAlign w:val="center"/>
            <w:hideMark/>
          </w:tcPr>
          <w:p w14:paraId="378CAAF3"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2A86F9FB"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1730D386"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472F7E24"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12.5%</w:t>
            </w:r>
          </w:p>
        </w:tc>
        <w:tc>
          <w:tcPr>
            <w:tcW w:w="1032" w:type="dxa"/>
            <w:noWrap/>
            <w:vAlign w:val="center"/>
            <w:hideMark/>
          </w:tcPr>
          <w:p w14:paraId="04070958"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6.25%</w:t>
            </w:r>
          </w:p>
        </w:tc>
      </w:tr>
      <w:tr w:rsidR="00C20067" w:rsidRPr="002C6464" w14:paraId="2AB71A5E" w14:textId="77777777" w:rsidTr="002C6464">
        <w:trPr>
          <w:trHeight w:val="288"/>
          <w:jc w:val="center"/>
        </w:trPr>
        <w:tc>
          <w:tcPr>
            <w:tcW w:w="1211" w:type="dxa"/>
            <w:noWrap/>
            <w:vAlign w:val="center"/>
            <w:hideMark/>
          </w:tcPr>
          <w:p w14:paraId="5A884FEF" w14:textId="77777777" w:rsidR="00C20067" w:rsidRPr="002C6464" w:rsidRDefault="00C20067" w:rsidP="00F30FE4">
            <w:pPr>
              <w:keepNext/>
              <w:jc w:val="center"/>
              <w:rPr>
                <w:rFonts w:ascii="Calibri" w:hAnsi="Calibri" w:cs="Calibri"/>
                <w:b/>
                <w:color w:val="000000"/>
                <w:sz w:val="18"/>
                <w:szCs w:val="22"/>
              </w:rPr>
            </w:pPr>
            <w:r w:rsidRPr="002C6464">
              <w:rPr>
                <w:rFonts w:ascii="Calibri" w:hAnsi="Calibri" w:cs="Calibri"/>
                <w:b/>
                <w:color w:val="000000"/>
                <w:sz w:val="18"/>
                <w:szCs w:val="22"/>
              </w:rPr>
              <w:t>80%</w:t>
            </w:r>
          </w:p>
        </w:tc>
        <w:tc>
          <w:tcPr>
            <w:tcW w:w="1037" w:type="dxa"/>
            <w:noWrap/>
            <w:vAlign w:val="center"/>
            <w:hideMark/>
          </w:tcPr>
          <w:p w14:paraId="3A6F6827"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5EFB8253"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71C3820A"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7460BC4E"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3E24F426"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6.25%</w:t>
            </w:r>
          </w:p>
        </w:tc>
      </w:tr>
      <w:tr w:rsidR="00C20067" w:rsidRPr="002C6464" w14:paraId="5CC72AC7" w14:textId="77777777" w:rsidTr="002C6464">
        <w:trPr>
          <w:trHeight w:val="288"/>
          <w:jc w:val="center"/>
        </w:trPr>
        <w:tc>
          <w:tcPr>
            <w:tcW w:w="1211" w:type="dxa"/>
            <w:noWrap/>
            <w:vAlign w:val="center"/>
            <w:hideMark/>
          </w:tcPr>
          <w:p w14:paraId="4D7B4357" w14:textId="77777777" w:rsidR="00C20067" w:rsidRPr="002C6464" w:rsidRDefault="00C20067" w:rsidP="00F30FE4">
            <w:pPr>
              <w:keepNext/>
              <w:jc w:val="center"/>
              <w:rPr>
                <w:rFonts w:ascii="Calibri" w:hAnsi="Calibri" w:cs="Calibri"/>
                <w:b/>
                <w:color w:val="000000"/>
                <w:sz w:val="18"/>
                <w:szCs w:val="22"/>
              </w:rPr>
            </w:pPr>
            <w:r w:rsidRPr="002C6464">
              <w:rPr>
                <w:rFonts w:ascii="Calibri" w:hAnsi="Calibri" w:cs="Calibri"/>
                <w:b/>
                <w:color w:val="000000"/>
                <w:sz w:val="18"/>
                <w:szCs w:val="22"/>
              </w:rPr>
              <w:t>85%</w:t>
            </w:r>
          </w:p>
        </w:tc>
        <w:tc>
          <w:tcPr>
            <w:tcW w:w="1037" w:type="dxa"/>
            <w:noWrap/>
            <w:vAlign w:val="center"/>
            <w:hideMark/>
          </w:tcPr>
          <w:p w14:paraId="0CD34D7B"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2150183D"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18BEAA9D"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65A40354"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12.5%</w:t>
            </w:r>
          </w:p>
        </w:tc>
        <w:tc>
          <w:tcPr>
            <w:tcW w:w="1032" w:type="dxa"/>
            <w:noWrap/>
            <w:vAlign w:val="center"/>
            <w:hideMark/>
          </w:tcPr>
          <w:p w14:paraId="6020937E"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6.25%</w:t>
            </w:r>
          </w:p>
        </w:tc>
      </w:tr>
      <w:tr w:rsidR="00C20067" w:rsidRPr="002C6464" w14:paraId="532117E7" w14:textId="77777777" w:rsidTr="002C6464">
        <w:trPr>
          <w:trHeight w:val="288"/>
          <w:jc w:val="center"/>
        </w:trPr>
        <w:tc>
          <w:tcPr>
            <w:tcW w:w="1211" w:type="dxa"/>
            <w:noWrap/>
            <w:vAlign w:val="center"/>
            <w:hideMark/>
          </w:tcPr>
          <w:p w14:paraId="5FC1049C" w14:textId="77777777" w:rsidR="00C20067" w:rsidRPr="002C6464" w:rsidRDefault="00C20067" w:rsidP="00F30FE4">
            <w:pPr>
              <w:keepNext/>
              <w:jc w:val="center"/>
              <w:rPr>
                <w:rFonts w:ascii="Calibri" w:hAnsi="Calibri" w:cs="Calibri"/>
                <w:b/>
                <w:color w:val="000000"/>
                <w:sz w:val="18"/>
                <w:szCs w:val="22"/>
              </w:rPr>
            </w:pPr>
            <w:r w:rsidRPr="002C6464">
              <w:rPr>
                <w:rFonts w:ascii="Calibri" w:hAnsi="Calibri" w:cs="Calibri"/>
                <w:b/>
                <w:color w:val="000000"/>
                <w:sz w:val="18"/>
                <w:szCs w:val="22"/>
              </w:rPr>
              <w:t>90%</w:t>
            </w:r>
          </w:p>
        </w:tc>
        <w:tc>
          <w:tcPr>
            <w:tcW w:w="1037" w:type="dxa"/>
            <w:noWrap/>
            <w:vAlign w:val="center"/>
            <w:hideMark/>
          </w:tcPr>
          <w:p w14:paraId="0ADAB93B"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0400B6C6"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2A706F19"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3662C928"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06CBCA6B"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6.25%</w:t>
            </w:r>
          </w:p>
        </w:tc>
      </w:tr>
      <w:tr w:rsidR="00C20067" w:rsidRPr="002C6464" w14:paraId="1A410A53" w14:textId="77777777" w:rsidTr="002C6464">
        <w:trPr>
          <w:trHeight w:val="288"/>
          <w:jc w:val="center"/>
        </w:trPr>
        <w:tc>
          <w:tcPr>
            <w:tcW w:w="1211" w:type="dxa"/>
            <w:noWrap/>
            <w:vAlign w:val="center"/>
            <w:hideMark/>
          </w:tcPr>
          <w:p w14:paraId="379ED920" w14:textId="77777777" w:rsidR="00C20067" w:rsidRPr="002C6464" w:rsidRDefault="00C20067" w:rsidP="00F30FE4">
            <w:pPr>
              <w:keepNext/>
              <w:jc w:val="center"/>
              <w:rPr>
                <w:rFonts w:ascii="Calibri" w:hAnsi="Calibri" w:cs="Calibri"/>
                <w:b/>
                <w:color w:val="000000"/>
                <w:sz w:val="18"/>
                <w:szCs w:val="22"/>
              </w:rPr>
            </w:pPr>
            <w:r w:rsidRPr="002C6464">
              <w:rPr>
                <w:rFonts w:ascii="Calibri" w:hAnsi="Calibri" w:cs="Calibri"/>
                <w:b/>
                <w:color w:val="000000"/>
                <w:sz w:val="18"/>
                <w:szCs w:val="22"/>
              </w:rPr>
              <w:t>95%</w:t>
            </w:r>
          </w:p>
        </w:tc>
        <w:tc>
          <w:tcPr>
            <w:tcW w:w="1037" w:type="dxa"/>
            <w:noWrap/>
            <w:vAlign w:val="center"/>
            <w:hideMark/>
          </w:tcPr>
          <w:p w14:paraId="63FC8327"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694069E6"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672B8A9F" w14:textId="77777777" w:rsidR="00C20067" w:rsidRPr="002C6464" w:rsidRDefault="00C20067" w:rsidP="00F30FE4">
            <w:pPr>
              <w:keepNext/>
              <w:jc w:val="center"/>
              <w:rPr>
                <w:rFonts w:ascii="Calibri" w:hAnsi="Calibri" w:cs="Calibri"/>
                <w:color w:val="000000"/>
                <w:sz w:val="18"/>
                <w:szCs w:val="22"/>
              </w:rPr>
            </w:pPr>
          </w:p>
        </w:tc>
        <w:tc>
          <w:tcPr>
            <w:tcW w:w="1032" w:type="dxa"/>
            <w:noWrap/>
            <w:vAlign w:val="center"/>
            <w:hideMark/>
          </w:tcPr>
          <w:p w14:paraId="0C71EF73"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12.5%</w:t>
            </w:r>
          </w:p>
        </w:tc>
        <w:tc>
          <w:tcPr>
            <w:tcW w:w="1032" w:type="dxa"/>
            <w:noWrap/>
            <w:vAlign w:val="center"/>
            <w:hideMark/>
          </w:tcPr>
          <w:p w14:paraId="09FBC1A8" w14:textId="77777777" w:rsidR="00C20067" w:rsidRPr="002C6464" w:rsidRDefault="00C20067" w:rsidP="00F30FE4">
            <w:pPr>
              <w:keepNext/>
              <w:jc w:val="center"/>
              <w:rPr>
                <w:rFonts w:ascii="Calibri" w:hAnsi="Calibri" w:cs="Calibri"/>
                <w:color w:val="000000"/>
                <w:sz w:val="18"/>
                <w:szCs w:val="22"/>
              </w:rPr>
            </w:pPr>
            <w:r w:rsidRPr="002C6464">
              <w:rPr>
                <w:rFonts w:ascii="Calibri" w:hAnsi="Calibri" w:cs="Calibri"/>
                <w:color w:val="000000"/>
                <w:sz w:val="18"/>
                <w:szCs w:val="22"/>
              </w:rPr>
              <w:t>6.25%</w:t>
            </w:r>
          </w:p>
        </w:tc>
      </w:tr>
      <w:tr w:rsidR="00C20067" w:rsidRPr="002C6464" w14:paraId="45F898EC" w14:textId="77777777" w:rsidTr="002C6464">
        <w:trPr>
          <w:trHeight w:val="288"/>
          <w:jc w:val="center"/>
        </w:trPr>
        <w:tc>
          <w:tcPr>
            <w:tcW w:w="1211" w:type="dxa"/>
            <w:noWrap/>
            <w:vAlign w:val="center"/>
            <w:hideMark/>
          </w:tcPr>
          <w:p w14:paraId="4C35BFC9" w14:textId="77777777" w:rsidR="00C20067" w:rsidRPr="002C6464" w:rsidRDefault="00C20067" w:rsidP="00F30FE4">
            <w:pPr>
              <w:jc w:val="center"/>
              <w:rPr>
                <w:rFonts w:ascii="Calibri" w:hAnsi="Calibri" w:cs="Calibri"/>
                <w:b/>
                <w:color w:val="000000"/>
                <w:sz w:val="18"/>
                <w:szCs w:val="22"/>
              </w:rPr>
            </w:pPr>
            <w:r w:rsidRPr="002C6464">
              <w:rPr>
                <w:rFonts w:ascii="Calibri" w:hAnsi="Calibri" w:cs="Calibri"/>
                <w:b/>
                <w:color w:val="000000"/>
                <w:sz w:val="18"/>
                <w:szCs w:val="22"/>
              </w:rPr>
              <w:t>100%</w:t>
            </w:r>
          </w:p>
        </w:tc>
        <w:tc>
          <w:tcPr>
            <w:tcW w:w="1037" w:type="dxa"/>
            <w:noWrap/>
            <w:vAlign w:val="center"/>
            <w:hideMark/>
          </w:tcPr>
          <w:p w14:paraId="450B4D3F" w14:textId="77777777" w:rsidR="00C20067" w:rsidRPr="002C6464" w:rsidRDefault="00C20067" w:rsidP="00F30FE4">
            <w:pPr>
              <w:jc w:val="center"/>
              <w:rPr>
                <w:rFonts w:ascii="Calibri" w:hAnsi="Calibri" w:cs="Calibri"/>
                <w:color w:val="000000"/>
                <w:sz w:val="18"/>
                <w:szCs w:val="22"/>
              </w:rPr>
            </w:pPr>
          </w:p>
        </w:tc>
        <w:tc>
          <w:tcPr>
            <w:tcW w:w="1032" w:type="dxa"/>
            <w:noWrap/>
            <w:vAlign w:val="center"/>
            <w:hideMark/>
          </w:tcPr>
          <w:p w14:paraId="5D9F51D0" w14:textId="77777777" w:rsidR="00C20067" w:rsidRPr="002C6464" w:rsidRDefault="00C20067" w:rsidP="00F30FE4">
            <w:pPr>
              <w:jc w:val="center"/>
              <w:rPr>
                <w:rFonts w:ascii="Calibri" w:hAnsi="Calibri" w:cs="Calibri"/>
                <w:color w:val="000000"/>
                <w:sz w:val="18"/>
                <w:szCs w:val="22"/>
              </w:rPr>
            </w:pPr>
          </w:p>
        </w:tc>
        <w:tc>
          <w:tcPr>
            <w:tcW w:w="1032" w:type="dxa"/>
            <w:noWrap/>
            <w:vAlign w:val="center"/>
            <w:hideMark/>
          </w:tcPr>
          <w:p w14:paraId="44126FEE" w14:textId="77777777" w:rsidR="00C20067" w:rsidRPr="002C6464" w:rsidRDefault="00C20067" w:rsidP="00F30FE4">
            <w:pPr>
              <w:jc w:val="center"/>
              <w:rPr>
                <w:rFonts w:ascii="Calibri" w:hAnsi="Calibri" w:cs="Calibri"/>
                <w:color w:val="000000"/>
                <w:sz w:val="18"/>
                <w:szCs w:val="22"/>
              </w:rPr>
            </w:pPr>
          </w:p>
        </w:tc>
        <w:tc>
          <w:tcPr>
            <w:tcW w:w="1032" w:type="dxa"/>
            <w:noWrap/>
            <w:vAlign w:val="center"/>
            <w:hideMark/>
          </w:tcPr>
          <w:p w14:paraId="125CCF5C" w14:textId="77777777" w:rsidR="00C20067" w:rsidRPr="002C6464" w:rsidRDefault="00C20067" w:rsidP="00F30FE4">
            <w:pPr>
              <w:jc w:val="center"/>
              <w:rPr>
                <w:rFonts w:ascii="Calibri" w:hAnsi="Calibri" w:cs="Calibri"/>
                <w:color w:val="000000"/>
                <w:sz w:val="18"/>
                <w:szCs w:val="22"/>
              </w:rPr>
            </w:pPr>
          </w:p>
        </w:tc>
        <w:tc>
          <w:tcPr>
            <w:tcW w:w="1032" w:type="dxa"/>
            <w:noWrap/>
            <w:vAlign w:val="center"/>
            <w:hideMark/>
          </w:tcPr>
          <w:p w14:paraId="0D8BC45B" w14:textId="77777777" w:rsidR="00C20067" w:rsidRPr="002C6464" w:rsidRDefault="00C20067" w:rsidP="00F30FE4">
            <w:pPr>
              <w:jc w:val="center"/>
              <w:rPr>
                <w:rFonts w:ascii="Calibri" w:hAnsi="Calibri" w:cs="Calibri"/>
                <w:color w:val="000000"/>
                <w:sz w:val="18"/>
                <w:szCs w:val="22"/>
              </w:rPr>
            </w:pPr>
            <w:r w:rsidRPr="002C6464">
              <w:rPr>
                <w:rFonts w:ascii="Calibri" w:hAnsi="Calibri" w:cs="Calibri"/>
                <w:color w:val="000000"/>
                <w:sz w:val="18"/>
                <w:szCs w:val="22"/>
              </w:rPr>
              <w:t>6.25%</w:t>
            </w:r>
          </w:p>
        </w:tc>
      </w:tr>
    </w:tbl>
    <w:p w14:paraId="6D0F629C" w14:textId="77777777" w:rsidR="00C20067" w:rsidRDefault="00C20067" w:rsidP="00A46EB6"/>
    <w:p w14:paraId="0246E274" w14:textId="688A6687" w:rsidR="00755177" w:rsidRDefault="00393402" w:rsidP="00755177">
      <w:pPr>
        <w:keepNext/>
        <w:tabs>
          <w:tab w:val="left" w:pos="288"/>
        </w:tabs>
        <w:spacing w:line="480" w:lineRule="auto"/>
        <w:jc w:val="center"/>
      </w:pPr>
      <w:r>
        <w:rPr>
          <w:noProof/>
        </w:rPr>
        <w:drawing>
          <wp:inline distT="0" distB="0" distL="0" distR="0" wp14:anchorId="208C2B0D" wp14:editId="2EEAC660">
            <wp:extent cx="5756275" cy="2667000"/>
            <wp:effectExtent l="0" t="0" r="15875" b="0"/>
            <wp:docPr id="1" name="Chart 1">
              <a:extLst xmlns:a="http://schemas.openxmlformats.org/drawingml/2006/main">
                <a:ext uri="{FF2B5EF4-FFF2-40B4-BE49-F238E27FC236}">
                  <a16:creationId xmlns:a16="http://schemas.microsoft.com/office/drawing/2014/main" id="{00000000-0008-0000-08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6A1F47" w14:textId="38915881" w:rsidR="00A46EB6" w:rsidRDefault="00755177" w:rsidP="00755177">
      <w:pPr>
        <w:pStyle w:val="Caption"/>
        <w:jc w:val="center"/>
      </w:pPr>
      <w:bookmarkStart w:id="2" w:name="_Ref53581890"/>
      <w:r>
        <w:t xml:space="preserve">Figure </w:t>
      </w:r>
      <w:bookmarkEnd w:id="2"/>
      <w:r w:rsidR="00FC6950">
        <w:t>1</w:t>
      </w:r>
      <w:r>
        <w:t xml:space="preserve"> Comparison of wing weight predicted by LEAPS and SUITCASE for</w:t>
      </w:r>
      <w:r w:rsidR="00616815">
        <w:t xml:space="preserve"> increasing numbers of engines.</w:t>
      </w:r>
    </w:p>
    <w:p w14:paraId="263EEE44" w14:textId="4D3DFEDB" w:rsidR="0039522A" w:rsidRPr="00F565BA" w:rsidRDefault="00A357FD" w:rsidP="00347400">
      <w:pPr>
        <w:keepNext/>
        <w:numPr>
          <w:ilvl w:val="0"/>
          <w:numId w:val="4"/>
        </w:numPr>
        <w:tabs>
          <w:tab w:val="left" w:pos="288"/>
        </w:tabs>
        <w:spacing w:before="240"/>
        <w:outlineLvl w:val="1"/>
        <w:rPr>
          <w:b/>
        </w:rPr>
      </w:pPr>
      <w:r>
        <w:rPr>
          <w:b/>
        </w:rPr>
        <w:t xml:space="preserve">Evaluation </w:t>
      </w:r>
      <w:r w:rsidR="0039522A">
        <w:rPr>
          <w:b/>
        </w:rPr>
        <w:t xml:space="preserve">of </w:t>
      </w:r>
      <w:r w:rsidR="007C1703">
        <w:rPr>
          <w:b/>
        </w:rPr>
        <w:t xml:space="preserve">Updated </w:t>
      </w:r>
      <w:r w:rsidR="007F0051">
        <w:rPr>
          <w:b/>
        </w:rPr>
        <w:t xml:space="preserve">LEAPS Inertia Relief </w:t>
      </w:r>
      <w:r w:rsidR="00F767AB">
        <w:rPr>
          <w:b/>
        </w:rPr>
        <w:t>Method</w:t>
      </w:r>
      <w:r w:rsidR="0039522A">
        <w:rPr>
          <w:b/>
        </w:rPr>
        <w:t xml:space="preserve"> </w:t>
      </w:r>
    </w:p>
    <w:p w14:paraId="574780D7" w14:textId="1E550E87" w:rsidR="0019640A" w:rsidRDefault="003431AE" w:rsidP="00947F1C">
      <w:pPr>
        <w:tabs>
          <w:tab w:val="left" w:pos="288"/>
        </w:tabs>
        <w:ind w:firstLine="288"/>
      </w:pPr>
      <w:r>
        <w:t xml:space="preserve">The results for the validation effort for the proposed method are presented in this section. </w:t>
      </w:r>
      <w:r w:rsidR="00637E01">
        <w:t>For the simple wing method</w:t>
      </w:r>
      <w:r w:rsidR="00262145">
        <w:t>,</w:t>
      </w:r>
      <w:r w:rsidR="00637E01">
        <w:t xml:space="preserve"> this </w:t>
      </w:r>
      <w:r>
        <w:t xml:space="preserve">includes a comparison between the </w:t>
      </w:r>
      <w:r w:rsidR="00637E01">
        <w:t xml:space="preserve">current and proposed methods. For the detailed </w:t>
      </w:r>
      <w:r w:rsidR="00347400">
        <w:t xml:space="preserve">wing weight </w:t>
      </w:r>
      <w:r w:rsidR="00637E01">
        <w:t>method</w:t>
      </w:r>
      <w:r w:rsidR="00701A5F">
        <w:t>,</w:t>
      </w:r>
      <w:r w:rsidR="00637E01">
        <w:t xml:space="preserve"> this </w:t>
      </w:r>
      <w:r w:rsidR="00347400">
        <w:t>begins with</w:t>
      </w:r>
      <w:r w:rsidR="00637E01">
        <w:t xml:space="preserve"> a comparison between </w:t>
      </w:r>
      <w:r w:rsidR="00600E63">
        <w:t>the current and proposed</w:t>
      </w:r>
      <w:r w:rsidR="00347400">
        <w:t xml:space="preserve"> engine inertia relief method</w:t>
      </w:r>
      <w:r w:rsidR="00141CD4">
        <w:t>. This is</w:t>
      </w:r>
      <w:r w:rsidR="00347400">
        <w:t xml:space="preserve"> followed by </w:t>
      </w:r>
      <w:r w:rsidR="000B66D5">
        <w:t>comparisons between results from SUITCASE, AMMIT, and the proposed method.</w:t>
      </w:r>
    </w:p>
    <w:p w14:paraId="6D26A5A6" w14:textId="77777777" w:rsidR="00947F1C" w:rsidRDefault="00947F1C" w:rsidP="00947F1C">
      <w:pPr>
        <w:tabs>
          <w:tab w:val="left" w:pos="288"/>
        </w:tabs>
        <w:ind w:firstLine="288"/>
      </w:pPr>
    </w:p>
    <w:p w14:paraId="7EADC092" w14:textId="77777777" w:rsidR="00B831D5" w:rsidRPr="00947F1C" w:rsidRDefault="00B831D5" w:rsidP="006F1A6D">
      <w:pPr>
        <w:keepNext/>
        <w:rPr>
          <w:i/>
        </w:rPr>
      </w:pPr>
      <w:r w:rsidRPr="00947F1C">
        <w:rPr>
          <w:i/>
        </w:rPr>
        <w:lastRenderedPageBreak/>
        <w:t xml:space="preserve">Simple </w:t>
      </w:r>
      <w:r w:rsidR="0019640A" w:rsidRPr="00947F1C">
        <w:rPr>
          <w:i/>
        </w:rPr>
        <w:t xml:space="preserve">Wing </w:t>
      </w:r>
      <w:r w:rsidRPr="00947F1C">
        <w:rPr>
          <w:i/>
        </w:rPr>
        <w:t>Method</w:t>
      </w:r>
    </w:p>
    <w:p w14:paraId="6AC19733" w14:textId="680BD06C" w:rsidR="00987E81" w:rsidRDefault="00987E81" w:rsidP="00987E81">
      <w:pPr>
        <w:ind w:firstLine="288"/>
      </w:pPr>
      <w:r>
        <w:t xml:space="preserve">As the method for calculating engine inertia relief for the simple wing definition is relatively </w:t>
      </w:r>
      <w:r w:rsidR="00D82672">
        <w:t>straightforward</w:t>
      </w:r>
      <w:r>
        <w:t xml:space="preserve">, it is useful for illustrating the proposed method. </w:t>
      </w:r>
      <w:r w:rsidR="000F0960">
        <w:t>The base value for EIRF is calculat</w:t>
      </w:r>
      <w:r w:rsidR="00963172">
        <w:t>ed using the following equation:</w:t>
      </w:r>
    </w:p>
    <w:p w14:paraId="1FD26A9A" w14:textId="77777777" w:rsidR="000F0960" w:rsidRDefault="000F0960" w:rsidP="00987E81">
      <w:pPr>
        <w:ind w:firstLine="288"/>
      </w:pPr>
    </w:p>
    <w:p w14:paraId="66505F13" w14:textId="0EE4F543" w:rsidR="00987E81" w:rsidRPr="00141CD4" w:rsidRDefault="00141CD4" w:rsidP="00155D3E">
      <w:pPr>
        <w:pStyle w:val="Caption"/>
        <w:jc w:val="right"/>
        <w:rPr>
          <w:b w:val="0"/>
        </w:rPr>
      </w:pPr>
      <w:bookmarkStart w:id="3" w:name="_Ref53736641"/>
      <m:oMath>
        <m:r>
          <m:rPr>
            <m:sty m:val="bi"/>
          </m:rPr>
          <w:rPr>
            <w:rFonts w:ascii="Cambria Math" w:hAnsi="Cambria Math"/>
          </w:rPr>
          <m:t>EIRF=1-0.03*NEW</m:t>
        </m:r>
      </m:oMath>
      <w:r w:rsidR="00155D3E" w:rsidRPr="00141CD4">
        <w:rPr>
          <w:b w:val="0"/>
        </w:rPr>
        <w:t xml:space="preserve"> </w:t>
      </w:r>
      <w:r w:rsidR="00155D3E" w:rsidRPr="00141CD4">
        <w:rPr>
          <w:b w:val="0"/>
        </w:rPr>
        <w:tab/>
      </w:r>
      <w:r w:rsidR="00155D3E" w:rsidRPr="00141CD4">
        <w:rPr>
          <w:b w:val="0"/>
        </w:rPr>
        <w:tab/>
      </w:r>
      <w:r w:rsidR="00155D3E" w:rsidRPr="00141CD4">
        <w:rPr>
          <w:b w:val="0"/>
        </w:rPr>
        <w:tab/>
      </w:r>
      <w:r w:rsidR="00155D3E" w:rsidRPr="00141CD4">
        <w:rPr>
          <w:b w:val="0"/>
        </w:rPr>
        <w:tab/>
      </w:r>
      <w:r w:rsidR="00155D3E" w:rsidRPr="00141CD4">
        <w:rPr>
          <w:b w:val="0"/>
        </w:rPr>
        <w:tab/>
      </w:r>
      <w:r w:rsidR="00155D3E" w:rsidRPr="00141CD4">
        <w:rPr>
          <w:b w:val="0"/>
        </w:rPr>
        <w:tab/>
      </w:r>
      <w:r w:rsidR="00155D3E" w:rsidRPr="00141CD4">
        <w:rPr>
          <w:b w:val="0"/>
        </w:rPr>
        <w:tab/>
      </w:r>
      <w:r w:rsidR="00155D3E" w:rsidRPr="00141CD4">
        <w:rPr>
          <w:b w:val="0"/>
        </w:rPr>
        <w:tab/>
      </w:r>
      <w:r w:rsidR="00155D3E" w:rsidRPr="00141CD4">
        <w:rPr>
          <w:b w:val="0"/>
        </w:rPr>
        <w:tab/>
      </w:r>
      <w:r w:rsidR="00155D3E" w:rsidRPr="00141CD4">
        <w:rPr>
          <w:b w:val="0"/>
        </w:rPr>
        <w:tab/>
      </w:r>
      <w:r w:rsidR="00155D3E" w:rsidRPr="00141CD4">
        <w:rPr>
          <w:b w:val="0"/>
        </w:rPr>
        <w:tab/>
      </w:r>
      <w:r w:rsidR="00155D3E" w:rsidRPr="00141CD4">
        <w:rPr>
          <w:b w:val="0"/>
        </w:rPr>
        <w:tab/>
      </w:r>
      <w:r w:rsidR="00155D3E" w:rsidRPr="00141CD4">
        <w:rPr>
          <w:b w:val="0"/>
        </w:rPr>
        <w:tab/>
        <w:t>(</w:t>
      </w:r>
      <w:bookmarkEnd w:id="3"/>
      <w:r w:rsidR="00DD61E2" w:rsidRPr="00141CD4">
        <w:rPr>
          <w:b w:val="0"/>
        </w:rPr>
        <w:t>3</w:t>
      </w:r>
      <w:r w:rsidR="00155D3E" w:rsidRPr="00141CD4">
        <w:rPr>
          <w:b w:val="0"/>
        </w:rPr>
        <w:t>)</w:t>
      </w:r>
    </w:p>
    <w:p w14:paraId="345C4088" w14:textId="77777777" w:rsidR="000F0960" w:rsidRDefault="000F0960" w:rsidP="00987E81">
      <w:pPr>
        <w:ind w:firstLine="288"/>
      </w:pPr>
    </w:p>
    <w:p w14:paraId="52247912" w14:textId="4CE7FABC" w:rsidR="00987E81" w:rsidRDefault="00963172" w:rsidP="000F0960">
      <w:r>
        <w:t>w</w:t>
      </w:r>
      <w:r w:rsidR="000F0960">
        <w:t xml:space="preserve">here </w:t>
      </w:r>
      <m:oMath>
        <m:r>
          <w:rPr>
            <w:rFonts w:ascii="Cambria Math" w:hAnsi="Cambria Math"/>
          </w:rPr>
          <m:t>NEW</m:t>
        </m:r>
      </m:oMath>
      <w:r w:rsidR="000F0960">
        <w:t xml:space="preserve"> is the number of wing mounted engines. It is important to note that EIRF has a minimum value of 0.84</w:t>
      </w:r>
      <w:r w:rsidR="00B63E94">
        <w:t xml:space="preserve">, which represents the maximum weight reduction provided by </w:t>
      </w:r>
      <w:r w:rsidR="00701B1C">
        <w:t>inertia relief</w:t>
      </w:r>
      <w:r w:rsidR="000F0960">
        <w:t xml:space="preserve">. </w:t>
      </w:r>
    </w:p>
    <w:p w14:paraId="747DD582" w14:textId="20B6E5B9" w:rsidR="00155D3E" w:rsidRDefault="000F0960" w:rsidP="00987E81">
      <w:pPr>
        <w:ind w:firstLine="288"/>
      </w:pPr>
      <w:r w:rsidRPr="00452F0F">
        <w:t>As this method is a function of only the</w:t>
      </w:r>
      <w:r w:rsidR="0008757C">
        <w:t xml:space="preserve"> number of wing mounted engines and</w:t>
      </w:r>
      <w:r w:rsidR="00375001" w:rsidRPr="00452F0F">
        <w:t xml:space="preserve"> due to the assumed symmetry</w:t>
      </w:r>
      <w:r w:rsidR="0008757C">
        <w:t>,</w:t>
      </w:r>
      <w:r w:rsidRPr="00452F0F">
        <w:t xml:space="preserve"> there are a limited number of possible configurations that can be</w:t>
      </w:r>
      <w:r w:rsidR="00155D3E" w:rsidRPr="00452F0F">
        <w:t xml:space="preserve"> split. </w:t>
      </w:r>
      <w:r w:rsidR="00446C4A">
        <w:t>Table 2</w:t>
      </w:r>
      <w:r w:rsidR="00A1177C">
        <w:t xml:space="preserve"> describes the selected cases for comparison between the proposed and current methods. The left side of the table details the EIRF calculated using </w:t>
      </w:r>
      <w:r w:rsidR="004706FB">
        <w:t>Equation 3</w:t>
      </w:r>
      <w:r w:rsidR="00A1177C" w:rsidRPr="00452F0F">
        <w:t xml:space="preserve"> with the minimum value restricted to 0.84. The center of the table includes the calculation of the EIRF for the same number of engines divided into multiple engine sets. The minimum value of 0.84 is applied after the values are combined using Equation 1. </w:t>
      </w:r>
      <w:r w:rsidR="00155D3E" w:rsidRPr="00452F0F">
        <w:t xml:space="preserve">As is shown in </w:t>
      </w:r>
      <w:r w:rsidR="00446C4A">
        <w:t>Table 2</w:t>
      </w:r>
      <w:r w:rsidR="00155D3E" w:rsidRPr="00452F0F">
        <w:t xml:space="preserve">, any aircraft with six or more engines saturates the maximum inertia relief benefit of 0.84. Furthermore, any aircraft with less than four wing mounted engines cannot be divided into </w:t>
      </w:r>
      <w:r w:rsidR="00375001" w:rsidRPr="00452F0F">
        <w:t xml:space="preserve">two or more </w:t>
      </w:r>
      <w:r w:rsidR="00155D3E" w:rsidRPr="00452F0F">
        <w:t>even engine sets. Therefore, the comparison</w:t>
      </w:r>
      <w:r w:rsidR="00155D3E">
        <w:t xml:space="preserve"> shows only one possible case with a difference in EIRF due to the proposed method. The results show that in the case where four engines are split into two sets the differences between the EIRF calculated with the two methods is only 0.41%. </w:t>
      </w:r>
    </w:p>
    <w:p w14:paraId="1A74C5F4" w14:textId="77777777" w:rsidR="00B831D5" w:rsidRDefault="00B831D5" w:rsidP="00B831D5"/>
    <w:p w14:paraId="0CDAE082" w14:textId="21E8CA61" w:rsidR="0054755C" w:rsidRDefault="0054755C" w:rsidP="0054755C">
      <w:pPr>
        <w:pStyle w:val="Caption"/>
        <w:keepNext/>
        <w:jc w:val="center"/>
      </w:pPr>
      <w:bookmarkStart w:id="4" w:name="_Ref53582636"/>
      <w:r>
        <w:t xml:space="preserve">Table </w:t>
      </w:r>
      <w:bookmarkEnd w:id="4"/>
      <w:r w:rsidR="00446C4A">
        <w:t>2</w:t>
      </w:r>
      <w:r>
        <w:t xml:space="preserve"> Percent difference in EIRF calculated with </w:t>
      </w:r>
      <w:r w:rsidR="00D23D7E">
        <w:t>the current LEAPS method</w:t>
      </w:r>
      <w:r>
        <w:t xml:space="preserve"> and EIRF calculated with </w:t>
      </w:r>
      <w:r w:rsidR="00D23D7E">
        <w:t xml:space="preserve">the proposed method utilizing </w:t>
      </w:r>
      <w:r>
        <w:t>multiple engine sets</w:t>
      </w:r>
      <w:r w:rsidR="005E1FD9">
        <w:t>.</w:t>
      </w:r>
    </w:p>
    <w:tbl>
      <w:tblPr>
        <w:tblW w:w="9452" w:type="dxa"/>
        <w:jc w:val="center"/>
        <w:tblLook w:val="04A0" w:firstRow="1" w:lastRow="0" w:firstColumn="1" w:lastColumn="0" w:noHBand="0" w:noVBand="1"/>
      </w:tblPr>
      <w:tblGrid>
        <w:gridCol w:w="856"/>
        <w:gridCol w:w="629"/>
        <w:gridCol w:w="857"/>
        <w:gridCol w:w="618"/>
        <w:gridCol w:w="857"/>
        <w:gridCol w:w="618"/>
        <w:gridCol w:w="857"/>
        <w:gridCol w:w="618"/>
        <w:gridCol w:w="857"/>
        <w:gridCol w:w="618"/>
        <w:gridCol w:w="980"/>
        <w:gridCol w:w="1087"/>
      </w:tblGrid>
      <w:tr w:rsidR="00C71766" w:rsidRPr="00C71766" w14:paraId="1CFB3E48" w14:textId="77777777" w:rsidTr="00657532">
        <w:trPr>
          <w:trHeight w:val="552"/>
          <w:jc w:val="center"/>
        </w:trPr>
        <w:tc>
          <w:tcPr>
            <w:tcW w:w="1485" w:type="dxa"/>
            <w:gridSpan w:val="2"/>
            <w:tcBorders>
              <w:top w:val="single" w:sz="4" w:space="0" w:color="auto"/>
              <w:left w:val="single" w:sz="4" w:space="0" w:color="auto"/>
              <w:bottom w:val="single" w:sz="4" w:space="0" w:color="auto"/>
              <w:right w:val="nil"/>
            </w:tcBorders>
            <w:shd w:val="clear" w:color="auto" w:fill="auto"/>
            <w:vAlign w:val="center"/>
            <w:hideMark/>
          </w:tcPr>
          <w:p w14:paraId="43E39DEA"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Baseline - Single Engine Set</w:t>
            </w:r>
          </w:p>
        </w:tc>
        <w:tc>
          <w:tcPr>
            <w:tcW w:w="6880" w:type="dxa"/>
            <w:gridSpan w:val="9"/>
            <w:tcBorders>
              <w:top w:val="single" w:sz="4" w:space="0" w:color="auto"/>
              <w:left w:val="single" w:sz="8" w:space="0" w:color="auto"/>
              <w:bottom w:val="single" w:sz="4" w:space="0" w:color="auto"/>
              <w:right w:val="nil"/>
            </w:tcBorders>
            <w:shd w:val="clear" w:color="auto" w:fill="auto"/>
            <w:noWrap/>
            <w:vAlign w:val="center"/>
            <w:hideMark/>
          </w:tcPr>
          <w:p w14:paraId="0E2DE6D0" w14:textId="25B48A04" w:rsidR="00C71766" w:rsidRPr="00C71766" w:rsidRDefault="007878A8" w:rsidP="00C71766">
            <w:pPr>
              <w:keepNext/>
              <w:jc w:val="center"/>
              <w:rPr>
                <w:rFonts w:ascii="Calibri" w:hAnsi="Calibri" w:cs="Calibri"/>
                <w:color w:val="000000"/>
                <w:sz w:val="18"/>
              </w:rPr>
            </w:pPr>
            <w:r>
              <w:rPr>
                <w:rFonts w:ascii="Calibri" w:hAnsi="Calibri" w:cs="Calibri"/>
                <w:color w:val="000000"/>
                <w:sz w:val="18"/>
              </w:rPr>
              <w:t>Updated</w:t>
            </w:r>
            <w:r w:rsidRPr="00C71766">
              <w:rPr>
                <w:rFonts w:ascii="Calibri" w:hAnsi="Calibri" w:cs="Calibri"/>
                <w:color w:val="000000"/>
                <w:sz w:val="18"/>
              </w:rPr>
              <w:t xml:space="preserve"> </w:t>
            </w:r>
            <w:r w:rsidR="00C71766" w:rsidRPr="00C71766">
              <w:rPr>
                <w:rFonts w:ascii="Calibri" w:hAnsi="Calibri" w:cs="Calibri"/>
                <w:color w:val="000000"/>
                <w:sz w:val="18"/>
              </w:rPr>
              <w:t>Method - Multiple Engine Sets</w:t>
            </w:r>
          </w:p>
        </w:tc>
        <w:tc>
          <w:tcPr>
            <w:tcW w:w="1087" w:type="dxa"/>
            <w:vMerge w:val="restart"/>
            <w:tcBorders>
              <w:top w:val="single" w:sz="4" w:space="0" w:color="auto"/>
              <w:left w:val="double" w:sz="6" w:space="0" w:color="auto"/>
              <w:bottom w:val="single" w:sz="8" w:space="0" w:color="000000"/>
              <w:right w:val="single" w:sz="4" w:space="0" w:color="auto"/>
            </w:tcBorders>
            <w:shd w:val="clear" w:color="auto" w:fill="auto"/>
            <w:vAlign w:val="center"/>
            <w:hideMark/>
          </w:tcPr>
          <w:p w14:paraId="11FC7402" w14:textId="77777777" w:rsidR="00C71766" w:rsidRPr="00C71766" w:rsidRDefault="00C71766" w:rsidP="00155D3E">
            <w:pPr>
              <w:keepNext/>
              <w:jc w:val="center"/>
              <w:rPr>
                <w:rFonts w:ascii="Calibri" w:hAnsi="Calibri" w:cs="Calibri"/>
                <w:b/>
                <w:bCs/>
                <w:color w:val="000000"/>
                <w:sz w:val="18"/>
              </w:rPr>
            </w:pPr>
            <w:r w:rsidRPr="00C71766">
              <w:rPr>
                <w:rFonts w:ascii="Calibri" w:hAnsi="Calibri" w:cs="Calibri"/>
                <w:b/>
                <w:bCs/>
                <w:color w:val="000000"/>
                <w:sz w:val="18"/>
              </w:rPr>
              <w:t xml:space="preserve">Percent </w:t>
            </w:r>
            <w:r w:rsidR="00155D3E">
              <w:rPr>
                <w:rFonts w:ascii="Calibri" w:hAnsi="Calibri" w:cs="Calibri"/>
                <w:b/>
                <w:bCs/>
                <w:color w:val="000000"/>
                <w:sz w:val="18"/>
              </w:rPr>
              <w:t>Difference</w:t>
            </w:r>
            <w:r w:rsidRPr="00C71766">
              <w:rPr>
                <w:rFonts w:ascii="Calibri" w:hAnsi="Calibri" w:cs="Calibri"/>
                <w:b/>
                <w:bCs/>
                <w:color w:val="000000"/>
                <w:sz w:val="18"/>
              </w:rPr>
              <w:t xml:space="preserve"> Between Methods</w:t>
            </w:r>
          </w:p>
        </w:tc>
      </w:tr>
      <w:tr w:rsidR="00C71766" w:rsidRPr="00C71766" w14:paraId="43DD5FF0" w14:textId="77777777" w:rsidTr="00657532">
        <w:trPr>
          <w:trHeight w:val="840"/>
          <w:jc w:val="center"/>
        </w:trPr>
        <w:tc>
          <w:tcPr>
            <w:tcW w:w="856" w:type="dxa"/>
            <w:tcBorders>
              <w:top w:val="nil"/>
              <w:left w:val="single" w:sz="4" w:space="0" w:color="auto"/>
              <w:bottom w:val="single" w:sz="8" w:space="0" w:color="auto"/>
              <w:right w:val="single" w:sz="4" w:space="0" w:color="auto"/>
            </w:tcBorders>
            <w:shd w:val="clear" w:color="auto" w:fill="auto"/>
            <w:vAlign w:val="center"/>
            <w:hideMark/>
          </w:tcPr>
          <w:p w14:paraId="6D91038E"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Number of Engines</w:t>
            </w:r>
          </w:p>
        </w:tc>
        <w:tc>
          <w:tcPr>
            <w:tcW w:w="629" w:type="dxa"/>
            <w:tcBorders>
              <w:top w:val="nil"/>
              <w:left w:val="nil"/>
              <w:bottom w:val="single" w:sz="8" w:space="0" w:color="auto"/>
              <w:right w:val="nil"/>
            </w:tcBorders>
            <w:shd w:val="clear" w:color="auto" w:fill="auto"/>
            <w:vAlign w:val="center"/>
            <w:hideMark/>
          </w:tcPr>
          <w:p w14:paraId="6F424FA6" w14:textId="77777777" w:rsidR="00C71766" w:rsidRPr="00C71766" w:rsidRDefault="00C71766" w:rsidP="00C71766">
            <w:pPr>
              <w:keepNext/>
              <w:jc w:val="center"/>
              <w:rPr>
                <w:rFonts w:ascii="Calibri" w:hAnsi="Calibri" w:cs="Calibri"/>
                <w:b/>
                <w:bCs/>
                <w:color w:val="000000"/>
                <w:sz w:val="18"/>
              </w:rPr>
            </w:pPr>
            <w:r w:rsidRPr="00C71766">
              <w:rPr>
                <w:rFonts w:ascii="Calibri" w:hAnsi="Calibri" w:cs="Calibri"/>
                <w:b/>
                <w:bCs/>
                <w:color w:val="000000"/>
                <w:sz w:val="18"/>
              </w:rPr>
              <w:t>EIRF</w:t>
            </w:r>
          </w:p>
        </w:tc>
        <w:tc>
          <w:tcPr>
            <w:tcW w:w="857" w:type="dxa"/>
            <w:tcBorders>
              <w:top w:val="nil"/>
              <w:left w:val="single" w:sz="8" w:space="0" w:color="auto"/>
              <w:bottom w:val="single" w:sz="8" w:space="0" w:color="auto"/>
              <w:right w:val="single" w:sz="4" w:space="0" w:color="auto"/>
            </w:tcBorders>
            <w:shd w:val="clear" w:color="auto" w:fill="auto"/>
            <w:vAlign w:val="center"/>
            <w:hideMark/>
          </w:tcPr>
          <w:p w14:paraId="5DF69740"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Number of Engines</w:t>
            </w:r>
          </w:p>
        </w:tc>
        <w:tc>
          <w:tcPr>
            <w:tcW w:w="618" w:type="dxa"/>
            <w:tcBorders>
              <w:top w:val="nil"/>
              <w:left w:val="nil"/>
              <w:bottom w:val="single" w:sz="8" w:space="0" w:color="auto"/>
              <w:right w:val="single" w:sz="4" w:space="0" w:color="auto"/>
            </w:tcBorders>
            <w:shd w:val="clear" w:color="auto" w:fill="auto"/>
            <w:vAlign w:val="center"/>
            <w:hideMark/>
          </w:tcPr>
          <w:p w14:paraId="58156D82"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EIRF</w:t>
            </w:r>
          </w:p>
        </w:tc>
        <w:tc>
          <w:tcPr>
            <w:tcW w:w="857" w:type="dxa"/>
            <w:tcBorders>
              <w:top w:val="nil"/>
              <w:left w:val="nil"/>
              <w:bottom w:val="single" w:sz="8" w:space="0" w:color="auto"/>
              <w:right w:val="single" w:sz="4" w:space="0" w:color="auto"/>
            </w:tcBorders>
            <w:shd w:val="clear" w:color="auto" w:fill="auto"/>
            <w:vAlign w:val="center"/>
            <w:hideMark/>
          </w:tcPr>
          <w:p w14:paraId="4916E659"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Number of Engines</w:t>
            </w:r>
          </w:p>
        </w:tc>
        <w:tc>
          <w:tcPr>
            <w:tcW w:w="618" w:type="dxa"/>
            <w:tcBorders>
              <w:top w:val="nil"/>
              <w:left w:val="nil"/>
              <w:bottom w:val="single" w:sz="8" w:space="0" w:color="auto"/>
              <w:right w:val="single" w:sz="4" w:space="0" w:color="auto"/>
            </w:tcBorders>
            <w:shd w:val="clear" w:color="auto" w:fill="auto"/>
            <w:vAlign w:val="center"/>
            <w:hideMark/>
          </w:tcPr>
          <w:p w14:paraId="0E8FC12C"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EIRF</w:t>
            </w:r>
          </w:p>
        </w:tc>
        <w:tc>
          <w:tcPr>
            <w:tcW w:w="857" w:type="dxa"/>
            <w:tcBorders>
              <w:top w:val="nil"/>
              <w:left w:val="nil"/>
              <w:bottom w:val="single" w:sz="8" w:space="0" w:color="auto"/>
              <w:right w:val="single" w:sz="4" w:space="0" w:color="auto"/>
            </w:tcBorders>
            <w:shd w:val="clear" w:color="auto" w:fill="auto"/>
            <w:vAlign w:val="center"/>
            <w:hideMark/>
          </w:tcPr>
          <w:p w14:paraId="3BF26A7C"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Number of Engines</w:t>
            </w:r>
          </w:p>
        </w:tc>
        <w:tc>
          <w:tcPr>
            <w:tcW w:w="618" w:type="dxa"/>
            <w:tcBorders>
              <w:top w:val="nil"/>
              <w:left w:val="nil"/>
              <w:bottom w:val="single" w:sz="8" w:space="0" w:color="auto"/>
              <w:right w:val="single" w:sz="4" w:space="0" w:color="auto"/>
            </w:tcBorders>
            <w:shd w:val="clear" w:color="auto" w:fill="auto"/>
            <w:vAlign w:val="center"/>
            <w:hideMark/>
          </w:tcPr>
          <w:p w14:paraId="5DEBE50C"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EIRF</w:t>
            </w:r>
          </w:p>
        </w:tc>
        <w:tc>
          <w:tcPr>
            <w:tcW w:w="857" w:type="dxa"/>
            <w:tcBorders>
              <w:top w:val="nil"/>
              <w:left w:val="nil"/>
              <w:bottom w:val="single" w:sz="8" w:space="0" w:color="auto"/>
              <w:right w:val="single" w:sz="4" w:space="0" w:color="auto"/>
            </w:tcBorders>
            <w:shd w:val="clear" w:color="auto" w:fill="auto"/>
            <w:vAlign w:val="center"/>
            <w:hideMark/>
          </w:tcPr>
          <w:p w14:paraId="3DBEDA92"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Number of Engines</w:t>
            </w:r>
          </w:p>
        </w:tc>
        <w:tc>
          <w:tcPr>
            <w:tcW w:w="618" w:type="dxa"/>
            <w:tcBorders>
              <w:top w:val="nil"/>
              <w:left w:val="nil"/>
              <w:bottom w:val="single" w:sz="8" w:space="0" w:color="auto"/>
              <w:right w:val="single" w:sz="4" w:space="0" w:color="auto"/>
            </w:tcBorders>
            <w:shd w:val="clear" w:color="auto" w:fill="auto"/>
            <w:vAlign w:val="center"/>
            <w:hideMark/>
          </w:tcPr>
          <w:p w14:paraId="5DD3EB61"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EIRF</w:t>
            </w:r>
          </w:p>
        </w:tc>
        <w:tc>
          <w:tcPr>
            <w:tcW w:w="980" w:type="dxa"/>
            <w:tcBorders>
              <w:top w:val="nil"/>
              <w:left w:val="nil"/>
              <w:bottom w:val="single" w:sz="8" w:space="0" w:color="auto"/>
              <w:right w:val="nil"/>
            </w:tcBorders>
            <w:shd w:val="clear" w:color="auto" w:fill="auto"/>
            <w:vAlign w:val="center"/>
            <w:hideMark/>
          </w:tcPr>
          <w:p w14:paraId="25F9C800" w14:textId="77777777" w:rsidR="00C71766" w:rsidRPr="00C71766" w:rsidRDefault="00C71766" w:rsidP="00C71766">
            <w:pPr>
              <w:keepNext/>
              <w:jc w:val="center"/>
              <w:rPr>
                <w:rFonts w:ascii="Calibri" w:hAnsi="Calibri" w:cs="Calibri"/>
                <w:b/>
                <w:bCs/>
                <w:color w:val="000000"/>
                <w:sz w:val="18"/>
              </w:rPr>
            </w:pPr>
            <w:r w:rsidRPr="00C71766">
              <w:rPr>
                <w:rFonts w:ascii="Calibri" w:hAnsi="Calibri" w:cs="Calibri"/>
                <w:b/>
                <w:bCs/>
                <w:color w:val="000000"/>
                <w:sz w:val="18"/>
              </w:rPr>
              <w:t>Combined EIRF</w:t>
            </w:r>
          </w:p>
        </w:tc>
        <w:tc>
          <w:tcPr>
            <w:tcW w:w="1087" w:type="dxa"/>
            <w:vMerge/>
            <w:tcBorders>
              <w:top w:val="single" w:sz="4" w:space="0" w:color="auto"/>
              <w:left w:val="double" w:sz="6" w:space="0" w:color="auto"/>
              <w:bottom w:val="single" w:sz="8" w:space="0" w:color="000000"/>
              <w:right w:val="single" w:sz="4" w:space="0" w:color="auto"/>
            </w:tcBorders>
            <w:vAlign w:val="center"/>
            <w:hideMark/>
          </w:tcPr>
          <w:p w14:paraId="7A7A60B8" w14:textId="77777777" w:rsidR="00C71766" w:rsidRPr="00C71766" w:rsidRDefault="00C71766" w:rsidP="00C71766">
            <w:pPr>
              <w:keepNext/>
              <w:jc w:val="left"/>
              <w:rPr>
                <w:rFonts w:ascii="Calibri" w:hAnsi="Calibri" w:cs="Calibri"/>
                <w:b/>
                <w:bCs/>
                <w:color w:val="000000"/>
                <w:sz w:val="18"/>
              </w:rPr>
            </w:pPr>
          </w:p>
        </w:tc>
      </w:tr>
      <w:tr w:rsidR="00155D3E" w:rsidRPr="00C71766" w14:paraId="2FAC6AC3" w14:textId="77777777" w:rsidTr="00657532">
        <w:trPr>
          <w:trHeight w:val="28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EB66603"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4</w:t>
            </w:r>
          </w:p>
        </w:tc>
        <w:tc>
          <w:tcPr>
            <w:tcW w:w="629" w:type="dxa"/>
            <w:tcBorders>
              <w:top w:val="nil"/>
              <w:left w:val="nil"/>
              <w:bottom w:val="single" w:sz="4" w:space="0" w:color="auto"/>
              <w:right w:val="nil"/>
            </w:tcBorders>
            <w:shd w:val="clear" w:color="auto" w:fill="auto"/>
            <w:noWrap/>
            <w:vAlign w:val="center"/>
            <w:hideMark/>
          </w:tcPr>
          <w:p w14:paraId="5674432D" w14:textId="77777777" w:rsidR="00C71766" w:rsidRPr="00C71766" w:rsidRDefault="00C71766" w:rsidP="00C71766">
            <w:pPr>
              <w:keepNext/>
              <w:jc w:val="center"/>
              <w:rPr>
                <w:rFonts w:ascii="Calibri" w:hAnsi="Calibri" w:cs="Calibri"/>
                <w:b/>
                <w:bCs/>
                <w:color w:val="000000"/>
                <w:sz w:val="18"/>
              </w:rPr>
            </w:pPr>
            <w:r w:rsidRPr="00C71766">
              <w:rPr>
                <w:rFonts w:ascii="Calibri" w:hAnsi="Calibri" w:cs="Calibri"/>
                <w:b/>
                <w:bCs/>
                <w:color w:val="000000"/>
                <w:sz w:val="18"/>
              </w:rPr>
              <w:t>0.880</w:t>
            </w:r>
          </w:p>
        </w:tc>
        <w:tc>
          <w:tcPr>
            <w:tcW w:w="857" w:type="dxa"/>
            <w:tcBorders>
              <w:top w:val="nil"/>
              <w:left w:val="single" w:sz="8" w:space="0" w:color="auto"/>
              <w:bottom w:val="single" w:sz="4" w:space="0" w:color="auto"/>
              <w:right w:val="single" w:sz="4" w:space="0" w:color="auto"/>
            </w:tcBorders>
            <w:shd w:val="clear" w:color="auto" w:fill="auto"/>
            <w:noWrap/>
            <w:vAlign w:val="center"/>
            <w:hideMark/>
          </w:tcPr>
          <w:p w14:paraId="4541F721"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2</w:t>
            </w:r>
          </w:p>
        </w:tc>
        <w:tc>
          <w:tcPr>
            <w:tcW w:w="618" w:type="dxa"/>
            <w:tcBorders>
              <w:top w:val="nil"/>
              <w:left w:val="nil"/>
              <w:bottom w:val="single" w:sz="4" w:space="0" w:color="auto"/>
              <w:right w:val="single" w:sz="4" w:space="0" w:color="auto"/>
            </w:tcBorders>
            <w:shd w:val="clear" w:color="auto" w:fill="auto"/>
            <w:noWrap/>
            <w:vAlign w:val="center"/>
            <w:hideMark/>
          </w:tcPr>
          <w:p w14:paraId="0EB28867"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0.94</w:t>
            </w:r>
          </w:p>
        </w:tc>
        <w:tc>
          <w:tcPr>
            <w:tcW w:w="857" w:type="dxa"/>
            <w:tcBorders>
              <w:top w:val="nil"/>
              <w:left w:val="nil"/>
              <w:bottom w:val="single" w:sz="4" w:space="0" w:color="auto"/>
              <w:right w:val="single" w:sz="4" w:space="0" w:color="auto"/>
            </w:tcBorders>
            <w:shd w:val="clear" w:color="auto" w:fill="auto"/>
            <w:noWrap/>
            <w:vAlign w:val="center"/>
            <w:hideMark/>
          </w:tcPr>
          <w:p w14:paraId="7227A1F8"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2</w:t>
            </w:r>
          </w:p>
        </w:tc>
        <w:tc>
          <w:tcPr>
            <w:tcW w:w="618" w:type="dxa"/>
            <w:tcBorders>
              <w:top w:val="nil"/>
              <w:left w:val="nil"/>
              <w:bottom w:val="single" w:sz="4" w:space="0" w:color="auto"/>
              <w:right w:val="single" w:sz="4" w:space="0" w:color="auto"/>
            </w:tcBorders>
            <w:shd w:val="clear" w:color="auto" w:fill="auto"/>
            <w:noWrap/>
            <w:vAlign w:val="center"/>
            <w:hideMark/>
          </w:tcPr>
          <w:p w14:paraId="757D9D07" w14:textId="77777777" w:rsidR="00C71766" w:rsidRPr="00C71766" w:rsidRDefault="00C71766" w:rsidP="000F0960">
            <w:pPr>
              <w:keepNext/>
              <w:jc w:val="center"/>
              <w:rPr>
                <w:rFonts w:ascii="Calibri" w:hAnsi="Calibri" w:cs="Calibri"/>
                <w:color w:val="000000"/>
                <w:sz w:val="18"/>
              </w:rPr>
            </w:pPr>
            <w:r w:rsidRPr="00C71766">
              <w:rPr>
                <w:rFonts w:ascii="Calibri" w:hAnsi="Calibri" w:cs="Calibri"/>
                <w:color w:val="000000"/>
                <w:sz w:val="18"/>
              </w:rPr>
              <w:t>0.94</w:t>
            </w:r>
          </w:p>
        </w:tc>
        <w:tc>
          <w:tcPr>
            <w:tcW w:w="857" w:type="dxa"/>
            <w:tcBorders>
              <w:top w:val="nil"/>
              <w:left w:val="nil"/>
              <w:bottom w:val="single" w:sz="4" w:space="0" w:color="auto"/>
              <w:right w:val="single" w:sz="4" w:space="0" w:color="auto"/>
            </w:tcBorders>
            <w:shd w:val="clear" w:color="auto" w:fill="auto"/>
            <w:noWrap/>
            <w:vAlign w:val="center"/>
            <w:hideMark/>
          </w:tcPr>
          <w:p w14:paraId="6EFE1225"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 </w:t>
            </w:r>
          </w:p>
        </w:tc>
        <w:tc>
          <w:tcPr>
            <w:tcW w:w="618" w:type="dxa"/>
            <w:tcBorders>
              <w:top w:val="nil"/>
              <w:left w:val="nil"/>
              <w:bottom w:val="single" w:sz="4" w:space="0" w:color="auto"/>
              <w:right w:val="single" w:sz="4" w:space="0" w:color="auto"/>
            </w:tcBorders>
            <w:shd w:val="clear" w:color="auto" w:fill="auto"/>
            <w:noWrap/>
            <w:vAlign w:val="center"/>
            <w:hideMark/>
          </w:tcPr>
          <w:p w14:paraId="240B1858"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 </w:t>
            </w:r>
          </w:p>
        </w:tc>
        <w:tc>
          <w:tcPr>
            <w:tcW w:w="857" w:type="dxa"/>
            <w:tcBorders>
              <w:top w:val="nil"/>
              <w:left w:val="nil"/>
              <w:bottom w:val="single" w:sz="4" w:space="0" w:color="auto"/>
              <w:right w:val="single" w:sz="4" w:space="0" w:color="auto"/>
            </w:tcBorders>
            <w:shd w:val="clear" w:color="auto" w:fill="auto"/>
            <w:noWrap/>
            <w:vAlign w:val="center"/>
            <w:hideMark/>
          </w:tcPr>
          <w:p w14:paraId="58B1A808"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 </w:t>
            </w:r>
          </w:p>
        </w:tc>
        <w:tc>
          <w:tcPr>
            <w:tcW w:w="618" w:type="dxa"/>
            <w:tcBorders>
              <w:top w:val="nil"/>
              <w:left w:val="nil"/>
              <w:bottom w:val="single" w:sz="4" w:space="0" w:color="auto"/>
              <w:right w:val="single" w:sz="4" w:space="0" w:color="auto"/>
            </w:tcBorders>
            <w:shd w:val="clear" w:color="auto" w:fill="auto"/>
            <w:noWrap/>
            <w:vAlign w:val="center"/>
            <w:hideMark/>
          </w:tcPr>
          <w:p w14:paraId="3288205C"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 </w:t>
            </w:r>
          </w:p>
        </w:tc>
        <w:tc>
          <w:tcPr>
            <w:tcW w:w="980" w:type="dxa"/>
            <w:tcBorders>
              <w:top w:val="nil"/>
              <w:left w:val="nil"/>
              <w:bottom w:val="single" w:sz="4" w:space="0" w:color="auto"/>
              <w:right w:val="nil"/>
            </w:tcBorders>
            <w:shd w:val="clear" w:color="auto" w:fill="auto"/>
            <w:noWrap/>
            <w:vAlign w:val="center"/>
            <w:hideMark/>
          </w:tcPr>
          <w:p w14:paraId="2B4E4104" w14:textId="77777777" w:rsidR="00C71766" w:rsidRPr="00C71766" w:rsidRDefault="00C71766" w:rsidP="00C71766">
            <w:pPr>
              <w:keepNext/>
              <w:jc w:val="center"/>
              <w:rPr>
                <w:rFonts w:ascii="Calibri" w:hAnsi="Calibri" w:cs="Calibri"/>
                <w:b/>
                <w:bCs/>
                <w:color w:val="000000"/>
                <w:sz w:val="18"/>
              </w:rPr>
            </w:pPr>
            <w:r w:rsidRPr="00C71766">
              <w:rPr>
                <w:rFonts w:ascii="Calibri" w:hAnsi="Calibri" w:cs="Calibri"/>
                <w:b/>
                <w:bCs/>
                <w:color w:val="000000"/>
                <w:sz w:val="18"/>
              </w:rPr>
              <w:t>0.884</w:t>
            </w:r>
          </w:p>
        </w:tc>
        <w:tc>
          <w:tcPr>
            <w:tcW w:w="1087" w:type="dxa"/>
            <w:tcBorders>
              <w:top w:val="nil"/>
              <w:left w:val="double" w:sz="6" w:space="0" w:color="auto"/>
              <w:bottom w:val="single" w:sz="4" w:space="0" w:color="auto"/>
              <w:right w:val="single" w:sz="4" w:space="0" w:color="auto"/>
            </w:tcBorders>
            <w:shd w:val="clear" w:color="auto" w:fill="auto"/>
            <w:noWrap/>
            <w:vAlign w:val="center"/>
            <w:hideMark/>
          </w:tcPr>
          <w:p w14:paraId="7420F6E3" w14:textId="77777777" w:rsidR="00C71766" w:rsidRPr="00C71766" w:rsidRDefault="00C71766" w:rsidP="00C71766">
            <w:pPr>
              <w:keepNext/>
              <w:jc w:val="center"/>
              <w:rPr>
                <w:rFonts w:ascii="Calibri" w:hAnsi="Calibri" w:cs="Calibri"/>
                <w:b/>
                <w:bCs/>
                <w:color w:val="000000"/>
                <w:sz w:val="18"/>
              </w:rPr>
            </w:pPr>
            <w:r w:rsidRPr="00C71766">
              <w:rPr>
                <w:rFonts w:ascii="Calibri" w:hAnsi="Calibri" w:cs="Calibri"/>
                <w:b/>
                <w:bCs/>
                <w:color w:val="000000"/>
                <w:sz w:val="18"/>
              </w:rPr>
              <w:t>-0.41%</w:t>
            </w:r>
          </w:p>
        </w:tc>
      </w:tr>
      <w:tr w:rsidR="00155D3E" w:rsidRPr="00C71766" w14:paraId="121CB636" w14:textId="77777777" w:rsidTr="00657532">
        <w:trPr>
          <w:trHeight w:val="28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4887DE8"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6</w:t>
            </w:r>
          </w:p>
        </w:tc>
        <w:tc>
          <w:tcPr>
            <w:tcW w:w="629" w:type="dxa"/>
            <w:tcBorders>
              <w:top w:val="nil"/>
              <w:left w:val="nil"/>
              <w:bottom w:val="single" w:sz="4" w:space="0" w:color="auto"/>
              <w:right w:val="nil"/>
            </w:tcBorders>
            <w:shd w:val="clear" w:color="auto" w:fill="auto"/>
            <w:noWrap/>
            <w:vAlign w:val="center"/>
            <w:hideMark/>
          </w:tcPr>
          <w:p w14:paraId="0352D034" w14:textId="77777777" w:rsidR="00C71766" w:rsidRPr="00C71766" w:rsidRDefault="00C71766" w:rsidP="00C71766">
            <w:pPr>
              <w:keepNext/>
              <w:jc w:val="center"/>
              <w:rPr>
                <w:rFonts w:ascii="Calibri" w:hAnsi="Calibri" w:cs="Calibri"/>
                <w:b/>
                <w:bCs/>
                <w:color w:val="000000"/>
                <w:sz w:val="18"/>
              </w:rPr>
            </w:pPr>
            <w:r w:rsidRPr="00C71766">
              <w:rPr>
                <w:rFonts w:ascii="Calibri" w:hAnsi="Calibri" w:cs="Calibri"/>
                <w:b/>
                <w:bCs/>
                <w:color w:val="000000"/>
                <w:sz w:val="18"/>
              </w:rPr>
              <w:t>0.84</w:t>
            </w:r>
          </w:p>
        </w:tc>
        <w:tc>
          <w:tcPr>
            <w:tcW w:w="857" w:type="dxa"/>
            <w:tcBorders>
              <w:top w:val="nil"/>
              <w:left w:val="single" w:sz="8" w:space="0" w:color="auto"/>
              <w:bottom w:val="single" w:sz="4" w:space="0" w:color="auto"/>
              <w:right w:val="single" w:sz="4" w:space="0" w:color="auto"/>
            </w:tcBorders>
            <w:shd w:val="clear" w:color="auto" w:fill="auto"/>
            <w:noWrap/>
            <w:vAlign w:val="center"/>
            <w:hideMark/>
          </w:tcPr>
          <w:p w14:paraId="1B0A00BB"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2</w:t>
            </w:r>
          </w:p>
        </w:tc>
        <w:tc>
          <w:tcPr>
            <w:tcW w:w="618" w:type="dxa"/>
            <w:tcBorders>
              <w:top w:val="nil"/>
              <w:left w:val="nil"/>
              <w:bottom w:val="single" w:sz="4" w:space="0" w:color="auto"/>
              <w:right w:val="single" w:sz="4" w:space="0" w:color="auto"/>
            </w:tcBorders>
            <w:shd w:val="clear" w:color="auto" w:fill="auto"/>
            <w:noWrap/>
            <w:vAlign w:val="center"/>
            <w:hideMark/>
          </w:tcPr>
          <w:p w14:paraId="69CAD55C"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0.94</w:t>
            </w:r>
          </w:p>
        </w:tc>
        <w:tc>
          <w:tcPr>
            <w:tcW w:w="857" w:type="dxa"/>
            <w:tcBorders>
              <w:top w:val="nil"/>
              <w:left w:val="nil"/>
              <w:bottom w:val="single" w:sz="4" w:space="0" w:color="auto"/>
              <w:right w:val="single" w:sz="4" w:space="0" w:color="auto"/>
            </w:tcBorders>
            <w:shd w:val="clear" w:color="auto" w:fill="auto"/>
            <w:noWrap/>
            <w:vAlign w:val="center"/>
            <w:hideMark/>
          </w:tcPr>
          <w:p w14:paraId="25680995"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2</w:t>
            </w:r>
          </w:p>
        </w:tc>
        <w:tc>
          <w:tcPr>
            <w:tcW w:w="618" w:type="dxa"/>
            <w:tcBorders>
              <w:top w:val="nil"/>
              <w:left w:val="nil"/>
              <w:bottom w:val="single" w:sz="4" w:space="0" w:color="auto"/>
              <w:right w:val="single" w:sz="4" w:space="0" w:color="auto"/>
            </w:tcBorders>
            <w:shd w:val="clear" w:color="auto" w:fill="auto"/>
            <w:noWrap/>
            <w:vAlign w:val="center"/>
            <w:hideMark/>
          </w:tcPr>
          <w:p w14:paraId="234466D5"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0.94</w:t>
            </w:r>
          </w:p>
        </w:tc>
        <w:tc>
          <w:tcPr>
            <w:tcW w:w="857" w:type="dxa"/>
            <w:tcBorders>
              <w:top w:val="nil"/>
              <w:left w:val="nil"/>
              <w:bottom w:val="single" w:sz="4" w:space="0" w:color="auto"/>
              <w:right w:val="single" w:sz="4" w:space="0" w:color="auto"/>
            </w:tcBorders>
            <w:shd w:val="clear" w:color="auto" w:fill="auto"/>
            <w:noWrap/>
            <w:vAlign w:val="center"/>
            <w:hideMark/>
          </w:tcPr>
          <w:p w14:paraId="1229BAB8"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2</w:t>
            </w:r>
          </w:p>
        </w:tc>
        <w:tc>
          <w:tcPr>
            <w:tcW w:w="618" w:type="dxa"/>
            <w:tcBorders>
              <w:top w:val="nil"/>
              <w:left w:val="nil"/>
              <w:bottom w:val="single" w:sz="4" w:space="0" w:color="auto"/>
              <w:right w:val="single" w:sz="4" w:space="0" w:color="auto"/>
            </w:tcBorders>
            <w:shd w:val="clear" w:color="auto" w:fill="auto"/>
            <w:noWrap/>
            <w:vAlign w:val="center"/>
            <w:hideMark/>
          </w:tcPr>
          <w:p w14:paraId="65ECE74E"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0.94</w:t>
            </w:r>
          </w:p>
        </w:tc>
        <w:tc>
          <w:tcPr>
            <w:tcW w:w="857" w:type="dxa"/>
            <w:tcBorders>
              <w:top w:val="nil"/>
              <w:left w:val="nil"/>
              <w:bottom w:val="single" w:sz="4" w:space="0" w:color="auto"/>
              <w:right w:val="single" w:sz="4" w:space="0" w:color="auto"/>
            </w:tcBorders>
            <w:shd w:val="clear" w:color="auto" w:fill="auto"/>
            <w:noWrap/>
            <w:vAlign w:val="center"/>
            <w:hideMark/>
          </w:tcPr>
          <w:p w14:paraId="4C727998"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 </w:t>
            </w:r>
          </w:p>
        </w:tc>
        <w:tc>
          <w:tcPr>
            <w:tcW w:w="618" w:type="dxa"/>
            <w:tcBorders>
              <w:top w:val="nil"/>
              <w:left w:val="nil"/>
              <w:bottom w:val="single" w:sz="4" w:space="0" w:color="auto"/>
              <w:right w:val="single" w:sz="4" w:space="0" w:color="auto"/>
            </w:tcBorders>
            <w:shd w:val="clear" w:color="auto" w:fill="auto"/>
            <w:noWrap/>
            <w:vAlign w:val="center"/>
            <w:hideMark/>
          </w:tcPr>
          <w:p w14:paraId="5EAFA963"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 </w:t>
            </w:r>
          </w:p>
        </w:tc>
        <w:tc>
          <w:tcPr>
            <w:tcW w:w="980" w:type="dxa"/>
            <w:tcBorders>
              <w:top w:val="nil"/>
              <w:left w:val="nil"/>
              <w:bottom w:val="single" w:sz="4" w:space="0" w:color="auto"/>
              <w:right w:val="nil"/>
            </w:tcBorders>
            <w:shd w:val="clear" w:color="auto" w:fill="auto"/>
            <w:noWrap/>
            <w:vAlign w:val="center"/>
            <w:hideMark/>
          </w:tcPr>
          <w:p w14:paraId="14022DC2" w14:textId="77777777" w:rsidR="00C71766" w:rsidRPr="00C71766" w:rsidRDefault="00C71766" w:rsidP="00C71766">
            <w:pPr>
              <w:keepNext/>
              <w:jc w:val="center"/>
              <w:rPr>
                <w:rFonts w:ascii="Calibri" w:hAnsi="Calibri" w:cs="Calibri"/>
                <w:b/>
                <w:bCs/>
                <w:color w:val="000000"/>
                <w:sz w:val="18"/>
              </w:rPr>
            </w:pPr>
            <w:r w:rsidRPr="00C71766">
              <w:rPr>
                <w:rFonts w:ascii="Calibri" w:hAnsi="Calibri" w:cs="Calibri"/>
                <w:b/>
                <w:bCs/>
                <w:color w:val="000000"/>
                <w:sz w:val="18"/>
              </w:rPr>
              <w:t>0.84</w:t>
            </w:r>
          </w:p>
        </w:tc>
        <w:tc>
          <w:tcPr>
            <w:tcW w:w="1087" w:type="dxa"/>
            <w:tcBorders>
              <w:top w:val="nil"/>
              <w:left w:val="double" w:sz="6" w:space="0" w:color="auto"/>
              <w:bottom w:val="single" w:sz="4" w:space="0" w:color="auto"/>
              <w:right w:val="single" w:sz="4" w:space="0" w:color="auto"/>
            </w:tcBorders>
            <w:shd w:val="clear" w:color="auto" w:fill="auto"/>
            <w:noWrap/>
            <w:vAlign w:val="center"/>
            <w:hideMark/>
          </w:tcPr>
          <w:p w14:paraId="32A22972" w14:textId="77777777" w:rsidR="00C71766" w:rsidRPr="00C71766" w:rsidRDefault="000F0960" w:rsidP="00C71766">
            <w:pPr>
              <w:keepNext/>
              <w:jc w:val="center"/>
              <w:rPr>
                <w:rFonts w:ascii="Calibri" w:hAnsi="Calibri" w:cs="Calibri"/>
                <w:b/>
                <w:bCs/>
                <w:color w:val="000000"/>
                <w:sz w:val="18"/>
              </w:rPr>
            </w:pPr>
            <w:r>
              <w:rPr>
                <w:rFonts w:ascii="Calibri" w:hAnsi="Calibri" w:cs="Calibri"/>
                <w:b/>
                <w:bCs/>
                <w:color w:val="000000"/>
                <w:sz w:val="18"/>
              </w:rPr>
              <w:t>0</w:t>
            </w:r>
            <w:r w:rsidR="00C71766" w:rsidRPr="00C71766">
              <w:rPr>
                <w:rFonts w:ascii="Calibri" w:hAnsi="Calibri" w:cs="Calibri"/>
                <w:b/>
                <w:bCs/>
                <w:color w:val="000000"/>
                <w:sz w:val="18"/>
              </w:rPr>
              <w:t>%</w:t>
            </w:r>
          </w:p>
        </w:tc>
      </w:tr>
      <w:tr w:rsidR="00155D3E" w:rsidRPr="00C71766" w14:paraId="4EAD0160" w14:textId="77777777" w:rsidTr="00657532">
        <w:trPr>
          <w:trHeight w:val="28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286E724"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6</w:t>
            </w:r>
          </w:p>
        </w:tc>
        <w:tc>
          <w:tcPr>
            <w:tcW w:w="629" w:type="dxa"/>
            <w:tcBorders>
              <w:top w:val="nil"/>
              <w:left w:val="nil"/>
              <w:bottom w:val="single" w:sz="4" w:space="0" w:color="auto"/>
              <w:right w:val="nil"/>
            </w:tcBorders>
            <w:shd w:val="clear" w:color="auto" w:fill="auto"/>
            <w:noWrap/>
            <w:vAlign w:val="center"/>
            <w:hideMark/>
          </w:tcPr>
          <w:p w14:paraId="3C5E52C1" w14:textId="77777777" w:rsidR="00C71766" w:rsidRPr="00C71766" w:rsidRDefault="00C71766" w:rsidP="00C71766">
            <w:pPr>
              <w:keepNext/>
              <w:jc w:val="center"/>
              <w:rPr>
                <w:rFonts w:ascii="Calibri" w:hAnsi="Calibri" w:cs="Calibri"/>
                <w:b/>
                <w:bCs/>
                <w:color w:val="000000"/>
                <w:sz w:val="18"/>
              </w:rPr>
            </w:pPr>
            <w:r w:rsidRPr="00C71766">
              <w:rPr>
                <w:rFonts w:ascii="Calibri" w:hAnsi="Calibri" w:cs="Calibri"/>
                <w:b/>
                <w:bCs/>
                <w:color w:val="000000"/>
                <w:sz w:val="18"/>
              </w:rPr>
              <w:t>0.84</w:t>
            </w:r>
          </w:p>
        </w:tc>
        <w:tc>
          <w:tcPr>
            <w:tcW w:w="857" w:type="dxa"/>
            <w:tcBorders>
              <w:top w:val="nil"/>
              <w:left w:val="single" w:sz="8" w:space="0" w:color="auto"/>
              <w:bottom w:val="single" w:sz="4" w:space="0" w:color="auto"/>
              <w:right w:val="single" w:sz="4" w:space="0" w:color="auto"/>
            </w:tcBorders>
            <w:shd w:val="clear" w:color="auto" w:fill="auto"/>
            <w:noWrap/>
            <w:vAlign w:val="center"/>
            <w:hideMark/>
          </w:tcPr>
          <w:p w14:paraId="09998790"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4</w:t>
            </w:r>
          </w:p>
        </w:tc>
        <w:tc>
          <w:tcPr>
            <w:tcW w:w="618" w:type="dxa"/>
            <w:tcBorders>
              <w:top w:val="nil"/>
              <w:left w:val="nil"/>
              <w:bottom w:val="single" w:sz="4" w:space="0" w:color="auto"/>
              <w:right w:val="single" w:sz="4" w:space="0" w:color="auto"/>
            </w:tcBorders>
            <w:shd w:val="clear" w:color="auto" w:fill="auto"/>
            <w:noWrap/>
            <w:vAlign w:val="center"/>
            <w:hideMark/>
          </w:tcPr>
          <w:p w14:paraId="61F263CC"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0.88</w:t>
            </w:r>
          </w:p>
        </w:tc>
        <w:tc>
          <w:tcPr>
            <w:tcW w:w="857" w:type="dxa"/>
            <w:tcBorders>
              <w:top w:val="nil"/>
              <w:left w:val="nil"/>
              <w:bottom w:val="single" w:sz="4" w:space="0" w:color="auto"/>
              <w:right w:val="single" w:sz="4" w:space="0" w:color="auto"/>
            </w:tcBorders>
            <w:shd w:val="clear" w:color="auto" w:fill="auto"/>
            <w:noWrap/>
            <w:vAlign w:val="center"/>
            <w:hideMark/>
          </w:tcPr>
          <w:p w14:paraId="2AEB63B3"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2</w:t>
            </w:r>
          </w:p>
        </w:tc>
        <w:tc>
          <w:tcPr>
            <w:tcW w:w="618" w:type="dxa"/>
            <w:tcBorders>
              <w:top w:val="nil"/>
              <w:left w:val="nil"/>
              <w:bottom w:val="single" w:sz="4" w:space="0" w:color="auto"/>
              <w:right w:val="single" w:sz="4" w:space="0" w:color="auto"/>
            </w:tcBorders>
            <w:shd w:val="clear" w:color="auto" w:fill="auto"/>
            <w:noWrap/>
            <w:vAlign w:val="center"/>
            <w:hideMark/>
          </w:tcPr>
          <w:p w14:paraId="235C94A8"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0.94</w:t>
            </w:r>
          </w:p>
        </w:tc>
        <w:tc>
          <w:tcPr>
            <w:tcW w:w="857" w:type="dxa"/>
            <w:tcBorders>
              <w:top w:val="nil"/>
              <w:left w:val="nil"/>
              <w:bottom w:val="single" w:sz="4" w:space="0" w:color="auto"/>
              <w:right w:val="single" w:sz="4" w:space="0" w:color="auto"/>
            </w:tcBorders>
            <w:shd w:val="clear" w:color="auto" w:fill="auto"/>
            <w:noWrap/>
            <w:vAlign w:val="center"/>
            <w:hideMark/>
          </w:tcPr>
          <w:p w14:paraId="31BFC793"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 </w:t>
            </w:r>
          </w:p>
        </w:tc>
        <w:tc>
          <w:tcPr>
            <w:tcW w:w="618" w:type="dxa"/>
            <w:tcBorders>
              <w:top w:val="nil"/>
              <w:left w:val="nil"/>
              <w:bottom w:val="single" w:sz="4" w:space="0" w:color="auto"/>
              <w:right w:val="single" w:sz="4" w:space="0" w:color="auto"/>
            </w:tcBorders>
            <w:shd w:val="clear" w:color="auto" w:fill="auto"/>
            <w:noWrap/>
            <w:vAlign w:val="center"/>
            <w:hideMark/>
          </w:tcPr>
          <w:p w14:paraId="25582460"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 </w:t>
            </w:r>
          </w:p>
        </w:tc>
        <w:tc>
          <w:tcPr>
            <w:tcW w:w="857" w:type="dxa"/>
            <w:tcBorders>
              <w:top w:val="nil"/>
              <w:left w:val="nil"/>
              <w:bottom w:val="single" w:sz="4" w:space="0" w:color="auto"/>
              <w:right w:val="single" w:sz="4" w:space="0" w:color="auto"/>
            </w:tcBorders>
            <w:shd w:val="clear" w:color="auto" w:fill="auto"/>
            <w:noWrap/>
            <w:vAlign w:val="center"/>
            <w:hideMark/>
          </w:tcPr>
          <w:p w14:paraId="417845C6"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 </w:t>
            </w:r>
          </w:p>
        </w:tc>
        <w:tc>
          <w:tcPr>
            <w:tcW w:w="618" w:type="dxa"/>
            <w:tcBorders>
              <w:top w:val="nil"/>
              <w:left w:val="nil"/>
              <w:bottom w:val="single" w:sz="4" w:space="0" w:color="auto"/>
              <w:right w:val="single" w:sz="4" w:space="0" w:color="auto"/>
            </w:tcBorders>
            <w:shd w:val="clear" w:color="auto" w:fill="auto"/>
            <w:noWrap/>
            <w:vAlign w:val="center"/>
            <w:hideMark/>
          </w:tcPr>
          <w:p w14:paraId="3E19A109" w14:textId="77777777" w:rsidR="00C71766" w:rsidRPr="00C71766" w:rsidRDefault="00C71766" w:rsidP="00C71766">
            <w:pPr>
              <w:keepNext/>
              <w:jc w:val="center"/>
              <w:rPr>
                <w:rFonts w:ascii="Calibri" w:hAnsi="Calibri" w:cs="Calibri"/>
                <w:color w:val="000000"/>
                <w:sz w:val="18"/>
              </w:rPr>
            </w:pPr>
            <w:r w:rsidRPr="00C71766">
              <w:rPr>
                <w:rFonts w:ascii="Calibri" w:hAnsi="Calibri" w:cs="Calibri"/>
                <w:color w:val="000000"/>
                <w:sz w:val="18"/>
              </w:rPr>
              <w:t> </w:t>
            </w:r>
          </w:p>
        </w:tc>
        <w:tc>
          <w:tcPr>
            <w:tcW w:w="980" w:type="dxa"/>
            <w:tcBorders>
              <w:top w:val="nil"/>
              <w:left w:val="nil"/>
              <w:bottom w:val="single" w:sz="4" w:space="0" w:color="auto"/>
              <w:right w:val="nil"/>
            </w:tcBorders>
            <w:shd w:val="clear" w:color="auto" w:fill="auto"/>
            <w:noWrap/>
            <w:vAlign w:val="center"/>
            <w:hideMark/>
          </w:tcPr>
          <w:p w14:paraId="7843A384" w14:textId="77777777" w:rsidR="00C71766" w:rsidRPr="00C71766" w:rsidRDefault="00C71766" w:rsidP="00C71766">
            <w:pPr>
              <w:keepNext/>
              <w:jc w:val="center"/>
              <w:rPr>
                <w:rFonts w:ascii="Calibri" w:hAnsi="Calibri" w:cs="Calibri"/>
                <w:b/>
                <w:bCs/>
                <w:color w:val="000000"/>
                <w:sz w:val="18"/>
              </w:rPr>
            </w:pPr>
            <w:r w:rsidRPr="00C71766">
              <w:rPr>
                <w:rFonts w:ascii="Calibri" w:hAnsi="Calibri" w:cs="Calibri"/>
                <w:b/>
                <w:bCs/>
                <w:color w:val="000000"/>
                <w:sz w:val="18"/>
              </w:rPr>
              <w:t>0.84</w:t>
            </w:r>
          </w:p>
        </w:tc>
        <w:tc>
          <w:tcPr>
            <w:tcW w:w="1087" w:type="dxa"/>
            <w:tcBorders>
              <w:top w:val="nil"/>
              <w:left w:val="double" w:sz="6" w:space="0" w:color="auto"/>
              <w:bottom w:val="single" w:sz="4" w:space="0" w:color="auto"/>
              <w:right w:val="single" w:sz="4" w:space="0" w:color="auto"/>
            </w:tcBorders>
            <w:shd w:val="clear" w:color="auto" w:fill="auto"/>
            <w:noWrap/>
            <w:vAlign w:val="center"/>
            <w:hideMark/>
          </w:tcPr>
          <w:p w14:paraId="55E50992" w14:textId="77777777" w:rsidR="00C71766" w:rsidRPr="00C71766" w:rsidRDefault="00C71766" w:rsidP="000F0960">
            <w:pPr>
              <w:keepNext/>
              <w:jc w:val="center"/>
              <w:rPr>
                <w:rFonts w:ascii="Calibri" w:hAnsi="Calibri" w:cs="Calibri"/>
                <w:b/>
                <w:bCs/>
                <w:color w:val="000000"/>
                <w:sz w:val="18"/>
              </w:rPr>
            </w:pPr>
            <w:r w:rsidRPr="00C71766">
              <w:rPr>
                <w:rFonts w:ascii="Calibri" w:hAnsi="Calibri" w:cs="Calibri"/>
                <w:b/>
                <w:bCs/>
                <w:color w:val="000000"/>
                <w:sz w:val="18"/>
              </w:rPr>
              <w:t>0%</w:t>
            </w:r>
          </w:p>
        </w:tc>
      </w:tr>
    </w:tbl>
    <w:p w14:paraId="0ACA11C9" w14:textId="195EA64F" w:rsidR="00B831D5" w:rsidRDefault="00B831D5" w:rsidP="00B831D5"/>
    <w:p w14:paraId="5F1ED181" w14:textId="77777777" w:rsidR="005A5E0E" w:rsidRDefault="005A5E0E" w:rsidP="00B831D5"/>
    <w:p w14:paraId="05190FAF" w14:textId="77777777" w:rsidR="00B831D5" w:rsidRPr="00284DB8" w:rsidRDefault="00B831D5" w:rsidP="00031F1D">
      <w:pPr>
        <w:keepNext/>
        <w:rPr>
          <w:i/>
        </w:rPr>
      </w:pPr>
      <w:r w:rsidRPr="00284DB8">
        <w:rPr>
          <w:i/>
        </w:rPr>
        <w:t xml:space="preserve">Detailed </w:t>
      </w:r>
      <w:r w:rsidR="0019640A" w:rsidRPr="00284DB8">
        <w:rPr>
          <w:i/>
        </w:rPr>
        <w:t xml:space="preserve">Wing </w:t>
      </w:r>
      <w:r w:rsidRPr="00284DB8">
        <w:rPr>
          <w:i/>
        </w:rPr>
        <w:t>Method</w:t>
      </w:r>
    </w:p>
    <w:p w14:paraId="2D7B60E0" w14:textId="08C02272" w:rsidR="00B831D5" w:rsidRDefault="00505569" w:rsidP="00D92CED">
      <w:pPr>
        <w:ind w:firstLine="288"/>
      </w:pPr>
      <w:r>
        <w:t>As described above</w:t>
      </w:r>
      <w:r w:rsidR="00F91B12">
        <w:t>,</w:t>
      </w:r>
      <w:r>
        <w:t xml:space="preserve"> </w:t>
      </w:r>
      <w:r w:rsidR="0022248B">
        <w:t>the first validation step for the proposed method was to compare it with the existing method</w:t>
      </w:r>
      <w:r w:rsidR="00B61B80">
        <w:t xml:space="preserve"> to ensure </w:t>
      </w:r>
      <w:r w:rsidR="009A3CBB">
        <w:t>the two methods</w:t>
      </w:r>
      <w:r w:rsidR="00B61B80">
        <w:t xml:space="preserve"> provide consistent results for aircraft that are physically the same</w:t>
      </w:r>
      <w:r w:rsidR="00BB2E76">
        <w:t>.</w:t>
      </w:r>
      <w:r w:rsidR="00B61B80">
        <w:t xml:space="preserve"> Using the methods described above to divide engines into multiple sets</w:t>
      </w:r>
      <w:r w:rsidR="009A3CBB">
        <w:t>,</w:t>
      </w:r>
      <w:r w:rsidR="00BB2E76">
        <w:t xml:space="preserve"> </w:t>
      </w:r>
      <w:r w:rsidR="00F91B12">
        <w:t>seventy-nine</w:t>
      </w:r>
      <w:r w:rsidR="00BB2E76">
        <w:t xml:space="preserve"> </w:t>
      </w:r>
      <w:r w:rsidR="009A3CBB">
        <w:t>configurations</w:t>
      </w:r>
      <w:r w:rsidR="00BB2E76">
        <w:t xml:space="preserve"> were evaluated</w:t>
      </w:r>
      <w:r w:rsidR="00B61B80">
        <w:t xml:space="preserve"> on a variety of wing </w:t>
      </w:r>
      <w:r w:rsidR="00A6620E">
        <w:t xml:space="preserve">geometries with variations in </w:t>
      </w:r>
      <w:r w:rsidR="00B61B80">
        <w:t>e</w:t>
      </w:r>
      <w:r w:rsidR="00A6620E">
        <w:t>ngine</w:t>
      </w:r>
      <w:r w:rsidR="0022248B">
        <w:t xml:space="preserve"> location, weight, and number</w:t>
      </w:r>
      <w:r w:rsidR="00BB2E76">
        <w:t>.</w:t>
      </w:r>
      <w:r w:rsidR="0022248B">
        <w:t xml:space="preserve"> </w:t>
      </w:r>
      <w:r w:rsidR="00B61B80">
        <w:t xml:space="preserve">The average difference between the EIRF calculated with the two methods was 0.38% with the maximum difference of </w:t>
      </w:r>
      <w:r w:rsidR="00BB2E76">
        <w:t>1.35%</w:t>
      </w:r>
      <w:r w:rsidR="00B61B80">
        <w:t>. While ideally the proposed method would provide the exact same result, an</w:t>
      </w:r>
      <w:r w:rsidR="00A6620E">
        <w:t xml:space="preserve"> average difference of 0.38% is </w:t>
      </w:r>
      <w:r w:rsidR="009A3CBB">
        <w:t>acceptable given the increased capabilities</w:t>
      </w:r>
      <w:r w:rsidR="00BB2E76">
        <w:t xml:space="preserve">. </w:t>
      </w:r>
    </w:p>
    <w:p w14:paraId="714042F8" w14:textId="18BBE807" w:rsidR="00B831D5" w:rsidRDefault="00284DB8" w:rsidP="00AE1A4D">
      <w:pPr>
        <w:ind w:firstLine="288"/>
      </w:pPr>
      <w:r>
        <w:t xml:space="preserve">To evaluate </w:t>
      </w:r>
      <w:r w:rsidR="009A3CBB">
        <w:t>configurations</w:t>
      </w:r>
      <w:r>
        <w:t xml:space="preserve"> that the current LEAPS method could not, r</w:t>
      </w:r>
      <w:r w:rsidR="00DB42DF">
        <w:t xml:space="preserve">esults from the </w:t>
      </w:r>
      <w:r>
        <w:t xml:space="preserve">proposed </w:t>
      </w:r>
      <w:r w:rsidR="00DB42DF">
        <w:t>method were compared with both SU</w:t>
      </w:r>
      <w:r w:rsidR="00B1033E">
        <w:t>IT</w:t>
      </w:r>
      <w:r w:rsidR="00DB42DF">
        <w:t>CASE and AMMIT</w:t>
      </w:r>
      <w:r>
        <w:t xml:space="preserve"> structural analysis tools</w:t>
      </w:r>
      <w:r w:rsidR="00DB42DF">
        <w:t xml:space="preserve">. The general approach was to evaluate an </w:t>
      </w:r>
      <w:r>
        <w:t xml:space="preserve">aircraft to </w:t>
      </w:r>
      <w:r w:rsidR="00A31092">
        <w:t>establish</w:t>
      </w:r>
      <w:r>
        <w:t xml:space="preserve"> a baseline wing structural weight and then</w:t>
      </w:r>
      <w:r w:rsidR="00DB42DF">
        <w:t xml:space="preserve"> </w:t>
      </w:r>
      <w:r>
        <w:t xml:space="preserve">evaluate cases with varying </w:t>
      </w:r>
      <w:r w:rsidR="00DB42DF">
        <w:t>number</w:t>
      </w:r>
      <w:r>
        <w:t>s</w:t>
      </w:r>
      <w:r w:rsidR="00DB42DF">
        <w:t xml:space="preserve"> and location</w:t>
      </w:r>
      <w:r>
        <w:t>s</w:t>
      </w:r>
      <w:r w:rsidR="00DB42DF">
        <w:t xml:space="preserve"> of engines. </w:t>
      </w:r>
      <w:r>
        <w:t>Approximations of the ATR-42, Boeing 737</w:t>
      </w:r>
      <w:r w:rsidR="00DB42DF">
        <w:t xml:space="preserve">, </w:t>
      </w:r>
      <w:r>
        <w:t xml:space="preserve">and </w:t>
      </w:r>
      <w:r w:rsidR="00DB42DF">
        <w:t>Boeing 777</w:t>
      </w:r>
      <w:r>
        <w:t xml:space="preserve"> were used as baseline aircraft in this comparison</w:t>
      </w:r>
      <w:r w:rsidR="00DB42DF">
        <w:t xml:space="preserve">. </w:t>
      </w:r>
    </w:p>
    <w:p w14:paraId="49561CE1" w14:textId="3FC5CA7B" w:rsidR="00D25DD1" w:rsidRDefault="000D78B6" w:rsidP="00E14FD6">
      <w:pPr>
        <w:tabs>
          <w:tab w:val="left" w:pos="288"/>
        </w:tabs>
      </w:pPr>
      <w:r>
        <w:tab/>
      </w:r>
      <w:r w:rsidR="00E14FD6">
        <w:t xml:space="preserve">The approach </w:t>
      </w:r>
      <w:r w:rsidR="00D25DD1">
        <w:t xml:space="preserve">for </w:t>
      </w:r>
      <w:r w:rsidR="009A3CBB">
        <w:t xml:space="preserve">selecting cases for </w:t>
      </w:r>
      <w:r w:rsidR="00D25DD1">
        <w:t>the Boeing 777 was to gradually vary the weighting between two</w:t>
      </w:r>
      <w:r w:rsidR="00E14FD6">
        <w:t xml:space="preserve"> sets of</w:t>
      </w:r>
      <w:r w:rsidR="00D25DD1">
        <w:t xml:space="preserve"> engines</w:t>
      </w:r>
      <w:r w:rsidR="00E14FD6">
        <w:t xml:space="preserve">. </w:t>
      </w:r>
      <w:r w:rsidR="00D25DD1">
        <w:t>The first set includes two engines located at approximately 30% span. The second set includes thirty</w:t>
      </w:r>
      <w:r w:rsidR="00835BA7">
        <w:t>-</w:t>
      </w:r>
      <w:r w:rsidR="00D25DD1">
        <w:t xml:space="preserve">two engines distributed on the wing. By </w:t>
      </w:r>
      <w:r w:rsidR="009A3CBB">
        <w:t xml:space="preserve">holding the total engine weight constant and </w:t>
      </w:r>
      <w:r w:rsidR="00D25DD1">
        <w:t xml:space="preserve">varying the weight between the two sets, it is possible to evaluate the performance of the method for aircraft dominated by either large discrete engines </w:t>
      </w:r>
      <w:r w:rsidR="00124EFE">
        <w:t>or</w:t>
      </w:r>
      <w:r w:rsidR="00D25DD1">
        <w:t xml:space="preserve"> distributed propulsion. </w:t>
      </w:r>
      <w:r w:rsidR="00775BF5">
        <w:t>The semi-span configuration of b</w:t>
      </w:r>
      <w:r w:rsidR="00D25DD1">
        <w:t xml:space="preserve">oth sets </w:t>
      </w:r>
      <w:r w:rsidR="009A3CBB">
        <w:t xml:space="preserve">of engines </w:t>
      </w:r>
      <w:r w:rsidR="00D25DD1">
        <w:t xml:space="preserve">and the weighting </w:t>
      </w:r>
      <w:r w:rsidR="00775BF5">
        <w:t>for each</w:t>
      </w:r>
      <w:r w:rsidR="00D25DD1">
        <w:t xml:space="preserve"> </w:t>
      </w:r>
      <w:r w:rsidR="00775BF5">
        <w:t>analyzed configuration</w:t>
      </w:r>
      <w:r w:rsidR="00D25DD1">
        <w:t xml:space="preserve"> is shown in</w:t>
      </w:r>
      <w:r w:rsidR="00446C4A">
        <w:t xml:space="preserve"> Table 3</w:t>
      </w:r>
      <w:r w:rsidR="00D25DD1">
        <w:t>.</w:t>
      </w:r>
    </w:p>
    <w:p w14:paraId="7D6ED30F" w14:textId="6206BDD3" w:rsidR="002E5225" w:rsidRDefault="00D25DD1" w:rsidP="00E14FD6">
      <w:pPr>
        <w:tabs>
          <w:tab w:val="left" w:pos="288"/>
        </w:tabs>
      </w:pPr>
      <w:r>
        <w:tab/>
      </w:r>
      <w:r w:rsidR="009A3CBB">
        <w:t>A comparison of the primary structural wing weight calculated with SUITCASE and the proposed LEAPS method</w:t>
      </w:r>
      <w:r>
        <w:t xml:space="preserve"> </w:t>
      </w:r>
      <w:r w:rsidR="009A3CBB">
        <w:t>for</w:t>
      </w:r>
      <w:r>
        <w:t xml:space="preserve"> </w:t>
      </w:r>
      <w:r w:rsidR="009A3CBB">
        <w:t>each of these</w:t>
      </w:r>
      <w:r>
        <w:t xml:space="preserve"> cases </w:t>
      </w:r>
      <w:r w:rsidR="009A3CBB">
        <w:t>is</w:t>
      </w:r>
      <w:r>
        <w:t xml:space="preserve"> shown in </w:t>
      </w:r>
      <w:r w:rsidR="00FC6950">
        <w:t>Figure 2</w:t>
      </w:r>
      <w:r>
        <w:t xml:space="preserve">. The engine set weighting factor plotted on the horizontal axis is </w:t>
      </w:r>
      <w:r w:rsidR="009A3CBB">
        <w:t xml:space="preserve">percentage </w:t>
      </w:r>
      <w:r w:rsidR="009A3CBB">
        <w:lastRenderedPageBreak/>
        <w:t>of the total engine weight attributed to the</w:t>
      </w:r>
      <w:r>
        <w:t xml:space="preserve"> </w:t>
      </w:r>
      <w:r w:rsidR="00880FFC">
        <w:t>two engine</w:t>
      </w:r>
      <w:r>
        <w:t xml:space="preserve"> set</w:t>
      </w:r>
      <w:r w:rsidR="00062F0D">
        <w:t xml:space="preserve">, shown in the </w:t>
      </w:r>
      <w:r w:rsidR="00FA73EC">
        <w:t>second row of Table 3</w:t>
      </w:r>
      <w:r>
        <w:t>. A value of zero represents an aircraft with an entirely distributed engi</w:t>
      </w:r>
      <w:r w:rsidR="009A3CBB">
        <w:t>ne set</w:t>
      </w:r>
      <w:r w:rsidR="00F91B12">
        <w:t>,</w:t>
      </w:r>
      <w:r w:rsidR="009A3CBB">
        <w:t xml:space="preserve"> and</w:t>
      </w:r>
      <w:r>
        <w:t xml:space="preserve"> a</w:t>
      </w:r>
      <w:r w:rsidR="009A3CBB">
        <w:t xml:space="preserve"> value</w:t>
      </w:r>
      <w:r>
        <w:t xml:space="preserve"> of one represents an aircraft with two wing mounted engines. </w:t>
      </w:r>
    </w:p>
    <w:p w14:paraId="079EB617" w14:textId="401B0B6A" w:rsidR="00E14FD6" w:rsidRDefault="002E5225" w:rsidP="00E14FD6">
      <w:pPr>
        <w:tabs>
          <w:tab w:val="left" w:pos="288"/>
        </w:tabs>
      </w:pPr>
      <w:r>
        <w:tab/>
      </w:r>
      <w:r w:rsidR="00050F76">
        <w:t xml:space="preserve">The proposed LEAPS method reaches the maximum inertia relief benefit at an engine weighting factor of 50% whereas SUITCASE </w:t>
      </w:r>
      <w:r w:rsidR="00B25C6A">
        <w:t>reaches</w:t>
      </w:r>
      <w:r w:rsidR="00050F76">
        <w:t xml:space="preserve"> this point between 20% and 40%. </w:t>
      </w:r>
      <w:r>
        <w:t>Overall</w:t>
      </w:r>
      <w:r w:rsidR="00F91B12">
        <w:t>,</w:t>
      </w:r>
      <w:r>
        <w:t xml:space="preserve"> the maximum percent error between the methods was approximately only 4.5%. </w:t>
      </w:r>
      <w:r w:rsidR="00A62CB0">
        <w:t xml:space="preserve">This plot illustrates the </w:t>
      </w:r>
      <w:r w:rsidR="00093F4F">
        <w:t xml:space="preserve">capabilities </w:t>
      </w:r>
      <w:r w:rsidR="00A62CB0">
        <w:t>of the proposed method as t</w:t>
      </w:r>
      <w:r w:rsidR="00D25DD1">
        <w:t xml:space="preserve">he current LEAPS </w:t>
      </w:r>
      <w:r w:rsidR="00A62CB0">
        <w:t xml:space="preserve">inertia relief </w:t>
      </w:r>
      <w:r w:rsidR="00D25DD1">
        <w:t xml:space="preserve">method could only analyze the </w:t>
      </w:r>
      <w:r w:rsidR="00A62CB0">
        <w:t>cases at either extreme end of the plot</w:t>
      </w:r>
      <w:r w:rsidR="00701A5F">
        <w:t>,</w:t>
      </w:r>
      <w:r w:rsidR="00A62CB0">
        <w:t xml:space="preserve"> and the proposed</w:t>
      </w:r>
      <w:r w:rsidR="00D25DD1">
        <w:t xml:space="preserve"> </w:t>
      </w:r>
      <w:r w:rsidR="00A62CB0">
        <w:t>method</w:t>
      </w:r>
      <w:r w:rsidR="00D25DD1">
        <w:t xml:space="preserve"> allows for a blending of </w:t>
      </w:r>
      <w:r w:rsidR="00A62CB0">
        <w:t xml:space="preserve">both </w:t>
      </w:r>
      <w:r w:rsidR="00D25DD1">
        <w:t xml:space="preserve">engine sets. </w:t>
      </w:r>
    </w:p>
    <w:p w14:paraId="5E7EAF64" w14:textId="77777777" w:rsidR="00564BC2" w:rsidRDefault="00564BC2" w:rsidP="00E14FD6">
      <w:pPr>
        <w:tabs>
          <w:tab w:val="left" w:pos="288"/>
        </w:tabs>
      </w:pPr>
    </w:p>
    <w:p w14:paraId="6EBC355E" w14:textId="6B4AF06D" w:rsidR="00E14FD6" w:rsidRDefault="00D25DD1" w:rsidP="00492B24">
      <w:pPr>
        <w:pStyle w:val="Caption"/>
        <w:keepNext/>
        <w:jc w:val="center"/>
      </w:pPr>
      <w:bookmarkStart w:id="5" w:name="_Ref53584344"/>
      <w:r>
        <w:t xml:space="preserve">Table </w:t>
      </w:r>
      <w:bookmarkEnd w:id="5"/>
      <w:r w:rsidR="00446C4A">
        <w:t>3</w:t>
      </w:r>
      <w:r w:rsidR="00492B24">
        <w:t xml:space="preserve"> Division of engine weights and locations for Boeing </w:t>
      </w:r>
      <w:r>
        <w:t xml:space="preserve">777 evaluation </w:t>
      </w:r>
      <w:r w:rsidR="00492B24">
        <w:t xml:space="preserve">shown </w:t>
      </w:r>
      <w:r>
        <w:t xml:space="preserve">in </w:t>
      </w:r>
      <w:r w:rsidR="00FC6950">
        <w:t>Figure 2</w:t>
      </w:r>
      <w:r>
        <w:t>.</w:t>
      </w:r>
    </w:p>
    <w:tbl>
      <w:tblPr>
        <w:tblW w:w="8943" w:type="dxa"/>
        <w:jc w:val="center"/>
        <w:tblLook w:val="04A0" w:firstRow="1" w:lastRow="0" w:firstColumn="1" w:lastColumn="0" w:noHBand="0" w:noVBand="1"/>
      </w:tblPr>
      <w:tblGrid>
        <w:gridCol w:w="1059"/>
        <w:gridCol w:w="1064"/>
        <w:gridCol w:w="864"/>
        <w:gridCol w:w="680"/>
        <w:gridCol w:w="680"/>
        <w:gridCol w:w="680"/>
        <w:gridCol w:w="680"/>
        <w:gridCol w:w="680"/>
        <w:gridCol w:w="680"/>
        <w:gridCol w:w="680"/>
        <w:gridCol w:w="680"/>
        <w:gridCol w:w="680"/>
      </w:tblGrid>
      <w:tr w:rsidR="00492B24" w:rsidRPr="00492B24" w14:paraId="314053B3" w14:textId="77777777" w:rsidTr="00635BDF">
        <w:trPr>
          <w:trHeight w:val="179"/>
          <w:jc w:val="center"/>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84D03" w14:textId="77777777" w:rsidR="00492B24" w:rsidRPr="00564BC2" w:rsidRDefault="00492B24" w:rsidP="00492B24">
            <w:pPr>
              <w:keepNext/>
              <w:jc w:val="center"/>
              <w:rPr>
                <w:rFonts w:ascii="Calibri" w:hAnsi="Calibri" w:cs="Calibri"/>
                <w:b/>
                <w:color w:val="000000"/>
                <w:sz w:val="18"/>
                <w:szCs w:val="18"/>
              </w:rPr>
            </w:pPr>
            <w:r w:rsidRPr="00564BC2">
              <w:rPr>
                <w:rFonts w:ascii="Calibri" w:hAnsi="Calibri" w:cs="Calibri"/>
                <w:b/>
                <w:color w:val="000000"/>
                <w:sz w:val="18"/>
                <w:szCs w:val="18"/>
              </w:rPr>
              <w:t> </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14:paraId="678F3B49" w14:textId="77777777" w:rsidR="00492B24" w:rsidRPr="00564BC2" w:rsidRDefault="00492B24" w:rsidP="00492B24">
            <w:pPr>
              <w:keepNext/>
              <w:jc w:val="center"/>
              <w:rPr>
                <w:rFonts w:ascii="Calibri" w:hAnsi="Calibri" w:cs="Calibri"/>
                <w:b/>
                <w:color w:val="000000"/>
                <w:sz w:val="18"/>
                <w:szCs w:val="18"/>
              </w:rPr>
            </w:pPr>
            <w:r w:rsidRPr="00564BC2">
              <w:rPr>
                <w:rFonts w:ascii="Calibri" w:hAnsi="Calibri" w:cs="Calibri"/>
                <w:b/>
                <w:color w:val="000000"/>
                <w:sz w:val="18"/>
                <w:szCs w:val="18"/>
              </w:rPr>
              <w:t> </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7CE25F7E" w14:textId="77777777" w:rsidR="00492B24" w:rsidRPr="00564BC2" w:rsidRDefault="00492B24" w:rsidP="00492B24">
            <w:pPr>
              <w:keepNext/>
              <w:jc w:val="center"/>
              <w:rPr>
                <w:rFonts w:ascii="Calibri" w:hAnsi="Calibri" w:cs="Calibri"/>
                <w:b/>
                <w:color w:val="000000"/>
                <w:sz w:val="18"/>
                <w:szCs w:val="18"/>
              </w:rPr>
            </w:pPr>
            <w:r w:rsidRPr="00564BC2">
              <w:rPr>
                <w:rFonts w:ascii="Calibri" w:hAnsi="Calibri" w:cs="Calibri"/>
                <w:b/>
                <w:color w:val="000000"/>
                <w:sz w:val="18"/>
                <w:szCs w:val="18"/>
              </w:rPr>
              <w:t>Span Location</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3766E45" w14:textId="77777777" w:rsidR="00492B24" w:rsidRPr="00564BC2" w:rsidRDefault="00492B24" w:rsidP="00492B24">
            <w:pPr>
              <w:keepNext/>
              <w:jc w:val="center"/>
              <w:rPr>
                <w:rFonts w:ascii="Calibri" w:hAnsi="Calibri" w:cs="Calibri"/>
                <w:b/>
                <w:color w:val="000000"/>
                <w:sz w:val="18"/>
                <w:szCs w:val="18"/>
              </w:rPr>
            </w:pPr>
            <w:r w:rsidRPr="00564BC2">
              <w:rPr>
                <w:rFonts w:ascii="Calibri" w:hAnsi="Calibri" w:cs="Calibri"/>
                <w:b/>
                <w:color w:val="000000"/>
                <w:sz w:val="18"/>
                <w:szCs w:val="18"/>
              </w:rPr>
              <w:t>Case 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1710C88" w14:textId="77777777" w:rsidR="00492B24" w:rsidRPr="00564BC2" w:rsidRDefault="00492B24" w:rsidP="00492B24">
            <w:pPr>
              <w:keepNext/>
              <w:jc w:val="center"/>
              <w:rPr>
                <w:rFonts w:ascii="Calibri" w:hAnsi="Calibri" w:cs="Calibri"/>
                <w:b/>
                <w:color w:val="000000"/>
                <w:sz w:val="18"/>
                <w:szCs w:val="18"/>
              </w:rPr>
            </w:pPr>
            <w:r w:rsidRPr="00564BC2">
              <w:rPr>
                <w:rFonts w:ascii="Calibri" w:hAnsi="Calibri" w:cs="Calibri"/>
                <w:b/>
                <w:color w:val="000000"/>
                <w:sz w:val="18"/>
                <w:szCs w:val="18"/>
              </w:rPr>
              <w:t>Case 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8FA917A" w14:textId="77777777" w:rsidR="00492B24" w:rsidRPr="00564BC2" w:rsidRDefault="00492B24" w:rsidP="00492B24">
            <w:pPr>
              <w:keepNext/>
              <w:jc w:val="center"/>
              <w:rPr>
                <w:rFonts w:ascii="Calibri" w:hAnsi="Calibri" w:cs="Calibri"/>
                <w:b/>
                <w:color w:val="000000"/>
                <w:sz w:val="18"/>
                <w:szCs w:val="18"/>
              </w:rPr>
            </w:pPr>
            <w:r w:rsidRPr="00564BC2">
              <w:rPr>
                <w:rFonts w:ascii="Calibri" w:hAnsi="Calibri" w:cs="Calibri"/>
                <w:b/>
                <w:color w:val="000000"/>
                <w:sz w:val="18"/>
                <w:szCs w:val="18"/>
              </w:rPr>
              <w:t>Case 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FABC785" w14:textId="77777777" w:rsidR="00492B24" w:rsidRPr="00564BC2" w:rsidRDefault="00492B24" w:rsidP="00492B24">
            <w:pPr>
              <w:keepNext/>
              <w:jc w:val="center"/>
              <w:rPr>
                <w:rFonts w:ascii="Calibri" w:hAnsi="Calibri" w:cs="Calibri"/>
                <w:b/>
                <w:color w:val="000000"/>
                <w:sz w:val="18"/>
                <w:szCs w:val="18"/>
              </w:rPr>
            </w:pPr>
            <w:r w:rsidRPr="00564BC2">
              <w:rPr>
                <w:rFonts w:ascii="Calibri" w:hAnsi="Calibri" w:cs="Calibri"/>
                <w:b/>
                <w:color w:val="000000"/>
                <w:sz w:val="18"/>
                <w:szCs w:val="18"/>
              </w:rPr>
              <w:t>Case 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C11F6C1" w14:textId="77777777" w:rsidR="00492B24" w:rsidRPr="00564BC2" w:rsidRDefault="00492B24" w:rsidP="00492B24">
            <w:pPr>
              <w:keepNext/>
              <w:jc w:val="center"/>
              <w:rPr>
                <w:rFonts w:ascii="Calibri" w:hAnsi="Calibri" w:cs="Calibri"/>
                <w:b/>
                <w:color w:val="000000"/>
                <w:sz w:val="18"/>
                <w:szCs w:val="18"/>
              </w:rPr>
            </w:pPr>
            <w:r w:rsidRPr="00564BC2">
              <w:rPr>
                <w:rFonts w:ascii="Calibri" w:hAnsi="Calibri" w:cs="Calibri"/>
                <w:b/>
                <w:color w:val="000000"/>
                <w:sz w:val="18"/>
                <w:szCs w:val="18"/>
              </w:rPr>
              <w:t>Case 5</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8344839" w14:textId="77777777" w:rsidR="00492B24" w:rsidRPr="00564BC2" w:rsidRDefault="00492B24" w:rsidP="00492B24">
            <w:pPr>
              <w:keepNext/>
              <w:jc w:val="center"/>
              <w:rPr>
                <w:rFonts w:ascii="Calibri" w:hAnsi="Calibri" w:cs="Calibri"/>
                <w:b/>
                <w:color w:val="000000"/>
                <w:sz w:val="18"/>
                <w:szCs w:val="18"/>
              </w:rPr>
            </w:pPr>
            <w:r w:rsidRPr="00564BC2">
              <w:rPr>
                <w:rFonts w:ascii="Calibri" w:hAnsi="Calibri" w:cs="Calibri"/>
                <w:b/>
                <w:color w:val="000000"/>
                <w:sz w:val="18"/>
                <w:szCs w:val="18"/>
              </w:rPr>
              <w:t>Case 6</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8C35ACB" w14:textId="77777777" w:rsidR="00492B24" w:rsidRPr="00564BC2" w:rsidRDefault="00492B24" w:rsidP="00492B24">
            <w:pPr>
              <w:keepNext/>
              <w:jc w:val="center"/>
              <w:rPr>
                <w:rFonts w:ascii="Calibri" w:hAnsi="Calibri" w:cs="Calibri"/>
                <w:b/>
                <w:color w:val="000000"/>
                <w:sz w:val="18"/>
                <w:szCs w:val="18"/>
              </w:rPr>
            </w:pPr>
            <w:r w:rsidRPr="00564BC2">
              <w:rPr>
                <w:rFonts w:ascii="Calibri" w:hAnsi="Calibri" w:cs="Calibri"/>
                <w:b/>
                <w:color w:val="000000"/>
                <w:sz w:val="18"/>
                <w:szCs w:val="18"/>
              </w:rPr>
              <w:t>Case 7</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97EFE67" w14:textId="77777777" w:rsidR="00492B24" w:rsidRPr="00564BC2" w:rsidRDefault="00492B24" w:rsidP="00492B24">
            <w:pPr>
              <w:keepNext/>
              <w:jc w:val="center"/>
              <w:rPr>
                <w:rFonts w:ascii="Calibri" w:hAnsi="Calibri" w:cs="Calibri"/>
                <w:b/>
                <w:color w:val="000000"/>
                <w:sz w:val="18"/>
                <w:szCs w:val="18"/>
              </w:rPr>
            </w:pPr>
            <w:r w:rsidRPr="00564BC2">
              <w:rPr>
                <w:rFonts w:ascii="Calibri" w:hAnsi="Calibri" w:cs="Calibri"/>
                <w:b/>
                <w:color w:val="000000"/>
                <w:sz w:val="18"/>
                <w:szCs w:val="18"/>
              </w:rPr>
              <w:t>Case 8</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7F29B64" w14:textId="77777777" w:rsidR="00492B24" w:rsidRPr="00564BC2" w:rsidRDefault="00492B24" w:rsidP="00492B24">
            <w:pPr>
              <w:keepNext/>
              <w:jc w:val="center"/>
              <w:rPr>
                <w:rFonts w:ascii="Calibri" w:hAnsi="Calibri" w:cs="Calibri"/>
                <w:b/>
                <w:color w:val="000000"/>
                <w:sz w:val="18"/>
                <w:szCs w:val="18"/>
              </w:rPr>
            </w:pPr>
            <w:r w:rsidRPr="00564BC2">
              <w:rPr>
                <w:rFonts w:ascii="Calibri" w:hAnsi="Calibri" w:cs="Calibri"/>
                <w:b/>
                <w:color w:val="000000"/>
                <w:sz w:val="18"/>
                <w:szCs w:val="18"/>
              </w:rPr>
              <w:t>Case 9</w:t>
            </w:r>
          </w:p>
        </w:tc>
      </w:tr>
      <w:tr w:rsidR="00492B24" w:rsidRPr="00492B24" w14:paraId="589A2510" w14:textId="77777777" w:rsidTr="00635BDF">
        <w:trPr>
          <w:trHeight w:val="278"/>
          <w:jc w:val="center"/>
        </w:trPr>
        <w:tc>
          <w:tcPr>
            <w:tcW w:w="895" w:type="dxa"/>
            <w:tcBorders>
              <w:top w:val="nil"/>
              <w:left w:val="single" w:sz="4" w:space="0" w:color="auto"/>
              <w:bottom w:val="single" w:sz="8" w:space="0" w:color="auto"/>
              <w:right w:val="single" w:sz="4" w:space="0" w:color="auto"/>
            </w:tcBorders>
            <w:shd w:val="clear" w:color="auto" w:fill="auto"/>
            <w:vAlign w:val="center"/>
            <w:hideMark/>
          </w:tcPr>
          <w:p w14:paraId="0BD7C3FC" w14:textId="77777777" w:rsidR="00492B24" w:rsidRPr="00564BC2" w:rsidRDefault="00492B24" w:rsidP="00492B24">
            <w:pPr>
              <w:keepNext/>
              <w:jc w:val="center"/>
              <w:rPr>
                <w:rFonts w:ascii="Calibri" w:hAnsi="Calibri" w:cs="Calibri"/>
                <w:b/>
                <w:color w:val="000000"/>
                <w:sz w:val="18"/>
                <w:szCs w:val="18"/>
              </w:rPr>
            </w:pPr>
            <w:r w:rsidRPr="00564BC2">
              <w:rPr>
                <w:rFonts w:ascii="Calibri" w:hAnsi="Calibri" w:cs="Calibri"/>
                <w:b/>
                <w:color w:val="000000"/>
                <w:sz w:val="18"/>
                <w:szCs w:val="18"/>
              </w:rPr>
              <w:t>Two Engine Set</w:t>
            </w:r>
          </w:p>
        </w:tc>
        <w:tc>
          <w:tcPr>
            <w:tcW w:w="1064" w:type="dxa"/>
            <w:tcBorders>
              <w:top w:val="nil"/>
              <w:left w:val="nil"/>
              <w:bottom w:val="single" w:sz="8" w:space="0" w:color="auto"/>
              <w:right w:val="single" w:sz="4" w:space="0" w:color="auto"/>
            </w:tcBorders>
            <w:shd w:val="clear" w:color="auto" w:fill="auto"/>
            <w:vAlign w:val="center"/>
            <w:hideMark/>
          </w:tcPr>
          <w:p w14:paraId="6F8658BC"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Engine 1</w:t>
            </w:r>
          </w:p>
        </w:tc>
        <w:tc>
          <w:tcPr>
            <w:tcW w:w="864" w:type="dxa"/>
            <w:tcBorders>
              <w:top w:val="nil"/>
              <w:left w:val="nil"/>
              <w:bottom w:val="single" w:sz="8" w:space="0" w:color="auto"/>
              <w:right w:val="single" w:sz="4" w:space="0" w:color="auto"/>
            </w:tcBorders>
            <w:shd w:val="clear" w:color="auto" w:fill="auto"/>
            <w:noWrap/>
            <w:vAlign w:val="center"/>
            <w:hideMark/>
          </w:tcPr>
          <w:p w14:paraId="10071B5C"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30%</w:t>
            </w:r>
          </w:p>
        </w:tc>
        <w:tc>
          <w:tcPr>
            <w:tcW w:w="680" w:type="dxa"/>
            <w:tcBorders>
              <w:top w:val="nil"/>
              <w:left w:val="nil"/>
              <w:bottom w:val="single" w:sz="8" w:space="0" w:color="auto"/>
              <w:right w:val="single" w:sz="4" w:space="0" w:color="auto"/>
            </w:tcBorders>
            <w:shd w:val="clear" w:color="auto" w:fill="auto"/>
            <w:noWrap/>
            <w:vAlign w:val="center"/>
            <w:hideMark/>
          </w:tcPr>
          <w:p w14:paraId="7BB16405"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100%</w:t>
            </w:r>
          </w:p>
        </w:tc>
        <w:tc>
          <w:tcPr>
            <w:tcW w:w="680" w:type="dxa"/>
            <w:tcBorders>
              <w:top w:val="nil"/>
              <w:left w:val="nil"/>
              <w:bottom w:val="single" w:sz="8" w:space="0" w:color="auto"/>
              <w:right w:val="single" w:sz="4" w:space="0" w:color="auto"/>
            </w:tcBorders>
            <w:shd w:val="clear" w:color="auto" w:fill="auto"/>
            <w:noWrap/>
            <w:vAlign w:val="center"/>
            <w:hideMark/>
          </w:tcPr>
          <w:p w14:paraId="5F571E95"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90%</w:t>
            </w:r>
          </w:p>
        </w:tc>
        <w:tc>
          <w:tcPr>
            <w:tcW w:w="680" w:type="dxa"/>
            <w:tcBorders>
              <w:top w:val="nil"/>
              <w:left w:val="nil"/>
              <w:bottom w:val="single" w:sz="8" w:space="0" w:color="auto"/>
              <w:right w:val="single" w:sz="4" w:space="0" w:color="auto"/>
            </w:tcBorders>
            <w:shd w:val="clear" w:color="auto" w:fill="auto"/>
            <w:noWrap/>
            <w:vAlign w:val="center"/>
            <w:hideMark/>
          </w:tcPr>
          <w:p w14:paraId="2C3D2341"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80%</w:t>
            </w:r>
          </w:p>
        </w:tc>
        <w:tc>
          <w:tcPr>
            <w:tcW w:w="680" w:type="dxa"/>
            <w:tcBorders>
              <w:top w:val="nil"/>
              <w:left w:val="nil"/>
              <w:bottom w:val="single" w:sz="8" w:space="0" w:color="auto"/>
              <w:right w:val="single" w:sz="4" w:space="0" w:color="auto"/>
            </w:tcBorders>
            <w:shd w:val="clear" w:color="auto" w:fill="auto"/>
            <w:noWrap/>
            <w:vAlign w:val="center"/>
            <w:hideMark/>
          </w:tcPr>
          <w:p w14:paraId="407E4862"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70%</w:t>
            </w:r>
          </w:p>
        </w:tc>
        <w:tc>
          <w:tcPr>
            <w:tcW w:w="680" w:type="dxa"/>
            <w:tcBorders>
              <w:top w:val="nil"/>
              <w:left w:val="nil"/>
              <w:bottom w:val="single" w:sz="8" w:space="0" w:color="auto"/>
              <w:right w:val="single" w:sz="4" w:space="0" w:color="auto"/>
            </w:tcBorders>
            <w:shd w:val="clear" w:color="auto" w:fill="auto"/>
            <w:noWrap/>
            <w:vAlign w:val="center"/>
            <w:hideMark/>
          </w:tcPr>
          <w:p w14:paraId="47ABB44A"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60%</w:t>
            </w:r>
          </w:p>
        </w:tc>
        <w:tc>
          <w:tcPr>
            <w:tcW w:w="680" w:type="dxa"/>
            <w:tcBorders>
              <w:top w:val="nil"/>
              <w:left w:val="nil"/>
              <w:bottom w:val="single" w:sz="8" w:space="0" w:color="auto"/>
              <w:right w:val="single" w:sz="4" w:space="0" w:color="auto"/>
            </w:tcBorders>
            <w:shd w:val="clear" w:color="auto" w:fill="auto"/>
            <w:noWrap/>
            <w:vAlign w:val="center"/>
            <w:hideMark/>
          </w:tcPr>
          <w:p w14:paraId="213048CF"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8" w:space="0" w:color="auto"/>
              <w:right w:val="single" w:sz="4" w:space="0" w:color="auto"/>
            </w:tcBorders>
            <w:shd w:val="clear" w:color="auto" w:fill="auto"/>
            <w:noWrap/>
            <w:vAlign w:val="center"/>
            <w:hideMark/>
          </w:tcPr>
          <w:p w14:paraId="54660371"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40%</w:t>
            </w:r>
          </w:p>
        </w:tc>
        <w:tc>
          <w:tcPr>
            <w:tcW w:w="680" w:type="dxa"/>
            <w:tcBorders>
              <w:top w:val="nil"/>
              <w:left w:val="nil"/>
              <w:bottom w:val="single" w:sz="8" w:space="0" w:color="auto"/>
              <w:right w:val="single" w:sz="4" w:space="0" w:color="auto"/>
            </w:tcBorders>
            <w:shd w:val="clear" w:color="auto" w:fill="auto"/>
            <w:noWrap/>
            <w:vAlign w:val="center"/>
            <w:hideMark/>
          </w:tcPr>
          <w:p w14:paraId="689EE283"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20%</w:t>
            </w:r>
          </w:p>
        </w:tc>
        <w:tc>
          <w:tcPr>
            <w:tcW w:w="680" w:type="dxa"/>
            <w:tcBorders>
              <w:top w:val="nil"/>
              <w:left w:val="nil"/>
              <w:bottom w:val="single" w:sz="8" w:space="0" w:color="auto"/>
              <w:right w:val="single" w:sz="4" w:space="0" w:color="auto"/>
            </w:tcBorders>
            <w:shd w:val="clear" w:color="auto" w:fill="auto"/>
            <w:noWrap/>
            <w:vAlign w:val="center"/>
            <w:hideMark/>
          </w:tcPr>
          <w:p w14:paraId="32649AFA"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w:t>
            </w:r>
          </w:p>
        </w:tc>
      </w:tr>
      <w:tr w:rsidR="00492B24" w:rsidRPr="00492B24" w14:paraId="4C598E6A" w14:textId="77777777" w:rsidTr="00635BDF">
        <w:trPr>
          <w:trHeight w:val="178"/>
          <w:jc w:val="center"/>
        </w:trPr>
        <w:tc>
          <w:tcPr>
            <w:tcW w:w="895" w:type="dxa"/>
            <w:vMerge w:val="restart"/>
            <w:tcBorders>
              <w:top w:val="nil"/>
              <w:left w:val="single" w:sz="4" w:space="0" w:color="auto"/>
              <w:bottom w:val="single" w:sz="4" w:space="0" w:color="auto"/>
              <w:right w:val="single" w:sz="4" w:space="0" w:color="auto"/>
            </w:tcBorders>
            <w:shd w:val="clear" w:color="auto" w:fill="auto"/>
            <w:vAlign w:val="center"/>
            <w:hideMark/>
          </w:tcPr>
          <w:p w14:paraId="2C8CB227" w14:textId="77777777" w:rsidR="00492B24" w:rsidRPr="00564BC2" w:rsidRDefault="00492B24" w:rsidP="00492B24">
            <w:pPr>
              <w:keepNext/>
              <w:jc w:val="center"/>
              <w:rPr>
                <w:rFonts w:ascii="Calibri" w:hAnsi="Calibri" w:cs="Calibri"/>
                <w:b/>
                <w:color w:val="000000"/>
                <w:sz w:val="18"/>
                <w:szCs w:val="18"/>
              </w:rPr>
            </w:pPr>
            <w:r w:rsidRPr="00564BC2">
              <w:rPr>
                <w:rFonts w:ascii="Calibri" w:hAnsi="Calibri" w:cs="Calibri"/>
                <w:b/>
                <w:color w:val="000000"/>
                <w:sz w:val="18"/>
                <w:szCs w:val="18"/>
              </w:rPr>
              <w:t>Distributed Engine Set</w:t>
            </w:r>
          </w:p>
        </w:tc>
        <w:tc>
          <w:tcPr>
            <w:tcW w:w="1064" w:type="dxa"/>
            <w:tcBorders>
              <w:top w:val="nil"/>
              <w:left w:val="nil"/>
              <w:bottom w:val="single" w:sz="4" w:space="0" w:color="auto"/>
              <w:right w:val="single" w:sz="4" w:space="0" w:color="auto"/>
            </w:tcBorders>
            <w:shd w:val="clear" w:color="auto" w:fill="auto"/>
            <w:vAlign w:val="center"/>
            <w:hideMark/>
          </w:tcPr>
          <w:p w14:paraId="2C9B45C1" w14:textId="18A71530"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 xml:space="preserve">Engine </w:t>
            </w:r>
            <w:r w:rsidR="0064613B">
              <w:rPr>
                <w:rFonts w:ascii="Calibri" w:hAnsi="Calibri" w:cs="Calibri"/>
                <w:color w:val="000000"/>
                <w:sz w:val="18"/>
                <w:szCs w:val="18"/>
              </w:rPr>
              <w:t>2</w:t>
            </w:r>
          </w:p>
        </w:tc>
        <w:tc>
          <w:tcPr>
            <w:tcW w:w="864" w:type="dxa"/>
            <w:tcBorders>
              <w:top w:val="nil"/>
              <w:left w:val="nil"/>
              <w:bottom w:val="single" w:sz="4" w:space="0" w:color="auto"/>
              <w:right w:val="single" w:sz="4" w:space="0" w:color="auto"/>
            </w:tcBorders>
            <w:shd w:val="clear" w:color="auto" w:fill="auto"/>
            <w:noWrap/>
            <w:vAlign w:val="center"/>
            <w:hideMark/>
          </w:tcPr>
          <w:p w14:paraId="5BCFD0CF"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4E8A6AEB"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w:t>
            </w:r>
          </w:p>
        </w:tc>
        <w:tc>
          <w:tcPr>
            <w:tcW w:w="680" w:type="dxa"/>
            <w:tcBorders>
              <w:top w:val="nil"/>
              <w:left w:val="nil"/>
              <w:bottom w:val="single" w:sz="4" w:space="0" w:color="auto"/>
              <w:right w:val="single" w:sz="4" w:space="0" w:color="auto"/>
            </w:tcBorders>
            <w:shd w:val="clear" w:color="auto" w:fill="auto"/>
            <w:noWrap/>
            <w:vAlign w:val="center"/>
            <w:hideMark/>
          </w:tcPr>
          <w:p w14:paraId="2F348B6B"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0.6%</w:t>
            </w:r>
          </w:p>
        </w:tc>
        <w:tc>
          <w:tcPr>
            <w:tcW w:w="680" w:type="dxa"/>
            <w:tcBorders>
              <w:top w:val="nil"/>
              <w:left w:val="nil"/>
              <w:bottom w:val="single" w:sz="4" w:space="0" w:color="auto"/>
              <w:right w:val="single" w:sz="4" w:space="0" w:color="auto"/>
            </w:tcBorders>
            <w:shd w:val="clear" w:color="auto" w:fill="auto"/>
            <w:noWrap/>
            <w:vAlign w:val="center"/>
            <w:hideMark/>
          </w:tcPr>
          <w:p w14:paraId="0DD55DBE"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1.3%</w:t>
            </w:r>
          </w:p>
        </w:tc>
        <w:tc>
          <w:tcPr>
            <w:tcW w:w="680" w:type="dxa"/>
            <w:tcBorders>
              <w:top w:val="nil"/>
              <w:left w:val="nil"/>
              <w:bottom w:val="single" w:sz="4" w:space="0" w:color="auto"/>
              <w:right w:val="single" w:sz="4" w:space="0" w:color="auto"/>
            </w:tcBorders>
            <w:shd w:val="clear" w:color="auto" w:fill="auto"/>
            <w:noWrap/>
            <w:vAlign w:val="center"/>
            <w:hideMark/>
          </w:tcPr>
          <w:p w14:paraId="4D79FBA5"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14:paraId="5BB7B691"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31E3B969"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3.1%</w:t>
            </w:r>
          </w:p>
        </w:tc>
        <w:tc>
          <w:tcPr>
            <w:tcW w:w="680" w:type="dxa"/>
            <w:tcBorders>
              <w:top w:val="nil"/>
              <w:left w:val="nil"/>
              <w:bottom w:val="single" w:sz="4" w:space="0" w:color="auto"/>
              <w:right w:val="single" w:sz="4" w:space="0" w:color="auto"/>
            </w:tcBorders>
            <w:shd w:val="clear" w:color="auto" w:fill="auto"/>
            <w:noWrap/>
            <w:vAlign w:val="center"/>
            <w:hideMark/>
          </w:tcPr>
          <w:p w14:paraId="084CB7BB"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3.8%</w:t>
            </w:r>
          </w:p>
        </w:tc>
        <w:tc>
          <w:tcPr>
            <w:tcW w:w="680" w:type="dxa"/>
            <w:tcBorders>
              <w:top w:val="nil"/>
              <w:left w:val="nil"/>
              <w:bottom w:val="single" w:sz="4" w:space="0" w:color="auto"/>
              <w:right w:val="single" w:sz="4" w:space="0" w:color="auto"/>
            </w:tcBorders>
            <w:shd w:val="clear" w:color="auto" w:fill="auto"/>
            <w:noWrap/>
            <w:vAlign w:val="center"/>
            <w:hideMark/>
          </w:tcPr>
          <w:p w14:paraId="02313876"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354FAAD5"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6.3%</w:t>
            </w:r>
          </w:p>
        </w:tc>
      </w:tr>
      <w:tr w:rsidR="00492B24" w:rsidRPr="00492B24" w14:paraId="5EC719E1" w14:textId="77777777" w:rsidTr="00635BDF">
        <w:trPr>
          <w:trHeight w:val="179"/>
          <w:jc w:val="center"/>
        </w:trPr>
        <w:tc>
          <w:tcPr>
            <w:tcW w:w="895" w:type="dxa"/>
            <w:vMerge/>
            <w:tcBorders>
              <w:top w:val="nil"/>
              <w:left w:val="single" w:sz="4" w:space="0" w:color="auto"/>
              <w:bottom w:val="single" w:sz="4" w:space="0" w:color="auto"/>
              <w:right w:val="single" w:sz="4" w:space="0" w:color="auto"/>
            </w:tcBorders>
            <w:vAlign w:val="center"/>
            <w:hideMark/>
          </w:tcPr>
          <w:p w14:paraId="22B94B9B" w14:textId="77777777" w:rsidR="00492B24" w:rsidRPr="00564BC2" w:rsidRDefault="00492B24" w:rsidP="00492B24">
            <w:pPr>
              <w:keepNext/>
              <w:jc w:val="left"/>
              <w:rPr>
                <w:rFonts w:ascii="Calibri" w:hAnsi="Calibri" w:cs="Calibri"/>
                <w:color w:val="000000"/>
                <w:sz w:val="18"/>
                <w:szCs w:val="18"/>
              </w:rPr>
            </w:pPr>
          </w:p>
        </w:tc>
        <w:tc>
          <w:tcPr>
            <w:tcW w:w="1064" w:type="dxa"/>
            <w:tcBorders>
              <w:top w:val="nil"/>
              <w:left w:val="nil"/>
              <w:bottom w:val="single" w:sz="4" w:space="0" w:color="auto"/>
              <w:right w:val="single" w:sz="4" w:space="0" w:color="auto"/>
            </w:tcBorders>
            <w:shd w:val="clear" w:color="auto" w:fill="auto"/>
            <w:vAlign w:val="center"/>
            <w:hideMark/>
          </w:tcPr>
          <w:p w14:paraId="39963DA5" w14:textId="4A6D2014"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 xml:space="preserve">Engine </w:t>
            </w:r>
            <w:r w:rsidR="0064613B">
              <w:rPr>
                <w:rFonts w:ascii="Calibri" w:hAnsi="Calibri" w:cs="Calibri"/>
                <w:color w:val="000000"/>
                <w:sz w:val="18"/>
                <w:szCs w:val="18"/>
              </w:rPr>
              <w:t>3</w:t>
            </w:r>
          </w:p>
        </w:tc>
        <w:tc>
          <w:tcPr>
            <w:tcW w:w="864" w:type="dxa"/>
            <w:tcBorders>
              <w:top w:val="nil"/>
              <w:left w:val="nil"/>
              <w:bottom w:val="single" w:sz="4" w:space="0" w:color="auto"/>
              <w:right w:val="single" w:sz="4" w:space="0" w:color="auto"/>
            </w:tcBorders>
            <w:shd w:val="clear" w:color="auto" w:fill="auto"/>
            <w:noWrap/>
            <w:vAlign w:val="center"/>
            <w:hideMark/>
          </w:tcPr>
          <w:p w14:paraId="53C7AF98"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30%</w:t>
            </w:r>
          </w:p>
        </w:tc>
        <w:tc>
          <w:tcPr>
            <w:tcW w:w="680" w:type="dxa"/>
            <w:tcBorders>
              <w:top w:val="nil"/>
              <w:left w:val="nil"/>
              <w:bottom w:val="single" w:sz="4" w:space="0" w:color="auto"/>
              <w:right w:val="single" w:sz="4" w:space="0" w:color="auto"/>
            </w:tcBorders>
            <w:shd w:val="clear" w:color="auto" w:fill="auto"/>
            <w:noWrap/>
            <w:vAlign w:val="center"/>
            <w:hideMark/>
          </w:tcPr>
          <w:p w14:paraId="2EA82D17"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w:t>
            </w:r>
          </w:p>
        </w:tc>
        <w:tc>
          <w:tcPr>
            <w:tcW w:w="680" w:type="dxa"/>
            <w:tcBorders>
              <w:top w:val="nil"/>
              <w:left w:val="nil"/>
              <w:bottom w:val="single" w:sz="4" w:space="0" w:color="auto"/>
              <w:right w:val="single" w:sz="4" w:space="0" w:color="auto"/>
            </w:tcBorders>
            <w:shd w:val="clear" w:color="auto" w:fill="auto"/>
            <w:noWrap/>
            <w:vAlign w:val="center"/>
            <w:hideMark/>
          </w:tcPr>
          <w:p w14:paraId="04D6A127"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0.6%</w:t>
            </w:r>
          </w:p>
        </w:tc>
        <w:tc>
          <w:tcPr>
            <w:tcW w:w="680" w:type="dxa"/>
            <w:tcBorders>
              <w:top w:val="nil"/>
              <w:left w:val="nil"/>
              <w:bottom w:val="single" w:sz="4" w:space="0" w:color="auto"/>
              <w:right w:val="single" w:sz="4" w:space="0" w:color="auto"/>
            </w:tcBorders>
            <w:shd w:val="clear" w:color="auto" w:fill="auto"/>
            <w:noWrap/>
            <w:vAlign w:val="center"/>
            <w:hideMark/>
          </w:tcPr>
          <w:p w14:paraId="38F107D2"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1.3%</w:t>
            </w:r>
          </w:p>
        </w:tc>
        <w:tc>
          <w:tcPr>
            <w:tcW w:w="680" w:type="dxa"/>
            <w:tcBorders>
              <w:top w:val="nil"/>
              <w:left w:val="nil"/>
              <w:bottom w:val="single" w:sz="4" w:space="0" w:color="auto"/>
              <w:right w:val="single" w:sz="4" w:space="0" w:color="auto"/>
            </w:tcBorders>
            <w:shd w:val="clear" w:color="auto" w:fill="auto"/>
            <w:noWrap/>
            <w:vAlign w:val="center"/>
            <w:hideMark/>
          </w:tcPr>
          <w:p w14:paraId="11C5D50A"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14:paraId="6D8A9AA0"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795ADC97"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3.1%</w:t>
            </w:r>
          </w:p>
        </w:tc>
        <w:tc>
          <w:tcPr>
            <w:tcW w:w="680" w:type="dxa"/>
            <w:tcBorders>
              <w:top w:val="nil"/>
              <w:left w:val="nil"/>
              <w:bottom w:val="single" w:sz="4" w:space="0" w:color="auto"/>
              <w:right w:val="single" w:sz="4" w:space="0" w:color="auto"/>
            </w:tcBorders>
            <w:shd w:val="clear" w:color="auto" w:fill="auto"/>
            <w:noWrap/>
            <w:vAlign w:val="center"/>
            <w:hideMark/>
          </w:tcPr>
          <w:p w14:paraId="2DCD7F6C"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3.8%</w:t>
            </w:r>
          </w:p>
        </w:tc>
        <w:tc>
          <w:tcPr>
            <w:tcW w:w="680" w:type="dxa"/>
            <w:tcBorders>
              <w:top w:val="nil"/>
              <w:left w:val="nil"/>
              <w:bottom w:val="single" w:sz="4" w:space="0" w:color="auto"/>
              <w:right w:val="single" w:sz="4" w:space="0" w:color="auto"/>
            </w:tcBorders>
            <w:shd w:val="clear" w:color="auto" w:fill="auto"/>
            <w:noWrap/>
            <w:vAlign w:val="center"/>
            <w:hideMark/>
          </w:tcPr>
          <w:p w14:paraId="3F9E21BC"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3080F86C"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6.3%</w:t>
            </w:r>
          </w:p>
        </w:tc>
      </w:tr>
      <w:tr w:rsidR="00492B24" w:rsidRPr="00492B24" w14:paraId="55CBBA5D" w14:textId="77777777" w:rsidTr="00635BDF">
        <w:trPr>
          <w:trHeight w:val="35"/>
          <w:jc w:val="center"/>
        </w:trPr>
        <w:tc>
          <w:tcPr>
            <w:tcW w:w="895" w:type="dxa"/>
            <w:vMerge/>
            <w:tcBorders>
              <w:top w:val="nil"/>
              <w:left w:val="single" w:sz="4" w:space="0" w:color="auto"/>
              <w:bottom w:val="single" w:sz="4" w:space="0" w:color="auto"/>
              <w:right w:val="single" w:sz="4" w:space="0" w:color="auto"/>
            </w:tcBorders>
            <w:vAlign w:val="center"/>
            <w:hideMark/>
          </w:tcPr>
          <w:p w14:paraId="1738B3FE" w14:textId="77777777" w:rsidR="00492B24" w:rsidRPr="00564BC2" w:rsidRDefault="00492B24" w:rsidP="00492B24">
            <w:pPr>
              <w:keepNext/>
              <w:jc w:val="left"/>
              <w:rPr>
                <w:rFonts w:ascii="Calibri" w:hAnsi="Calibri" w:cs="Calibri"/>
                <w:color w:val="000000"/>
                <w:sz w:val="18"/>
                <w:szCs w:val="18"/>
              </w:rPr>
            </w:pPr>
          </w:p>
        </w:tc>
        <w:tc>
          <w:tcPr>
            <w:tcW w:w="1064" w:type="dxa"/>
            <w:tcBorders>
              <w:top w:val="nil"/>
              <w:left w:val="nil"/>
              <w:bottom w:val="single" w:sz="4" w:space="0" w:color="auto"/>
              <w:right w:val="single" w:sz="4" w:space="0" w:color="auto"/>
            </w:tcBorders>
            <w:shd w:val="clear" w:color="auto" w:fill="auto"/>
            <w:vAlign w:val="center"/>
            <w:hideMark/>
          </w:tcPr>
          <w:p w14:paraId="755DD649" w14:textId="2B11AA13"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 xml:space="preserve">Engine </w:t>
            </w:r>
            <w:r w:rsidR="0064613B">
              <w:rPr>
                <w:rFonts w:ascii="Calibri" w:hAnsi="Calibri" w:cs="Calibri"/>
                <w:color w:val="000000"/>
                <w:sz w:val="18"/>
                <w:szCs w:val="18"/>
              </w:rPr>
              <w:t>4</w:t>
            </w:r>
          </w:p>
        </w:tc>
        <w:tc>
          <w:tcPr>
            <w:tcW w:w="864" w:type="dxa"/>
            <w:tcBorders>
              <w:top w:val="nil"/>
              <w:left w:val="nil"/>
              <w:bottom w:val="single" w:sz="4" w:space="0" w:color="auto"/>
              <w:right w:val="single" w:sz="4" w:space="0" w:color="auto"/>
            </w:tcBorders>
            <w:shd w:val="clear" w:color="auto" w:fill="auto"/>
            <w:noWrap/>
            <w:vAlign w:val="center"/>
            <w:hideMark/>
          </w:tcPr>
          <w:p w14:paraId="2BF2A582"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35%</w:t>
            </w:r>
          </w:p>
        </w:tc>
        <w:tc>
          <w:tcPr>
            <w:tcW w:w="680" w:type="dxa"/>
            <w:tcBorders>
              <w:top w:val="nil"/>
              <w:left w:val="nil"/>
              <w:bottom w:val="single" w:sz="4" w:space="0" w:color="auto"/>
              <w:right w:val="single" w:sz="4" w:space="0" w:color="auto"/>
            </w:tcBorders>
            <w:shd w:val="clear" w:color="auto" w:fill="auto"/>
            <w:noWrap/>
            <w:vAlign w:val="center"/>
            <w:hideMark/>
          </w:tcPr>
          <w:p w14:paraId="16C430CA"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w:t>
            </w:r>
          </w:p>
        </w:tc>
        <w:tc>
          <w:tcPr>
            <w:tcW w:w="680" w:type="dxa"/>
            <w:tcBorders>
              <w:top w:val="nil"/>
              <w:left w:val="nil"/>
              <w:bottom w:val="single" w:sz="4" w:space="0" w:color="auto"/>
              <w:right w:val="single" w:sz="4" w:space="0" w:color="auto"/>
            </w:tcBorders>
            <w:shd w:val="clear" w:color="auto" w:fill="auto"/>
            <w:noWrap/>
            <w:vAlign w:val="center"/>
            <w:hideMark/>
          </w:tcPr>
          <w:p w14:paraId="7F907093"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0.6%</w:t>
            </w:r>
          </w:p>
        </w:tc>
        <w:tc>
          <w:tcPr>
            <w:tcW w:w="680" w:type="dxa"/>
            <w:tcBorders>
              <w:top w:val="nil"/>
              <w:left w:val="nil"/>
              <w:bottom w:val="single" w:sz="4" w:space="0" w:color="auto"/>
              <w:right w:val="single" w:sz="4" w:space="0" w:color="auto"/>
            </w:tcBorders>
            <w:shd w:val="clear" w:color="auto" w:fill="auto"/>
            <w:noWrap/>
            <w:vAlign w:val="center"/>
            <w:hideMark/>
          </w:tcPr>
          <w:p w14:paraId="633BA445"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1.3%</w:t>
            </w:r>
          </w:p>
        </w:tc>
        <w:tc>
          <w:tcPr>
            <w:tcW w:w="680" w:type="dxa"/>
            <w:tcBorders>
              <w:top w:val="nil"/>
              <w:left w:val="nil"/>
              <w:bottom w:val="single" w:sz="4" w:space="0" w:color="auto"/>
              <w:right w:val="single" w:sz="4" w:space="0" w:color="auto"/>
            </w:tcBorders>
            <w:shd w:val="clear" w:color="auto" w:fill="auto"/>
            <w:noWrap/>
            <w:vAlign w:val="center"/>
            <w:hideMark/>
          </w:tcPr>
          <w:p w14:paraId="0219E86D"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14:paraId="36F64CA7"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21E77F35"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3.1%</w:t>
            </w:r>
          </w:p>
        </w:tc>
        <w:tc>
          <w:tcPr>
            <w:tcW w:w="680" w:type="dxa"/>
            <w:tcBorders>
              <w:top w:val="nil"/>
              <w:left w:val="nil"/>
              <w:bottom w:val="single" w:sz="4" w:space="0" w:color="auto"/>
              <w:right w:val="single" w:sz="4" w:space="0" w:color="auto"/>
            </w:tcBorders>
            <w:shd w:val="clear" w:color="auto" w:fill="auto"/>
            <w:noWrap/>
            <w:vAlign w:val="center"/>
            <w:hideMark/>
          </w:tcPr>
          <w:p w14:paraId="4907EB3F"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3.8%</w:t>
            </w:r>
          </w:p>
        </w:tc>
        <w:tc>
          <w:tcPr>
            <w:tcW w:w="680" w:type="dxa"/>
            <w:tcBorders>
              <w:top w:val="nil"/>
              <w:left w:val="nil"/>
              <w:bottom w:val="single" w:sz="4" w:space="0" w:color="auto"/>
              <w:right w:val="single" w:sz="4" w:space="0" w:color="auto"/>
            </w:tcBorders>
            <w:shd w:val="clear" w:color="auto" w:fill="auto"/>
            <w:noWrap/>
            <w:vAlign w:val="center"/>
            <w:hideMark/>
          </w:tcPr>
          <w:p w14:paraId="4FD8A54E"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454A7DDF"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6.3%</w:t>
            </w:r>
          </w:p>
        </w:tc>
      </w:tr>
      <w:tr w:rsidR="00492B24" w:rsidRPr="00492B24" w14:paraId="1062A916" w14:textId="77777777" w:rsidTr="00635BDF">
        <w:trPr>
          <w:trHeight w:val="35"/>
          <w:jc w:val="center"/>
        </w:trPr>
        <w:tc>
          <w:tcPr>
            <w:tcW w:w="895" w:type="dxa"/>
            <w:vMerge/>
            <w:tcBorders>
              <w:top w:val="nil"/>
              <w:left w:val="single" w:sz="4" w:space="0" w:color="auto"/>
              <w:bottom w:val="single" w:sz="4" w:space="0" w:color="auto"/>
              <w:right w:val="single" w:sz="4" w:space="0" w:color="auto"/>
            </w:tcBorders>
            <w:vAlign w:val="center"/>
            <w:hideMark/>
          </w:tcPr>
          <w:p w14:paraId="03B96046" w14:textId="77777777" w:rsidR="00492B24" w:rsidRPr="00564BC2" w:rsidRDefault="00492B24" w:rsidP="00492B24">
            <w:pPr>
              <w:keepNext/>
              <w:jc w:val="left"/>
              <w:rPr>
                <w:rFonts w:ascii="Calibri" w:hAnsi="Calibri" w:cs="Calibri"/>
                <w:color w:val="000000"/>
                <w:sz w:val="18"/>
                <w:szCs w:val="18"/>
              </w:rPr>
            </w:pPr>
          </w:p>
        </w:tc>
        <w:tc>
          <w:tcPr>
            <w:tcW w:w="1064" w:type="dxa"/>
            <w:tcBorders>
              <w:top w:val="nil"/>
              <w:left w:val="nil"/>
              <w:bottom w:val="single" w:sz="4" w:space="0" w:color="auto"/>
              <w:right w:val="single" w:sz="4" w:space="0" w:color="auto"/>
            </w:tcBorders>
            <w:shd w:val="clear" w:color="auto" w:fill="auto"/>
            <w:vAlign w:val="center"/>
            <w:hideMark/>
          </w:tcPr>
          <w:p w14:paraId="79AF12C7" w14:textId="75B20E4E"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 xml:space="preserve">Engine </w:t>
            </w:r>
            <w:r w:rsidR="0064613B">
              <w:rPr>
                <w:rFonts w:ascii="Calibri" w:hAnsi="Calibri" w:cs="Calibri"/>
                <w:color w:val="000000"/>
                <w:sz w:val="18"/>
                <w:szCs w:val="18"/>
              </w:rPr>
              <w:t>5</w:t>
            </w:r>
          </w:p>
        </w:tc>
        <w:tc>
          <w:tcPr>
            <w:tcW w:w="864" w:type="dxa"/>
            <w:tcBorders>
              <w:top w:val="nil"/>
              <w:left w:val="nil"/>
              <w:bottom w:val="single" w:sz="4" w:space="0" w:color="auto"/>
              <w:right w:val="single" w:sz="4" w:space="0" w:color="auto"/>
            </w:tcBorders>
            <w:shd w:val="clear" w:color="auto" w:fill="auto"/>
            <w:noWrap/>
            <w:vAlign w:val="center"/>
            <w:hideMark/>
          </w:tcPr>
          <w:p w14:paraId="4C7042B8"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40%</w:t>
            </w:r>
          </w:p>
        </w:tc>
        <w:tc>
          <w:tcPr>
            <w:tcW w:w="680" w:type="dxa"/>
            <w:tcBorders>
              <w:top w:val="nil"/>
              <w:left w:val="nil"/>
              <w:bottom w:val="single" w:sz="4" w:space="0" w:color="auto"/>
              <w:right w:val="single" w:sz="4" w:space="0" w:color="auto"/>
            </w:tcBorders>
            <w:shd w:val="clear" w:color="auto" w:fill="auto"/>
            <w:noWrap/>
            <w:vAlign w:val="center"/>
            <w:hideMark/>
          </w:tcPr>
          <w:p w14:paraId="09BC7260"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w:t>
            </w:r>
          </w:p>
        </w:tc>
        <w:tc>
          <w:tcPr>
            <w:tcW w:w="680" w:type="dxa"/>
            <w:tcBorders>
              <w:top w:val="nil"/>
              <w:left w:val="nil"/>
              <w:bottom w:val="single" w:sz="4" w:space="0" w:color="auto"/>
              <w:right w:val="single" w:sz="4" w:space="0" w:color="auto"/>
            </w:tcBorders>
            <w:shd w:val="clear" w:color="auto" w:fill="auto"/>
            <w:noWrap/>
            <w:vAlign w:val="center"/>
            <w:hideMark/>
          </w:tcPr>
          <w:p w14:paraId="1D7C8513"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0.6%</w:t>
            </w:r>
          </w:p>
        </w:tc>
        <w:tc>
          <w:tcPr>
            <w:tcW w:w="680" w:type="dxa"/>
            <w:tcBorders>
              <w:top w:val="nil"/>
              <w:left w:val="nil"/>
              <w:bottom w:val="single" w:sz="4" w:space="0" w:color="auto"/>
              <w:right w:val="single" w:sz="4" w:space="0" w:color="auto"/>
            </w:tcBorders>
            <w:shd w:val="clear" w:color="auto" w:fill="auto"/>
            <w:noWrap/>
            <w:vAlign w:val="center"/>
            <w:hideMark/>
          </w:tcPr>
          <w:p w14:paraId="4D09E638"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1.3%</w:t>
            </w:r>
          </w:p>
        </w:tc>
        <w:tc>
          <w:tcPr>
            <w:tcW w:w="680" w:type="dxa"/>
            <w:tcBorders>
              <w:top w:val="nil"/>
              <w:left w:val="nil"/>
              <w:bottom w:val="single" w:sz="4" w:space="0" w:color="auto"/>
              <w:right w:val="single" w:sz="4" w:space="0" w:color="auto"/>
            </w:tcBorders>
            <w:shd w:val="clear" w:color="auto" w:fill="auto"/>
            <w:noWrap/>
            <w:vAlign w:val="center"/>
            <w:hideMark/>
          </w:tcPr>
          <w:p w14:paraId="0FD1D4A7"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14:paraId="7FD7CA21"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14724E6D"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3.1%</w:t>
            </w:r>
          </w:p>
        </w:tc>
        <w:tc>
          <w:tcPr>
            <w:tcW w:w="680" w:type="dxa"/>
            <w:tcBorders>
              <w:top w:val="nil"/>
              <w:left w:val="nil"/>
              <w:bottom w:val="single" w:sz="4" w:space="0" w:color="auto"/>
              <w:right w:val="single" w:sz="4" w:space="0" w:color="auto"/>
            </w:tcBorders>
            <w:shd w:val="clear" w:color="auto" w:fill="auto"/>
            <w:noWrap/>
            <w:vAlign w:val="center"/>
            <w:hideMark/>
          </w:tcPr>
          <w:p w14:paraId="00375796"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3.8%</w:t>
            </w:r>
          </w:p>
        </w:tc>
        <w:tc>
          <w:tcPr>
            <w:tcW w:w="680" w:type="dxa"/>
            <w:tcBorders>
              <w:top w:val="nil"/>
              <w:left w:val="nil"/>
              <w:bottom w:val="single" w:sz="4" w:space="0" w:color="auto"/>
              <w:right w:val="single" w:sz="4" w:space="0" w:color="auto"/>
            </w:tcBorders>
            <w:shd w:val="clear" w:color="auto" w:fill="auto"/>
            <w:noWrap/>
            <w:vAlign w:val="center"/>
            <w:hideMark/>
          </w:tcPr>
          <w:p w14:paraId="6627BA81"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1D2ADCBB"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6.3%</w:t>
            </w:r>
          </w:p>
        </w:tc>
      </w:tr>
      <w:tr w:rsidR="00492B24" w:rsidRPr="00492B24" w14:paraId="5EAA2F4A" w14:textId="77777777" w:rsidTr="00635BDF">
        <w:trPr>
          <w:trHeight w:val="35"/>
          <w:jc w:val="center"/>
        </w:trPr>
        <w:tc>
          <w:tcPr>
            <w:tcW w:w="895" w:type="dxa"/>
            <w:vMerge/>
            <w:tcBorders>
              <w:top w:val="nil"/>
              <w:left w:val="single" w:sz="4" w:space="0" w:color="auto"/>
              <w:bottom w:val="single" w:sz="4" w:space="0" w:color="auto"/>
              <w:right w:val="single" w:sz="4" w:space="0" w:color="auto"/>
            </w:tcBorders>
            <w:vAlign w:val="center"/>
            <w:hideMark/>
          </w:tcPr>
          <w:p w14:paraId="33FD587B" w14:textId="77777777" w:rsidR="00492B24" w:rsidRPr="00564BC2" w:rsidRDefault="00492B24" w:rsidP="00492B24">
            <w:pPr>
              <w:keepNext/>
              <w:jc w:val="left"/>
              <w:rPr>
                <w:rFonts w:ascii="Calibri" w:hAnsi="Calibri" w:cs="Calibri"/>
                <w:color w:val="000000"/>
                <w:sz w:val="18"/>
                <w:szCs w:val="18"/>
              </w:rPr>
            </w:pPr>
          </w:p>
        </w:tc>
        <w:tc>
          <w:tcPr>
            <w:tcW w:w="1064" w:type="dxa"/>
            <w:tcBorders>
              <w:top w:val="nil"/>
              <w:left w:val="nil"/>
              <w:bottom w:val="single" w:sz="4" w:space="0" w:color="auto"/>
              <w:right w:val="single" w:sz="4" w:space="0" w:color="auto"/>
            </w:tcBorders>
            <w:shd w:val="clear" w:color="auto" w:fill="auto"/>
            <w:vAlign w:val="center"/>
            <w:hideMark/>
          </w:tcPr>
          <w:p w14:paraId="193835F6" w14:textId="6A70E3EB"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 xml:space="preserve">Engine </w:t>
            </w:r>
            <w:r w:rsidR="0064613B">
              <w:rPr>
                <w:rFonts w:ascii="Calibri" w:hAnsi="Calibri" w:cs="Calibri"/>
                <w:color w:val="000000"/>
                <w:sz w:val="18"/>
                <w:szCs w:val="18"/>
              </w:rPr>
              <w:t>6</w:t>
            </w:r>
          </w:p>
        </w:tc>
        <w:tc>
          <w:tcPr>
            <w:tcW w:w="864" w:type="dxa"/>
            <w:tcBorders>
              <w:top w:val="nil"/>
              <w:left w:val="nil"/>
              <w:bottom w:val="single" w:sz="4" w:space="0" w:color="auto"/>
              <w:right w:val="single" w:sz="4" w:space="0" w:color="auto"/>
            </w:tcBorders>
            <w:shd w:val="clear" w:color="auto" w:fill="auto"/>
            <w:noWrap/>
            <w:vAlign w:val="center"/>
            <w:hideMark/>
          </w:tcPr>
          <w:p w14:paraId="1C7AD897"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45%</w:t>
            </w:r>
          </w:p>
        </w:tc>
        <w:tc>
          <w:tcPr>
            <w:tcW w:w="680" w:type="dxa"/>
            <w:tcBorders>
              <w:top w:val="nil"/>
              <w:left w:val="nil"/>
              <w:bottom w:val="single" w:sz="4" w:space="0" w:color="auto"/>
              <w:right w:val="single" w:sz="4" w:space="0" w:color="auto"/>
            </w:tcBorders>
            <w:shd w:val="clear" w:color="auto" w:fill="auto"/>
            <w:noWrap/>
            <w:vAlign w:val="center"/>
            <w:hideMark/>
          </w:tcPr>
          <w:p w14:paraId="2FD3D181"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w:t>
            </w:r>
          </w:p>
        </w:tc>
        <w:tc>
          <w:tcPr>
            <w:tcW w:w="680" w:type="dxa"/>
            <w:tcBorders>
              <w:top w:val="nil"/>
              <w:left w:val="nil"/>
              <w:bottom w:val="single" w:sz="4" w:space="0" w:color="auto"/>
              <w:right w:val="single" w:sz="4" w:space="0" w:color="auto"/>
            </w:tcBorders>
            <w:shd w:val="clear" w:color="auto" w:fill="auto"/>
            <w:noWrap/>
            <w:vAlign w:val="center"/>
            <w:hideMark/>
          </w:tcPr>
          <w:p w14:paraId="6C1901A0"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0.6%</w:t>
            </w:r>
          </w:p>
        </w:tc>
        <w:tc>
          <w:tcPr>
            <w:tcW w:w="680" w:type="dxa"/>
            <w:tcBorders>
              <w:top w:val="nil"/>
              <w:left w:val="nil"/>
              <w:bottom w:val="single" w:sz="4" w:space="0" w:color="auto"/>
              <w:right w:val="single" w:sz="4" w:space="0" w:color="auto"/>
            </w:tcBorders>
            <w:shd w:val="clear" w:color="auto" w:fill="auto"/>
            <w:noWrap/>
            <w:vAlign w:val="center"/>
            <w:hideMark/>
          </w:tcPr>
          <w:p w14:paraId="16604712"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1.3%</w:t>
            </w:r>
          </w:p>
        </w:tc>
        <w:tc>
          <w:tcPr>
            <w:tcW w:w="680" w:type="dxa"/>
            <w:tcBorders>
              <w:top w:val="nil"/>
              <w:left w:val="nil"/>
              <w:bottom w:val="single" w:sz="4" w:space="0" w:color="auto"/>
              <w:right w:val="single" w:sz="4" w:space="0" w:color="auto"/>
            </w:tcBorders>
            <w:shd w:val="clear" w:color="auto" w:fill="auto"/>
            <w:noWrap/>
            <w:vAlign w:val="center"/>
            <w:hideMark/>
          </w:tcPr>
          <w:p w14:paraId="06933F68"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14:paraId="59F41F4B"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05616807"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3.1%</w:t>
            </w:r>
          </w:p>
        </w:tc>
        <w:tc>
          <w:tcPr>
            <w:tcW w:w="680" w:type="dxa"/>
            <w:tcBorders>
              <w:top w:val="nil"/>
              <w:left w:val="nil"/>
              <w:bottom w:val="single" w:sz="4" w:space="0" w:color="auto"/>
              <w:right w:val="single" w:sz="4" w:space="0" w:color="auto"/>
            </w:tcBorders>
            <w:shd w:val="clear" w:color="auto" w:fill="auto"/>
            <w:noWrap/>
            <w:vAlign w:val="center"/>
            <w:hideMark/>
          </w:tcPr>
          <w:p w14:paraId="04E0779D"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3.8%</w:t>
            </w:r>
          </w:p>
        </w:tc>
        <w:tc>
          <w:tcPr>
            <w:tcW w:w="680" w:type="dxa"/>
            <w:tcBorders>
              <w:top w:val="nil"/>
              <w:left w:val="nil"/>
              <w:bottom w:val="single" w:sz="4" w:space="0" w:color="auto"/>
              <w:right w:val="single" w:sz="4" w:space="0" w:color="auto"/>
            </w:tcBorders>
            <w:shd w:val="clear" w:color="auto" w:fill="auto"/>
            <w:noWrap/>
            <w:vAlign w:val="center"/>
            <w:hideMark/>
          </w:tcPr>
          <w:p w14:paraId="325975D0"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2D0973BF"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6.3%</w:t>
            </w:r>
          </w:p>
        </w:tc>
      </w:tr>
      <w:tr w:rsidR="00492B24" w:rsidRPr="00492B24" w14:paraId="1D0E4A1F" w14:textId="77777777" w:rsidTr="00635BDF">
        <w:trPr>
          <w:trHeight w:val="89"/>
          <w:jc w:val="center"/>
        </w:trPr>
        <w:tc>
          <w:tcPr>
            <w:tcW w:w="895" w:type="dxa"/>
            <w:vMerge/>
            <w:tcBorders>
              <w:top w:val="nil"/>
              <w:left w:val="single" w:sz="4" w:space="0" w:color="auto"/>
              <w:bottom w:val="single" w:sz="4" w:space="0" w:color="auto"/>
              <w:right w:val="single" w:sz="4" w:space="0" w:color="auto"/>
            </w:tcBorders>
            <w:vAlign w:val="center"/>
            <w:hideMark/>
          </w:tcPr>
          <w:p w14:paraId="41E51FF8" w14:textId="77777777" w:rsidR="00492B24" w:rsidRPr="00564BC2" w:rsidRDefault="00492B24" w:rsidP="00492B24">
            <w:pPr>
              <w:keepNext/>
              <w:jc w:val="left"/>
              <w:rPr>
                <w:rFonts w:ascii="Calibri" w:hAnsi="Calibri" w:cs="Calibri"/>
                <w:color w:val="000000"/>
                <w:sz w:val="18"/>
                <w:szCs w:val="18"/>
              </w:rPr>
            </w:pPr>
          </w:p>
        </w:tc>
        <w:tc>
          <w:tcPr>
            <w:tcW w:w="1064" w:type="dxa"/>
            <w:tcBorders>
              <w:top w:val="nil"/>
              <w:left w:val="nil"/>
              <w:bottom w:val="single" w:sz="4" w:space="0" w:color="auto"/>
              <w:right w:val="single" w:sz="4" w:space="0" w:color="auto"/>
            </w:tcBorders>
            <w:shd w:val="clear" w:color="auto" w:fill="auto"/>
            <w:vAlign w:val="center"/>
            <w:hideMark/>
          </w:tcPr>
          <w:p w14:paraId="0E085120" w14:textId="6758599F"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 xml:space="preserve">Engine </w:t>
            </w:r>
            <w:r w:rsidR="0064613B">
              <w:rPr>
                <w:rFonts w:ascii="Calibri" w:hAnsi="Calibri" w:cs="Calibri"/>
                <w:color w:val="000000"/>
                <w:sz w:val="18"/>
                <w:szCs w:val="18"/>
              </w:rPr>
              <w:t>7</w:t>
            </w:r>
          </w:p>
        </w:tc>
        <w:tc>
          <w:tcPr>
            <w:tcW w:w="864" w:type="dxa"/>
            <w:tcBorders>
              <w:top w:val="nil"/>
              <w:left w:val="nil"/>
              <w:bottom w:val="single" w:sz="4" w:space="0" w:color="auto"/>
              <w:right w:val="single" w:sz="4" w:space="0" w:color="auto"/>
            </w:tcBorders>
            <w:shd w:val="clear" w:color="auto" w:fill="auto"/>
            <w:noWrap/>
            <w:vAlign w:val="center"/>
            <w:hideMark/>
          </w:tcPr>
          <w:p w14:paraId="701CFEE8"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236BF2A9"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w:t>
            </w:r>
          </w:p>
        </w:tc>
        <w:tc>
          <w:tcPr>
            <w:tcW w:w="680" w:type="dxa"/>
            <w:tcBorders>
              <w:top w:val="nil"/>
              <w:left w:val="nil"/>
              <w:bottom w:val="single" w:sz="4" w:space="0" w:color="auto"/>
              <w:right w:val="single" w:sz="4" w:space="0" w:color="auto"/>
            </w:tcBorders>
            <w:shd w:val="clear" w:color="auto" w:fill="auto"/>
            <w:noWrap/>
            <w:vAlign w:val="center"/>
            <w:hideMark/>
          </w:tcPr>
          <w:p w14:paraId="7F48F1EA"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0.6%</w:t>
            </w:r>
          </w:p>
        </w:tc>
        <w:tc>
          <w:tcPr>
            <w:tcW w:w="680" w:type="dxa"/>
            <w:tcBorders>
              <w:top w:val="nil"/>
              <w:left w:val="nil"/>
              <w:bottom w:val="single" w:sz="4" w:space="0" w:color="auto"/>
              <w:right w:val="single" w:sz="4" w:space="0" w:color="auto"/>
            </w:tcBorders>
            <w:shd w:val="clear" w:color="auto" w:fill="auto"/>
            <w:noWrap/>
            <w:vAlign w:val="center"/>
            <w:hideMark/>
          </w:tcPr>
          <w:p w14:paraId="2C75AAE0"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1.3%</w:t>
            </w:r>
          </w:p>
        </w:tc>
        <w:tc>
          <w:tcPr>
            <w:tcW w:w="680" w:type="dxa"/>
            <w:tcBorders>
              <w:top w:val="nil"/>
              <w:left w:val="nil"/>
              <w:bottom w:val="single" w:sz="4" w:space="0" w:color="auto"/>
              <w:right w:val="single" w:sz="4" w:space="0" w:color="auto"/>
            </w:tcBorders>
            <w:shd w:val="clear" w:color="auto" w:fill="auto"/>
            <w:noWrap/>
            <w:vAlign w:val="center"/>
            <w:hideMark/>
          </w:tcPr>
          <w:p w14:paraId="3929196F"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14:paraId="78C18ACB"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33F674EC"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3.1%</w:t>
            </w:r>
          </w:p>
        </w:tc>
        <w:tc>
          <w:tcPr>
            <w:tcW w:w="680" w:type="dxa"/>
            <w:tcBorders>
              <w:top w:val="nil"/>
              <w:left w:val="nil"/>
              <w:bottom w:val="single" w:sz="4" w:space="0" w:color="auto"/>
              <w:right w:val="single" w:sz="4" w:space="0" w:color="auto"/>
            </w:tcBorders>
            <w:shd w:val="clear" w:color="auto" w:fill="auto"/>
            <w:noWrap/>
            <w:vAlign w:val="center"/>
            <w:hideMark/>
          </w:tcPr>
          <w:p w14:paraId="10F06039"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3.8%</w:t>
            </w:r>
          </w:p>
        </w:tc>
        <w:tc>
          <w:tcPr>
            <w:tcW w:w="680" w:type="dxa"/>
            <w:tcBorders>
              <w:top w:val="nil"/>
              <w:left w:val="nil"/>
              <w:bottom w:val="single" w:sz="4" w:space="0" w:color="auto"/>
              <w:right w:val="single" w:sz="4" w:space="0" w:color="auto"/>
            </w:tcBorders>
            <w:shd w:val="clear" w:color="auto" w:fill="auto"/>
            <w:noWrap/>
            <w:vAlign w:val="center"/>
            <w:hideMark/>
          </w:tcPr>
          <w:p w14:paraId="70A8200E"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7CE29F82"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6.3%</w:t>
            </w:r>
          </w:p>
        </w:tc>
      </w:tr>
      <w:tr w:rsidR="00492B24" w:rsidRPr="00492B24" w14:paraId="269AE823" w14:textId="77777777" w:rsidTr="00635BDF">
        <w:trPr>
          <w:trHeight w:val="35"/>
          <w:jc w:val="center"/>
        </w:trPr>
        <w:tc>
          <w:tcPr>
            <w:tcW w:w="895" w:type="dxa"/>
            <w:vMerge/>
            <w:tcBorders>
              <w:top w:val="nil"/>
              <w:left w:val="single" w:sz="4" w:space="0" w:color="auto"/>
              <w:bottom w:val="single" w:sz="4" w:space="0" w:color="auto"/>
              <w:right w:val="single" w:sz="4" w:space="0" w:color="auto"/>
            </w:tcBorders>
            <w:vAlign w:val="center"/>
            <w:hideMark/>
          </w:tcPr>
          <w:p w14:paraId="483E3F88" w14:textId="77777777" w:rsidR="00492B24" w:rsidRPr="00564BC2" w:rsidRDefault="00492B24" w:rsidP="00492B24">
            <w:pPr>
              <w:keepNext/>
              <w:jc w:val="left"/>
              <w:rPr>
                <w:rFonts w:ascii="Calibri" w:hAnsi="Calibri" w:cs="Calibri"/>
                <w:color w:val="000000"/>
                <w:sz w:val="18"/>
                <w:szCs w:val="18"/>
              </w:rPr>
            </w:pPr>
          </w:p>
        </w:tc>
        <w:tc>
          <w:tcPr>
            <w:tcW w:w="1064" w:type="dxa"/>
            <w:tcBorders>
              <w:top w:val="nil"/>
              <w:left w:val="nil"/>
              <w:bottom w:val="single" w:sz="4" w:space="0" w:color="auto"/>
              <w:right w:val="single" w:sz="4" w:space="0" w:color="auto"/>
            </w:tcBorders>
            <w:shd w:val="clear" w:color="auto" w:fill="auto"/>
            <w:vAlign w:val="center"/>
            <w:hideMark/>
          </w:tcPr>
          <w:p w14:paraId="17182E0F" w14:textId="301D69C3"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 xml:space="preserve">Engine </w:t>
            </w:r>
            <w:r w:rsidR="0064613B">
              <w:rPr>
                <w:rFonts w:ascii="Calibri" w:hAnsi="Calibri" w:cs="Calibri"/>
                <w:color w:val="000000"/>
                <w:sz w:val="18"/>
                <w:szCs w:val="18"/>
              </w:rPr>
              <w:t>8</w:t>
            </w:r>
          </w:p>
        </w:tc>
        <w:tc>
          <w:tcPr>
            <w:tcW w:w="864" w:type="dxa"/>
            <w:tcBorders>
              <w:top w:val="nil"/>
              <w:left w:val="nil"/>
              <w:bottom w:val="single" w:sz="4" w:space="0" w:color="auto"/>
              <w:right w:val="single" w:sz="4" w:space="0" w:color="auto"/>
            </w:tcBorders>
            <w:shd w:val="clear" w:color="auto" w:fill="auto"/>
            <w:noWrap/>
            <w:vAlign w:val="center"/>
            <w:hideMark/>
          </w:tcPr>
          <w:p w14:paraId="15ABAD46"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55%</w:t>
            </w:r>
          </w:p>
        </w:tc>
        <w:tc>
          <w:tcPr>
            <w:tcW w:w="680" w:type="dxa"/>
            <w:tcBorders>
              <w:top w:val="nil"/>
              <w:left w:val="nil"/>
              <w:bottom w:val="single" w:sz="4" w:space="0" w:color="auto"/>
              <w:right w:val="single" w:sz="4" w:space="0" w:color="auto"/>
            </w:tcBorders>
            <w:shd w:val="clear" w:color="auto" w:fill="auto"/>
            <w:noWrap/>
            <w:vAlign w:val="center"/>
            <w:hideMark/>
          </w:tcPr>
          <w:p w14:paraId="76231644"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w:t>
            </w:r>
          </w:p>
        </w:tc>
        <w:tc>
          <w:tcPr>
            <w:tcW w:w="680" w:type="dxa"/>
            <w:tcBorders>
              <w:top w:val="nil"/>
              <w:left w:val="nil"/>
              <w:bottom w:val="single" w:sz="4" w:space="0" w:color="auto"/>
              <w:right w:val="single" w:sz="4" w:space="0" w:color="auto"/>
            </w:tcBorders>
            <w:shd w:val="clear" w:color="auto" w:fill="auto"/>
            <w:noWrap/>
            <w:vAlign w:val="center"/>
            <w:hideMark/>
          </w:tcPr>
          <w:p w14:paraId="3B1A259D"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0.6%</w:t>
            </w:r>
          </w:p>
        </w:tc>
        <w:tc>
          <w:tcPr>
            <w:tcW w:w="680" w:type="dxa"/>
            <w:tcBorders>
              <w:top w:val="nil"/>
              <w:left w:val="nil"/>
              <w:bottom w:val="single" w:sz="4" w:space="0" w:color="auto"/>
              <w:right w:val="single" w:sz="4" w:space="0" w:color="auto"/>
            </w:tcBorders>
            <w:shd w:val="clear" w:color="auto" w:fill="auto"/>
            <w:noWrap/>
            <w:vAlign w:val="center"/>
            <w:hideMark/>
          </w:tcPr>
          <w:p w14:paraId="7521DC10"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1.3%</w:t>
            </w:r>
          </w:p>
        </w:tc>
        <w:tc>
          <w:tcPr>
            <w:tcW w:w="680" w:type="dxa"/>
            <w:tcBorders>
              <w:top w:val="nil"/>
              <w:left w:val="nil"/>
              <w:bottom w:val="single" w:sz="4" w:space="0" w:color="auto"/>
              <w:right w:val="single" w:sz="4" w:space="0" w:color="auto"/>
            </w:tcBorders>
            <w:shd w:val="clear" w:color="auto" w:fill="auto"/>
            <w:noWrap/>
            <w:vAlign w:val="center"/>
            <w:hideMark/>
          </w:tcPr>
          <w:p w14:paraId="2F043E76"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14:paraId="50DCF707"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47FDB04B"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3.1%</w:t>
            </w:r>
          </w:p>
        </w:tc>
        <w:tc>
          <w:tcPr>
            <w:tcW w:w="680" w:type="dxa"/>
            <w:tcBorders>
              <w:top w:val="nil"/>
              <w:left w:val="nil"/>
              <w:bottom w:val="single" w:sz="4" w:space="0" w:color="auto"/>
              <w:right w:val="single" w:sz="4" w:space="0" w:color="auto"/>
            </w:tcBorders>
            <w:shd w:val="clear" w:color="auto" w:fill="auto"/>
            <w:noWrap/>
            <w:vAlign w:val="center"/>
            <w:hideMark/>
          </w:tcPr>
          <w:p w14:paraId="6A610489"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3.8%</w:t>
            </w:r>
          </w:p>
        </w:tc>
        <w:tc>
          <w:tcPr>
            <w:tcW w:w="680" w:type="dxa"/>
            <w:tcBorders>
              <w:top w:val="nil"/>
              <w:left w:val="nil"/>
              <w:bottom w:val="single" w:sz="4" w:space="0" w:color="auto"/>
              <w:right w:val="single" w:sz="4" w:space="0" w:color="auto"/>
            </w:tcBorders>
            <w:shd w:val="clear" w:color="auto" w:fill="auto"/>
            <w:noWrap/>
            <w:vAlign w:val="center"/>
            <w:hideMark/>
          </w:tcPr>
          <w:p w14:paraId="26F7ED10"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104E4ADE"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6.3%</w:t>
            </w:r>
          </w:p>
        </w:tc>
      </w:tr>
      <w:tr w:rsidR="00492B24" w:rsidRPr="00492B24" w14:paraId="080CF1F5" w14:textId="77777777" w:rsidTr="00635BDF">
        <w:trPr>
          <w:trHeight w:val="35"/>
          <w:jc w:val="center"/>
        </w:trPr>
        <w:tc>
          <w:tcPr>
            <w:tcW w:w="895" w:type="dxa"/>
            <w:vMerge/>
            <w:tcBorders>
              <w:top w:val="nil"/>
              <w:left w:val="single" w:sz="4" w:space="0" w:color="auto"/>
              <w:bottom w:val="single" w:sz="4" w:space="0" w:color="auto"/>
              <w:right w:val="single" w:sz="4" w:space="0" w:color="auto"/>
            </w:tcBorders>
            <w:vAlign w:val="center"/>
            <w:hideMark/>
          </w:tcPr>
          <w:p w14:paraId="1FC8571D" w14:textId="77777777" w:rsidR="00492B24" w:rsidRPr="00564BC2" w:rsidRDefault="00492B24" w:rsidP="00492B24">
            <w:pPr>
              <w:keepNext/>
              <w:jc w:val="left"/>
              <w:rPr>
                <w:rFonts w:ascii="Calibri" w:hAnsi="Calibri" w:cs="Calibri"/>
                <w:color w:val="000000"/>
                <w:sz w:val="18"/>
                <w:szCs w:val="18"/>
              </w:rPr>
            </w:pPr>
          </w:p>
        </w:tc>
        <w:tc>
          <w:tcPr>
            <w:tcW w:w="1064" w:type="dxa"/>
            <w:tcBorders>
              <w:top w:val="nil"/>
              <w:left w:val="nil"/>
              <w:bottom w:val="single" w:sz="4" w:space="0" w:color="auto"/>
              <w:right w:val="single" w:sz="4" w:space="0" w:color="auto"/>
            </w:tcBorders>
            <w:shd w:val="clear" w:color="auto" w:fill="auto"/>
            <w:vAlign w:val="center"/>
            <w:hideMark/>
          </w:tcPr>
          <w:p w14:paraId="63C2C98D" w14:textId="0BC38AE1"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 xml:space="preserve">Engine </w:t>
            </w:r>
            <w:r w:rsidR="0064613B">
              <w:rPr>
                <w:rFonts w:ascii="Calibri" w:hAnsi="Calibri" w:cs="Calibri"/>
                <w:color w:val="000000"/>
                <w:sz w:val="18"/>
                <w:szCs w:val="18"/>
              </w:rPr>
              <w:t>9</w:t>
            </w:r>
          </w:p>
        </w:tc>
        <w:tc>
          <w:tcPr>
            <w:tcW w:w="864" w:type="dxa"/>
            <w:tcBorders>
              <w:top w:val="nil"/>
              <w:left w:val="nil"/>
              <w:bottom w:val="single" w:sz="4" w:space="0" w:color="auto"/>
              <w:right w:val="single" w:sz="4" w:space="0" w:color="auto"/>
            </w:tcBorders>
            <w:shd w:val="clear" w:color="auto" w:fill="auto"/>
            <w:noWrap/>
            <w:vAlign w:val="center"/>
            <w:hideMark/>
          </w:tcPr>
          <w:p w14:paraId="42BB1425"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60%</w:t>
            </w:r>
          </w:p>
        </w:tc>
        <w:tc>
          <w:tcPr>
            <w:tcW w:w="680" w:type="dxa"/>
            <w:tcBorders>
              <w:top w:val="nil"/>
              <w:left w:val="nil"/>
              <w:bottom w:val="single" w:sz="4" w:space="0" w:color="auto"/>
              <w:right w:val="single" w:sz="4" w:space="0" w:color="auto"/>
            </w:tcBorders>
            <w:shd w:val="clear" w:color="auto" w:fill="auto"/>
            <w:noWrap/>
            <w:vAlign w:val="center"/>
            <w:hideMark/>
          </w:tcPr>
          <w:p w14:paraId="1E0094D4"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w:t>
            </w:r>
          </w:p>
        </w:tc>
        <w:tc>
          <w:tcPr>
            <w:tcW w:w="680" w:type="dxa"/>
            <w:tcBorders>
              <w:top w:val="nil"/>
              <w:left w:val="nil"/>
              <w:bottom w:val="single" w:sz="4" w:space="0" w:color="auto"/>
              <w:right w:val="single" w:sz="4" w:space="0" w:color="auto"/>
            </w:tcBorders>
            <w:shd w:val="clear" w:color="auto" w:fill="auto"/>
            <w:noWrap/>
            <w:vAlign w:val="center"/>
            <w:hideMark/>
          </w:tcPr>
          <w:p w14:paraId="175A4423"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0.6%</w:t>
            </w:r>
          </w:p>
        </w:tc>
        <w:tc>
          <w:tcPr>
            <w:tcW w:w="680" w:type="dxa"/>
            <w:tcBorders>
              <w:top w:val="nil"/>
              <w:left w:val="nil"/>
              <w:bottom w:val="single" w:sz="4" w:space="0" w:color="auto"/>
              <w:right w:val="single" w:sz="4" w:space="0" w:color="auto"/>
            </w:tcBorders>
            <w:shd w:val="clear" w:color="auto" w:fill="auto"/>
            <w:noWrap/>
            <w:vAlign w:val="center"/>
            <w:hideMark/>
          </w:tcPr>
          <w:p w14:paraId="7CF4B240"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1.3%</w:t>
            </w:r>
          </w:p>
        </w:tc>
        <w:tc>
          <w:tcPr>
            <w:tcW w:w="680" w:type="dxa"/>
            <w:tcBorders>
              <w:top w:val="nil"/>
              <w:left w:val="nil"/>
              <w:bottom w:val="single" w:sz="4" w:space="0" w:color="auto"/>
              <w:right w:val="single" w:sz="4" w:space="0" w:color="auto"/>
            </w:tcBorders>
            <w:shd w:val="clear" w:color="auto" w:fill="auto"/>
            <w:noWrap/>
            <w:vAlign w:val="center"/>
            <w:hideMark/>
          </w:tcPr>
          <w:p w14:paraId="526742A6"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14:paraId="5E74CED1"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422F1313"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3.1%</w:t>
            </w:r>
          </w:p>
        </w:tc>
        <w:tc>
          <w:tcPr>
            <w:tcW w:w="680" w:type="dxa"/>
            <w:tcBorders>
              <w:top w:val="nil"/>
              <w:left w:val="nil"/>
              <w:bottom w:val="single" w:sz="4" w:space="0" w:color="auto"/>
              <w:right w:val="single" w:sz="4" w:space="0" w:color="auto"/>
            </w:tcBorders>
            <w:shd w:val="clear" w:color="auto" w:fill="auto"/>
            <w:noWrap/>
            <w:vAlign w:val="center"/>
            <w:hideMark/>
          </w:tcPr>
          <w:p w14:paraId="22FB9001"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3.8%</w:t>
            </w:r>
          </w:p>
        </w:tc>
        <w:tc>
          <w:tcPr>
            <w:tcW w:w="680" w:type="dxa"/>
            <w:tcBorders>
              <w:top w:val="nil"/>
              <w:left w:val="nil"/>
              <w:bottom w:val="single" w:sz="4" w:space="0" w:color="auto"/>
              <w:right w:val="single" w:sz="4" w:space="0" w:color="auto"/>
            </w:tcBorders>
            <w:shd w:val="clear" w:color="auto" w:fill="auto"/>
            <w:noWrap/>
            <w:vAlign w:val="center"/>
            <w:hideMark/>
          </w:tcPr>
          <w:p w14:paraId="27D03082"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78E1C344"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6.3%</w:t>
            </w:r>
          </w:p>
        </w:tc>
      </w:tr>
      <w:tr w:rsidR="00492B24" w:rsidRPr="00492B24" w14:paraId="0118223D" w14:textId="77777777" w:rsidTr="00635BDF">
        <w:trPr>
          <w:trHeight w:val="35"/>
          <w:jc w:val="center"/>
        </w:trPr>
        <w:tc>
          <w:tcPr>
            <w:tcW w:w="895" w:type="dxa"/>
            <w:vMerge/>
            <w:tcBorders>
              <w:top w:val="nil"/>
              <w:left w:val="single" w:sz="4" w:space="0" w:color="auto"/>
              <w:bottom w:val="single" w:sz="4" w:space="0" w:color="auto"/>
              <w:right w:val="single" w:sz="4" w:space="0" w:color="auto"/>
            </w:tcBorders>
            <w:vAlign w:val="center"/>
            <w:hideMark/>
          </w:tcPr>
          <w:p w14:paraId="73AAE6FE" w14:textId="77777777" w:rsidR="00492B24" w:rsidRPr="00564BC2" w:rsidRDefault="00492B24" w:rsidP="00492B24">
            <w:pPr>
              <w:keepNext/>
              <w:jc w:val="left"/>
              <w:rPr>
                <w:rFonts w:ascii="Calibri" w:hAnsi="Calibri" w:cs="Calibri"/>
                <w:color w:val="000000"/>
                <w:sz w:val="18"/>
                <w:szCs w:val="18"/>
              </w:rPr>
            </w:pPr>
          </w:p>
        </w:tc>
        <w:tc>
          <w:tcPr>
            <w:tcW w:w="1064" w:type="dxa"/>
            <w:tcBorders>
              <w:top w:val="nil"/>
              <w:left w:val="nil"/>
              <w:bottom w:val="single" w:sz="4" w:space="0" w:color="auto"/>
              <w:right w:val="single" w:sz="4" w:space="0" w:color="auto"/>
            </w:tcBorders>
            <w:shd w:val="clear" w:color="auto" w:fill="auto"/>
            <w:vAlign w:val="center"/>
            <w:hideMark/>
          </w:tcPr>
          <w:p w14:paraId="7E6C97CE" w14:textId="7526AD4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 xml:space="preserve">Engine </w:t>
            </w:r>
            <w:r w:rsidR="0064613B">
              <w:rPr>
                <w:rFonts w:ascii="Calibri" w:hAnsi="Calibri" w:cs="Calibri"/>
                <w:color w:val="000000"/>
                <w:sz w:val="18"/>
                <w:szCs w:val="18"/>
              </w:rPr>
              <w:t>10</w:t>
            </w:r>
          </w:p>
        </w:tc>
        <w:tc>
          <w:tcPr>
            <w:tcW w:w="864" w:type="dxa"/>
            <w:tcBorders>
              <w:top w:val="nil"/>
              <w:left w:val="nil"/>
              <w:bottom w:val="single" w:sz="4" w:space="0" w:color="auto"/>
              <w:right w:val="single" w:sz="4" w:space="0" w:color="auto"/>
            </w:tcBorders>
            <w:shd w:val="clear" w:color="auto" w:fill="auto"/>
            <w:noWrap/>
            <w:vAlign w:val="center"/>
            <w:hideMark/>
          </w:tcPr>
          <w:p w14:paraId="2708ABA7"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65%</w:t>
            </w:r>
          </w:p>
        </w:tc>
        <w:tc>
          <w:tcPr>
            <w:tcW w:w="680" w:type="dxa"/>
            <w:tcBorders>
              <w:top w:val="nil"/>
              <w:left w:val="nil"/>
              <w:bottom w:val="single" w:sz="4" w:space="0" w:color="auto"/>
              <w:right w:val="single" w:sz="4" w:space="0" w:color="auto"/>
            </w:tcBorders>
            <w:shd w:val="clear" w:color="auto" w:fill="auto"/>
            <w:noWrap/>
            <w:vAlign w:val="center"/>
            <w:hideMark/>
          </w:tcPr>
          <w:p w14:paraId="12ADFC37"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w:t>
            </w:r>
          </w:p>
        </w:tc>
        <w:tc>
          <w:tcPr>
            <w:tcW w:w="680" w:type="dxa"/>
            <w:tcBorders>
              <w:top w:val="nil"/>
              <w:left w:val="nil"/>
              <w:bottom w:val="single" w:sz="4" w:space="0" w:color="auto"/>
              <w:right w:val="single" w:sz="4" w:space="0" w:color="auto"/>
            </w:tcBorders>
            <w:shd w:val="clear" w:color="auto" w:fill="auto"/>
            <w:noWrap/>
            <w:vAlign w:val="center"/>
            <w:hideMark/>
          </w:tcPr>
          <w:p w14:paraId="37B17597"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0.6%</w:t>
            </w:r>
          </w:p>
        </w:tc>
        <w:tc>
          <w:tcPr>
            <w:tcW w:w="680" w:type="dxa"/>
            <w:tcBorders>
              <w:top w:val="nil"/>
              <w:left w:val="nil"/>
              <w:bottom w:val="single" w:sz="4" w:space="0" w:color="auto"/>
              <w:right w:val="single" w:sz="4" w:space="0" w:color="auto"/>
            </w:tcBorders>
            <w:shd w:val="clear" w:color="auto" w:fill="auto"/>
            <w:noWrap/>
            <w:vAlign w:val="center"/>
            <w:hideMark/>
          </w:tcPr>
          <w:p w14:paraId="2DF8F0C2"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1.3%</w:t>
            </w:r>
          </w:p>
        </w:tc>
        <w:tc>
          <w:tcPr>
            <w:tcW w:w="680" w:type="dxa"/>
            <w:tcBorders>
              <w:top w:val="nil"/>
              <w:left w:val="nil"/>
              <w:bottom w:val="single" w:sz="4" w:space="0" w:color="auto"/>
              <w:right w:val="single" w:sz="4" w:space="0" w:color="auto"/>
            </w:tcBorders>
            <w:shd w:val="clear" w:color="auto" w:fill="auto"/>
            <w:noWrap/>
            <w:vAlign w:val="center"/>
            <w:hideMark/>
          </w:tcPr>
          <w:p w14:paraId="42390038"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14:paraId="1FCA3199"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2ADD7879"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3.1%</w:t>
            </w:r>
          </w:p>
        </w:tc>
        <w:tc>
          <w:tcPr>
            <w:tcW w:w="680" w:type="dxa"/>
            <w:tcBorders>
              <w:top w:val="nil"/>
              <w:left w:val="nil"/>
              <w:bottom w:val="single" w:sz="4" w:space="0" w:color="auto"/>
              <w:right w:val="single" w:sz="4" w:space="0" w:color="auto"/>
            </w:tcBorders>
            <w:shd w:val="clear" w:color="auto" w:fill="auto"/>
            <w:noWrap/>
            <w:vAlign w:val="center"/>
            <w:hideMark/>
          </w:tcPr>
          <w:p w14:paraId="0D639526"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3.8%</w:t>
            </w:r>
          </w:p>
        </w:tc>
        <w:tc>
          <w:tcPr>
            <w:tcW w:w="680" w:type="dxa"/>
            <w:tcBorders>
              <w:top w:val="nil"/>
              <w:left w:val="nil"/>
              <w:bottom w:val="single" w:sz="4" w:space="0" w:color="auto"/>
              <w:right w:val="single" w:sz="4" w:space="0" w:color="auto"/>
            </w:tcBorders>
            <w:shd w:val="clear" w:color="auto" w:fill="auto"/>
            <w:noWrap/>
            <w:vAlign w:val="center"/>
            <w:hideMark/>
          </w:tcPr>
          <w:p w14:paraId="405D8874"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5F48A613"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6.3%</w:t>
            </w:r>
          </w:p>
        </w:tc>
      </w:tr>
      <w:tr w:rsidR="00492B24" w:rsidRPr="00492B24" w14:paraId="065669D3" w14:textId="77777777" w:rsidTr="00635BDF">
        <w:trPr>
          <w:trHeight w:val="35"/>
          <w:jc w:val="center"/>
        </w:trPr>
        <w:tc>
          <w:tcPr>
            <w:tcW w:w="895" w:type="dxa"/>
            <w:vMerge/>
            <w:tcBorders>
              <w:top w:val="nil"/>
              <w:left w:val="single" w:sz="4" w:space="0" w:color="auto"/>
              <w:bottom w:val="single" w:sz="4" w:space="0" w:color="auto"/>
              <w:right w:val="single" w:sz="4" w:space="0" w:color="auto"/>
            </w:tcBorders>
            <w:vAlign w:val="center"/>
            <w:hideMark/>
          </w:tcPr>
          <w:p w14:paraId="15E630E4" w14:textId="77777777" w:rsidR="00492B24" w:rsidRPr="00564BC2" w:rsidRDefault="00492B24" w:rsidP="00492B24">
            <w:pPr>
              <w:keepNext/>
              <w:jc w:val="left"/>
              <w:rPr>
                <w:rFonts w:ascii="Calibri" w:hAnsi="Calibri" w:cs="Calibri"/>
                <w:color w:val="000000"/>
                <w:sz w:val="18"/>
                <w:szCs w:val="18"/>
              </w:rPr>
            </w:pPr>
          </w:p>
        </w:tc>
        <w:tc>
          <w:tcPr>
            <w:tcW w:w="1064" w:type="dxa"/>
            <w:tcBorders>
              <w:top w:val="nil"/>
              <w:left w:val="nil"/>
              <w:bottom w:val="single" w:sz="4" w:space="0" w:color="auto"/>
              <w:right w:val="single" w:sz="4" w:space="0" w:color="auto"/>
            </w:tcBorders>
            <w:shd w:val="clear" w:color="auto" w:fill="auto"/>
            <w:vAlign w:val="center"/>
            <w:hideMark/>
          </w:tcPr>
          <w:p w14:paraId="3AEE4D2F" w14:textId="0D12C26D"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Engine 1</w:t>
            </w:r>
            <w:r w:rsidR="0064613B">
              <w:rPr>
                <w:rFonts w:ascii="Calibri" w:hAnsi="Calibri" w:cs="Calibri"/>
                <w:color w:val="000000"/>
                <w:sz w:val="18"/>
                <w:szCs w:val="18"/>
              </w:rPr>
              <w:t>1</w:t>
            </w:r>
          </w:p>
        </w:tc>
        <w:tc>
          <w:tcPr>
            <w:tcW w:w="864" w:type="dxa"/>
            <w:tcBorders>
              <w:top w:val="nil"/>
              <w:left w:val="nil"/>
              <w:bottom w:val="single" w:sz="4" w:space="0" w:color="auto"/>
              <w:right w:val="single" w:sz="4" w:space="0" w:color="auto"/>
            </w:tcBorders>
            <w:shd w:val="clear" w:color="auto" w:fill="auto"/>
            <w:noWrap/>
            <w:vAlign w:val="center"/>
            <w:hideMark/>
          </w:tcPr>
          <w:p w14:paraId="6313C573"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70%</w:t>
            </w:r>
          </w:p>
        </w:tc>
        <w:tc>
          <w:tcPr>
            <w:tcW w:w="680" w:type="dxa"/>
            <w:tcBorders>
              <w:top w:val="nil"/>
              <w:left w:val="nil"/>
              <w:bottom w:val="single" w:sz="4" w:space="0" w:color="auto"/>
              <w:right w:val="single" w:sz="4" w:space="0" w:color="auto"/>
            </w:tcBorders>
            <w:shd w:val="clear" w:color="auto" w:fill="auto"/>
            <w:noWrap/>
            <w:vAlign w:val="center"/>
            <w:hideMark/>
          </w:tcPr>
          <w:p w14:paraId="088AA5F2"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w:t>
            </w:r>
          </w:p>
        </w:tc>
        <w:tc>
          <w:tcPr>
            <w:tcW w:w="680" w:type="dxa"/>
            <w:tcBorders>
              <w:top w:val="nil"/>
              <w:left w:val="nil"/>
              <w:bottom w:val="single" w:sz="4" w:space="0" w:color="auto"/>
              <w:right w:val="single" w:sz="4" w:space="0" w:color="auto"/>
            </w:tcBorders>
            <w:shd w:val="clear" w:color="auto" w:fill="auto"/>
            <w:noWrap/>
            <w:vAlign w:val="center"/>
            <w:hideMark/>
          </w:tcPr>
          <w:p w14:paraId="4A0CEE3C"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0.6%</w:t>
            </w:r>
          </w:p>
        </w:tc>
        <w:tc>
          <w:tcPr>
            <w:tcW w:w="680" w:type="dxa"/>
            <w:tcBorders>
              <w:top w:val="nil"/>
              <w:left w:val="nil"/>
              <w:bottom w:val="single" w:sz="4" w:space="0" w:color="auto"/>
              <w:right w:val="single" w:sz="4" w:space="0" w:color="auto"/>
            </w:tcBorders>
            <w:shd w:val="clear" w:color="auto" w:fill="auto"/>
            <w:noWrap/>
            <w:vAlign w:val="center"/>
            <w:hideMark/>
          </w:tcPr>
          <w:p w14:paraId="6D1C4BE9"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1.3%</w:t>
            </w:r>
          </w:p>
        </w:tc>
        <w:tc>
          <w:tcPr>
            <w:tcW w:w="680" w:type="dxa"/>
            <w:tcBorders>
              <w:top w:val="nil"/>
              <w:left w:val="nil"/>
              <w:bottom w:val="single" w:sz="4" w:space="0" w:color="auto"/>
              <w:right w:val="single" w:sz="4" w:space="0" w:color="auto"/>
            </w:tcBorders>
            <w:shd w:val="clear" w:color="auto" w:fill="auto"/>
            <w:noWrap/>
            <w:vAlign w:val="center"/>
            <w:hideMark/>
          </w:tcPr>
          <w:p w14:paraId="71991ADC"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14:paraId="19A85572"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69E2C310"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3.1%</w:t>
            </w:r>
          </w:p>
        </w:tc>
        <w:tc>
          <w:tcPr>
            <w:tcW w:w="680" w:type="dxa"/>
            <w:tcBorders>
              <w:top w:val="nil"/>
              <w:left w:val="nil"/>
              <w:bottom w:val="single" w:sz="4" w:space="0" w:color="auto"/>
              <w:right w:val="single" w:sz="4" w:space="0" w:color="auto"/>
            </w:tcBorders>
            <w:shd w:val="clear" w:color="auto" w:fill="auto"/>
            <w:noWrap/>
            <w:vAlign w:val="center"/>
            <w:hideMark/>
          </w:tcPr>
          <w:p w14:paraId="3B62360C"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3.8%</w:t>
            </w:r>
          </w:p>
        </w:tc>
        <w:tc>
          <w:tcPr>
            <w:tcW w:w="680" w:type="dxa"/>
            <w:tcBorders>
              <w:top w:val="nil"/>
              <w:left w:val="nil"/>
              <w:bottom w:val="single" w:sz="4" w:space="0" w:color="auto"/>
              <w:right w:val="single" w:sz="4" w:space="0" w:color="auto"/>
            </w:tcBorders>
            <w:shd w:val="clear" w:color="auto" w:fill="auto"/>
            <w:noWrap/>
            <w:vAlign w:val="center"/>
            <w:hideMark/>
          </w:tcPr>
          <w:p w14:paraId="41C04027"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0769F130"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6.3%</w:t>
            </w:r>
          </w:p>
        </w:tc>
      </w:tr>
      <w:tr w:rsidR="00492B24" w:rsidRPr="00492B24" w14:paraId="04D18B0A" w14:textId="77777777" w:rsidTr="00635BDF">
        <w:trPr>
          <w:trHeight w:val="152"/>
          <w:jc w:val="center"/>
        </w:trPr>
        <w:tc>
          <w:tcPr>
            <w:tcW w:w="895" w:type="dxa"/>
            <w:vMerge/>
            <w:tcBorders>
              <w:top w:val="nil"/>
              <w:left w:val="single" w:sz="4" w:space="0" w:color="auto"/>
              <w:bottom w:val="single" w:sz="4" w:space="0" w:color="auto"/>
              <w:right w:val="single" w:sz="4" w:space="0" w:color="auto"/>
            </w:tcBorders>
            <w:vAlign w:val="center"/>
            <w:hideMark/>
          </w:tcPr>
          <w:p w14:paraId="3C267DA6" w14:textId="77777777" w:rsidR="00492B24" w:rsidRPr="00564BC2" w:rsidRDefault="00492B24" w:rsidP="00492B24">
            <w:pPr>
              <w:keepNext/>
              <w:jc w:val="left"/>
              <w:rPr>
                <w:rFonts w:ascii="Calibri" w:hAnsi="Calibri" w:cs="Calibri"/>
                <w:color w:val="000000"/>
                <w:sz w:val="18"/>
                <w:szCs w:val="18"/>
              </w:rPr>
            </w:pPr>
          </w:p>
        </w:tc>
        <w:tc>
          <w:tcPr>
            <w:tcW w:w="1064" w:type="dxa"/>
            <w:tcBorders>
              <w:top w:val="nil"/>
              <w:left w:val="nil"/>
              <w:bottom w:val="single" w:sz="4" w:space="0" w:color="auto"/>
              <w:right w:val="single" w:sz="4" w:space="0" w:color="auto"/>
            </w:tcBorders>
            <w:shd w:val="clear" w:color="auto" w:fill="auto"/>
            <w:vAlign w:val="center"/>
            <w:hideMark/>
          </w:tcPr>
          <w:p w14:paraId="2BAF1369" w14:textId="2144C64A"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Engine 1</w:t>
            </w:r>
            <w:r w:rsidR="0064613B">
              <w:rPr>
                <w:rFonts w:ascii="Calibri" w:hAnsi="Calibri" w:cs="Calibri"/>
                <w:color w:val="000000"/>
                <w:sz w:val="18"/>
                <w:szCs w:val="18"/>
              </w:rPr>
              <w:t>2</w:t>
            </w:r>
          </w:p>
        </w:tc>
        <w:tc>
          <w:tcPr>
            <w:tcW w:w="864" w:type="dxa"/>
            <w:tcBorders>
              <w:top w:val="nil"/>
              <w:left w:val="nil"/>
              <w:bottom w:val="single" w:sz="4" w:space="0" w:color="auto"/>
              <w:right w:val="single" w:sz="4" w:space="0" w:color="auto"/>
            </w:tcBorders>
            <w:shd w:val="clear" w:color="auto" w:fill="auto"/>
            <w:noWrap/>
            <w:vAlign w:val="center"/>
            <w:hideMark/>
          </w:tcPr>
          <w:p w14:paraId="76886F45"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75%</w:t>
            </w:r>
          </w:p>
        </w:tc>
        <w:tc>
          <w:tcPr>
            <w:tcW w:w="680" w:type="dxa"/>
            <w:tcBorders>
              <w:top w:val="nil"/>
              <w:left w:val="nil"/>
              <w:bottom w:val="single" w:sz="4" w:space="0" w:color="auto"/>
              <w:right w:val="single" w:sz="4" w:space="0" w:color="auto"/>
            </w:tcBorders>
            <w:shd w:val="clear" w:color="auto" w:fill="auto"/>
            <w:noWrap/>
            <w:vAlign w:val="center"/>
            <w:hideMark/>
          </w:tcPr>
          <w:p w14:paraId="6B2198E2"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w:t>
            </w:r>
          </w:p>
        </w:tc>
        <w:tc>
          <w:tcPr>
            <w:tcW w:w="680" w:type="dxa"/>
            <w:tcBorders>
              <w:top w:val="nil"/>
              <w:left w:val="nil"/>
              <w:bottom w:val="single" w:sz="4" w:space="0" w:color="auto"/>
              <w:right w:val="single" w:sz="4" w:space="0" w:color="auto"/>
            </w:tcBorders>
            <w:shd w:val="clear" w:color="auto" w:fill="auto"/>
            <w:noWrap/>
            <w:vAlign w:val="center"/>
            <w:hideMark/>
          </w:tcPr>
          <w:p w14:paraId="02F308D2"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0.6%</w:t>
            </w:r>
          </w:p>
        </w:tc>
        <w:tc>
          <w:tcPr>
            <w:tcW w:w="680" w:type="dxa"/>
            <w:tcBorders>
              <w:top w:val="nil"/>
              <w:left w:val="nil"/>
              <w:bottom w:val="single" w:sz="4" w:space="0" w:color="auto"/>
              <w:right w:val="single" w:sz="4" w:space="0" w:color="auto"/>
            </w:tcBorders>
            <w:shd w:val="clear" w:color="auto" w:fill="auto"/>
            <w:noWrap/>
            <w:vAlign w:val="center"/>
            <w:hideMark/>
          </w:tcPr>
          <w:p w14:paraId="40A6175D"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1.3%</w:t>
            </w:r>
          </w:p>
        </w:tc>
        <w:tc>
          <w:tcPr>
            <w:tcW w:w="680" w:type="dxa"/>
            <w:tcBorders>
              <w:top w:val="nil"/>
              <w:left w:val="nil"/>
              <w:bottom w:val="single" w:sz="4" w:space="0" w:color="auto"/>
              <w:right w:val="single" w:sz="4" w:space="0" w:color="auto"/>
            </w:tcBorders>
            <w:shd w:val="clear" w:color="auto" w:fill="auto"/>
            <w:noWrap/>
            <w:vAlign w:val="center"/>
            <w:hideMark/>
          </w:tcPr>
          <w:p w14:paraId="3EDB11AC"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14:paraId="7541B784"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752A4075"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3.1%</w:t>
            </w:r>
          </w:p>
        </w:tc>
        <w:tc>
          <w:tcPr>
            <w:tcW w:w="680" w:type="dxa"/>
            <w:tcBorders>
              <w:top w:val="nil"/>
              <w:left w:val="nil"/>
              <w:bottom w:val="single" w:sz="4" w:space="0" w:color="auto"/>
              <w:right w:val="single" w:sz="4" w:space="0" w:color="auto"/>
            </w:tcBorders>
            <w:shd w:val="clear" w:color="auto" w:fill="auto"/>
            <w:noWrap/>
            <w:vAlign w:val="center"/>
            <w:hideMark/>
          </w:tcPr>
          <w:p w14:paraId="70F7ABEE"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3.8%</w:t>
            </w:r>
          </w:p>
        </w:tc>
        <w:tc>
          <w:tcPr>
            <w:tcW w:w="680" w:type="dxa"/>
            <w:tcBorders>
              <w:top w:val="nil"/>
              <w:left w:val="nil"/>
              <w:bottom w:val="single" w:sz="4" w:space="0" w:color="auto"/>
              <w:right w:val="single" w:sz="4" w:space="0" w:color="auto"/>
            </w:tcBorders>
            <w:shd w:val="clear" w:color="auto" w:fill="auto"/>
            <w:noWrap/>
            <w:vAlign w:val="center"/>
            <w:hideMark/>
          </w:tcPr>
          <w:p w14:paraId="688BCB29"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55FDCDEB"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6.3%</w:t>
            </w:r>
          </w:p>
        </w:tc>
      </w:tr>
      <w:tr w:rsidR="00492B24" w:rsidRPr="00492B24" w14:paraId="6A571901" w14:textId="77777777" w:rsidTr="00635BDF">
        <w:trPr>
          <w:trHeight w:val="152"/>
          <w:jc w:val="center"/>
        </w:trPr>
        <w:tc>
          <w:tcPr>
            <w:tcW w:w="895" w:type="dxa"/>
            <w:vMerge/>
            <w:tcBorders>
              <w:top w:val="nil"/>
              <w:left w:val="single" w:sz="4" w:space="0" w:color="auto"/>
              <w:bottom w:val="single" w:sz="4" w:space="0" w:color="auto"/>
              <w:right w:val="single" w:sz="4" w:space="0" w:color="auto"/>
            </w:tcBorders>
            <w:vAlign w:val="center"/>
            <w:hideMark/>
          </w:tcPr>
          <w:p w14:paraId="75CFA9DD" w14:textId="77777777" w:rsidR="00492B24" w:rsidRPr="00564BC2" w:rsidRDefault="00492B24" w:rsidP="00492B24">
            <w:pPr>
              <w:keepNext/>
              <w:jc w:val="left"/>
              <w:rPr>
                <w:rFonts w:ascii="Calibri" w:hAnsi="Calibri" w:cs="Calibri"/>
                <w:color w:val="000000"/>
                <w:sz w:val="18"/>
                <w:szCs w:val="18"/>
              </w:rPr>
            </w:pPr>
          </w:p>
        </w:tc>
        <w:tc>
          <w:tcPr>
            <w:tcW w:w="1064" w:type="dxa"/>
            <w:tcBorders>
              <w:top w:val="nil"/>
              <w:left w:val="nil"/>
              <w:bottom w:val="single" w:sz="4" w:space="0" w:color="auto"/>
              <w:right w:val="single" w:sz="4" w:space="0" w:color="auto"/>
            </w:tcBorders>
            <w:shd w:val="clear" w:color="auto" w:fill="auto"/>
            <w:vAlign w:val="center"/>
            <w:hideMark/>
          </w:tcPr>
          <w:p w14:paraId="3AB47C12" w14:textId="1BC2BDC2"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Engine 1</w:t>
            </w:r>
            <w:r w:rsidR="0064613B">
              <w:rPr>
                <w:rFonts w:ascii="Calibri" w:hAnsi="Calibri" w:cs="Calibri"/>
                <w:color w:val="000000"/>
                <w:sz w:val="18"/>
                <w:szCs w:val="18"/>
              </w:rPr>
              <w:t>3</w:t>
            </w:r>
          </w:p>
        </w:tc>
        <w:tc>
          <w:tcPr>
            <w:tcW w:w="864" w:type="dxa"/>
            <w:tcBorders>
              <w:top w:val="nil"/>
              <w:left w:val="nil"/>
              <w:bottom w:val="single" w:sz="4" w:space="0" w:color="auto"/>
              <w:right w:val="single" w:sz="4" w:space="0" w:color="auto"/>
            </w:tcBorders>
            <w:shd w:val="clear" w:color="auto" w:fill="auto"/>
            <w:noWrap/>
            <w:vAlign w:val="center"/>
            <w:hideMark/>
          </w:tcPr>
          <w:p w14:paraId="390890E3"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80%</w:t>
            </w:r>
          </w:p>
        </w:tc>
        <w:tc>
          <w:tcPr>
            <w:tcW w:w="680" w:type="dxa"/>
            <w:tcBorders>
              <w:top w:val="nil"/>
              <w:left w:val="nil"/>
              <w:bottom w:val="single" w:sz="4" w:space="0" w:color="auto"/>
              <w:right w:val="single" w:sz="4" w:space="0" w:color="auto"/>
            </w:tcBorders>
            <w:shd w:val="clear" w:color="auto" w:fill="auto"/>
            <w:noWrap/>
            <w:vAlign w:val="center"/>
            <w:hideMark/>
          </w:tcPr>
          <w:p w14:paraId="18AB1FD8"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w:t>
            </w:r>
          </w:p>
        </w:tc>
        <w:tc>
          <w:tcPr>
            <w:tcW w:w="680" w:type="dxa"/>
            <w:tcBorders>
              <w:top w:val="nil"/>
              <w:left w:val="nil"/>
              <w:bottom w:val="single" w:sz="4" w:space="0" w:color="auto"/>
              <w:right w:val="single" w:sz="4" w:space="0" w:color="auto"/>
            </w:tcBorders>
            <w:shd w:val="clear" w:color="auto" w:fill="auto"/>
            <w:noWrap/>
            <w:vAlign w:val="center"/>
            <w:hideMark/>
          </w:tcPr>
          <w:p w14:paraId="77F170F7"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0.6%</w:t>
            </w:r>
          </w:p>
        </w:tc>
        <w:tc>
          <w:tcPr>
            <w:tcW w:w="680" w:type="dxa"/>
            <w:tcBorders>
              <w:top w:val="nil"/>
              <w:left w:val="nil"/>
              <w:bottom w:val="single" w:sz="4" w:space="0" w:color="auto"/>
              <w:right w:val="single" w:sz="4" w:space="0" w:color="auto"/>
            </w:tcBorders>
            <w:shd w:val="clear" w:color="auto" w:fill="auto"/>
            <w:noWrap/>
            <w:vAlign w:val="center"/>
            <w:hideMark/>
          </w:tcPr>
          <w:p w14:paraId="0487A939"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1.3%</w:t>
            </w:r>
          </w:p>
        </w:tc>
        <w:tc>
          <w:tcPr>
            <w:tcW w:w="680" w:type="dxa"/>
            <w:tcBorders>
              <w:top w:val="nil"/>
              <w:left w:val="nil"/>
              <w:bottom w:val="single" w:sz="4" w:space="0" w:color="auto"/>
              <w:right w:val="single" w:sz="4" w:space="0" w:color="auto"/>
            </w:tcBorders>
            <w:shd w:val="clear" w:color="auto" w:fill="auto"/>
            <w:noWrap/>
            <w:vAlign w:val="center"/>
            <w:hideMark/>
          </w:tcPr>
          <w:p w14:paraId="63739BFD"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14:paraId="65342029"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1BC2AA46"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3.1%</w:t>
            </w:r>
          </w:p>
        </w:tc>
        <w:tc>
          <w:tcPr>
            <w:tcW w:w="680" w:type="dxa"/>
            <w:tcBorders>
              <w:top w:val="nil"/>
              <w:left w:val="nil"/>
              <w:bottom w:val="single" w:sz="4" w:space="0" w:color="auto"/>
              <w:right w:val="single" w:sz="4" w:space="0" w:color="auto"/>
            </w:tcBorders>
            <w:shd w:val="clear" w:color="auto" w:fill="auto"/>
            <w:noWrap/>
            <w:vAlign w:val="center"/>
            <w:hideMark/>
          </w:tcPr>
          <w:p w14:paraId="160B100E"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3.8%</w:t>
            </w:r>
          </w:p>
        </w:tc>
        <w:tc>
          <w:tcPr>
            <w:tcW w:w="680" w:type="dxa"/>
            <w:tcBorders>
              <w:top w:val="nil"/>
              <w:left w:val="nil"/>
              <w:bottom w:val="single" w:sz="4" w:space="0" w:color="auto"/>
              <w:right w:val="single" w:sz="4" w:space="0" w:color="auto"/>
            </w:tcBorders>
            <w:shd w:val="clear" w:color="auto" w:fill="auto"/>
            <w:noWrap/>
            <w:vAlign w:val="center"/>
            <w:hideMark/>
          </w:tcPr>
          <w:p w14:paraId="4173ADA5"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0DD97480"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6.3%</w:t>
            </w:r>
          </w:p>
        </w:tc>
      </w:tr>
      <w:tr w:rsidR="00492B24" w:rsidRPr="00492B24" w14:paraId="29C6CE67" w14:textId="77777777" w:rsidTr="00635BDF">
        <w:trPr>
          <w:trHeight w:val="161"/>
          <w:jc w:val="center"/>
        </w:trPr>
        <w:tc>
          <w:tcPr>
            <w:tcW w:w="895" w:type="dxa"/>
            <w:vMerge/>
            <w:tcBorders>
              <w:top w:val="nil"/>
              <w:left w:val="single" w:sz="4" w:space="0" w:color="auto"/>
              <w:bottom w:val="single" w:sz="4" w:space="0" w:color="auto"/>
              <w:right w:val="single" w:sz="4" w:space="0" w:color="auto"/>
            </w:tcBorders>
            <w:vAlign w:val="center"/>
            <w:hideMark/>
          </w:tcPr>
          <w:p w14:paraId="2A6738A5" w14:textId="77777777" w:rsidR="00492B24" w:rsidRPr="00564BC2" w:rsidRDefault="00492B24" w:rsidP="00492B24">
            <w:pPr>
              <w:keepNext/>
              <w:jc w:val="left"/>
              <w:rPr>
                <w:rFonts w:ascii="Calibri" w:hAnsi="Calibri" w:cs="Calibri"/>
                <w:color w:val="000000"/>
                <w:sz w:val="18"/>
                <w:szCs w:val="18"/>
              </w:rPr>
            </w:pPr>
          </w:p>
        </w:tc>
        <w:tc>
          <w:tcPr>
            <w:tcW w:w="1064" w:type="dxa"/>
            <w:tcBorders>
              <w:top w:val="nil"/>
              <w:left w:val="nil"/>
              <w:bottom w:val="single" w:sz="4" w:space="0" w:color="auto"/>
              <w:right w:val="single" w:sz="4" w:space="0" w:color="auto"/>
            </w:tcBorders>
            <w:shd w:val="clear" w:color="auto" w:fill="auto"/>
            <w:vAlign w:val="center"/>
            <w:hideMark/>
          </w:tcPr>
          <w:p w14:paraId="54F4E064" w14:textId="428F66DB"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Engine 1</w:t>
            </w:r>
            <w:r w:rsidR="0064613B">
              <w:rPr>
                <w:rFonts w:ascii="Calibri" w:hAnsi="Calibri" w:cs="Calibri"/>
                <w:color w:val="000000"/>
                <w:sz w:val="18"/>
                <w:szCs w:val="18"/>
              </w:rPr>
              <w:t>4</w:t>
            </w:r>
          </w:p>
        </w:tc>
        <w:tc>
          <w:tcPr>
            <w:tcW w:w="864" w:type="dxa"/>
            <w:tcBorders>
              <w:top w:val="nil"/>
              <w:left w:val="nil"/>
              <w:bottom w:val="single" w:sz="4" w:space="0" w:color="auto"/>
              <w:right w:val="single" w:sz="4" w:space="0" w:color="auto"/>
            </w:tcBorders>
            <w:shd w:val="clear" w:color="auto" w:fill="auto"/>
            <w:noWrap/>
            <w:vAlign w:val="center"/>
            <w:hideMark/>
          </w:tcPr>
          <w:p w14:paraId="51513CFC"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85%</w:t>
            </w:r>
          </w:p>
        </w:tc>
        <w:tc>
          <w:tcPr>
            <w:tcW w:w="680" w:type="dxa"/>
            <w:tcBorders>
              <w:top w:val="nil"/>
              <w:left w:val="nil"/>
              <w:bottom w:val="single" w:sz="4" w:space="0" w:color="auto"/>
              <w:right w:val="single" w:sz="4" w:space="0" w:color="auto"/>
            </w:tcBorders>
            <w:shd w:val="clear" w:color="auto" w:fill="auto"/>
            <w:noWrap/>
            <w:vAlign w:val="center"/>
            <w:hideMark/>
          </w:tcPr>
          <w:p w14:paraId="349D7586"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w:t>
            </w:r>
          </w:p>
        </w:tc>
        <w:tc>
          <w:tcPr>
            <w:tcW w:w="680" w:type="dxa"/>
            <w:tcBorders>
              <w:top w:val="nil"/>
              <w:left w:val="nil"/>
              <w:bottom w:val="single" w:sz="4" w:space="0" w:color="auto"/>
              <w:right w:val="single" w:sz="4" w:space="0" w:color="auto"/>
            </w:tcBorders>
            <w:shd w:val="clear" w:color="auto" w:fill="auto"/>
            <w:noWrap/>
            <w:vAlign w:val="center"/>
            <w:hideMark/>
          </w:tcPr>
          <w:p w14:paraId="17B277B0"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0.6%</w:t>
            </w:r>
          </w:p>
        </w:tc>
        <w:tc>
          <w:tcPr>
            <w:tcW w:w="680" w:type="dxa"/>
            <w:tcBorders>
              <w:top w:val="nil"/>
              <w:left w:val="nil"/>
              <w:bottom w:val="single" w:sz="4" w:space="0" w:color="auto"/>
              <w:right w:val="single" w:sz="4" w:space="0" w:color="auto"/>
            </w:tcBorders>
            <w:shd w:val="clear" w:color="auto" w:fill="auto"/>
            <w:noWrap/>
            <w:vAlign w:val="center"/>
            <w:hideMark/>
          </w:tcPr>
          <w:p w14:paraId="34A664E5"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1.3%</w:t>
            </w:r>
          </w:p>
        </w:tc>
        <w:tc>
          <w:tcPr>
            <w:tcW w:w="680" w:type="dxa"/>
            <w:tcBorders>
              <w:top w:val="nil"/>
              <w:left w:val="nil"/>
              <w:bottom w:val="single" w:sz="4" w:space="0" w:color="auto"/>
              <w:right w:val="single" w:sz="4" w:space="0" w:color="auto"/>
            </w:tcBorders>
            <w:shd w:val="clear" w:color="auto" w:fill="auto"/>
            <w:noWrap/>
            <w:vAlign w:val="center"/>
            <w:hideMark/>
          </w:tcPr>
          <w:p w14:paraId="6E796361"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14:paraId="41E6774D"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417B9093"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3.1%</w:t>
            </w:r>
          </w:p>
        </w:tc>
        <w:tc>
          <w:tcPr>
            <w:tcW w:w="680" w:type="dxa"/>
            <w:tcBorders>
              <w:top w:val="nil"/>
              <w:left w:val="nil"/>
              <w:bottom w:val="single" w:sz="4" w:space="0" w:color="auto"/>
              <w:right w:val="single" w:sz="4" w:space="0" w:color="auto"/>
            </w:tcBorders>
            <w:shd w:val="clear" w:color="auto" w:fill="auto"/>
            <w:noWrap/>
            <w:vAlign w:val="center"/>
            <w:hideMark/>
          </w:tcPr>
          <w:p w14:paraId="3C663BCF"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3.8%</w:t>
            </w:r>
          </w:p>
        </w:tc>
        <w:tc>
          <w:tcPr>
            <w:tcW w:w="680" w:type="dxa"/>
            <w:tcBorders>
              <w:top w:val="nil"/>
              <w:left w:val="nil"/>
              <w:bottom w:val="single" w:sz="4" w:space="0" w:color="auto"/>
              <w:right w:val="single" w:sz="4" w:space="0" w:color="auto"/>
            </w:tcBorders>
            <w:shd w:val="clear" w:color="auto" w:fill="auto"/>
            <w:noWrap/>
            <w:vAlign w:val="center"/>
            <w:hideMark/>
          </w:tcPr>
          <w:p w14:paraId="391136F6"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64764F23"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6.3%</w:t>
            </w:r>
          </w:p>
        </w:tc>
      </w:tr>
      <w:tr w:rsidR="00492B24" w:rsidRPr="00492B24" w14:paraId="2EB8BEBF" w14:textId="77777777" w:rsidTr="00635BDF">
        <w:trPr>
          <w:trHeight w:val="71"/>
          <w:jc w:val="center"/>
        </w:trPr>
        <w:tc>
          <w:tcPr>
            <w:tcW w:w="895" w:type="dxa"/>
            <w:vMerge/>
            <w:tcBorders>
              <w:top w:val="nil"/>
              <w:left w:val="single" w:sz="4" w:space="0" w:color="auto"/>
              <w:bottom w:val="single" w:sz="4" w:space="0" w:color="auto"/>
              <w:right w:val="single" w:sz="4" w:space="0" w:color="auto"/>
            </w:tcBorders>
            <w:vAlign w:val="center"/>
            <w:hideMark/>
          </w:tcPr>
          <w:p w14:paraId="4AE91358" w14:textId="77777777" w:rsidR="00492B24" w:rsidRPr="00564BC2" w:rsidRDefault="00492B24" w:rsidP="00492B24">
            <w:pPr>
              <w:keepNext/>
              <w:jc w:val="left"/>
              <w:rPr>
                <w:rFonts w:ascii="Calibri" w:hAnsi="Calibri" w:cs="Calibri"/>
                <w:color w:val="000000"/>
                <w:sz w:val="18"/>
                <w:szCs w:val="18"/>
              </w:rPr>
            </w:pPr>
          </w:p>
        </w:tc>
        <w:tc>
          <w:tcPr>
            <w:tcW w:w="1064" w:type="dxa"/>
            <w:tcBorders>
              <w:top w:val="nil"/>
              <w:left w:val="nil"/>
              <w:bottom w:val="single" w:sz="4" w:space="0" w:color="auto"/>
              <w:right w:val="single" w:sz="4" w:space="0" w:color="auto"/>
            </w:tcBorders>
            <w:shd w:val="clear" w:color="auto" w:fill="auto"/>
            <w:vAlign w:val="center"/>
            <w:hideMark/>
          </w:tcPr>
          <w:p w14:paraId="6A97ED35" w14:textId="7A0651BC"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Engine 1</w:t>
            </w:r>
            <w:r w:rsidR="0064613B">
              <w:rPr>
                <w:rFonts w:ascii="Calibri" w:hAnsi="Calibri" w:cs="Calibri"/>
                <w:color w:val="000000"/>
                <w:sz w:val="18"/>
                <w:szCs w:val="18"/>
              </w:rPr>
              <w:t>5</w:t>
            </w:r>
          </w:p>
        </w:tc>
        <w:tc>
          <w:tcPr>
            <w:tcW w:w="864" w:type="dxa"/>
            <w:tcBorders>
              <w:top w:val="nil"/>
              <w:left w:val="nil"/>
              <w:bottom w:val="single" w:sz="4" w:space="0" w:color="auto"/>
              <w:right w:val="single" w:sz="4" w:space="0" w:color="auto"/>
            </w:tcBorders>
            <w:shd w:val="clear" w:color="auto" w:fill="auto"/>
            <w:noWrap/>
            <w:vAlign w:val="center"/>
            <w:hideMark/>
          </w:tcPr>
          <w:p w14:paraId="61740D14"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90%</w:t>
            </w:r>
          </w:p>
        </w:tc>
        <w:tc>
          <w:tcPr>
            <w:tcW w:w="680" w:type="dxa"/>
            <w:tcBorders>
              <w:top w:val="nil"/>
              <w:left w:val="nil"/>
              <w:bottom w:val="single" w:sz="4" w:space="0" w:color="auto"/>
              <w:right w:val="single" w:sz="4" w:space="0" w:color="auto"/>
            </w:tcBorders>
            <w:shd w:val="clear" w:color="auto" w:fill="auto"/>
            <w:noWrap/>
            <w:vAlign w:val="center"/>
            <w:hideMark/>
          </w:tcPr>
          <w:p w14:paraId="3C2697A6"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w:t>
            </w:r>
          </w:p>
        </w:tc>
        <w:tc>
          <w:tcPr>
            <w:tcW w:w="680" w:type="dxa"/>
            <w:tcBorders>
              <w:top w:val="nil"/>
              <w:left w:val="nil"/>
              <w:bottom w:val="single" w:sz="4" w:space="0" w:color="auto"/>
              <w:right w:val="single" w:sz="4" w:space="0" w:color="auto"/>
            </w:tcBorders>
            <w:shd w:val="clear" w:color="auto" w:fill="auto"/>
            <w:noWrap/>
            <w:vAlign w:val="center"/>
            <w:hideMark/>
          </w:tcPr>
          <w:p w14:paraId="2F949DE9"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0.6%</w:t>
            </w:r>
          </w:p>
        </w:tc>
        <w:tc>
          <w:tcPr>
            <w:tcW w:w="680" w:type="dxa"/>
            <w:tcBorders>
              <w:top w:val="nil"/>
              <w:left w:val="nil"/>
              <w:bottom w:val="single" w:sz="4" w:space="0" w:color="auto"/>
              <w:right w:val="single" w:sz="4" w:space="0" w:color="auto"/>
            </w:tcBorders>
            <w:shd w:val="clear" w:color="auto" w:fill="auto"/>
            <w:noWrap/>
            <w:vAlign w:val="center"/>
            <w:hideMark/>
          </w:tcPr>
          <w:p w14:paraId="737ACEFB"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1.3%</w:t>
            </w:r>
          </w:p>
        </w:tc>
        <w:tc>
          <w:tcPr>
            <w:tcW w:w="680" w:type="dxa"/>
            <w:tcBorders>
              <w:top w:val="nil"/>
              <w:left w:val="nil"/>
              <w:bottom w:val="single" w:sz="4" w:space="0" w:color="auto"/>
              <w:right w:val="single" w:sz="4" w:space="0" w:color="auto"/>
            </w:tcBorders>
            <w:shd w:val="clear" w:color="auto" w:fill="auto"/>
            <w:noWrap/>
            <w:vAlign w:val="center"/>
            <w:hideMark/>
          </w:tcPr>
          <w:p w14:paraId="49635D22"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14:paraId="03F8B533"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774C22D1"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3.1%</w:t>
            </w:r>
          </w:p>
        </w:tc>
        <w:tc>
          <w:tcPr>
            <w:tcW w:w="680" w:type="dxa"/>
            <w:tcBorders>
              <w:top w:val="nil"/>
              <w:left w:val="nil"/>
              <w:bottom w:val="single" w:sz="4" w:space="0" w:color="auto"/>
              <w:right w:val="single" w:sz="4" w:space="0" w:color="auto"/>
            </w:tcBorders>
            <w:shd w:val="clear" w:color="auto" w:fill="auto"/>
            <w:noWrap/>
            <w:vAlign w:val="center"/>
            <w:hideMark/>
          </w:tcPr>
          <w:p w14:paraId="3EE09C18"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3.8%</w:t>
            </w:r>
          </w:p>
        </w:tc>
        <w:tc>
          <w:tcPr>
            <w:tcW w:w="680" w:type="dxa"/>
            <w:tcBorders>
              <w:top w:val="nil"/>
              <w:left w:val="nil"/>
              <w:bottom w:val="single" w:sz="4" w:space="0" w:color="auto"/>
              <w:right w:val="single" w:sz="4" w:space="0" w:color="auto"/>
            </w:tcBorders>
            <w:shd w:val="clear" w:color="auto" w:fill="auto"/>
            <w:noWrap/>
            <w:vAlign w:val="center"/>
            <w:hideMark/>
          </w:tcPr>
          <w:p w14:paraId="49D11B69"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76156B0D"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6.3%</w:t>
            </w:r>
          </w:p>
        </w:tc>
      </w:tr>
      <w:tr w:rsidR="00492B24" w:rsidRPr="00492B24" w14:paraId="59FF940B" w14:textId="77777777" w:rsidTr="00635BDF">
        <w:trPr>
          <w:trHeight w:val="35"/>
          <w:jc w:val="center"/>
        </w:trPr>
        <w:tc>
          <w:tcPr>
            <w:tcW w:w="895" w:type="dxa"/>
            <w:vMerge/>
            <w:tcBorders>
              <w:top w:val="nil"/>
              <w:left w:val="single" w:sz="4" w:space="0" w:color="auto"/>
              <w:bottom w:val="single" w:sz="4" w:space="0" w:color="auto"/>
              <w:right w:val="single" w:sz="4" w:space="0" w:color="auto"/>
            </w:tcBorders>
            <w:vAlign w:val="center"/>
            <w:hideMark/>
          </w:tcPr>
          <w:p w14:paraId="007A63F5" w14:textId="77777777" w:rsidR="00492B24" w:rsidRPr="00564BC2" w:rsidRDefault="00492B24" w:rsidP="00492B24">
            <w:pPr>
              <w:keepNext/>
              <w:jc w:val="left"/>
              <w:rPr>
                <w:rFonts w:ascii="Calibri" w:hAnsi="Calibri" w:cs="Calibri"/>
                <w:color w:val="000000"/>
                <w:sz w:val="18"/>
                <w:szCs w:val="18"/>
              </w:rPr>
            </w:pPr>
          </w:p>
        </w:tc>
        <w:tc>
          <w:tcPr>
            <w:tcW w:w="1064" w:type="dxa"/>
            <w:tcBorders>
              <w:top w:val="nil"/>
              <w:left w:val="nil"/>
              <w:bottom w:val="single" w:sz="4" w:space="0" w:color="auto"/>
              <w:right w:val="single" w:sz="4" w:space="0" w:color="auto"/>
            </w:tcBorders>
            <w:shd w:val="clear" w:color="auto" w:fill="auto"/>
            <w:vAlign w:val="center"/>
            <w:hideMark/>
          </w:tcPr>
          <w:p w14:paraId="725954D0" w14:textId="7EC12569"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Engine 1</w:t>
            </w:r>
            <w:r w:rsidR="0064613B">
              <w:rPr>
                <w:rFonts w:ascii="Calibri" w:hAnsi="Calibri" w:cs="Calibri"/>
                <w:color w:val="000000"/>
                <w:sz w:val="18"/>
                <w:szCs w:val="18"/>
              </w:rPr>
              <w:t>6</w:t>
            </w:r>
          </w:p>
        </w:tc>
        <w:tc>
          <w:tcPr>
            <w:tcW w:w="864" w:type="dxa"/>
            <w:tcBorders>
              <w:top w:val="nil"/>
              <w:left w:val="nil"/>
              <w:bottom w:val="single" w:sz="4" w:space="0" w:color="auto"/>
              <w:right w:val="single" w:sz="4" w:space="0" w:color="auto"/>
            </w:tcBorders>
            <w:shd w:val="clear" w:color="auto" w:fill="auto"/>
            <w:noWrap/>
            <w:vAlign w:val="center"/>
            <w:hideMark/>
          </w:tcPr>
          <w:p w14:paraId="6817B336"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95%</w:t>
            </w:r>
          </w:p>
        </w:tc>
        <w:tc>
          <w:tcPr>
            <w:tcW w:w="680" w:type="dxa"/>
            <w:tcBorders>
              <w:top w:val="nil"/>
              <w:left w:val="nil"/>
              <w:bottom w:val="single" w:sz="4" w:space="0" w:color="auto"/>
              <w:right w:val="single" w:sz="4" w:space="0" w:color="auto"/>
            </w:tcBorders>
            <w:shd w:val="clear" w:color="auto" w:fill="auto"/>
            <w:noWrap/>
            <w:vAlign w:val="center"/>
            <w:hideMark/>
          </w:tcPr>
          <w:p w14:paraId="7043098A"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w:t>
            </w:r>
          </w:p>
        </w:tc>
        <w:tc>
          <w:tcPr>
            <w:tcW w:w="680" w:type="dxa"/>
            <w:tcBorders>
              <w:top w:val="nil"/>
              <w:left w:val="nil"/>
              <w:bottom w:val="single" w:sz="4" w:space="0" w:color="auto"/>
              <w:right w:val="single" w:sz="4" w:space="0" w:color="auto"/>
            </w:tcBorders>
            <w:shd w:val="clear" w:color="auto" w:fill="auto"/>
            <w:noWrap/>
            <w:vAlign w:val="center"/>
            <w:hideMark/>
          </w:tcPr>
          <w:p w14:paraId="56D1D4B0"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0.6%</w:t>
            </w:r>
          </w:p>
        </w:tc>
        <w:tc>
          <w:tcPr>
            <w:tcW w:w="680" w:type="dxa"/>
            <w:tcBorders>
              <w:top w:val="nil"/>
              <w:left w:val="nil"/>
              <w:bottom w:val="single" w:sz="4" w:space="0" w:color="auto"/>
              <w:right w:val="single" w:sz="4" w:space="0" w:color="auto"/>
            </w:tcBorders>
            <w:shd w:val="clear" w:color="auto" w:fill="auto"/>
            <w:noWrap/>
            <w:vAlign w:val="center"/>
            <w:hideMark/>
          </w:tcPr>
          <w:p w14:paraId="4AD950F5"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1.3%</w:t>
            </w:r>
          </w:p>
        </w:tc>
        <w:tc>
          <w:tcPr>
            <w:tcW w:w="680" w:type="dxa"/>
            <w:tcBorders>
              <w:top w:val="nil"/>
              <w:left w:val="nil"/>
              <w:bottom w:val="single" w:sz="4" w:space="0" w:color="auto"/>
              <w:right w:val="single" w:sz="4" w:space="0" w:color="auto"/>
            </w:tcBorders>
            <w:shd w:val="clear" w:color="auto" w:fill="auto"/>
            <w:noWrap/>
            <w:vAlign w:val="center"/>
            <w:hideMark/>
          </w:tcPr>
          <w:p w14:paraId="0E03ABDC"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14:paraId="3DE4DD21"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10041C66"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3.1%</w:t>
            </w:r>
          </w:p>
        </w:tc>
        <w:tc>
          <w:tcPr>
            <w:tcW w:w="680" w:type="dxa"/>
            <w:tcBorders>
              <w:top w:val="nil"/>
              <w:left w:val="nil"/>
              <w:bottom w:val="single" w:sz="4" w:space="0" w:color="auto"/>
              <w:right w:val="single" w:sz="4" w:space="0" w:color="auto"/>
            </w:tcBorders>
            <w:shd w:val="clear" w:color="auto" w:fill="auto"/>
            <w:noWrap/>
            <w:vAlign w:val="center"/>
            <w:hideMark/>
          </w:tcPr>
          <w:p w14:paraId="08C22DA1"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3.8%</w:t>
            </w:r>
          </w:p>
        </w:tc>
        <w:tc>
          <w:tcPr>
            <w:tcW w:w="680" w:type="dxa"/>
            <w:tcBorders>
              <w:top w:val="nil"/>
              <w:left w:val="nil"/>
              <w:bottom w:val="single" w:sz="4" w:space="0" w:color="auto"/>
              <w:right w:val="single" w:sz="4" w:space="0" w:color="auto"/>
            </w:tcBorders>
            <w:shd w:val="clear" w:color="auto" w:fill="auto"/>
            <w:noWrap/>
            <w:vAlign w:val="center"/>
            <w:hideMark/>
          </w:tcPr>
          <w:p w14:paraId="1C5D3249"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3E5EE838" w14:textId="77777777" w:rsidR="00492B24" w:rsidRPr="00564BC2" w:rsidRDefault="00492B24" w:rsidP="00492B24">
            <w:pPr>
              <w:keepNext/>
              <w:jc w:val="center"/>
              <w:rPr>
                <w:rFonts w:ascii="Calibri" w:hAnsi="Calibri" w:cs="Calibri"/>
                <w:color w:val="000000"/>
                <w:sz w:val="18"/>
                <w:szCs w:val="18"/>
              </w:rPr>
            </w:pPr>
            <w:r w:rsidRPr="00564BC2">
              <w:rPr>
                <w:rFonts w:ascii="Calibri" w:hAnsi="Calibri" w:cs="Calibri"/>
                <w:color w:val="000000"/>
                <w:sz w:val="18"/>
                <w:szCs w:val="18"/>
              </w:rPr>
              <w:t>6.3%</w:t>
            </w:r>
          </w:p>
        </w:tc>
      </w:tr>
      <w:tr w:rsidR="00492B24" w:rsidRPr="00492B24" w14:paraId="3E7A054E" w14:textId="77777777" w:rsidTr="00635BDF">
        <w:trPr>
          <w:trHeight w:val="35"/>
          <w:jc w:val="center"/>
        </w:trPr>
        <w:tc>
          <w:tcPr>
            <w:tcW w:w="895" w:type="dxa"/>
            <w:vMerge/>
            <w:tcBorders>
              <w:top w:val="nil"/>
              <w:left w:val="single" w:sz="4" w:space="0" w:color="auto"/>
              <w:bottom w:val="single" w:sz="4" w:space="0" w:color="auto"/>
              <w:right w:val="single" w:sz="4" w:space="0" w:color="auto"/>
            </w:tcBorders>
            <w:vAlign w:val="center"/>
            <w:hideMark/>
          </w:tcPr>
          <w:p w14:paraId="3CDF52D2" w14:textId="77777777" w:rsidR="00492B24" w:rsidRPr="00564BC2" w:rsidRDefault="00492B24" w:rsidP="00492B24">
            <w:pPr>
              <w:jc w:val="left"/>
              <w:rPr>
                <w:rFonts w:ascii="Calibri" w:hAnsi="Calibri" w:cs="Calibri"/>
                <w:color w:val="000000"/>
                <w:sz w:val="18"/>
                <w:szCs w:val="18"/>
              </w:rPr>
            </w:pPr>
          </w:p>
        </w:tc>
        <w:tc>
          <w:tcPr>
            <w:tcW w:w="1064" w:type="dxa"/>
            <w:tcBorders>
              <w:top w:val="nil"/>
              <w:left w:val="nil"/>
              <w:bottom w:val="single" w:sz="4" w:space="0" w:color="auto"/>
              <w:right w:val="single" w:sz="4" w:space="0" w:color="auto"/>
            </w:tcBorders>
            <w:shd w:val="clear" w:color="auto" w:fill="auto"/>
            <w:vAlign w:val="center"/>
            <w:hideMark/>
          </w:tcPr>
          <w:p w14:paraId="5E79208C" w14:textId="723597F8" w:rsidR="00492B24" w:rsidRPr="00564BC2" w:rsidRDefault="00492B24" w:rsidP="00492B24">
            <w:pPr>
              <w:jc w:val="center"/>
              <w:rPr>
                <w:rFonts w:ascii="Calibri" w:hAnsi="Calibri" w:cs="Calibri"/>
                <w:color w:val="000000"/>
                <w:sz w:val="18"/>
                <w:szCs w:val="18"/>
              </w:rPr>
            </w:pPr>
            <w:r w:rsidRPr="00564BC2">
              <w:rPr>
                <w:rFonts w:ascii="Calibri" w:hAnsi="Calibri" w:cs="Calibri"/>
                <w:color w:val="000000"/>
                <w:sz w:val="18"/>
                <w:szCs w:val="18"/>
              </w:rPr>
              <w:t>Engine 1</w:t>
            </w:r>
            <w:r w:rsidR="0064613B">
              <w:rPr>
                <w:rFonts w:ascii="Calibri" w:hAnsi="Calibri" w:cs="Calibri"/>
                <w:color w:val="000000"/>
                <w:sz w:val="18"/>
                <w:szCs w:val="18"/>
              </w:rPr>
              <w:t>7</w:t>
            </w:r>
          </w:p>
        </w:tc>
        <w:tc>
          <w:tcPr>
            <w:tcW w:w="864" w:type="dxa"/>
            <w:tcBorders>
              <w:top w:val="nil"/>
              <w:left w:val="nil"/>
              <w:bottom w:val="single" w:sz="4" w:space="0" w:color="auto"/>
              <w:right w:val="single" w:sz="4" w:space="0" w:color="auto"/>
            </w:tcBorders>
            <w:shd w:val="clear" w:color="auto" w:fill="auto"/>
            <w:noWrap/>
            <w:vAlign w:val="center"/>
            <w:hideMark/>
          </w:tcPr>
          <w:p w14:paraId="67E28807" w14:textId="77777777" w:rsidR="00492B24" w:rsidRPr="00564BC2" w:rsidRDefault="00492B24" w:rsidP="00492B24">
            <w:pPr>
              <w:jc w:val="center"/>
              <w:rPr>
                <w:rFonts w:ascii="Calibri" w:hAnsi="Calibri" w:cs="Calibri"/>
                <w:color w:val="000000"/>
                <w:sz w:val="18"/>
                <w:szCs w:val="18"/>
              </w:rPr>
            </w:pPr>
            <w:r w:rsidRPr="00564BC2">
              <w:rPr>
                <w:rFonts w:ascii="Calibri" w:hAnsi="Calibri" w:cs="Calibri"/>
                <w:color w:val="000000"/>
                <w:sz w:val="18"/>
                <w:szCs w:val="18"/>
              </w:rPr>
              <w:t>100%</w:t>
            </w:r>
          </w:p>
        </w:tc>
        <w:tc>
          <w:tcPr>
            <w:tcW w:w="680" w:type="dxa"/>
            <w:tcBorders>
              <w:top w:val="nil"/>
              <w:left w:val="nil"/>
              <w:bottom w:val="single" w:sz="4" w:space="0" w:color="auto"/>
              <w:right w:val="single" w:sz="4" w:space="0" w:color="auto"/>
            </w:tcBorders>
            <w:shd w:val="clear" w:color="auto" w:fill="auto"/>
            <w:noWrap/>
            <w:vAlign w:val="center"/>
            <w:hideMark/>
          </w:tcPr>
          <w:p w14:paraId="78896754" w14:textId="77777777" w:rsidR="00492B24" w:rsidRPr="00564BC2" w:rsidRDefault="00492B24" w:rsidP="00492B24">
            <w:pPr>
              <w:jc w:val="center"/>
              <w:rPr>
                <w:rFonts w:ascii="Calibri" w:hAnsi="Calibri" w:cs="Calibri"/>
                <w:color w:val="000000"/>
                <w:sz w:val="18"/>
                <w:szCs w:val="18"/>
              </w:rPr>
            </w:pPr>
            <w:r w:rsidRPr="00564BC2">
              <w:rPr>
                <w:rFonts w:ascii="Calibri" w:hAnsi="Calibri" w:cs="Calibri"/>
                <w:color w:val="000000"/>
                <w:sz w:val="18"/>
                <w:szCs w:val="18"/>
              </w:rPr>
              <w:t>0%</w:t>
            </w:r>
          </w:p>
        </w:tc>
        <w:tc>
          <w:tcPr>
            <w:tcW w:w="680" w:type="dxa"/>
            <w:tcBorders>
              <w:top w:val="nil"/>
              <w:left w:val="nil"/>
              <w:bottom w:val="single" w:sz="4" w:space="0" w:color="auto"/>
              <w:right w:val="single" w:sz="4" w:space="0" w:color="auto"/>
            </w:tcBorders>
            <w:shd w:val="clear" w:color="auto" w:fill="auto"/>
            <w:noWrap/>
            <w:vAlign w:val="center"/>
            <w:hideMark/>
          </w:tcPr>
          <w:p w14:paraId="4A4E0C35" w14:textId="77777777" w:rsidR="00492B24" w:rsidRPr="00564BC2" w:rsidRDefault="00492B24" w:rsidP="00492B24">
            <w:pPr>
              <w:jc w:val="center"/>
              <w:rPr>
                <w:rFonts w:ascii="Calibri" w:hAnsi="Calibri" w:cs="Calibri"/>
                <w:color w:val="000000"/>
                <w:sz w:val="18"/>
                <w:szCs w:val="18"/>
              </w:rPr>
            </w:pPr>
            <w:r w:rsidRPr="00564BC2">
              <w:rPr>
                <w:rFonts w:ascii="Calibri" w:hAnsi="Calibri" w:cs="Calibri"/>
                <w:color w:val="000000"/>
                <w:sz w:val="18"/>
                <w:szCs w:val="18"/>
              </w:rPr>
              <w:t>0.6%</w:t>
            </w:r>
          </w:p>
        </w:tc>
        <w:tc>
          <w:tcPr>
            <w:tcW w:w="680" w:type="dxa"/>
            <w:tcBorders>
              <w:top w:val="nil"/>
              <w:left w:val="nil"/>
              <w:bottom w:val="single" w:sz="4" w:space="0" w:color="auto"/>
              <w:right w:val="single" w:sz="4" w:space="0" w:color="auto"/>
            </w:tcBorders>
            <w:shd w:val="clear" w:color="auto" w:fill="auto"/>
            <w:noWrap/>
            <w:vAlign w:val="center"/>
            <w:hideMark/>
          </w:tcPr>
          <w:p w14:paraId="2F372F7C" w14:textId="77777777" w:rsidR="00492B24" w:rsidRPr="00564BC2" w:rsidRDefault="00492B24" w:rsidP="00492B24">
            <w:pPr>
              <w:jc w:val="center"/>
              <w:rPr>
                <w:rFonts w:ascii="Calibri" w:hAnsi="Calibri" w:cs="Calibri"/>
                <w:color w:val="000000"/>
                <w:sz w:val="18"/>
                <w:szCs w:val="18"/>
              </w:rPr>
            </w:pPr>
            <w:r w:rsidRPr="00564BC2">
              <w:rPr>
                <w:rFonts w:ascii="Calibri" w:hAnsi="Calibri" w:cs="Calibri"/>
                <w:color w:val="000000"/>
                <w:sz w:val="18"/>
                <w:szCs w:val="18"/>
              </w:rPr>
              <w:t>1.3%</w:t>
            </w:r>
          </w:p>
        </w:tc>
        <w:tc>
          <w:tcPr>
            <w:tcW w:w="680" w:type="dxa"/>
            <w:tcBorders>
              <w:top w:val="nil"/>
              <w:left w:val="nil"/>
              <w:bottom w:val="single" w:sz="4" w:space="0" w:color="auto"/>
              <w:right w:val="single" w:sz="4" w:space="0" w:color="auto"/>
            </w:tcBorders>
            <w:shd w:val="clear" w:color="auto" w:fill="auto"/>
            <w:noWrap/>
            <w:vAlign w:val="center"/>
            <w:hideMark/>
          </w:tcPr>
          <w:p w14:paraId="732586E7" w14:textId="77777777" w:rsidR="00492B24" w:rsidRPr="00564BC2" w:rsidRDefault="00492B24" w:rsidP="00492B24">
            <w:pPr>
              <w:jc w:val="center"/>
              <w:rPr>
                <w:rFonts w:ascii="Calibri" w:hAnsi="Calibri" w:cs="Calibri"/>
                <w:color w:val="000000"/>
                <w:sz w:val="18"/>
                <w:szCs w:val="18"/>
              </w:rPr>
            </w:pPr>
            <w:r w:rsidRPr="00564BC2">
              <w:rPr>
                <w:rFonts w:ascii="Calibri" w:hAnsi="Calibri" w:cs="Calibri"/>
                <w:color w:val="000000"/>
                <w:sz w:val="18"/>
                <w:szCs w:val="18"/>
              </w:rPr>
              <w:t>1.9%</w:t>
            </w:r>
          </w:p>
        </w:tc>
        <w:tc>
          <w:tcPr>
            <w:tcW w:w="680" w:type="dxa"/>
            <w:tcBorders>
              <w:top w:val="nil"/>
              <w:left w:val="nil"/>
              <w:bottom w:val="single" w:sz="4" w:space="0" w:color="auto"/>
              <w:right w:val="single" w:sz="4" w:space="0" w:color="auto"/>
            </w:tcBorders>
            <w:shd w:val="clear" w:color="auto" w:fill="auto"/>
            <w:noWrap/>
            <w:vAlign w:val="center"/>
            <w:hideMark/>
          </w:tcPr>
          <w:p w14:paraId="01B54A7A" w14:textId="77777777" w:rsidR="00492B24" w:rsidRPr="00564BC2" w:rsidRDefault="00492B24" w:rsidP="00492B24">
            <w:pPr>
              <w:jc w:val="center"/>
              <w:rPr>
                <w:rFonts w:ascii="Calibri" w:hAnsi="Calibri" w:cs="Calibri"/>
                <w:color w:val="000000"/>
                <w:sz w:val="18"/>
                <w:szCs w:val="18"/>
              </w:rPr>
            </w:pPr>
            <w:r w:rsidRPr="00564BC2">
              <w:rPr>
                <w:rFonts w:ascii="Calibri" w:hAnsi="Calibri" w:cs="Calibri"/>
                <w:color w:val="000000"/>
                <w:sz w:val="18"/>
                <w:szCs w:val="18"/>
              </w:rPr>
              <w:t>2.5%</w:t>
            </w:r>
          </w:p>
        </w:tc>
        <w:tc>
          <w:tcPr>
            <w:tcW w:w="680" w:type="dxa"/>
            <w:tcBorders>
              <w:top w:val="nil"/>
              <w:left w:val="nil"/>
              <w:bottom w:val="single" w:sz="4" w:space="0" w:color="auto"/>
              <w:right w:val="single" w:sz="4" w:space="0" w:color="auto"/>
            </w:tcBorders>
            <w:shd w:val="clear" w:color="auto" w:fill="auto"/>
            <w:noWrap/>
            <w:vAlign w:val="center"/>
            <w:hideMark/>
          </w:tcPr>
          <w:p w14:paraId="22F6D5DB" w14:textId="77777777" w:rsidR="00492B24" w:rsidRPr="00564BC2" w:rsidRDefault="00492B24" w:rsidP="00492B24">
            <w:pPr>
              <w:jc w:val="center"/>
              <w:rPr>
                <w:rFonts w:ascii="Calibri" w:hAnsi="Calibri" w:cs="Calibri"/>
                <w:color w:val="000000"/>
                <w:sz w:val="18"/>
                <w:szCs w:val="18"/>
              </w:rPr>
            </w:pPr>
            <w:r w:rsidRPr="00564BC2">
              <w:rPr>
                <w:rFonts w:ascii="Calibri" w:hAnsi="Calibri" w:cs="Calibri"/>
                <w:color w:val="000000"/>
                <w:sz w:val="18"/>
                <w:szCs w:val="18"/>
              </w:rPr>
              <w:t>3.1%</w:t>
            </w:r>
          </w:p>
        </w:tc>
        <w:tc>
          <w:tcPr>
            <w:tcW w:w="680" w:type="dxa"/>
            <w:tcBorders>
              <w:top w:val="nil"/>
              <w:left w:val="nil"/>
              <w:bottom w:val="single" w:sz="4" w:space="0" w:color="auto"/>
              <w:right w:val="single" w:sz="4" w:space="0" w:color="auto"/>
            </w:tcBorders>
            <w:shd w:val="clear" w:color="auto" w:fill="auto"/>
            <w:noWrap/>
            <w:vAlign w:val="center"/>
            <w:hideMark/>
          </w:tcPr>
          <w:p w14:paraId="7276FA7D" w14:textId="77777777" w:rsidR="00492B24" w:rsidRPr="00564BC2" w:rsidRDefault="00492B24" w:rsidP="00492B24">
            <w:pPr>
              <w:jc w:val="center"/>
              <w:rPr>
                <w:rFonts w:ascii="Calibri" w:hAnsi="Calibri" w:cs="Calibri"/>
                <w:color w:val="000000"/>
                <w:sz w:val="18"/>
                <w:szCs w:val="18"/>
              </w:rPr>
            </w:pPr>
            <w:r w:rsidRPr="00564BC2">
              <w:rPr>
                <w:rFonts w:ascii="Calibri" w:hAnsi="Calibri" w:cs="Calibri"/>
                <w:color w:val="000000"/>
                <w:sz w:val="18"/>
                <w:szCs w:val="18"/>
              </w:rPr>
              <w:t>3.8%</w:t>
            </w:r>
          </w:p>
        </w:tc>
        <w:tc>
          <w:tcPr>
            <w:tcW w:w="680" w:type="dxa"/>
            <w:tcBorders>
              <w:top w:val="nil"/>
              <w:left w:val="nil"/>
              <w:bottom w:val="single" w:sz="4" w:space="0" w:color="auto"/>
              <w:right w:val="single" w:sz="4" w:space="0" w:color="auto"/>
            </w:tcBorders>
            <w:shd w:val="clear" w:color="auto" w:fill="auto"/>
            <w:noWrap/>
            <w:vAlign w:val="center"/>
            <w:hideMark/>
          </w:tcPr>
          <w:p w14:paraId="59748CA3" w14:textId="77777777" w:rsidR="00492B24" w:rsidRPr="00564BC2" w:rsidRDefault="00492B24" w:rsidP="00492B24">
            <w:pPr>
              <w:jc w:val="center"/>
              <w:rPr>
                <w:rFonts w:ascii="Calibri" w:hAnsi="Calibri" w:cs="Calibri"/>
                <w:color w:val="000000"/>
                <w:sz w:val="18"/>
                <w:szCs w:val="18"/>
              </w:rPr>
            </w:pPr>
            <w:r w:rsidRPr="00564BC2">
              <w:rPr>
                <w:rFonts w:ascii="Calibri" w:hAnsi="Calibri" w:cs="Calibri"/>
                <w:color w:val="000000"/>
                <w:sz w:val="18"/>
                <w:szCs w:val="18"/>
              </w:rPr>
              <w:t>5.0%</w:t>
            </w:r>
          </w:p>
        </w:tc>
        <w:tc>
          <w:tcPr>
            <w:tcW w:w="680" w:type="dxa"/>
            <w:tcBorders>
              <w:top w:val="nil"/>
              <w:left w:val="nil"/>
              <w:bottom w:val="single" w:sz="4" w:space="0" w:color="auto"/>
              <w:right w:val="single" w:sz="4" w:space="0" w:color="auto"/>
            </w:tcBorders>
            <w:shd w:val="clear" w:color="auto" w:fill="auto"/>
            <w:noWrap/>
            <w:vAlign w:val="center"/>
            <w:hideMark/>
          </w:tcPr>
          <w:p w14:paraId="67443389" w14:textId="77777777" w:rsidR="00492B24" w:rsidRPr="00564BC2" w:rsidRDefault="00492B24" w:rsidP="00492B24">
            <w:pPr>
              <w:jc w:val="center"/>
              <w:rPr>
                <w:rFonts w:ascii="Calibri" w:hAnsi="Calibri" w:cs="Calibri"/>
                <w:color w:val="000000"/>
                <w:sz w:val="18"/>
                <w:szCs w:val="18"/>
              </w:rPr>
            </w:pPr>
            <w:r w:rsidRPr="00564BC2">
              <w:rPr>
                <w:rFonts w:ascii="Calibri" w:hAnsi="Calibri" w:cs="Calibri"/>
                <w:color w:val="000000"/>
                <w:sz w:val="18"/>
                <w:szCs w:val="18"/>
              </w:rPr>
              <w:t>6.3%</w:t>
            </w:r>
          </w:p>
        </w:tc>
      </w:tr>
    </w:tbl>
    <w:p w14:paraId="6A2A68CF" w14:textId="77777777" w:rsidR="00E14FD6" w:rsidRDefault="00E14FD6" w:rsidP="00E14FD6">
      <w:pPr>
        <w:tabs>
          <w:tab w:val="left" w:pos="288"/>
        </w:tabs>
      </w:pPr>
    </w:p>
    <w:p w14:paraId="7803C77B" w14:textId="77777777" w:rsidR="00D25DD1" w:rsidRDefault="00943316" w:rsidP="009C0E98">
      <w:pPr>
        <w:keepNext/>
        <w:tabs>
          <w:tab w:val="left" w:pos="288"/>
        </w:tabs>
      </w:pPr>
      <w:r>
        <w:rPr>
          <w:noProof/>
        </w:rPr>
        <w:drawing>
          <wp:inline distT="0" distB="0" distL="0" distR="0" wp14:anchorId="628CA4AC" wp14:editId="5E9208C8">
            <wp:extent cx="5943600" cy="3210560"/>
            <wp:effectExtent l="0" t="0" r="0" b="88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08A44E" w14:textId="6E611DDF" w:rsidR="0019640A" w:rsidRDefault="00D25DD1" w:rsidP="0073706B">
      <w:pPr>
        <w:pStyle w:val="Caption"/>
        <w:jc w:val="center"/>
      </w:pPr>
      <w:bookmarkStart w:id="6" w:name="_Ref53584373"/>
      <w:r>
        <w:t xml:space="preserve">Figure </w:t>
      </w:r>
      <w:bookmarkEnd w:id="6"/>
      <w:r w:rsidR="00FC6950">
        <w:t>2</w:t>
      </w:r>
      <w:r>
        <w:t xml:space="preserve"> </w:t>
      </w:r>
      <w:r w:rsidR="0073706B">
        <w:t xml:space="preserve">Results of the Boeing 777 study showing the effect of weighting between two engine sets. </w:t>
      </w:r>
    </w:p>
    <w:p w14:paraId="1A943076" w14:textId="505509D0" w:rsidR="00A110B5" w:rsidRDefault="00A110B5" w:rsidP="00A742FF">
      <w:pPr>
        <w:tabs>
          <w:tab w:val="left" w:pos="288"/>
        </w:tabs>
      </w:pPr>
    </w:p>
    <w:p w14:paraId="69665EA1" w14:textId="77777777" w:rsidR="001277A4" w:rsidRDefault="001277A4" w:rsidP="00A742FF">
      <w:pPr>
        <w:tabs>
          <w:tab w:val="left" w:pos="288"/>
        </w:tabs>
      </w:pPr>
    </w:p>
    <w:p w14:paraId="4213D677" w14:textId="6891A817" w:rsidR="00A742FF" w:rsidRDefault="00DC6DE9" w:rsidP="00A742FF">
      <w:pPr>
        <w:tabs>
          <w:tab w:val="left" w:pos="288"/>
        </w:tabs>
      </w:pPr>
      <w:r>
        <w:tab/>
      </w:r>
      <w:r w:rsidR="00A742FF">
        <w:t xml:space="preserve">A similar study was performed with a theoretical aircraft resembling </w:t>
      </w:r>
      <w:r w:rsidR="000953F4">
        <w:t xml:space="preserve">the </w:t>
      </w:r>
      <w:r w:rsidR="00A742FF">
        <w:t>ATR-42.</w:t>
      </w:r>
      <w:r w:rsidR="00492B24" w:rsidRPr="00492B24">
        <w:t xml:space="preserve"> </w:t>
      </w:r>
      <w:r w:rsidR="00492B24">
        <w:t>In this case</w:t>
      </w:r>
      <w:r w:rsidR="005C7BD0">
        <w:t>,</w:t>
      </w:r>
      <w:r w:rsidR="00492B24">
        <w:t xml:space="preserve"> the distributed engine set included </w:t>
      </w:r>
      <w:r w:rsidR="00B050D7">
        <w:t>fourteen</w:t>
      </w:r>
      <w:r w:rsidR="00492B24">
        <w:t xml:space="preserve"> engines.</w:t>
      </w:r>
      <w:r w:rsidR="00A742FF">
        <w:t xml:space="preserve"> </w:t>
      </w:r>
      <w:r w:rsidR="005C7BD0">
        <w:t>Table 4</w:t>
      </w:r>
      <w:r w:rsidR="00A742FF">
        <w:t xml:space="preserve"> shows the </w:t>
      </w:r>
      <w:r w:rsidR="00492B24">
        <w:t>selected configurations</w:t>
      </w:r>
      <w:r w:rsidR="00A742FF">
        <w:t xml:space="preserve"> that were used in this analysis.</w:t>
      </w:r>
      <w:r w:rsidR="00492B24">
        <w:t xml:space="preserve"> </w:t>
      </w:r>
      <w:r w:rsidR="00FC6950">
        <w:t>Figure 3</w:t>
      </w:r>
      <w:r w:rsidR="00A742FF">
        <w:t xml:space="preserve"> includes a comparison of the </w:t>
      </w:r>
      <w:r w:rsidR="00492B24">
        <w:t xml:space="preserve">results from </w:t>
      </w:r>
      <w:r w:rsidR="00A742FF">
        <w:t>SUIT</w:t>
      </w:r>
      <w:r w:rsidR="00492B24">
        <w:t>CASE,</w:t>
      </w:r>
      <w:r>
        <w:t xml:space="preserve"> AMMIT</w:t>
      </w:r>
      <w:r w:rsidR="00492B24">
        <w:t>, and the proposed LEAPS method</w:t>
      </w:r>
      <w:r w:rsidR="00A742FF">
        <w:t xml:space="preserve">. As with the </w:t>
      </w:r>
      <w:r w:rsidR="00492B24">
        <w:t xml:space="preserve">Boeing </w:t>
      </w:r>
      <w:r w:rsidR="00A742FF">
        <w:t xml:space="preserve">777 study, </w:t>
      </w:r>
      <w:r w:rsidR="00492B24">
        <w:t>the three analysis tools show similar trends in predicted wing weight</w:t>
      </w:r>
      <w:r w:rsidR="00A742FF">
        <w:t>.</w:t>
      </w:r>
      <w:r w:rsidR="00864C14">
        <w:t xml:space="preserve"> </w:t>
      </w:r>
      <w:r w:rsidR="00042783">
        <w:t>As with the previous plot</w:t>
      </w:r>
      <w:r w:rsidR="00701A5F">
        <w:t>,</w:t>
      </w:r>
      <w:r w:rsidR="00042783">
        <w:t xml:space="preserve"> SUITCASE predicts a saturation of inertia relief at a low</w:t>
      </w:r>
      <w:r w:rsidR="00792027">
        <w:t>er engine set weighting factor</w:t>
      </w:r>
      <w:r w:rsidR="00A9773D">
        <w:t xml:space="preserve"> than LEAPS</w:t>
      </w:r>
      <w:r w:rsidR="00792027">
        <w:t>.</w:t>
      </w:r>
      <w:r w:rsidR="005643F7">
        <w:t xml:space="preserve"> While AMMIT remains closely aligned with SUITCASE, it does now show a plateauing of the inertia relief benefit like the other methods. </w:t>
      </w:r>
      <w:r w:rsidR="00864C14">
        <w:t>The maximum error between the SUITCASE and proposed method was 5.1%</w:t>
      </w:r>
      <w:r w:rsidR="00492B24">
        <w:t xml:space="preserve"> which is acceptable for a conceptual design tool</w:t>
      </w:r>
      <w:r w:rsidR="00864C14">
        <w:t xml:space="preserve">. </w:t>
      </w:r>
    </w:p>
    <w:p w14:paraId="0E176488" w14:textId="77777777" w:rsidR="00613753" w:rsidRDefault="00613753" w:rsidP="00A742FF">
      <w:pPr>
        <w:tabs>
          <w:tab w:val="left" w:pos="288"/>
        </w:tabs>
      </w:pPr>
    </w:p>
    <w:p w14:paraId="32786BF5" w14:textId="309F6D64" w:rsidR="00DC6DE9" w:rsidRDefault="00DC6DE9" w:rsidP="00DC6DE9">
      <w:pPr>
        <w:pStyle w:val="Caption"/>
        <w:keepNext/>
        <w:jc w:val="center"/>
      </w:pPr>
      <w:bookmarkStart w:id="7" w:name="_Ref53584823"/>
      <w:r>
        <w:t xml:space="preserve">Table </w:t>
      </w:r>
      <w:bookmarkEnd w:id="7"/>
      <w:r w:rsidR="00446C4A">
        <w:t>4</w:t>
      </w:r>
      <w:r w:rsidR="00BF2EE5">
        <w:t xml:space="preserve"> </w:t>
      </w:r>
      <w:r w:rsidR="00BB3C4F">
        <w:t>Division of engine weights and locations for the ATR-42 evaluation shown in</w:t>
      </w:r>
      <w:r>
        <w:t xml:space="preserve"> </w:t>
      </w:r>
      <w:r w:rsidR="00FC6950">
        <w:t>Figure 3</w:t>
      </w:r>
    </w:p>
    <w:tbl>
      <w:tblPr>
        <w:tblW w:w="8920" w:type="dxa"/>
        <w:jc w:val="center"/>
        <w:tblLook w:val="04A0" w:firstRow="1" w:lastRow="0" w:firstColumn="1" w:lastColumn="0" w:noHBand="0" w:noVBand="1"/>
      </w:tblPr>
      <w:tblGrid>
        <w:gridCol w:w="1540"/>
        <w:gridCol w:w="1060"/>
        <w:gridCol w:w="1400"/>
        <w:gridCol w:w="820"/>
        <w:gridCol w:w="820"/>
        <w:gridCol w:w="820"/>
        <w:gridCol w:w="820"/>
        <w:gridCol w:w="820"/>
        <w:gridCol w:w="820"/>
      </w:tblGrid>
      <w:tr w:rsidR="00CB0B5E" w:rsidRPr="00CB0B5E" w14:paraId="76FE16DB" w14:textId="77777777" w:rsidTr="00BF2EE5">
        <w:trPr>
          <w:trHeight w:val="288"/>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25278" w14:textId="77777777" w:rsidR="00CB0B5E" w:rsidRPr="00CB0B5E" w:rsidRDefault="00CB0B5E" w:rsidP="00CB0B5E">
            <w:pPr>
              <w:jc w:val="center"/>
              <w:rPr>
                <w:rFonts w:ascii="Calibri" w:hAnsi="Calibri" w:cs="Calibri"/>
                <w:b/>
                <w:color w:val="000000"/>
              </w:rPr>
            </w:pPr>
            <w:r w:rsidRPr="00CB0B5E">
              <w:rPr>
                <w:rFonts w:ascii="Calibri" w:hAnsi="Calibri" w:cs="Calibri"/>
                <w:b/>
                <w:color w:val="000000"/>
              </w:rPr>
              <w:t>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FB2B5D6" w14:textId="77777777" w:rsidR="00CB0B5E" w:rsidRPr="00CB0B5E" w:rsidRDefault="00CB0B5E" w:rsidP="00CB0B5E">
            <w:pPr>
              <w:jc w:val="center"/>
              <w:rPr>
                <w:rFonts w:ascii="Calibri" w:hAnsi="Calibri" w:cs="Calibri"/>
                <w:b/>
                <w:color w:val="000000"/>
              </w:rPr>
            </w:pPr>
            <w:r w:rsidRPr="00CB0B5E">
              <w:rPr>
                <w:rFonts w:ascii="Calibri" w:hAnsi="Calibri" w:cs="Calibri"/>
                <w:b/>
                <w:color w:val="000000"/>
              </w:rPr>
              <w:t>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5F6B053" w14:textId="77777777" w:rsidR="00CB0B5E" w:rsidRPr="00CB0B5E" w:rsidRDefault="00CB0B5E" w:rsidP="00CB0B5E">
            <w:pPr>
              <w:jc w:val="center"/>
              <w:rPr>
                <w:rFonts w:ascii="Calibri" w:hAnsi="Calibri" w:cs="Calibri"/>
                <w:b/>
                <w:color w:val="000000"/>
              </w:rPr>
            </w:pPr>
            <w:r w:rsidRPr="00CB0B5E">
              <w:rPr>
                <w:rFonts w:ascii="Calibri" w:hAnsi="Calibri" w:cs="Calibri"/>
                <w:b/>
                <w:color w:val="000000"/>
              </w:rPr>
              <w:t>Span Location</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3D75B56" w14:textId="77777777" w:rsidR="00CB0B5E" w:rsidRPr="00CB0B5E" w:rsidRDefault="00CB0B5E" w:rsidP="00CB0B5E">
            <w:pPr>
              <w:jc w:val="center"/>
              <w:rPr>
                <w:rFonts w:ascii="Calibri" w:hAnsi="Calibri" w:cs="Calibri"/>
                <w:b/>
                <w:color w:val="000000"/>
              </w:rPr>
            </w:pPr>
            <w:r w:rsidRPr="00CB0B5E">
              <w:rPr>
                <w:rFonts w:ascii="Calibri" w:hAnsi="Calibri" w:cs="Calibri"/>
                <w:b/>
                <w:color w:val="000000"/>
              </w:rPr>
              <w:t>Case 1</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47D7BD65" w14:textId="77777777" w:rsidR="00CB0B5E" w:rsidRPr="00CB0B5E" w:rsidRDefault="00CB0B5E" w:rsidP="00CB0B5E">
            <w:pPr>
              <w:jc w:val="center"/>
              <w:rPr>
                <w:rFonts w:ascii="Calibri" w:hAnsi="Calibri" w:cs="Calibri"/>
                <w:b/>
                <w:color w:val="000000"/>
              </w:rPr>
            </w:pPr>
            <w:r w:rsidRPr="00CB0B5E">
              <w:rPr>
                <w:rFonts w:ascii="Calibri" w:hAnsi="Calibri" w:cs="Calibri"/>
                <w:b/>
                <w:color w:val="000000"/>
              </w:rPr>
              <w:t>Case 2</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A89ACA6" w14:textId="77777777" w:rsidR="00CB0B5E" w:rsidRPr="00CB0B5E" w:rsidRDefault="00CB0B5E" w:rsidP="00CB0B5E">
            <w:pPr>
              <w:jc w:val="center"/>
              <w:rPr>
                <w:rFonts w:ascii="Calibri" w:hAnsi="Calibri" w:cs="Calibri"/>
                <w:b/>
                <w:color w:val="000000"/>
              </w:rPr>
            </w:pPr>
            <w:r w:rsidRPr="00CB0B5E">
              <w:rPr>
                <w:rFonts w:ascii="Calibri" w:hAnsi="Calibri" w:cs="Calibri"/>
                <w:b/>
                <w:color w:val="000000"/>
              </w:rPr>
              <w:t>Case 3</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4EB137CB" w14:textId="77777777" w:rsidR="00CB0B5E" w:rsidRPr="00CB0B5E" w:rsidRDefault="00CB0B5E" w:rsidP="00CB0B5E">
            <w:pPr>
              <w:jc w:val="center"/>
              <w:rPr>
                <w:rFonts w:ascii="Calibri" w:hAnsi="Calibri" w:cs="Calibri"/>
                <w:b/>
                <w:color w:val="000000"/>
              </w:rPr>
            </w:pPr>
            <w:r w:rsidRPr="00CB0B5E">
              <w:rPr>
                <w:rFonts w:ascii="Calibri" w:hAnsi="Calibri" w:cs="Calibri"/>
                <w:b/>
                <w:color w:val="000000"/>
              </w:rPr>
              <w:t>Case 4</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FB63844" w14:textId="77777777" w:rsidR="00CB0B5E" w:rsidRPr="00CB0B5E" w:rsidRDefault="00CB0B5E" w:rsidP="00CB0B5E">
            <w:pPr>
              <w:jc w:val="center"/>
              <w:rPr>
                <w:rFonts w:ascii="Calibri" w:hAnsi="Calibri" w:cs="Calibri"/>
                <w:b/>
                <w:color w:val="000000"/>
              </w:rPr>
            </w:pPr>
            <w:r w:rsidRPr="00CB0B5E">
              <w:rPr>
                <w:rFonts w:ascii="Calibri" w:hAnsi="Calibri" w:cs="Calibri"/>
                <w:b/>
                <w:color w:val="000000"/>
              </w:rPr>
              <w:t>Case 5</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C997A86" w14:textId="77777777" w:rsidR="00CB0B5E" w:rsidRPr="00CB0B5E" w:rsidRDefault="00CB0B5E" w:rsidP="00CB0B5E">
            <w:pPr>
              <w:jc w:val="center"/>
              <w:rPr>
                <w:rFonts w:ascii="Calibri" w:hAnsi="Calibri" w:cs="Calibri"/>
                <w:b/>
                <w:color w:val="000000"/>
              </w:rPr>
            </w:pPr>
            <w:r w:rsidRPr="00CB0B5E">
              <w:rPr>
                <w:rFonts w:ascii="Calibri" w:hAnsi="Calibri" w:cs="Calibri"/>
                <w:b/>
                <w:color w:val="000000"/>
              </w:rPr>
              <w:t>Case 6</w:t>
            </w:r>
          </w:p>
        </w:tc>
      </w:tr>
      <w:tr w:rsidR="00CB0B5E" w:rsidRPr="00CB0B5E" w14:paraId="71567C91" w14:textId="77777777" w:rsidTr="00BF2EE5">
        <w:trPr>
          <w:trHeight w:val="300"/>
          <w:jc w:val="center"/>
        </w:trPr>
        <w:tc>
          <w:tcPr>
            <w:tcW w:w="1540" w:type="dxa"/>
            <w:tcBorders>
              <w:top w:val="nil"/>
              <w:left w:val="single" w:sz="4" w:space="0" w:color="auto"/>
              <w:bottom w:val="single" w:sz="8" w:space="0" w:color="auto"/>
              <w:right w:val="single" w:sz="4" w:space="0" w:color="auto"/>
            </w:tcBorders>
            <w:shd w:val="clear" w:color="auto" w:fill="auto"/>
            <w:vAlign w:val="center"/>
            <w:hideMark/>
          </w:tcPr>
          <w:p w14:paraId="0CBFC7E6" w14:textId="77777777" w:rsidR="00CB0B5E" w:rsidRPr="00CB0B5E" w:rsidRDefault="00CB0B5E" w:rsidP="00CB0B5E">
            <w:pPr>
              <w:jc w:val="center"/>
              <w:rPr>
                <w:rFonts w:ascii="Calibri" w:hAnsi="Calibri" w:cs="Calibri"/>
                <w:b/>
                <w:color w:val="000000"/>
              </w:rPr>
            </w:pPr>
            <w:r w:rsidRPr="00CB0B5E">
              <w:rPr>
                <w:rFonts w:ascii="Calibri" w:hAnsi="Calibri" w:cs="Calibri"/>
                <w:b/>
                <w:color w:val="000000"/>
              </w:rPr>
              <w:t>Two Engine Set</w:t>
            </w:r>
          </w:p>
        </w:tc>
        <w:tc>
          <w:tcPr>
            <w:tcW w:w="1060" w:type="dxa"/>
            <w:tcBorders>
              <w:top w:val="nil"/>
              <w:left w:val="nil"/>
              <w:bottom w:val="single" w:sz="8" w:space="0" w:color="auto"/>
              <w:right w:val="single" w:sz="4" w:space="0" w:color="auto"/>
            </w:tcBorders>
            <w:shd w:val="clear" w:color="auto" w:fill="auto"/>
            <w:vAlign w:val="center"/>
            <w:hideMark/>
          </w:tcPr>
          <w:p w14:paraId="34646B3E"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Engine 1</w:t>
            </w:r>
          </w:p>
        </w:tc>
        <w:tc>
          <w:tcPr>
            <w:tcW w:w="1400" w:type="dxa"/>
            <w:tcBorders>
              <w:top w:val="nil"/>
              <w:left w:val="nil"/>
              <w:bottom w:val="single" w:sz="8" w:space="0" w:color="auto"/>
              <w:right w:val="single" w:sz="4" w:space="0" w:color="auto"/>
            </w:tcBorders>
            <w:shd w:val="clear" w:color="auto" w:fill="auto"/>
            <w:noWrap/>
            <w:vAlign w:val="center"/>
            <w:hideMark/>
          </w:tcPr>
          <w:p w14:paraId="0B72F534"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33%</w:t>
            </w:r>
          </w:p>
        </w:tc>
        <w:tc>
          <w:tcPr>
            <w:tcW w:w="820" w:type="dxa"/>
            <w:tcBorders>
              <w:top w:val="nil"/>
              <w:left w:val="nil"/>
              <w:bottom w:val="single" w:sz="8" w:space="0" w:color="auto"/>
              <w:right w:val="single" w:sz="4" w:space="0" w:color="auto"/>
            </w:tcBorders>
            <w:shd w:val="clear" w:color="auto" w:fill="auto"/>
            <w:noWrap/>
            <w:vAlign w:val="center"/>
            <w:hideMark/>
          </w:tcPr>
          <w:p w14:paraId="543590E6"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100%</w:t>
            </w:r>
          </w:p>
        </w:tc>
        <w:tc>
          <w:tcPr>
            <w:tcW w:w="820" w:type="dxa"/>
            <w:tcBorders>
              <w:top w:val="nil"/>
              <w:left w:val="nil"/>
              <w:bottom w:val="single" w:sz="8" w:space="0" w:color="auto"/>
              <w:right w:val="single" w:sz="4" w:space="0" w:color="auto"/>
            </w:tcBorders>
            <w:shd w:val="clear" w:color="auto" w:fill="auto"/>
            <w:noWrap/>
            <w:vAlign w:val="center"/>
            <w:hideMark/>
          </w:tcPr>
          <w:p w14:paraId="2604AC8F"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80%</w:t>
            </w:r>
          </w:p>
        </w:tc>
        <w:tc>
          <w:tcPr>
            <w:tcW w:w="820" w:type="dxa"/>
            <w:tcBorders>
              <w:top w:val="nil"/>
              <w:left w:val="nil"/>
              <w:bottom w:val="single" w:sz="8" w:space="0" w:color="auto"/>
              <w:right w:val="single" w:sz="4" w:space="0" w:color="auto"/>
            </w:tcBorders>
            <w:shd w:val="clear" w:color="auto" w:fill="auto"/>
            <w:noWrap/>
            <w:vAlign w:val="center"/>
            <w:hideMark/>
          </w:tcPr>
          <w:p w14:paraId="1C5CBE19"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60%</w:t>
            </w:r>
          </w:p>
        </w:tc>
        <w:tc>
          <w:tcPr>
            <w:tcW w:w="820" w:type="dxa"/>
            <w:tcBorders>
              <w:top w:val="nil"/>
              <w:left w:val="nil"/>
              <w:bottom w:val="single" w:sz="8" w:space="0" w:color="auto"/>
              <w:right w:val="single" w:sz="4" w:space="0" w:color="auto"/>
            </w:tcBorders>
            <w:shd w:val="clear" w:color="auto" w:fill="auto"/>
            <w:noWrap/>
            <w:vAlign w:val="center"/>
            <w:hideMark/>
          </w:tcPr>
          <w:p w14:paraId="2CF577E3"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40%</w:t>
            </w:r>
          </w:p>
        </w:tc>
        <w:tc>
          <w:tcPr>
            <w:tcW w:w="820" w:type="dxa"/>
            <w:tcBorders>
              <w:top w:val="nil"/>
              <w:left w:val="nil"/>
              <w:bottom w:val="single" w:sz="8" w:space="0" w:color="auto"/>
              <w:right w:val="single" w:sz="4" w:space="0" w:color="auto"/>
            </w:tcBorders>
            <w:shd w:val="clear" w:color="auto" w:fill="auto"/>
            <w:noWrap/>
            <w:vAlign w:val="center"/>
            <w:hideMark/>
          </w:tcPr>
          <w:p w14:paraId="6004F8C9"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20%</w:t>
            </w:r>
          </w:p>
        </w:tc>
        <w:tc>
          <w:tcPr>
            <w:tcW w:w="820" w:type="dxa"/>
            <w:tcBorders>
              <w:top w:val="nil"/>
              <w:left w:val="nil"/>
              <w:bottom w:val="single" w:sz="8" w:space="0" w:color="auto"/>
              <w:right w:val="single" w:sz="4" w:space="0" w:color="auto"/>
            </w:tcBorders>
            <w:shd w:val="clear" w:color="auto" w:fill="auto"/>
            <w:noWrap/>
            <w:vAlign w:val="center"/>
            <w:hideMark/>
          </w:tcPr>
          <w:p w14:paraId="39C90F23"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0%</w:t>
            </w:r>
          </w:p>
        </w:tc>
      </w:tr>
      <w:tr w:rsidR="00CB0B5E" w:rsidRPr="00CB0B5E" w14:paraId="64B014E7" w14:textId="77777777" w:rsidTr="00BF2EE5">
        <w:trPr>
          <w:trHeight w:val="288"/>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14:paraId="1DF5B220" w14:textId="77777777" w:rsidR="00CB0B5E" w:rsidRPr="00CB0B5E" w:rsidRDefault="00CB0B5E" w:rsidP="00CB0B5E">
            <w:pPr>
              <w:jc w:val="center"/>
              <w:rPr>
                <w:rFonts w:ascii="Calibri" w:hAnsi="Calibri" w:cs="Calibri"/>
                <w:b/>
                <w:color w:val="000000"/>
              </w:rPr>
            </w:pPr>
            <w:r w:rsidRPr="00CB0B5E">
              <w:rPr>
                <w:rFonts w:ascii="Calibri" w:hAnsi="Calibri" w:cs="Calibri"/>
                <w:b/>
                <w:color w:val="000000"/>
              </w:rPr>
              <w:t>Distributed Engine Set</w:t>
            </w:r>
          </w:p>
        </w:tc>
        <w:tc>
          <w:tcPr>
            <w:tcW w:w="1060" w:type="dxa"/>
            <w:tcBorders>
              <w:top w:val="nil"/>
              <w:left w:val="nil"/>
              <w:bottom w:val="single" w:sz="4" w:space="0" w:color="auto"/>
              <w:right w:val="single" w:sz="4" w:space="0" w:color="auto"/>
            </w:tcBorders>
            <w:shd w:val="clear" w:color="auto" w:fill="auto"/>
            <w:vAlign w:val="center"/>
            <w:hideMark/>
          </w:tcPr>
          <w:p w14:paraId="75BF3B61"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Engine 2</w:t>
            </w:r>
          </w:p>
        </w:tc>
        <w:tc>
          <w:tcPr>
            <w:tcW w:w="1400" w:type="dxa"/>
            <w:tcBorders>
              <w:top w:val="nil"/>
              <w:left w:val="nil"/>
              <w:bottom w:val="single" w:sz="4" w:space="0" w:color="auto"/>
              <w:right w:val="single" w:sz="4" w:space="0" w:color="auto"/>
            </w:tcBorders>
            <w:shd w:val="clear" w:color="auto" w:fill="auto"/>
            <w:noWrap/>
            <w:vAlign w:val="center"/>
            <w:hideMark/>
          </w:tcPr>
          <w:p w14:paraId="4455FC90"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40%</w:t>
            </w:r>
          </w:p>
        </w:tc>
        <w:tc>
          <w:tcPr>
            <w:tcW w:w="820" w:type="dxa"/>
            <w:tcBorders>
              <w:top w:val="nil"/>
              <w:left w:val="nil"/>
              <w:bottom w:val="single" w:sz="4" w:space="0" w:color="auto"/>
              <w:right w:val="single" w:sz="4" w:space="0" w:color="auto"/>
            </w:tcBorders>
            <w:shd w:val="clear" w:color="auto" w:fill="auto"/>
            <w:noWrap/>
            <w:vAlign w:val="center"/>
            <w:hideMark/>
          </w:tcPr>
          <w:p w14:paraId="31C6F1C3"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0%</w:t>
            </w:r>
          </w:p>
        </w:tc>
        <w:tc>
          <w:tcPr>
            <w:tcW w:w="820" w:type="dxa"/>
            <w:tcBorders>
              <w:top w:val="nil"/>
              <w:left w:val="nil"/>
              <w:bottom w:val="single" w:sz="4" w:space="0" w:color="auto"/>
              <w:right w:val="single" w:sz="4" w:space="0" w:color="auto"/>
            </w:tcBorders>
            <w:shd w:val="clear" w:color="auto" w:fill="auto"/>
            <w:noWrap/>
            <w:vAlign w:val="center"/>
            <w:hideMark/>
          </w:tcPr>
          <w:p w14:paraId="38358A53"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2.9%</w:t>
            </w:r>
          </w:p>
        </w:tc>
        <w:tc>
          <w:tcPr>
            <w:tcW w:w="820" w:type="dxa"/>
            <w:tcBorders>
              <w:top w:val="nil"/>
              <w:left w:val="nil"/>
              <w:bottom w:val="single" w:sz="4" w:space="0" w:color="auto"/>
              <w:right w:val="single" w:sz="4" w:space="0" w:color="auto"/>
            </w:tcBorders>
            <w:shd w:val="clear" w:color="auto" w:fill="auto"/>
            <w:noWrap/>
            <w:vAlign w:val="center"/>
            <w:hideMark/>
          </w:tcPr>
          <w:p w14:paraId="79086CBD"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5.7%</w:t>
            </w:r>
          </w:p>
        </w:tc>
        <w:tc>
          <w:tcPr>
            <w:tcW w:w="820" w:type="dxa"/>
            <w:tcBorders>
              <w:top w:val="nil"/>
              <w:left w:val="nil"/>
              <w:bottom w:val="single" w:sz="4" w:space="0" w:color="auto"/>
              <w:right w:val="single" w:sz="4" w:space="0" w:color="auto"/>
            </w:tcBorders>
            <w:shd w:val="clear" w:color="auto" w:fill="auto"/>
            <w:noWrap/>
            <w:vAlign w:val="center"/>
            <w:hideMark/>
          </w:tcPr>
          <w:p w14:paraId="53407FA7"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8.6%</w:t>
            </w:r>
          </w:p>
        </w:tc>
        <w:tc>
          <w:tcPr>
            <w:tcW w:w="820" w:type="dxa"/>
            <w:tcBorders>
              <w:top w:val="nil"/>
              <w:left w:val="nil"/>
              <w:bottom w:val="single" w:sz="4" w:space="0" w:color="auto"/>
              <w:right w:val="single" w:sz="4" w:space="0" w:color="auto"/>
            </w:tcBorders>
            <w:shd w:val="clear" w:color="auto" w:fill="auto"/>
            <w:noWrap/>
            <w:vAlign w:val="center"/>
            <w:hideMark/>
          </w:tcPr>
          <w:p w14:paraId="6C6E0035"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11.4%</w:t>
            </w:r>
          </w:p>
        </w:tc>
        <w:tc>
          <w:tcPr>
            <w:tcW w:w="820" w:type="dxa"/>
            <w:tcBorders>
              <w:top w:val="nil"/>
              <w:left w:val="nil"/>
              <w:bottom w:val="single" w:sz="4" w:space="0" w:color="auto"/>
              <w:right w:val="single" w:sz="4" w:space="0" w:color="auto"/>
            </w:tcBorders>
            <w:shd w:val="clear" w:color="auto" w:fill="auto"/>
            <w:noWrap/>
            <w:vAlign w:val="center"/>
            <w:hideMark/>
          </w:tcPr>
          <w:p w14:paraId="530AE997"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14.3%</w:t>
            </w:r>
          </w:p>
        </w:tc>
      </w:tr>
      <w:tr w:rsidR="00CB0B5E" w:rsidRPr="00CB0B5E" w14:paraId="56939DD0" w14:textId="77777777" w:rsidTr="00BF2EE5">
        <w:trPr>
          <w:trHeight w:val="288"/>
          <w:jc w:val="center"/>
        </w:trPr>
        <w:tc>
          <w:tcPr>
            <w:tcW w:w="1540" w:type="dxa"/>
            <w:vMerge/>
            <w:tcBorders>
              <w:top w:val="nil"/>
              <w:left w:val="single" w:sz="4" w:space="0" w:color="auto"/>
              <w:bottom w:val="single" w:sz="4" w:space="0" w:color="auto"/>
              <w:right w:val="single" w:sz="4" w:space="0" w:color="auto"/>
            </w:tcBorders>
            <w:vAlign w:val="center"/>
            <w:hideMark/>
          </w:tcPr>
          <w:p w14:paraId="521ED3F5" w14:textId="77777777" w:rsidR="00CB0B5E" w:rsidRPr="00CB0B5E" w:rsidRDefault="00CB0B5E" w:rsidP="00CB0B5E">
            <w:pPr>
              <w:jc w:val="left"/>
              <w:rPr>
                <w:rFonts w:ascii="Calibri" w:hAnsi="Calibri" w:cs="Calibri"/>
                <w:color w:val="000000"/>
              </w:rPr>
            </w:pPr>
          </w:p>
        </w:tc>
        <w:tc>
          <w:tcPr>
            <w:tcW w:w="1060" w:type="dxa"/>
            <w:tcBorders>
              <w:top w:val="nil"/>
              <w:left w:val="nil"/>
              <w:bottom w:val="single" w:sz="4" w:space="0" w:color="auto"/>
              <w:right w:val="single" w:sz="4" w:space="0" w:color="auto"/>
            </w:tcBorders>
            <w:shd w:val="clear" w:color="auto" w:fill="auto"/>
            <w:vAlign w:val="center"/>
            <w:hideMark/>
          </w:tcPr>
          <w:p w14:paraId="03B64961"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Engine 3</w:t>
            </w:r>
          </w:p>
        </w:tc>
        <w:tc>
          <w:tcPr>
            <w:tcW w:w="1400" w:type="dxa"/>
            <w:tcBorders>
              <w:top w:val="nil"/>
              <w:left w:val="nil"/>
              <w:bottom w:val="single" w:sz="4" w:space="0" w:color="auto"/>
              <w:right w:val="single" w:sz="4" w:space="0" w:color="auto"/>
            </w:tcBorders>
            <w:shd w:val="clear" w:color="auto" w:fill="auto"/>
            <w:noWrap/>
            <w:vAlign w:val="center"/>
            <w:hideMark/>
          </w:tcPr>
          <w:p w14:paraId="0329CCE2"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50%</w:t>
            </w:r>
          </w:p>
        </w:tc>
        <w:tc>
          <w:tcPr>
            <w:tcW w:w="820" w:type="dxa"/>
            <w:tcBorders>
              <w:top w:val="nil"/>
              <w:left w:val="nil"/>
              <w:bottom w:val="single" w:sz="4" w:space="0" w:color="auto"/>
              <w:right w:val="single" w:sz="4" w:space="0" w:color="auto"/>
            </w:tcBorders>
            <w:shd w:val="clear" w:color="auto" w:fill="auto"/>
            <w:noWrap/>
            <w:vAlign w:val="center"/>
            <w:hideMark/>
          </w:tcPr>
          <w:p w14:paraId="75A5A7E1"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0%</w:t>
            </w:r>
          </w:p>
        </w:tc>
        <w:tc>
          <w:tcPr>
            <w:tcW w:w="820" w:type="dxa"/>
            <w:tcBorders>
              <w:top w:val="nil"/>
              <w:left w:val="nil"/>
              <w:bottom w:val="single" w:sz="4" w:space="0" w:color="auto"/>
              <w:right w:val="single" w:sz="4" w:space="0" w:color="auto"/>
            </w:tcBorders>
            <w:shd w:val="clear" w:color="auto" w:fill="auto"/>
            <w:noWrap/>
            <w:vAlign w:val="center"/>
            <w:hideMark/>
          </w:tcPr>
          <w:p w14:paraId="6F266244"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2.9%</w:t>
            </w:r>
          </w:p>
        </w:tc>
        <w:tc>
          <w:tcPr>
            <w:tcW w:w="820" w:type="dxa"/>
            <w:tcBorders>
              <w:top w:val="nil"/>
              <w:left w:val="nil"/>
              <w:bottom w:val="single" w:sz="4" w:space="0" w:color="auto"/>
              <w:right w:val="single" w:sz="4" w:space="0" w:color="auto"/>
            </w:tcBorders>
            <w:shd w:val="clear" w:color="auto" w:fill="auto"/>
            <w:noWrap/>
            <w:vAlign w:val="center"/>
            <w:hideMark/>
          </w:tcPr>
          <w:p w14:paraId="2E94C177"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5.7%</w:t>
            </w:r>
          </w:p>
        </w:tc>
        <w:tc>
          <w:tcPr>
            <w:tcW w:w="820" w:type="dxa"/>
            <w:tcBorders>
              <w:top w:val="nil"/>
              <w:left w:val="nil"/>
              <w:bottom w:val="single" w:sz="4" w:space="0" w:color="auto"/>
              <w:right w:val="single" w:sz="4" w:space="0" w:color="auto"/>
            </w:tcBorders>
            <w:shd w:val="clear" w:color="auto" w:fill="auto"/>
            <w:noWrap/>
            <w:vAlign w:val="center"/>
            <w:hideMark/>
          </w:tcPr>
          <w:p w14:paraId="1BCEC853"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8.6%</w:t>
            </w:r>
          </w:p>
        </w:tc>
        <w:tc>
          <w:tcPr>
            <w:tcW w:w="820" w:type="dxa"/>
            <w:tcBorders>
              <w:top w:val="nil"/>
              <w:left w:val="nil"/>
              <w:bottom w:val="single" w:sz="4" w:space="0" w:color="auto"/>
              <w:right w:val="single" w:sz="4" w:space="0" w:color="auto"/>
            </w:tcBorders>
            <w:shd w:val="clear" w:color="auto" w:fill="auto"/>
            <w:noWrap/>
            <w:vAlign w:val="center"/>
            <w:hideMark/>
          </w:tcPr>
          <w:p w14:paraId="66E7E6AD"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11.4%</w:t>
            </w:r>
          </w:p>
        </w:tc>
        <w:tc>
          <w:tcPr>
            <w:tcW w:w="820" w:type="dxa"/>
            <w:tcBorders>
              <w:top w:val="nil"/>
              <w:left w:val="nil"/>
              <w:bottom w:val="single" w:sz="4" w:space="0" w:color="auto"/>
              <w:right w:val="single" w:sz="4" w:space="0" w:color="auto"/>
            </w:tcBorders>
            <w:shd w:val="clear" w:color="auto" w:fill="auto"/>
            <w:noWrap/>
            <w:vAlign w:val="center"/>
            <w:hideMark/>
          </w:tcPr>
          <w:p w14:paraId="69896279"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14.3%</w:t>
            </w:r>
          </w:p>
        </w:tc>
      </w:tr>
      <w:tr w:rsidR="00CB0B5E" w:rsidRPr="00CB0B5E" w14:paraId="1DF852E9" w14:textId="77777777" w:rsidTr="00BF2EE5">
        <w:trPr>
          <w:trHeight w:val="288"/>
          <w:jc w:val="center"/>
        </w:trPr>
        <w:tc>
          <w:tcPr>
            <w:tcW w:w="1540" w:type="dxa"/>
            <w:vMerge/>
            <w:tcBorders>
              <w:top w:val="nil"/>
              <w:left w:val="single" w:sz="4" w:space="0" w:color="auto"/>
              <w:bottom w:val="single" w:sz="4" w:space="0" w:color="auto"/>
              <w:right w:val="single" w:sz="4" w:space="0" w:color="auto"/>
            </w:tcBorders>
            <w:vAlign w:val="center"/>
            <w:hideMark/>
          </w:tcPr>
          <w:p w14:paraId="781A16F1" w14:textId="77777777" w:rsidR="00CB0B5E" w:rsidRPr="00CB0B5E" w:rsidRDefault="00CB0B5E" w:rsidP="00CB0B5E">
            <w:pPr>
              <w:jc w:val="left"/>
              <w:rPr>
                <w:rFonts w:ascii="Calibri" w:hAnsi="Calibri" w:cs="Calibri"/>
                <w:color w:val="000000"/>
              </w:rPr>
            </w:pPr>
          </w:p>
        </w:tc>
        <w:tc>
          <w:tcPr>
            <w:tcW w:w="1060" w:type="dxa"/>
            <w:tcBorders>
              <w:top w:val="nil"/>
              <w:left w:val="nil"/>
              <w:bottom w:val="single" w:sz="4" w:space="0" w:color="auto"/>
              <w:right w:val="single" w:sz="4" w:space="0" w:color="auto"/>
            </w:tcBorders>
            <w:shd w:val="clear" w:color="auto" w:fill="auto"/>
            <w:vAlign w:val="center"/>
            <w:hideMark/>
          </w:tcPr>
          <w:p w14:paraId="1BEF0859"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Engine 4</w:t>
            </w:r>
          </w:p>
        </w:tc>
        <w:tc>
          <w:tcPr>
            <w:tcW w:w="1400" w:type="dxa"/>
            <w:tcBorders>
              <w:top w:val="nil"/>
              <w:left w:val="nil"/>
              <w:bottom w:val="single" w:sz="4" w:space="0" w:color="auto"/>
              <w:right w:val="single" w:sz="4" w:space="0" w:color="auto"/>
            </w:tcBorders>
            <w:shd w:val="clear" w:color="auto" w:fill="auto"/>
            <w:noWrap/>
            <w:vAlign w:val="center"/>
            <w:hideMark/>
          </w:tcPr>
          <w:p w14:paraId="3C200E48"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60%</w:t>
            </w:r>
          </w:p>
        </w:tc>
        <w:tc>
          <w:tcPr>
            <w:tcW w:w="820" w:type="dxa"/>
            <w:tcBorders>
              <w:top w:val="nil"/>
              <w:left w:val="nil"/>
              <w:bottom w:val="single" w:sz="4" w:space="0" w:color="auto"/>
              <w:right w:val="single" w:sz="4" w:space="0" w:color="auto"/>
            </w:tcBorders>
            <w:shd w:val="clear" w:color="auto" w:fill="auto"/>
            <w:noWrap/>
            <w:vAlign w:val="center"/>
            <w:hideMark/>
          </w:tcPr>
          <w:p w14:paraId="34D0B2BA"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0%</w:t>
            </w:r>
          </w:p>
        </w:tc>
        <w:tc>
          <w:tcPr>
            <w:tcW w:w="820" w:type="dxa"/>
            <w:tcBorders>
              <w:top w:val="nil"/>
              <w:left w:val="nil"/>
              <w:bottom w:val="single" w:sz="4" w:space="0" w:color="auto"/>
              <w:right w:val="single" w:sz="4" w:space="0" w:color="auto"/>
            </w:tcBorders>
            <w:shd w:val="clear" w:color="auto" w:fill="auto"/>
            <w:noWrap/>
            <w:vAlign w:val="center"/>
            <w:hideMark/>
          </w:tcPr>
          <w:p w14:paraId="456569DA"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2.9%</w:t>
            </w:r>
          </w:p>
        </w:tc>
        <w:tc>
          <w:tcPr>
            <w:tcW w:w="820" w:type="dxa"/>
            <w:tcBorders>
              <w:top w:val="nil"/>
              <w:left w:val="nil"/>
              <w:bottom w:val="single" w:sz="4" w:space="0" w:color="auto"/>
              <w:right w:val="single" w:sz="4" w:space="0" w:color="auto"/>
            </w:tcBorders>
            <w:shd w:val="clear" w:color="auto" w:fill="auto"/>
            <w:noWrap/>
            <w:vAlign w:val="center"/>
            <w:hideMark/>
          </w:tcPr>
          <w:p w14:paraId="5E9AB9B1"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5.7%</w:t>
            </w:r>
          </w:p>
        </w:tc>
        <w:tc>
          <w:tcPr>
            <w:tcW w:w="820" w:type="dxa"/>
            <w:tcBorders>
              <w:top w:val="nil"/>
              <w:left w:val="nil"/>
              <w:bottom w:val="single" w:sz="4" w:space="0" w:color="auto"/>
              <w:right w:val="single" w:sz="4" w:space="0" w:color="auto"/>
            </w:tcBorders>
            <w:shd w:val="clear" w:color="auto" w:fill="auto"/>
            <w:noWrap/>
            <w:vAlign w:val="center"/>
            <w:hideMark/>
          </w:tcPr>
          <w:p w14:paraId="70D2B1E9"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8.6%</w:t>
            </w:r>
          </w:p>
        </w:tc>
        <w:tc>
          <w:tcPr>
            <w:tcW w:w="820" w:type="dxa"/>
            <w:tcBorders>
              <w:top w:val="nil"/>
              <w:left w:val="nil"/>
              <w:bottom w:val="single" w:sz="4" w:space="0" w:color="auto"/>
              <w:right w:val="single" w:sz="4" w:space="0" w:color="auto"/>
            </w:tcBorders>
            <w:shd w:val="clear" w:color="auto" w:fill="auto"/>
            <w:noWrap/>
            <w:vAlign w:val="center"/>
            <w:hideMark/>
          </w:tcPr>
          <w:p w14:paraId="5E002616"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11.4%</w:t>
            </w:r>
          </w:p>
        </w:tc>
        <w:tc>
          <w:tcPr>
            <w:tcW w:w="820" w:type="dxa"/>
            <w:tcBorders>
              <w:top w:val="nil"/>
              <w:left w:val="nil"/>
              <w:bottom w:val="single" w:sz="4" w:space="0" w:color="auto"/>
              <w:right w:val="single" w:sz="4" w:space="0" w:color="auto"/>
            </w:tcBorders>
            <w:shd w:val="clear" w:color="auto" w:fill="auto"/>
            <w:noWrap/>
            <w:vAlign w:val="center"/>
            <w:hideMark/>
          </w:tcPr>
          <w:p w14:paraId="46C2104E"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14.3%</w:t>
            </w:r>
          </w:p>
        </w:tc>
      </w:tr>
      <w:tr w:rsidR="00CB0B5E" w:rsidRPr="00CB0B5E" w14:paraId="2EA2AE97" w14:textId="77777777" w:rsidTr="00BF2EE5">
        <w:trPr>
          <w:trHeight w:val="288"/>
          <w:jc w:val="center"/>
        </w:trPr>
        <w:tc>
          <w:tcPr>
            <w:tcW w:w="1540" w:type="dxa"/>
            <w:vMerge/>
            <w:tcBorders>
              <w:top w:val="nil"/>
              <w:left w:val="single" w:sz="4" w:space="0" w:color="auto"/>
              <w:bottom w:val="single" w:sz="4" w:space="0" w:color="auto"/>
              <w:right w:val="single" w:sz="4" w:space="0" w:color="auto"/>
            </w:tcBorders>
            <w:vAlign w:val="center"/>
            <w:hideMark/>
          </w:tcPr>
          <w:p w14:paraId="5A916E90" w14:textId="77777777" w:rsidR="00CB0B5E" w:rsidRPr="00CB0B5E" w:rsidRDefault="00CB0B5E" w:rsidP="00CB0B5E">
            <w:pPr>
              <w:jc w:val="left"/>
              <w:rPr>
                <w:rFonts w:ascii="Calibri" w:hAnsi="Calibri" w:cs="Calibri"/>
                <w:color w:val="000000"/>
              </w:rPr>
            </w:pPr>
          </w:p>
        </w:tc>
        <w:tc>
          <w:tcPr>
            <w:tcW w:w="1060" w:type="dxa"/>
            <w:tcBorders>
              <w:top w:val="nil"/>
              <w:left w:val="nil"/>
              <w:bottom w:val="single" w:sz="4" w:space="0" w:color="auto"/>
              <w:right w:val="single" w:sz="4" w:space="0" w:color="auto"/>
            </w:tcBorders>
            <w:shd w:val="clear" w:color="auto" w:fill="auto"/>
            <w:vAlign w:val="center"/>
            <w:hideMark/>
          </w:tcPr>
          <w:p w14:paraId="184B73D0"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Engine 5</w:t>
            </w:r>
          </w:p>
        </w:tc>
        <w:tc>
          <w:tcPr>
            <w:tcW w:w="1400" w:type="dxa"/>
            <w:tcBorders>
              <w:top w:val="nil"/>
              <w:left w:val="nil"/>
              <w:bottom w:val="single" w:sz="4" w:space="0" w:color="auto"/>
              <w:right w:val="single" w:sz="4" w:space="0" w:color="auto"/>
            </w:tcBorders>
            <w:shd w:val="clear" w:color="auto" w:fill="auto"/>
            <w:noWrap/>
            <w:vAlign w:val="center"/>
            <w:hideMark/>
          </w:tcPr>
          <w:p w14:paraId="21A6C2D0"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70%</w:t>
            </w:r>
          </w:p>
        </w:tc>
        <w:tc>
          <w:tcPr>
            <w:tcW w:w="820" w:type="dxa"/>
            <w:tcBorders>
              <w:top w:val="nil"/>
              <w:left w:val="nil"/>
              <w:bottom w:val="single" w:sz="4" w:space="0" w:color="auto"/>
              <w:right w:val="single" w:sz="4" w:space="0" w:color="auto"/>
            </w:tcBorders>
            <w:shd w:val="clear" w:color="auto" w:fill="auto"/>
            <w:noWrap/>
            <w:vAlign w:val="center"/>
            <w:hideMark/>
          </w:tcPr>
          <w:p w14:paraId="158C6DA5"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0%</w:t>
            </w:r>
          </w:p>
        </w:tc>
        <w:tc>
          <w:tcPr>
            <w:tcW w:w="820" w:type="dxa"/>
            <w:tcBorders>
              <w:top w:val="nil"/>
              <w:left w:val="nil"/>
              <w:bottom w:val="single" w:sz="4" w:space="0" w:color="auto"/>
              <w:right w:val="single" w:sz="4" w:space="0" w:color="auto"/>
            </w:tcBorders>
            <w:shd w:val="clear" w:color="auto" w:fill="auto"/>
            <w:noWrap/>
            <w:vAlign w:val="center"/>
            <w:hideMark/>
          </w:tcPr>
          <w:p w14:paraId="475722BD"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2.9%</w:t>
            </w:r>
          </w:p>
        </w:tc>
        <w:tc>
          <w:tcPr>
            <w:tcW w:w="820" w:type="dxa"/>
            <w:tcBorders>
              <w:top w:val="nil"/>
              <w:left w:val="nil"/>
              <w:bottom w:val="single" w:sz="4" w:space="0" w:color="auto"/>
              <w:right w:val="single" w:sz="4" w:space="0" w:color="auto"/>
            </w:tcBorders>
            <w:shd w:val="clear" w:color="auto" w:fill="auto"/>
            <w:noWrap/>
            <w:vAlign w:val="center"/>
            <w:hideMark/>
          </w:tcPr>
          <w:p w14:paraId="74DC97A8"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5.7%</w:t>
            </w:r>
          </w:p>
        </w:tc>
        <w:tc>
          <w:tcPr>
            <w:tcW w:w="820" w:type="dxa"/>
            <w:tcBorders>
              <w:top w:val="nil"/>
              <w:left w:val="nil"/>
              <w:bottom w:val="single" w:sz="4" w:space="0" w:color="auto"/>
              <w:right w:val="single" w:sz="4" w:space="0" w:color="auto"/>
            </w:tcBorders>
            <w:shd w:val="clear" w:color="auto" w:fill="auto"/>
            <w:noWrap/>
            <w:vAlign w:val="center"/>
            <w:hideMark/>
          </w:tcPr>
          <w:p w14:paraId="4DB2F08E"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8.6%</w:t>
            </w:r>
          </w:p>
        </w:tc>
        <w:tc>
          <w:tcPr>
            <w:tcW w:w="820" w:type="dxa"/>
            <w:tcBorders>
              <w:top w:val="nil"/>
              <w:left w:val="nil"/>
              <w:bottom w:val="single" w:sz="4" w:space="0" w:color="auto"/>
              <w:right w:val="single" w:sz="4" w:space="0" w:color="auto"/>
            </w:tcBorders>
            <w:shd w:val="clear" w:color="auto" w:fill="auto"/>
            <w:noWrap/>
            <w:vAlign w:val="center"/>
            <w:hideMark/>
          </w:tcPr>
          <w:p w14:paraId="64C36069"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11.4%</w:t>
            </w:r>
          </w:p>
        </w:tc>
        <w:tc>
          <w:tcPr>
            <w:tcW w:w="820" w:type="dxa"/>
            <w:tcBorders>
              <w:top w:val="nil"/>
              <w:left w:val="nil"/>
              <w:bottom w:val="single" w:sz="4" w:space="0" w:color="auto"/>
              <w:right w:val="single" w:sz="4" w:space="0" w:color="auto"/>
            </w:tcBorders>
            <w:shd w:val="clear" w:color="auto" w:fill="auto"/>
            <w:noWrap/>
            <w:vAlign w:val="center"/>
            <w:hideMark/>
          </w:tcPr>
          <w:p w14:paraId="36567A68"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14.3%</w:t>
            </w:r>
          </w:p>
        </w:tc>
      </w:tr>
      <w:tr w:rsidR="00CB0B5E" w:rsidRPr="00CB0B5E" w14:paraId="35A4527E" w14:textId="77777777" w:rsidTr="00BF2EE5">
        <w:trPr>
          <w:trHeight w:val="288"/>
          <w:jc w:val="center"/>
        </w:trPr>
        <w:tc>
          <w:tcPr>
            <w:tcW w:w="1540" w:type="dxa"/>
            <w:vMerge/>
            <w:tcBorders>
              <w:top w:val="nil"/>
              <w:left w:val="single" w:sz="4" w:space="0" w:color="auto"/>
              <w:bottom w:val="single" w:sz="4" w:space="0" w:color="auto"/>
              <w:right w:val="single" w:sz="4" w:space="0" w:color="auto"/>
            </w:tcBorders>
            <w:vAlign w:val="center"/>
            <w:hideMark/>
          </w:tcPr>
          <w:p w14:paraId="3210A349" w14:textId="77777777" w:rsidR="00CB0B5E" w:rsidRPr="00CB0B5E" w:rsidRDefault="00CB0B5E" w:rsidP="00CB0B5E">
            <w:pPr>
              <w:jc w:val="left"/>
              <w:rPr>
                <w:rFonts w:ascii="Calibri" w:hAnsi="Calibri" w:cs="Calibri"/>
                <w:color w:val="000000"/>
              </w:rPr>
            </w:pPr>
          </w:p>
        </w:tc>
        <w:tc>
          <w:tcPr>
            <w:tcW w:w="1060" w:type="dxa"/>
            <w:tcBorders>
              <w:top w:val="nil"/>
              <w:left w:val="nil"/>
              <w:bottom w:val="single" w:sz="4" w:space="0" w:color="auto"/>
              <w:right w:val="single" w:sz="4" w:space="0" w:color="auto"/>
            </w:tcBorders>
            <w:shd w:val="clear" w:color="auto" w:fill="auto"/>
            <w:vAlign w:val="center"/>
            <w:hideMark/>
          </w:tcPr>
          <w:p w14:paraId="4354E57C"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Engine 6</w:t>
            </w:r>
          </w:p>
        </w:tc>
        <w:tc>
          <w:tcPr>
            <w:tcW w:w="1400" w:type="dxa"/>
            <w:tcBorders>
              <w:top w:val="nil"/>
              <w:left w:val="nil"/>
              <w:bottom w:val="single" w:sz="4" w:space="0" w:color="auto"/>
              <w:right w:val="single" w:sz="4" w:space="0" w:color="auto"/>
            </w:tcBorders>
            <w:shd w:val="clear" w:color="auto" w:fill="auto"/>
            <w:noWrap/>
            <w:vAlign w:val="center"/>
            <w:hideMark/>
          </w:tcPr>
          <w:p w14:paraId="2AF4A834"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80%</w:t>
            </w:r>
          </w:p>
        </w:tc>
        <w:tc>
          <w:tcPr>
            <w:tcW w:w="820" w:type="dxa"/>
            <w:tcBorders>
              <w:top w:val="nil"/>
              <w:left w:val="nil"/>
              <w:bottom w:val="single" w:sz="4" w:space="0" w:color="auto"/>
              <w:right w:val="single" w:sz="4" w:space="0" w:color="auto"/>
            </w:tcBorders>
            <w:shd w:val="clear" w:color="auto" w:fill="auto"/>
            <w:noWrap/>
            <w:vAlign w:val="center"/>
            <w:hideMark/>
          </w:tcPr>
          <w:p w14:paraId="06E5AAC9"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0%</w:t>
            </w:r>
          </w:p>
        </w:tc>
        <w:tc>
          <w:tcPr>
            <w:tcW w:w="820" w:type="dxa"/>
            <w:tcBorders>
              <w:top w:val="nil"/>
              <w:left w:val="nil"/>
              <w:bottom w:val="single" w:sz="4" w:space="0" w:color="auto"/>
              <w:right w:val="single" w:sz="4" w:space="0" w:color="auto"/>
            </w:tcBorders>
            <w:shd w:val="clear" w:color="auto" w:fill="auto"/>
            <w:noWrap/>
            <w:vAlign w:val="center"/>
            <w:hideMark/>
          </w:tcPr>
          <w:p w14:paraId="33D596F8"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2.9%</w:t>
            </w:r>
          </w:p>
        </w:tc>
        <w:tc>
          <w:tcPr>
            <w:tcW w:w="820" w:type="dxa"/>
            <w:tcBorders>
              <w:top w:val="nil"/>
              <w:left w:val="nil"/>
              <w:bottom w:val="single" w:sz="4" w:space="0" w:color="auto"/>
              <w:right w:val="single" w:sz="4" w:space="0" w:color="auto"/>
            </w:tcBorders>
            <w:shd w:val="clear" w:color="auto" w:fill="auto"/>
            <w:noWrap/>
            <w:vAlign w:val="center"/>
            <w:hideMark/>
          </w:tcPr>
          <w:p w14:paraId="240D798B"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5.7%</w:t>
            </w:r>
          </w:p>
        </w:tc>
        <w:tc>
          <w:tcPr>
            <w:tcW w:w="820" w:type="dxa"/>
            <w:tcBorders>
              <w:top w:val="nil"/>
              <w:left w:val="nil"/>
              <w:bottom w:val="single" w:sz="4" w:space="0" w:color="auto"/>
              <w:right w:val="single" w:sz="4" w:space="0" w:color="auto"/>
            </w:tcBorders>
            <w:shd w:val="clear" w:color="auto" w:fill="auto"/>
            <w:noWrap/>
            <w:vAlign w:val="center"/>
            <w:hideMark/>
          </w:tcPr>
          <w:p w14:paraId="33FC8DFB"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8.6%</w:t>
            </w:r>
          </w:p>
        </w:tc>
        <w:tc>
          <w:tcPr>
            <w:tcW w:w="820" w:type="dxa"/>
            <w:tcBorders>
              <w:top w:val="nil"/>
              <w:left w:val="nil"/>
              <w:bottom w:val="single" w:sz="4" w:space="0" w:color="auto"/>
              <w:right w:val="single" w:sz="4" w:space="0" w:color="auto"/>
            </w:tcBorders>
            <w:shd w:val="clear" w:color="auto" w:fill="auto"/>
            <w:noWrap/>
            <w:vAlign w:val="center"/>
            <w:hideMark/>
          </w:tcPr>
          <w:p w14:paraId="7ADFB0C5"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11.4%</w:t>
            </w:r>
          </w:p>
        </w:tc>
        <w:tc>
          <w:tcPr>
            <w:tcW w:w="820" w:type="dxa"/>
            <w:tcBorders>
              <w:top w:val="nil"/>
              <w:left w:val="nil"/>
              <w:bottom w:val="single" w:sz="4" w:space="0" w:color="auto"/>
              <w:right w:val="single" w:sz="4" w:space="0" w:color="auto"/>
            </w:tcBorders>
            <w:shd w:val="clear" w:color="auto" w:fill="auto"/>
            <w:noWrap/>
            <w:vAlign w:val="center"/>
            <w:hideMark/>
          </w:tcPr>
          <w:p w14:paraId="728D668E"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14.3%</w:t>
            </w:r>
          </w:p>
        </w:tc>
      </w:tr>
      <w:tr w:rsidR="00CB0B5E" w:rsidRPr="00CB0B5E" w14:paraId="3431EA1C" w14:textId="77777777" w:rsidTr="00BF2EE5">
        <w:trPr>
          <w:trHeight w:val="288"/>
          <w:jc w:val="center"/>
        </w:trPr>
        <w:tc>
          <w:tcPr>
            <w:tcW w:w="1540" w:type="dxa"/>
            <w:vMerge/>
            <w:tcBorders>
              <w:top w:val="nil"/>
              <w:left w:val="single" w:sz="4" w:space="0" w:color="auto"/>
              <w:bottom w:val="single" w:sz="4" w:space="0" w:color="auto"/>
              <w:right w:val="single" w:sz="4" w:space="0" w:color="auto"/>
            </w:tcBorders>
            <w:vAlign w:val="center"/>
            <w:hideMark/>
          </w:tcPr>
          <w:p w14:paraId="7BFD7DD1" w14:textId="77777777" w:rsidR="00CB0B5E" w:rsidRPr="00CB0B5E" w:rsidRDefault="00CB0B5E" w:rsidP="00CB0B5E">
            <w:pPr>
              <w:jc w:val="left"/>
              <w:rPr>
                <w:rFonts w:ascii="Calibri" w:hAnsi="Calibri" w:cs="Calibri"/>
                <w:color w:val="000000"/>
              </w:rPr>
            </w:pPr>
          </w:p>
        </w:tc>
        <w:tc>
          <w:tcPr>
            <w:tcW w:w="1060" w:type="dxa"/>
            <w:tcBorders>
              <w:top w:val="nil"/>
              <w:left w:val="nil"/>
              <w:bottom w:val="single" w:sz="4" w:space="0" w:color="auto"/>
              <w:right w:val="single" w:sz="4" w:space="0" w:color="auto"/>
            </w:tcBorders>
            <w:shd w:val="clear" w:color="auto" w:fill="auto"/>
            <w:vAlign w:val="center"/>
            <w:hideMark/>
          </w:tcPr>
          <w:p w14:paraId="46D0B728"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Engine 7</w:t>
            </w:r>
          </w:p>
        </w:tc>
        <w:tc>
          <w:tcPr>
            <w:tcW w:w="1400" w:type="dxa"/>
            <w:tcBorders>
              <w:top w:val="nil"/>
              <w:left w:val="nil"/>
              <w:bottom w:val="single" w:sz="4" w:space="0" w:color="auto"/>
              <w:right w:val="single" w:sz="4" w:space="0" w:color="auto"/>
            </w:tcBorders>
            <w:shd w:val="clear" w:color="auto" w:fill="auto"/>
            <w:noWrap/>
            <w:vAlign w:val="center"/>
            <w:hideMark/>
          </w:tcPr>
          <w:p w14:paraId="500F59AA"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90%</w:t>
            </w:r>
          </w:p>
        </w:tc>
        <w:tc>
          <w:tcPr>
            <w:tcW w:w="820" w:type="dxa"/>
            <w:tcBorders>
              <w:top w:val="nil"/>
              <w:left w:val="nil"/>
              <w:bottom w:val="single" w:sz="4" w:space="0" w:color="auto"/>
              <w:right w:val="single" w:sz="4" w:space="0" w:color="auto"/>
            </w:tcBorders>
            <w:shd w:val="clear" w:color="auto" w:fill="auto"/>
            <w:noWrap/>
            <w:vAlign w:val="center"/>
            <w:hideMark/>
          </w:tcPr>
          <w:p w14:paraId="77EFAA51"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0%</w:t>
            </w:r>
          </w:p>
        </w:tc>
        <w:tc>
          <w:tcPr>
            <w:tcW w:w="820" w:type="dxa"/>
            <w:tcBorders>
              <w:top w:val="nil"/>
              <w:left w:val="nil"/>
              <w:bottom w:val="single" w:sz="4" w:space="0" w:color="auto"/>
              <w:right w:val="single" w:sz="4" w:space="0" w:color="auto"/>
            </w:tcBorders>
            <w:shd w:val="clear" w:color="auto" w:fill="auto"/>
            <w:noWrap/>
            <w:vAlign w:val="center"/>
            <w:hideMark/>
          </w:tcPr>
          <w:p w14:paraId="4065E448"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2.9%</w:t>
            </w:r>
          </w:p>
        </w:tc>
        <w:tc>
          <w:tcPr>
            <w:tcW w:w="820" w:type="dxa"/>
            <w:tcBorders>
              <w:top w:val="nil"/>
              <w:left w:val="nil"/>
              <w:bottom w:val="single" w:sz="4" w:space="0" w:color="auto"/>
              <w:right w:val="single" w:sz="4" w:space="0" w:color="auto"/>
            </w:tcBorders>
            <w:shd w:val="clear" w:color="auto" w:fill="auto"/>
            <w:noWrap/>
            <w:vAlign w:val="center"/>
            <w:hideMark/>
          </w:tcPr>
          <w:p w14:paraId="1FF36591"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5.7%</w:t>
            </w:r>
          </w:p>
        </w:tc>
        <w:tc>
          <w:tcPr>
            <w:tcW w:w="820" w:type="dxa"/>
            <w:tcBorders>
              <w:top w:val="nil"/>
              <w:left w:val="nil"/>
              <w:bottom w:val="single" w:sz="4" w:space="0" w:color="auto"/>
              <w:right w:val="single" w:sz="4" w:space="0" w:color="auto"/>
            </w:tcBorders>
            <w:shd w:val="clear" w:color="auto" w:fill="auto"/>
            <w:noWrap/>
            <w:vAlign w:val="center"/>
            <w:hideMark/>
          </w:tcPr>
          <w:p w14:paraId="578C231F"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8.6%</w:t>
            </w:r>
          </w:p>
        </w:tc>
        <w:tc>
          <w:tcPr>
            <w:tcW w:w="820" w:type="dxa"/>
            <w:tcBorders>
              <w:top w:val="nil"/>
              <w:left w:val="nil"/>
              <w:bottom w:val="single" w:sz="4" w:space="0" w:color="auto"/>
              <w:right w:val="single" w:sz="4" w:space="0" w:color="auto"/>
            </w:tcBorders>
            <w:shd w:val="clear" w:color="auto" w:fill="auto"/>
            <w:noWrap/>
            <w:vAlign w:val="center"/>
            <w:hideMark/>
          </w:tcPr>
          <w:p w14:paraId="362C45FD"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11.4%</w:t>
            </w:r>
          </w:p>
        </w:tc>
        <w:tc>
          <w:tcPr>
            <w:tcW w:w="820" w:type="dxa"/>
            <w:tcBorders>
              <w:top w:val="nil"/>
              <w:left w:val="nil"/>
              <w:bottom w:val="single" w:sz="4" w:space="0" w:color="auto"/>
              <w:right w:val="single" w:sz="4" w:space="0" w:color="auto"/>
            </w:tcBorders>
            <w:shd w:val="clear" w:color="auto" w:fill="auto"/>
            <w:noWrap/>
            <w:vAlign w:val="center"/>
            <w:hideMark/>
          </w:tcPr>
          <w:p w14:paraId="5B85B9B3"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14.3%</w:t>
            </w:r>
          </w:p>
        </w:tc>
      </w:tr>
      <w:tr w:rsidR="00CB0B5E" w:rsidRPr="00CB0B5E" w14:paraId="7DB4FE61" w14:textId="77777777" w:rsidTr="00BF2EE5">
        <w:trPr>
          <w:trHeight w:val="288"/>
          <w:jc w:val="center"/>
        </w:trPr>
        <w:tc>
          <w:tcPr>
            <w:tcW w:w="1540" w:type="dxa"/>
            <w:vMerge/>
            <w:tcBorders>
              <w:top w:val="nil"/>
              <w:left w:val="single" w:sz="4" w:space="0" w:color="auto"/>
              <w:bottom w:val="single" w:sz="4" w:space="0" w:color="auto"/>
              <w:right w:val="single" w:sz="4" w:space="0" w:color="auto"/>
            </w:tcBorders>
            <w:vAlign w:val="center"/>
            <w:hideMark/>
          </w:tcPr>
          <w:p w14:paraId="79EF0517" w14:textId="77777777" w:rsidR="00CB0B5E" w:rsidRPr="00CB0B5E" w:rsidRDefault="00CB0B5E" w:rsidP="00CB0B5E">
            <w:pPr>
              <w:jc w:val="left"/>
              <w:rPr>
                <w:rFonts w:ascii="Calibri" w:hAnsi="Calibri" w:cs="Calibri"/>
                <w:color w:val="000000"/>
              </w:rPr>
            </w:pPr>
          </w:p>
        </w:tc>
        <w:tc>
          <w:tcPr>
            <w:tcW w:w="1060" w:type="dxa"/>
            <w:tcBorders>
              <w:top w:val="nil"/>
              <w:left w:val="nil"/>
              <w:bottom w:val="single" w:sz="4" w:space="0" w:color="auto"/>
              <w:right w:val="single" w:sz="4" w:space="0" w:color="auto"/>
            </w:tcBorders>
            <w:shd w:val="clear" w:color="auto" w:fill="auto"/>
            <w:vAlign w:val="center"/>
            <w:hideMark/>
          </w:tcPr>
          <w:p w14:paraId="61A34A26"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Engine 8</w:t>
            </w:r>
          </w:p>
        </w:tc>
        <w:tc>
          <w:tcPr>
            <w:tcW w:w="1400" w:type="dxa"/>
            <w:tcBorders>
              <w:top w:val="nil"/>
              <w:left w:val="nil"/>
              <w:bottom w:val="single" w:sz="4" w:space="0" w:color="auto"/>
              <w:right w:val="single" w:sz="4" w:space="0" w:color="auto"/>
            </w:tcBorders>
            <w:shd w:val="clear" w:color="auto" w:fill="auto"/>
            <w:noWrap/>
            <w:vAlign w:val="center"/>
            <w:hideMark/>
          </w:tcPr>
          <w:p w14:paraId="50608B51"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100%</w:t>
            </w:r>
          </w:p>
        </w:tc>
        <w:tc>
          <w:tcPr>
            <w:tcW w:w="820" w:type="dxa"/>
            <w:tcBorders>
              <w:top w:val="nil"/>
              <w:left w:val="nil"/>
              <w:bottom w:val="single" w:sz="4" w:space="0" w:color="auto"/>
              <w:right w:val="single" w:sz="4" w:space="0" w:color="auto"/>
            </w:tcBorders>
            <w:shd w:val="clear" w:color="auto" w:fill="auto"/>
            <w:noWrap/>
            <w:vAlign w:val="center"/>
            <w:hideMark/>
          </w:tcPr>
          <w:p w14:paraId="22CD7167"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0%</w:t>
            </w:r>
          </w:p>
        </w:tc>
        <w:tc>
          <w:tcPr>
            <w:tcW w:w="820" w:type="dxa"/>
            <w:tcBorders>
              <w:top w:val="nil"/>
              <w:left w:val="nil"/>
              <w:bottom w:val="single" w:sz="4" w:space="0" w:color="auto"/>
              <w:right w:val="single" w:sz="4" w:space="0" w:color="auto"/>
            </w:tcBorders>
            <w:shd w:val="clear" w:color="auto" w:fill="auto"/>
            <w:noWrap/>
            <w:vAlign w:val="center"/>
            <w:hideMark/>
          </w:tcPr>
          <w:p w14:paraId="3E844121"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2.9%</w:t>
            </w:r>
          </w:p>
        </w:tc>
        <w:tc>
          <w:tcPr>
            <w:tcW w:w="820" w:type="dxa"/>
            <w:tcBorders>
              <w:top w:val="nil"/>
              <w:left w:val="nil"/>
              <w:bottom w:val="single" w:sz="4" w:space="0" w:color="auto"/>
              <w:right w:val="single" w:sz="4" w:space="0" w:color="auto"/>
            </w:tcBorders>
            <w:shd w:val="clear" w:color="auto" w:fill="auto"/>
            <w:noWrap/>
            <w:vAlign w:val="center"/>
            <w:hideMark/>
          </w:tcPr>
          <w:p w14:paraId="72C3581E"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5.7%</w:t>
            </w:r>
          </w:p>
        </w:tc>
        <w:tc>
          <w:tcPr>
            <w:tcW w:w="820" w:type="dxa"/>
            <w:tcBorders>
              <w:top w:val="nil"/>
              <w:left w:val="nil"/>
              <w:bottom w:val="single" w:sz="4" w:space="0" w:color="auto"/>
              <w:right w:val="single" w:sz="4" w:space="0" w:color="auto"/>
            </w:tcBorders>
            <w:shd w:val="clear" w:color="auto" w:fill="auto"/>
            <w:noWrap/>
            <w:vAlign w:val="center"/>
            <w:hideMark/>
          </w:tcPr>
          <w:p w14:paraId="4B185B87"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8.6%</w:t>
            </w:r>
          </w:p>
        </w:tc>
        <w:tc>
          <w:tcPr>
            <w:tcW w:w="820" w:type="dxa"/>
            <w:tcBorders>
              <w:top w:val="nil"/>
              <w:left w:val="nil"/>
              <w:bottom w:val="single" w:sz="4" w:space="0" w:color="auto"/>
              <w:right w:val="single" w:sz="4" w:space="0" w:color="auto"/>
            </w:tcBorders>
            <w:shd w:val="clear" w:color="auto" w:fill="auto"/>
            <w:noWrap/>
            <w:vAlign w:val="center"/>
            <w:hideMark/>
          </w:tcPr>
          <w:p w14:paraId="007C21CA"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11.4%</w:t>
            </w:r>
          </w:p>
        </w:tc>
        <w:tc>
          <w:tcPr>
            <w:tcW w:w="820" w:type="dxa"/>
            <w:tcBorders>
              <w:top w:val="nil"/>
              <w:left w:val="nil"/>
              <w:bottom w:val="single" w:sz="4" w:space="0" w:color="auto"/>
              <w:right w:val="single" w:sz="4" w:space="0" w:color="auto"/>
            </w:tcBorders>
            <w:shd w:val="clear" w:color="auto" w:fill="auto"/>
            <w:noWrap/>
            <w:vAlign w:val="center"/>
            <w:hideMark/>
          </w:tcPr>
          <w:p w14:paraId="3528EA65" w14:textId="77777777" w:rsidR="00CB0B5E" w:rsidRPr="00CB0B5E" w:rsidRDefault="00CB0B5E" w:rsidP="00CB0B5E">
            <w:pPr>
              <w:jc w:val="center"/>
              <w:rPr>
                <w:rFonts w:ascii="Calibri" w:hAnsi="Calibri" w:cs="Calibri"/>
                <w:color w:val="000000"/>
              </w:rPr>
            </w:pPr>
            <w:r w:rsidRPr="00CB0B5E">
              <w:rPr>
                <w:rFonts w:ascii="Calibri" w:hAnsi="Calibri" w:cs="Calibri"/>
                <w:color w:val="000000"/>
              </w:rPr>
              <w:t>14.3%</w:t>
            </w:r>
          </w:p>
        </w:tc>
      </w:tr>
    </w:tbl>
    <w:p w14:paraId="57480CDA" w14:textId="77777777" w:rsidR="00701A5F" w:rsidRDefault="00701A5F" w:rsidP="00DC6DE9">
      <w:pPr>
        <w:keepNext/>
        <w:tabs>
          <w:tab w:val="left" w:pos="288"/>
        </w:tabs>
        <w:jc w:val="center"/>
      </w:pPr>
    </w:p>
    <w:p w14:paraId="7449C200" w14:textId="36EA583E" w:rsidR="00DC6DE9" w:rsidRDefault="00A6590E" w:rsidP="00DC6DE9">
      <w:pPr>
        <w:keepNext/>
        <w:tabs>
          <w:tab w:val="left" w:pos="288"/>
        </w:tabs>
        <w:jc w:val="center"/>
      </w:pPr>
      <w:r>
        <w:rPr>
          <w:noProof/>
        </w:rPr>
        <w:drawing>
          <wp:inline distT="0" distB="0" distL="0" distR="0" wp14:anchorId="4A448D91" wp14:editId="42F7D77B">
            <wp:extent cx="5943600" cy="41148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A47110" w14:textId="43AF8C98" w:rsidR="00A742FF" w:rsidRDefault="00DC6DE9" w:rsidP="00DC6DE9">
      <w:pPr>
        <w:pStyle w:val="Caption"/>
        <w:jc w:val="center"/>
      </w:pPr>
      <w:bookmarkStart w:id="8" w:name="_Ref53584846"/>
      <w:r>
        <w:t xml:space="preserve">Figure </w:t>
      </w:r>
      <w:bookmarkEnd w:id="8"/>
      <w:r w:rsidR="00FC6950">
        <w:t>3</w:t>
      </w:r>
      <w:r>
        <w:t xml:space="preserve"> </w:t>
      </w:r>
      <w:r w:rsidR="00492B24">
        <w:t xml:space="preserve">Results of the ATR-42 study showing the effect of weighting between two engine sets. </w:t>
      </w:r>
    </w:p>
    <w:p w14:paraId="5B923E6A" w14:textId="77777777" w:rsidR="00A110B5" w:rsidRDefault="00A110B5" w:rsidP="0039522A">
      <w:pPr>
        <w:tabs>
          <w:tab w:val="left" w:pos="288"/>
        </w:tabs>
        <w:ind w:firstLine="288"/>
      </w:pPr>
    </w:p>
    <w:p w14:paraId="14714CEA" w14:textId="77777777" w:rsidR="0019640A" w:rsidRDefault="0019640A" w:rsidP="0019640A">
      <w:pPr>
        <w:tabs>
          <w:tab w:val="left" w:pos="288"/>
        </w:tabs>
      </w:pPr>
    </w:p>
    <w:p w14:paraId="7AECAC55" w14:textId="402885E2" w:rsidR="00D740F0" w:rsidRDefault="00DC6DE9" w:rsidP="00343C1E">
      <w:pPr>
        <w:tabs>
          <w:tab w:val="left" w:pos="288"/>
        </w:tabs>
      </w:pPr>
      <w:r>
        <w:tab/>
      </w:r>
      <w:r w:rsidR="0019640A">
        <w:t xml:space="preserve">In addition to the </w:t>
      </w:r>
      <w:r w:rsidR="002426D7">
        <w:t>two studies</w:t>
      </w:r>
      <w:r w:rsidR="0019640A">
        <w:t xml:space="preserve"> of cases</w:t>
      </w:r>
      <w:r w:rsidR="0067290F">
        <w:t xml:space="preserve"> presented in </w:t>
      </w:r>
      <w:r w:rsidR="00FC6950">
        <w:t>Figure 2</w:t>
      </w:r>
      <w:r w:rsidR="0067290F">
        <w:t xml:space="preserve"> and </w:t>
      </w:r>
      <w:r w:rsidR="00FC6950">
        <w:t>Figure 3</w:t>
      </w:r>
      <w:r w:rsidR="00F6536C">
        <w:t>,</w:t>
      </w:r>
      <w:r w:rsidR="0067290F">
        <w:t xml:space="preserve"> </w:t>
      </w:r>
      <w:r w:rsidR="0019640A">
        <w:t xml:space="preserve">many additional configurations of interest </w:t>
      </w:r>
      <w:r w:rsidR="0067290F">
        <w:t>were evaluated in both SUITCASE and the proposed LEAPS method</w:t>
      </w:r>
      <w:r w:rsidR="0019640A">
        <w:t xml:space="preserve">. These </w:t>
      </w:r>
      <w:r w:rsidR="00343C1E">
        <w:t xml:space="preserve">configurations </w:t>
      </w:r>
      <w:r w:rsidR="002C0B4F">
        <w:t xml:space="preserve">include </w:t>
      </w:r>
      <w:r w:rsidR="00276613">
        <w:t xml:space="preserve">all three evaluated </w:t>
      </w:r>
      <w:r w:rsidR="00276613" w:rsidRPr="00EE340B">
        <w:t xml:space="preserve">aircraft </w:t>
      </w:r>
      <w:r w:rsidR="00343C1E" w:rsidRPr="00EE340B">
        <w:t>with</w:t>
      </w:r>
      <w:r w:rsidR="0019640A" w:rsidRPr="00EE340B">
        <w:t xml:space="preserve"> various configurations of engines</w:t>
      </w:r>
      <w:r w:rsidR="00343C1E" w:rsidRPr="00EE340B">
        <w:t xml:space="preserve"> divided into up to three unique engine sets</w:t>
      </w:r>
      <w:r w:rsidR="0019640A" w:rsidRPr="00EE340B">
        <w:t>.</w:t>
      </w:r>
      <w:r w:rsidR="00343C1E" w:rsidRPr="00EE340B">
        <w:t xml:space="preserve"> The overall differences between the predicted wing weight for each configuration is shown in</w:t>
      </w:r>
      <w:r w:rsidR="0019640A" w:rsidRPr="00EE340B">
        <w:t xml:space="preserve"> </w:t>
      </w:r>
      <w:r w:rsidR="00FC6950" w:rsidRPr="00EE340B">
        <w:t>Figure 4</w:t>
      </w:r>
      <w:r w:rsidR="0019640A" w:rsidRPr="00EE340B">
        <w:t xml:space="preserve">. </w:t>
      </w:r>
      <w:r w:rsidR="008E3A63" w:rsidRPr="00EE340B">
        <w:t>Due to the large number of variati</w:t>
      </w:r>
      <w:r w:rsidR="00F6536C" w:rsidRPr="00EE340B">
        <w:t>ons between the evaluated cases</w:t>
      </w:r>
      <w:r w:rsidR="008E3A63" w:rsidRPr="00EE340B">
        <w:t xml:space="preserve"> including </w:t>
      </w:r>
      <w:r w:rsidR="00FC2439" w:rsidRPr="00EE340B">
        <w:t>wing geometry, engine number, engine weight, and engine location</w:t>
      </w:r>
      <w:r w:rsidR="00144422" w:rsidRPr="00EE340B">
        <w:t>,</w:t>
      </w:r>
      <w:r w:rsidR="00FC2439" w:rsidRPr="00EE340B">
        <w:t xml:space="preserve"> </w:t>
      </w:r>
      <w:r w:rsidR="00144422" w:rsidRPr="00EE340B">
        <w:t xml:space="preserve">percent error is </w:t>
      </w:r>
      <w:r w:rsidR="00FC2439" w:rsidRPr="00EE340B">
        <w:t>plotted against the EIRF</w:t>
      </w:r>
      <w:r w:rsidR="008E3A63" w:rsidRPr="00EE340B">
        <w:t xml:space="preserve"> calculated using the proposed LEAPS method.</w:t>
      </w:r>
      <w:r w:rsidR="00144422" w:rsidRPr="00EE340B">
        <w:t xml:space="preserve"> </w:t>
      </w:r>
      <w:r w:rsidR="008E3A63" w:rsidRPr="00EE340B">
        <w:t>A</w:t>
      </w:r>
      <w:r w:rsidR="00144422" w:rsidRPr="00EE340B">
        <w:t xml:space="preserve">s </w:t>
      </w:r>
      <w:r w:rsidR="008E3A63" w:rsidRPr="00EE340B">
        <w:t xml:space="preserve">EIRF </w:t>
      </w:r>
      <w:r w:rsidR="00144422" w:rsidRPr="00EE340B">
        <w:t>serves as a relative measure of the inertia relief benefit</w:t>
      </w:r>
      <w:r w:rsidR="008E3A63" w:rsidRPr="00EE340B">
        <w:t>, values on the left side of the figure have more inertia relief and with values on the right having less</w:t>
      </w:r>
      <w:r w:rsidR="00FC2439" w:rsidRPr="00EE340B">
        <w:t xml:space="preserve">. </w:t>
      </w:r>
      <w:r w:rsidR="0087084B" w:rsidRPr="00EE340B">
        <w:t>The grouping of cases at an EIRF of 0.84 is a product of the minimum value</w:t>
      </w:r>
      <w:r w:rsidR="00813C11" w:rsidRPr="00EE340B">
        <w:t xml:space="preserve"> applied to EIRF</w:t>
      </w:r>
      <w:r w:rsidR="0087084B" w:rsidRPr="00EE340B">
        <w:t xml:space="preserve">. </w:t>
      </w:r>
      <w:r w:rsidR="00C54A25" w:rsidRPr="00EE340B">
        <w:t xml:space="preserve">It is important to note that the EIRF values calculated using the prior LEAPS method will generally be larger than values calculated using the proposed method. This is due to the prior method only being able to include a single engine set. </w:t>
      </w:r>
      <w:r w:rsidR="00343C1E" w:rsidRPr="00EE340B">
        <w:t>The figure</w:t>
      </w:r>
      <w:r w:rsidR="0067290F" w:rsidRPr="00EE340B">
        <w:t xml:space="preserve"> show</w:t>
      </w:r>
      <w:r w:rsidR="00343C1E" w:rsidRPr="00EE340B">
        <w:t>s</w:t>
      </w:r>
      <w:r w:rsidR="0067290F" w:rsidRPr="00EE340B">
        <w:t xml:space="preserve"> that </w:t>
      </w:r>
      <w:r w:rsidR="00144422" w:rsidRPr="00EE340B">
        <w:t xml:space="preserve">LEAPS </w:t>
      </w:r>
      <w:r w:rsidR="0067290F" w:rsidRPr="00EE340B">
        <w:t xml:space="preserve">tends to provide </w:t>
      </w:r>
      <w:r w:rsidR="00144422" w:rsidRPr="00EE340B">
        <w:t>a slight under prediction of wing weight</w:t>
      </w:r>
      <w:r w:rsidR="00343C1E" w:rsidRPr="00EE340B">
        <w:t xml:space="preserve"> as compared to </w:t>
      </w:r>
      <w:r w:rsidR="00C01DF2" w:rsidRPr="00EE340B">
        <w:t>SUITCASE</w:t>
      </w:r>
      <w:r w:rsidR="00343C1E" w:rsidRPr="00EE340B">
        <w:t>. Of the thirty</w:t>
      </w:r>
      <w:r w:rsidR="00835BA7" w:rsidRPr="00EE340B">
        <w:t>-</w:t>
      </w:r>
      <w:r w:rsidR="00343C1E" w:rsidRPr="00EE340B">
        <w:t>three evaluated configurations, the average of the absolute value of the errors was 2%</w:t>
      </w:r>
      <w:r w:rsidR="00F6536C" w:rsidRPr="00EE340B">
        <w:t>,</w:t>
      </w:r>
      <w:r w:rsidR="00343C1E" w:rsidRPr="00EE340B">
        <w:t xml:space="preserve"> and the largest error was just over </w:t>
      </w:r>
      <w:r w:rsidR="00144422" w:rsidRPr="00EE340B">
        <w:t>5%.</w:t>
      </w:r>
      <w:r w:rsidR="00144422">
        <w:t xml:space="preserve"> </w:t>
      </w:r>
    </w:p>
    <w:p w14:paraId="58B3E776" w14:textId="54153AA6" w:rsidR="00D740F0" w:rsidRDefault="00D740F0" w:rsidP="00701D0B">
      <w:pPr>
        <w:tabs>
          <w:tab w:val="left" w:pos="2289"/>
        </w:tabs>
      </w:pPr>
    </w:p>
    <w:p w14:paraId="4D77C21A" w14:textId="77777777" w:rsidR="002143A9" w:rsidRPr="00701D0B" w:rsidRDefault="002143A9" w:rsidP="00701D0B">
      <w:pPr>
        <w:tabs>
          <w:tab w:val="left" w:pos="2289"/>
        </w:tabs>
      </w:pPr>
    </w:p>
    <w:p w14:paraId="08C37715" w14:textId="0EDCA9F1" w:rsidR="0067290F" w:rsidRDefault="00F70F2C" w:rsidP="00F70F2C">
      <w:pPr>
        <w:keepNext/>
        <w:tabs>
          <w:tab w:val="left" w:pos="288"/>
        </w:tabs>
        <w:jc w:val="center"/>
      </w:pPr>
      <w:r>
        <w:rPr>
          <w:noProof/>
        </w:rPr>
        <w:drawing>
          <wp:inline distT="0" distB="0" distL="0" distR="0" wp14:anchorId="427028C4" wp14:editId="7E2730D9">
            <wp:extent cx="5943600" cy="3581400"/>
            <wp:effectExtent l="0" t="0" r="0" b="0"/>
            <wp:docPr id="2" name="Chart 2">
              <a:extLst xmlns:a="http://schemas.openxmlformats.org/drawingml/2006/main">
                <a:ext uri="{FF2B5EF4-FFF2-40B4-BE49-F238E27FC236}">
                  <a16:creationId xmlns:a16="http://schemas.microsoft.com/office/drawing/2014/main" id="{00000000-0008-0000-08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BC129B" w14:textId="41E75EF3" w:rsidR="00D740F0" w:rsidRDefault="0067290F" w:rsidP="0067290F">
      <w:pPr>
        <w:pStyle w:val="Caption"/>
        <w:jc w:val="center"/>
      </w:pPr>
      <w:bookmarkStart w:id="9" w:name="_Ref53585078"/>
      <w:r>
        <w:t xml:space="preserve">Figure </w:t>
      </w:r>
      <w:bookmarkEnd w:id="9"/>
      <w:r w:rsidR="00FC6950">
        <w:t>4</w:t>
      </w:r>
      <w:r>
        <w:t xml:space="preserve"> Percent error in wing weight between SUITCASE and </w:t>
      </w:r>
      <w:r w:rsidR="0086065E">
        <w:t xml:space="preserve">the </w:t>
      </w:r>
      <w:r>
        <w:t>LEAPS proposed method</w:t>
      </w:r>
      <w:r w:rsidR="008E3A63">
        <w:t xml:space="preserve"> for all evaluated</w:t>
      </w:r>
      <w:r w:rsidR="009C0E98">
        <w:t xml:space="preserve"> aircraft and engine</w:t>
      </w:r>
      <w:r w:rsidR="008E3A63">
        <w:t xml:space="preserve"> configurations</w:t>
      </w:r>
      <w:r w:rsidR="005D55D9">
        <w:t>.</w:t>
      </w:r>
    </w:p>
    <w:p w14:paraId="4322A411" w14:textId="77777777" w:rsidR="00561FB5" w:rsidRPr="00561FB5" w:rsidRDefault="00561FB5" w:rsidP="00561FB5"/>
    <w:p w14:paraId="22FCFF43" w14:textId="20B9C92B" w:rsidR="00F565BA" w:rsidRPr="00F565BA" w:rsidRDefault="0039522A" w:rsidP="006023EE">
      <w:pPr>
        <w:keepNext/>
        <w:numPr>
          <w:ilvl w:val="0"/>
          <w:numId w:val="4"/>
        </w:numPr>
        <w:tabs>
          <w:tab w:val="left" w:pos="288"/>
        </w:tabs>
        <w:spacing w:before="240"/>
        <w:outlineLvl w:val="1"/>
        <w:rPr>
          <w:b/>
        </w:rPr>
      </w:pPr>
      <w:r>
        <w:rPr>
          <w:b/>
        </w:rPr>
        <w:t xml:space="preserve">Discussion of </w:t>
      </w:r>
      <w:r w:rsidR="00F6536C">
        <w:rPr>
          <w:b/>
        </w:rPr>
        <w:t>R</w:t>
      </w:r>
      <w:r>
        <w:rPr>
          <w:b/>
        </w:rPr>
        <w:t>esults</w:t>
      </w:r>
    </w:p>
    <w:p w14:paraId="69EF0788" w14:textId="06A33E75" w:rsidR="00636017" w:rsidRDefault="002F2583" w:rsidP="0029021C">
      <w:pPr>
        <w:ind w:firstLine="288"/>
      </w:pPr>
      <w:r>
        <w:t xml:space="preserve">The results from </w:t>
      </w:r>
      <w:r w:rsidR="00BD6569">
        <w:t>S</w:t>
      </w:r>
      <w:r w:rsidR="00BD6569">
        <w:t xml:space="preserve">ection </w:t>
      </w:r>
      <w:r>
        <w:t xml:space="preserve">A </w:t>
      </w:r>
      <w:r w:rsidR="004F0B47">
        <w:t>establish</w:t>
      </w:r>
      <w:r>
        <w:t xml:space="preserve"> that the existing LEAPS inertia relief method captures the general trends in inertia relief</w:t>
      </w:r>
      <w:r w:rsidR="005F0EEC">
        <w:t xml:space="preserve"> </w:t>
      </w:r>
      <w:r w:rsidR="00636017">
        <w:t>for aircraft with</w:t>
      </w:r>
      <w:r w:rsidR="00BD6569">
        <w:t xml:space="preserve"> a</w:t>
      </w:r>
      <w:r w:rsidR="003C7455">
        <w:t xml:space="preserve"> large</w:t>
      </w:r>
      <w:r w:rsidR="00636017">
        <w:t xml:space="preserve"> </w:t>
      </w:r>
      <w:r w:rsidR="005F0EEC">
        <w:t>number of engines</w:t>
      </w:r>
      <w:r w:rsidR="005944AC">
        <w:t xml:space="preserve"> with relatively minimal error</w:t>
      </w:r>
      <w:r>
        <w:t>.</w:t>
      </w:r>
      <w:r w:rsidR="00081D43">
        <w:t xml:space="preserve"> </w:t>
      </w:r>
      <w:r w:rsidR="004F0B47">
        <w:t xml:space="preserve">With this basis established, the </w:t>
      </w:r>
      <w:r w:rsidR="00A013EC">
        <w:t>focus</w:t>
      </w:r>
      <w:r w:rsidR="004F0B47">
        <w:t xml:space="preserve"> </w:t>
      </w:r>
      <w:r w:rsidR="00A013EC">
        <w:t>of</w:t>
      </w:r>
      <w:r w:rsidR="004F0B47">
        <w:t xml:space="preserve"> this work switched to validating the new methodology for aircraft with </w:t>
      </w:r>
      <w:r w:rsidR="005944AC">
        <w:t>dissimilar</w:t>
      </w:r>
      <w:r w:rsidR="004F0B47">
        <w:t xml:space="preserve"> </w:t>
      </w:r>
      <w:r w:rsidR="005944AC">
        <w:t>engines</w:t>
      </w:r>
      <w:r w:rsidR="00C456A1">
        <w:t xml:space="preserve"> in </w:t>
      </w:r>
      <w:r w:rsidR="003C7455">
        <w:t xml:space="preserve">Section </w:t>
      </w:r>
      <w:r w:rsidR="00C456A1">
        <w:t>B</w:t>
      </w:r>
      <w:r w:rsidR="004F0B47">
        <w:t xml:space="preserve">. </w:t>
      </w:r>
    </w:p>
    <w:p w14:paraId="12D6ABF5" w14:textId="21F5B3AB" w:rsidR="002F2583" w:rsidRDefault="002F2583" w:rsidP="0029021C">
      <w:pPr>
        <w:ind w:firstLine="288"/>
      </w:pPr>
      <w:r>
        <w:t xml:space="preserve"> </w:t>
      </w:r>
      <w:r w:rsidR="00AD1743">
        <w:t>For</w:t>
      </w:r>
      <w:r w:rsidR="00841C2D">
        <w:t xml:space="preserve"> the </w:t>
      </w:r>
      <w:r w:rsidR="00AD1743">
        <w:t xml:space="preserve">LEAPS </w:t>
      </w:r>
      <w:r w:rsidR="00841C2D">
        <w:t>simple wing definition</w:t>
      </w:r>
      <w:r w:rsidR="001767C2">
        <w:t>,</w:t>
      </w:r>
      <w:r w:rsidR="00841C2D">
        <w:t xml:space="preserve"> </w:t>
      </w:r>
      <w:r w:rsidR="00AD1743">
        <w:t xml:space="preserve">validation was relatively </w:t>
      </w:r>
      <w:r w:rsidR="0073081F">
        <w:t>straight forward</w:t>
      </w:r>
      <w:r w:rsidR="00AD1743">
        <w:t>. EIRF is only a function of the number of wing mounted engines</w:t>
      </w:r>
      <w:r w:rsidR="009235F8">
        <w:t xml:space="preserve">, so the effort was focused on establishing that </w:t>
      </w:r>
      <w:r w:rsidR="00E06D07">
        <w:t xml:space="preserve">the </w:t>
      </w:r>
      <w:r w:rsidR="00B373EC">
        <w:t>extension</w:t>
      </w:r>
      <w:r w:rsidR="00E06D07">
        <w:t xml:space="preserve"> is consistent with the established </w:t>
      </w:r>
      <w:r w:rsidR="00B373EC">
        <w:t>methodology</w:t>
      </w:r>
      <w:r w:rsidR="00E06D07">
        <w:t xml:space="preserve">. With the maximum inertia relief benefit saturated at six engines, </w:t>
      </w:r>
      <w:r w:rsidR="00730D89">
        <w:t xml:space="preserve">the comparison centered on </w:t>
      </w:r>
      <w:r w:rsidR="00BD4CEC">
        <w:t xml:space="preserve">the </w:t>
      </w:r>
      <w:r w:rsidR="0073081F">
        <w:t>four-engine</w:t>
      </w:r>
      <w:r w:rsidR="00BD4CEC">
        <w:t xml:space="preserve"> case and established that the EIRF for a</w:t>
      </w:r>
      <w:r w:rsidR="00E36AC2">
        <w:t xml:space="preserve"> </w:t>
      </w:r>
      <w:r w:rsidR="00BD4CEC">
        <w:t xml:space="preserve">single set of four engines (the established method) was almost identical to the EIRF </w:t>
      </w:r>
      <w:r w:rsidR="00E36AC2">
        <w:t>calculated</w:t>
      </w:r>
      <w:r w:rsidR="00BD4CEC">
        <w:t xml:space="preserve"> for </w:t>
      </w:r>
      <w:r w:rsidR="00E36AC2">
        <w:t>two sets of two engines.</w:t>
      </w:r>
    </w:p>
    <w:p w14:paraId="338D267A" w14:textId="77777777" w:rsidR="00205E16" w:rsidRDefault="00CA4E26" w:rsidP="0029021C">
      <w:pPr>
        <w:ind w:firstLine="288"/>
      </w:pPr>
      <w:r>
        <w:lastRenderedPageBreak/>
        <w:t xml:space="preserve">As the EIRF calculation method for </w:t>
      </w:r>
      <w:r w:rsidR="00990E94">
        <w:t xml:space="preserve">the </w:t>
      </w:r>
      <w:r>
        <w:t>detailed wing</w:t>
      </w:r>
      <w:r w:rsidR="00990E94">
        <w:t xml:space="preserve"> definition</w:t>
      </w:r>
      <w:r>
        <w:t xml:space="preserve"> has a </w:t>
      </w:r>
      <w:r w:rsidR="00990E94">
        <w:t>significant</w:t>
      </w:r>
      <w:r>
        <w:t xml:space="preserve"> number of potential input variations, v</w:t>
      </w:r>
      <w:r w:rsidR="009D7DFC">
        <w:t xml:space="preserve">alidating the modification was </w:t>
      </w:r>
      <w:r>
        <w:t xml:space="preserve">significantly more </w:t>
      </w:r>
      <w:r w:rsidR="009D7DFC">
        <w:t>challenging</w:t>
      </w:r>
      <w:r>
        <w:t xml:space="preserve">. </w:t>
      </w:r>
      <w:r w:rsidR="00797BE6">
        <w:t>The approach selected used a combination of point designs</w:t>
      </w:r>
      <w:r w:rsidR="007A6158">
        <w:t xml:space="preserve"> to e</w:t>
      </w:r>
      <w:r w:rsidR="00CC7EA9">
        <w:t>valuate the error</w:t>
      </w:r>
      <w:r w:rsidR="00797BE6">
        <w:t xml:space="preserve"> and sweeps of </w:t>
      </w:r>
      <w:r w:rsidR="007A6158">
        <w:t xml:space="preserve">variables </w:t>
      </w:r>
      <w:r w:rsidR="00CC7EA9">
        <w:t>to evaluate the trends in resulting weight</w:t>
      </w:r>
      <w:r w:rsidR="00264739">
        <w:t xml:space="preserve">. </w:t>
      </w:r>
      <w:r w:rsidR="008D69D6">
        <w:t xml:space="preserve">The resulting structural weight was compared with the weight calculated </w:t>
      </w:r>
      <w:r w:rsidR="0061559C">
        <w:t>with</w:t>
      </w:r>
      <w:r w:rsidR="008D69D6">
        <w:t xml:space="preserve"> SUITCASE, with select cases also being evaluated </w:t>
      </w:r>
      <w:r w:rsidR="0061559C">
        <w:t>using AMMIT.</w:t>
      </w:r>
      <w:r w:rsidR="005F36F8">
        <w:t xml:space="preserve"> </w:t>
      </w:r>
    </w:p>
    <w:p w14:paraId="40A9DCDD" w14:textId="4F756273" w:rsidR="00191E0A" w:rsidRDefault="00191E0A" w:rsidP="0029021C">
      <w:pPr>
        <w:ind w:firstLine="288"/>
      </w:pPr>
      <w:r>
        <w:t xml:space="preserve">The sweeps of cases </w:t>
      </w:r>
      <w:r w:rsidR="004021E5">
        <w:t xml:space="preserve">were applied to the ATR-42 and Boeing-777. </w:t>
      </w:r>
      <w:r w:rsidR="0061559C">
        <w:t>As the weigh</w:t>
      </w:r>
      <w:r w:rsidR="007348DB">
        <w:t>t was shifted from the discrete engine set to the distributed set,</w:t>
      </w:r>
      <w:r w:rsidR="004D0F0D">
        <w:t xml:space="preserve"> </w:t>
      </w:r>
      <w:r w:rsidR="008338E7">
        <w:t xml:space="preserve">the trends between LEAPS, SUITCASE, and AMMIT were </w:t>
      </w:r>
      <w:r w:rsidR="003F1AEA">
        <w:t>remarkably</w:t>
      </w:r>
      <w:r w:rsidR="008338E7">
        <w:t xml:space="preserve"> similar</w:t>
      </w:r>
      <w:r w:rsidR="003F1AEA">
        <w:t xml:space="preserve"> with a maximum error of approximately 5%</w:t>
      </w:r>
      <w:r w:rsidR="008338E7">
        <w:t xml:space="preserve">. </w:t>
      </w:r>
      <w:r w:rsidR="00945850">
        <w:t>While this is acceptable for early conceptual design</w:t>
      </w:r>
      <w:r w:rsidR="00D11546">
        <w:t xml:space="preserve">, </w:t>
      </w:r>
      <w:bookmarkStart w:id="10" w:name="_GoBack"/>
      <w:bookmarkEnd w:id="10"/>
      <w:r w:rsidR="0069070B">
        <w:t xml:space="preserve">the trends show that </w:t>
      </w:r>
      <w:r w:rsidR="00D11546">
        <w:t xml:space="preserve">LEAPS </w:t>
      </w:r>
      <w:r w:rsidR="0069070B">
        <w:t xml:space="preserve">tends to </w:t>
      </w:r>
      <w:r w:rsidR="007348DB">
        <w:t xml:space="preserve">overpredict the </w:t>
      </w:r>
      <w:r w:rsidR="00930FAD">
        <w:t xml:space="preserve">weight reduction provided by </w:t>
      </w:r>
      <w:r w:rsidR="0069070B">
        <w:t xml:space="preserve">engine </w:t>
      </w:r>
      <w:r w:rsidR="002B1B6D">
        <w:t>inertia relief</w:t>
      </w:r>
      <w:r w:rsidR="00C22880">
        <w:t>.</w:t>
      </w:r>
      <w:r w:rsidR="000F10B2">
        <w:t xml:space="preserve"> This </w:t>
      </w:r>
      <w:r w:rsidR="00EF7C14">
        <w:t xml:space="preserve">general </w:t>
      </w:r>
      <w:r w:rsidR="000F10B2">
        <w:t xml:space="preserve">trend </w:t>
      </w:r>
      <w:r w:rsidR="00EF7C14">
        <w:t xml:space="preserve">of low error, but slight </w:t>
      </w:r>
      <w:r w:rsidR="004E0441">
        <w:t xml:space="preserve">underprediction of weight </w:t>
      </w:r>
      <w:r w:rsidR="000F10B2">
        <w:t xml:space="preserve">is confirmed in Figure 4, which displays the error for all </w:t>
      </w:r>
      <w:r w:rsidR="00EF7C14">
        <w:t xml:space="preserve">thirty-three evaluated configurations. </w:t>
      </w:r>
      <w:r w:rsidR="00B4016A">
        <w:t>While such an effort was out of the scope of this work, t</w:t>
      </w:r>
      <w:r w:rsidR="00EF7C14">
        <w:t>hese trends</w:t>
      </w:r>
      <w:r w:rsidR="007D7522">
        <w:t xml:space="preserve"> suggest that a future effort </w:t>
      </w:r>
      <w:r w:rsidR="004E0441">
        <w:t>to</w:t>
      </w:r>
      <w:r w:rsidR="007D7522">
        <w:t xml:space="preserve"> evaluate </w:t>
      </w:r>
      <w:r w:rsidR="003F1AEA">
        <w:t>and potentially reduce the maximum benefit provided by inertia relief</w:t>
      </w:r>
      <w:r w:rsidR="00BE3E24">
        <w:t xml:space="preserve"> could improve the LEAPS wing weight prediction.</w:t>
      </w:r>
    </w:p>
    <w:p w14:paraId="53F3BC7C" w14:textId="77777777" w:rsidR="00CA4E26" w:rsidRDefault="00CA4E26" w:rsidP="0029021C">
      <w:pPr>
        <w:ind w:firstLine="288"/>
      </w:pPr>
    </w:p>
    <w:p w14:paraId="5746C25C" w14:textId="77777777" w:rsidR="00F565BA" w:rsidRPr="00F565BA" w:rsidRDefault="00F565BA" w:rsidP="00F565BA">
      <w:pPr>
        <w:keepNext/>
        <w:numPr>
          <w:ilvl w:val="0"/>
          <w:numId w:val="3"/>
        </w:numPr>
        <w:tabs>
          <w:tab w:val="clear" w:pos="360"/>
          <w:tab w:val="num" w:pos="180"/>
        </w:tabs>
        <w:spacing w:before="240" w:after="60"/>
        <w:ind w:left="180" w:hanging="180"/>
        <w:jc w:val="center"/>
        <w:outlineLvl w:val="0"/>
        <w:rPr>
          <w:b/>
          <w:kern w:val="32"/>
          <w:sz w:val="22"/>
        </w:rPr>
      </w:pPr>
      <w:r w:rsidRPr="00F565BA">
        <w:rPr>
          <w:b/>
          <w:kern w:val="32"/>
          <w:sz w:val="22"/>
        </w:rPr>
        <w:t>Conclusion</w:t>
      </w:r>
    </w:p>
    <w:p w14:paraId="24B03D99" w14:textId="33B84898" w:rsidR="00903CD2" w:rsidRDefault="00FB09F4" w:rsidP="00903CD2">
      <w:pPr>
        <w:tabs>
          <w:tab w:val="left" w:pos="288"/>
        </w:tabs>
        <w:ind w:firstLine="288"/>
      </w:pPr>
      <w:r>
        <w:t>In conclusion</w:t>
      </w:r>
      <w:r w:rsidR="000204DB">
        <w:t>,</w:t>
      </w:r>
      <w:r>
        <w:t xml:space="preserve"> </w:t>
      </w:r>
      <w:r w:rsidR="00CF4AC0">
        <w:t>an updated</w:t>
      </w:r>
      <w:r>
        <w:t xml:space="preserve"> inertia relief methodology has been </w:t>
      </w:r>
      <w:r w:rsidR="004101C3">
        <w:t xml:space="preserve">developed and </w:t>
      </w:r>
      <w:r>
        <w:t xml:space="preserve">demonstrated to be an effective extension to the original LEAPS method to allow for </w:t>
      </w:r>
      <w:r w:rsidR="00CF4AC0">
        <w:t>accurate inclusion</w:t>
      </w:r>
      <w:r>
        <w:t xml:space="preserve"> of inertia relief for aircraft with multiple dissimilar engines.</w:t>
      </w:r>
      <w:r w:rsidR="0067018C">
        <w:t xml:space="preserve"> This has been accomplished without compromising </w:t>
      </w:r>
      <w:r w:rsidR="00423499">
        <w:t>the method in LEAPS for tradition</w:t>
      </w:r>
      <w:r w:rsidR="000204DB">
        <w:t>al</w:t>
      </w:r>
      <w:r w:rsidR="00423499">
        <w:t xml:space="preserve"> aircraft with identical engines.</w:t>
      </w:r>
      <w:r>
        <w:t xml:space="preserve"> </w:t>
      </w:r>
      <w:r w:rsidR="006F446A">
        <w:t xml:space="preserve">This </w:t>
      </w:r>
      <w:r w:rsidR="00D601CB">
        <w:t xml:space="preserve">represents </w:t>
      </w:r>
      <w:r w:rsidR="00312F69">
        <w:t>a critical step</w:t>
      </w:r>
      <w:r w:rsidR="006F446A">
        <w:t xml:space="preserve"> to ensuring LEAPS is </w:t>
      </w:r>
      <w:r w:rsidR="00FD39E1">
        <w:t>compatible</w:t>
      </w:r>
      <w:r w:rsidR="006F446A">
        <w:t xml:space="preserve"> with </w:t>
      </w:r>
      <w:r w:rsidR="00312F69">
        <w:t xml:space="preserve">emerging </w:t>
      </w:r>
      <w:r w:rsidR="006F446A">
        <w:t>trends in aircraft conceptual design</w:t>
      </w:r>
      <w:r w:rsidR="00312F69">
        <w:t xml:space="preserve"> towards large numbers of differently sized engines</w:t>
      </w:r>
      <w:r w:rsidR="00423499">
        <w:t>.</w:t>
      </w:r>
      <w:r w:rsidR="00D601CB">
        <w:t xml:space="preserve"> The extension has been implemented in the LEAPS source code and will be </w:t>
      </w:r>
      <w:r w:rsidR="007A4113">
        <w:t>included in the first public release of LEAPS.</w:t>
      </w:r>
    </w:p>
    <w:p w14:paraId="6BEEEBCA" w14:textId="77777777" w:rsidR="00F565BA" w:rsidRPr="00F565BA" w:rsidRDefault="00F565BA" w:rsidP="00044818">
      <w:pPr>
        <w:keepNext/>
        <w:spacing w:before="240" w:after="60"/>
        <w:ind w:left="180"/>
        <w:jc w:val="center"/>
        <w:outlineLvl w:val="0"/>
        <w:rPr>
          <w:b/>
          <w:kern w:val="32"/>
          <w:sz w:val="22"/>
        </w:rPr>
      </w:pPr>
      <w:r w:rsidRPr="00F565BA">
        <w:rPr>
          <w:b/>
          <w:kern w:val="32"/>
          <w:sz w:val="22"/>
        </w:rPr>
        <w:t>Acknowledgments</w:t>
      </w:r>
    </w:p>
    <w:p w14:paraId="47D8A629" w14:textId="463CCE76" w:rsidR="00701D0B" w:rsidRPr="00F565BA" w:rsidRDefault="00701D0B" w:rsidP="00701D0B">
      <w:pPr>
        <w:tabs>
          <w:tab w:val="left" w:pos="288"/>
        </w:tabs>
        <w:ind w:firstLine="288"/>
        <w:rPr>
          <w:i/>
        </w:rPr>
      </w:pPr>
      <w:r>
        <w:t>This work was completed with support from the Multidisciplinary Design Analysis and Optimization and Systems Analysis theme under the Transformational Tools and Technologies  project in the Transformative Aeronautics Concepts Program. The author</w:t>
      </w:r>
      <w:r w:rsidR="005D55D9">
        <w:t>s</w:t>
      </w:r>
      <w:r>
        <w:t xml:space="preserve"> would like to thank Erik Olson and Patricia Glaab (NASA Langley Research Center) for their support of this research.</w:t>
      </w:r>
    </w:p>
    <w:p w14:paraId="5D6B3D72" w14:textId="77777777" w:rsidR="00F565BA" w:rsidRDefault="00F565BA" w:rsidP="00044818">
      <w:pPr>
        <w:keepNext/>
        <w:spacing w:before="240" w:after="60"/>
        <w:ind w:left="180"/>
        <w:jc w:val="center"/>
        <w:outlineLvl w:val="0"/>
        <w:rPr>
          <w:b/>
          <w:kern w:val="32"/>
          <w:sz w:val="22"/>
        </w:rPr>
      </w:pPr>
      <w:r w:rsidRPr="00F565BA">
        <w:rPr>
          <w:b/>
          <w:kern w:val="32"/>
          <w:sz w:val="22"/>
        </w:rPr>
        <w:t>References</w:t>
      </w:r>
    </w:p>
    <w:p w14:paraId="76213459" w14:textId="77777777" w:rsidR="00971266" w:rsidRDefault="00971266" w:rsidP="00971266">
      <w:r>
        <w:t>[</w:t>
      </w:r>
      <w:r w:rsidR="00516BD3">
        <w:t>1</w:t>
      </w:r>
      <w:r>
        <w:t>]</w:t>
      </w:r>
      <w:r>
        <w:tab/>
      </w:r>
      <w:r>
        <w:tab/>
      </w:r>
      <w:r w:rsidRPr="00E97744">
        <w:t>Capristan, F. M., Caldwell, D., Condotta, R., Petty, B., “Aircraft Analysis Using the Layers and Extensible Aircraft Performance System (LEAPS),” NASA/TM 2020-220558, 2020.</w:t>
      </w:r>
    </w:p>
    <w:p w14:paraId="72E236C9" w14:textId="77777777" w:rsidR="00971266" w:rsidRPr="00E97744" w:rsidRDefault="00516BD3" w:rsidP="00971266">
      <w:r>
        <w:t>[2</w:t>
      </w:r>
      <w:r w:rsidR="00971266">
        <w:t>]</w:t>
      </w:r>
      <w:r w:rsidR="00971266">
        <w:tab/>
      </w:r>
      <w:r w:rsidR="00971266">
        <w:tab/>
      </w:r>
      <w:r w:rsidR="00971266" w:rsidRPr="00971266">
        <w:t>McCullers, L.A., “Aircraft Configuration Optimization Including Optimized Flight Profiles, Multi-disciplinary Analysis and Optimization Part 1”, NASA CP-2327, 1984.</w:t>
      </w:r>
    </w:p>
    <w:p w14:paraId="6B5CB1FB" w14:textId="77777777" w:rsidR="004F7B43" w:rsidRPr="00E97744" w:rsidRDefault="00516BD3" w:rsidP="004F7B43">
      <w:r>
        <w:t>[3</w:t>
      </w:r>
      <w:r w:rsidR="004F7B43">
        <w:t>]</w:t>
      </w:r>
      <w:r w:rsidR="004F7B43">
        <w:tab/>
      </w:r>
      <w:r w:rsidR="004F7B43">
        <w:tab/>
      </w:r>
      <w:r w:rsidR="004F7B43" w:rsidRPr="00E97744">
        <w:t>Antcliff, K. R., Capristan, F. M., “Conceptual Design of the Parallel Electric-Gas Architecture with Synergistic Utilization Scheme (PEGASUS) Concept,” AIAA Paper 2017-4001, June 2017.</w:t>
      </w:r>
    </w:p>
    <w:p w14:paraId="5E24D8DA" w14:textId="77777777" w:rsidR="004F7B43" w:rsidRPr="00F565BA" w:rsidRDefault="004F7B43" w:rsidP="004F7B43">
      <w:r>
        <w:t>[</w:t>
      </w:r>
      <w:r w:rsidR="00516BD3">
        <w:t>4</w:t>
      </w:r>
      <w:r>
        <w:t>]</w:t>
      </w:r>
      <w:r>
        <w:tab/>
      </w:r>
      <w:r>
        <w:tab/>
      </w:r>
      <w:r w:rsidRPr="00E97744">
        <w:t>Deere, K. A., Viken, J. K., Viken, S. A., Carter, M. B., Cox, D., Wiese, M. R., Farr, N., “Computational Component Build-up for the X-57 Distributed Electric Propulsion Aircraft”, AIAA Paper 2018-1275, January 2018</w:t>
      </w:r>
    </w:p>
    <w:p w14:paraId="46A007F9" w14:textId="77777777" w:rsidR="00E97744" w:rsidRPr="00E97744" w:rsidRDefault="00516BD3" w:rsidP="004F7B43">
      <w:r>
        <w:t>[5</w:t>
      </w:r>
      <w:r w:rsidR="00E97744">
        <w:t>]</w:t>
      </w:r>
      <w:r w:rsidR="00E97744">
        <w:tab/>
      </w:r>
      <w:r w:rsidR="00E97744">
        <w:tab/>
      </w:r>
      <w:r w:rsidR="00E97744" w:rsidRPr="00E97744">
        <w:t>Wells, D. P., Horvath, B. L., and McCullers, L. A., “The Flight Optimization System Weights Estimation Method,” NASA/TM 2017-219627/Volume I, 2017.</w:t>
      </w:r>
    </w:p>
    <w:p w14:paraId="045EC110" w14:textId="77777777" w:rsidR="00E97744" w:rsidRPr="00E97744" w:rsidRDefault="006A67C0" w:rsidP="00B60079">
      <w:r>
        <w:t>[</w:t>
      </w:r>
      <w:r w:rsidR="00516BD3">
        <w:t>6</w:t>
      </w:r>
      <w:r w:rsidR="00E97744">
        <w:t>]</w:t>
      </w:r>
      <w:r w:rsidR="00E97744">
        <w:tab/>
      </w:r>
      <w:r w:rsidR="00E97744">
        <w:tab/>
      </w:r>
      <w:r w:rsidR="00E97744" w:rsidRPr="00E97744">
        <w:t>Horvath, B. L., “Aircraft Conceptual Structural Design Using the AMMIT Structural Analysis Tool,” AIAA Paper 2019-0549, January 2019.</w:t>
      </w:r>
    </w:p>
    <w:p w14:paraId="422141FA" w14:textId="77777777" w:rsidR="00F565BA" w:rsidRPr="00F565BA" w:rsidRDefault="00F565BA" w:rsidP="00B60079"/>
    <w:p w14:paraId="10ECF262" w14:textId="77777777" w:rsidR="004E15B0" w:rsidRPr="00F565BA" w:rsidRDefault="004E15B0" w:rsidP="00F565BA"/>
    <w:sectPr w:rsidR="004E15B0" w:rsidRPr="00F565BA" w:rsidSect="00594FA6">
      <w:footerReference w:type="even" r:id="rId15"/>
      <w:footerReference w:type="default" r:id="rId16"/>
      <w:type w:val="continuous"/>
      <w:pgSz w:w="12240" w:h="15840"/>
      <w:pgMar w:top="1440" w:right="1440" w:bottom="1440" w:left="1440" w:header="720" w:footer="576"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59CE79" w16cex:dateUtc="2020-10-14T20:47:49.723Z"/>
  <w16cex:commentExtensible w16cex:durableId="01A9ED66" w16cex:dateUtc="2020-10-14T20:54:58.01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B97A6" w14:textId="77777777" w:rsidR="003674A8" w:rsidRDefault="003674A8">
      <w:r>
        <w:separator/>
      </w:r>
    </w:p>
  </w:endnote>
  <w:endnote w:type="continuationSeparator" w:id="0">
    <w:p w14:paraId="53E54621" w14:textId="77777777" w:rsidR="003674A8" w:rsidRDefault="0036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57B5" w14:textId="77777777" w:rsidR="004152AC" w:rsidRDefault="004152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F968E9" w14:textId="77777777" w:rsidR="004152AC" w:rsidRDefault="00415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580995"/>
      <w:docPartObj>
        <w:docPartGallery w:val="Page Numbers (Bottom of Page)"/>
        <w:docPartUnique/>
      </w:docPartObj>
    </w:sdtPr>
    <w:sdtEndPr>
      <w:rPr>
        <w:noProof/>
      </w:rPr>
    </w:sdtEndPr>
    <w:sdtContent>
      <w:p w14:paraId="768B49F5" w14:textId="7FC871A1" w:rsidR="004152AC" w:rsidRDefault="004152AC">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58A13C5B" w14:textId="77777777" w:rsidR="004152AC" w:rsidRDefault="00415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12584" w14:textId="77777777" w:rsidR="003674A8" w:rsidRDefault="003674A8">
      <w:r>
        <w:separator/>
      </w:r>
    </w:p>
  </w:footnote>
  <w:footnote w:type="continuationSeparator" w:id="0">
    <w:p w14:paraId="30D9038A" w14:textId="77777777" w:rsidR="003674A8" w:rsidRDefault="003674A8">
      <w:r>
        <w:continuationSeparator/>
      </w:r>
    </w:p>
  </w:footnote>
  <w:footnote w:id="1">
    <w:p w14:paraId="18EADAEF" w14:textId="77777777" w:rsidR="004152AC" w:rsidRDefault="004152AC" w:rsidP="00F565BA">
      <w:r>
        <w:rPr>
          <w:rStyle w:val="FootnoteReference"/>
        </w:rPr>
        <w:footnoteRef/>
      </w:r>
      <w:r>
        <w:t xml:space="preserve"> Aerospace Engineer, Vehicle Analysis Branch, Systems Analysis and Concepts Directorate.</w:t>
      </w:r>
    </w:p>
  </w:footnote>
  <w:footnote w:id="2">
    <w:p w14:paraId="04DDC7E9" w14:textId="77777777" w:rsidR="004152AC" w:rsidRDefault="004152AC" w:rsidP="00F565BA">
      <w:pPr>
        <w:pStyle w:val="FootnoteText"/>
      </w:pPr>
      <w:r>
        <w:rPr>
          <w:rStyle w:val="FootnoteReference"/>
        </w:rPr>
        <w:footnoteRef/>
      </w:r>
      <w:r>
        <w:t xml:space="preserve"> Senior Research Engineer, Aeronautics Systems Analysis Branch, Systems Analysis and Concepts Directorate.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4" w15:restartNumberingAfterBreak="0">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D704F2"/>
    <w:multiLevelType w:val="hybridMultilevel"/>
    <w:tmpl w:val="15BE78DC"/>
    <w:lvl w:ilvl="0" w:tplc="0768AAFC">
      <w:start w:val="1"/>
      <w:numFmt w:val="upperRoman"/>
      <w:pStyle w:val="Heading1"/>
      <w:lvlText w:val="%1."/>
      <w:lvlJc w:val="right"/>
      <w:pPr>
        <w:tabs>
          <w:tab w:val="num" w:pos="360"/>
        </w:tabs>
        <w:ind w:left="0" w:firstLine="0"/>
      </w:pPr>
      <w:rPr>
        <w:rFonts w:ascii="Times New Roman" w:hAnsi="Times New Roman"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3A16A1"/>
    <w:multiLevelType w:val="hybridMultilevel"/>
    <w:tmpl w:val="85882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9383B40"/>
    <w:multiLevelType w:val="hybridMultilevel"/>
    <w:tmpl w:val="77DC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4" w15:restartNumberingAfterBreak="0">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6" w15:restartNumberingAfterBreak="0">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4D7569"/>
    <w:multiLevelType w:val="hybridMultilevel"/>
    <w:tmpl w:val="F6FA6C58"/>
    <w:lvl w:ilvl="0" w:tplc="F2EA8804">
      <w:start w:val="1"/>
      <w:numFmt w:val="bullet"/>
      <w:lvlText w:val=""/>
      <w:lvlJc w:val="left"/>
      <w:pPr>
        <w:ind w:left="720" w:hanging="360"/>
      </w:pPr>
      <w:rPr>
        <w:rFonts w:ascii="Symbol" w:hAnsi="Symbol" w:hint="default"/>
      </w:rPr>
    </w:lvl>
    <w:lvl w:ilvl="1" w:tplc="88BC38E4">
      <w:start w:val="1"/>
      <w:numFmt w:val="bullet"/>
      <w:lvlText w:val="o"/>
      <w:lvlJc w:val="left"/>
      <w:pPr>
        <w:ind w:left="1440" w:hanging="360"/>
      </w:pPr>
      <w:rPr>
        <w:rFonts w:ascii="Courier New" w:hAnsi="Courier New" w:hint="default"/>
      </w:rPr>
    </w:lvl>
    <w:lvl w:ilvl="2" w:tplc="F70E840C">
      <w:start w:val="1"/>
      <w:numFmt w:val="bullet"/>
      <w:lvlText w:val=""/>
      <w:lvlJc w:val="left"/>
      <w:pPr>
        <w:ind w:left="2160" w:hanging="360"/>
      </w:pPr>
      <w:rPr>
        <w:rFonts w:ascii="Wingdings" w:hAnsi="Wingdings" w:hint="default"/>
      </w:rPr>
    </w:lvl>
    <w:lvl w:ilvl="3" w:tplc="43B26D94">
      <w:start w:val="1"/>
      <w:numFmt w:val="bullet"/>
      <w:lvlText w:val=""/>
      <w:lvlJc w:val="left"/>
      <w:pPr>
        <w:ind w:left="2880" w:hanging="360"/>
      </w:pPr>
      <w:rPr>
        <w:rFonts w:ascii="Symbol" w:hAnsi="Symbol" w:hint="default"/>
      </w:rPr>
    </w:lvl>
    <w:lvl w:ilvl="4" w:tplc="5D564386">
      <w:start w:val="1"/>
      <w:numFmt w:val="bullet"/>
      <w:lvlText w:val="o"/>
      <w:lvlJc w:val="left"/>
      <w:pPr>
        <w:ind w:left="3600" w:hanging="360"/>
      </w:pPr>
      <w:rPr>
        <w:rFonts w:ascii="Courier New" w:hAnsi="Courier New" w:hint="default"/>
      </w:rPr>
    </w:lvl>
    <w:lvl w:ilvl="5" w:tplc="CEC61D4A">
      <w:start w:val="1"/>
      <w:numFmt w:val="bullet"/>
      <w:lvlText w:val=""/>
      <w:lvlJc w:val="left"/>
      <w:pPr>
        <w:ind w:left="4320" w:hanging="360"/>
      </w:pPr>
      <w:rPr>
        <w:rFonts w:ascii="Wingdings" w:hAnsi="Wingdings" w:hint="default"/>
      </w:rPr>
    </w:lvl>
    <w:lvl w:ilvl="6" w:tplc="15803A0E">
      <w:start w:val="1"/>
      <w:numFmt w:val="bullet"/>
      <w:lvlText w:val=""/>
      <w:lvlJc w:val="left"/>
      <w:pPr>
        <w:ind w:left="5040" w:hanging="360"/>
      </w:pPr>
      <w:rPr>
        <w:rFonts w:ascii="Symbol" w:hAnsi="Symbol" w:hint="default"/>
      </w:rPr>
    </w:lvl>
    <w:lvl w:ilvl="7" w:tplc="7B58408E">
      <w:start w:val="1"/>
      <w:numFmt w:val="bullet"/>
      <w:lvlText w:val="o"/>
      <w:lvlJc w:val="left"/>
      <w:pPr>
        <w:ind w:left="5760" w:hanging="360"/>
      </w:pPr>
      <w:rPr>
        <w:rFonts w:ascii="Courier New" w:hAnsi="Courier New" w:hint="default"/>
      </w:rPr>
    </w:lvl>
    <w:lvl w:ilvl="8" w:tplc="0A94354A">
      <w:start w:val="1"/>
      <w:numFmt w:val="bullet"/>
      <w:lvlText w:val=""/>
      <w:lvlJc w:val="left"/>
      <w:pPr>
        <w:ind w:left="6480" w:hanging="360"/>
      </w:pPr>
      <w:rPr>
        <w:rFonts w:ascii="Wingdings" w:hAnsi="Wingdings" w:hint="default"/>
      </w:rPr>
    </w:lvl>
  </w:abstractNum>
  <w:abstractNum w:abstractNumId="18"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9" w15:restartNumberingAfterBreak="0">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0"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21" w15:restartNumberingAfterBreak="0">
    <w:nsid w:val="7ADC0C8B"/>
    <w:multiLevelType w:val="hybridMultilevel"/>
    <w:tmpl w:val="A45CF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17"/>
  </w:num>
  <w:num w:numId="2">
    <w:abstractNumId w:val="6"/>
  </w:num>
  <w:num w:numId="3">
    <w:abstractNumId w:val="7"/>
  </w:num>
  <w:num w:numId="4">
    <w:abstractNumId w:val="2"/>
  </w:num>
  <w:num w:numId="5">
    <w:abstractNumId w:val="16"/>
  </w:num>
  <w:num w:numId="6">
    <w:abstractNumId w:val="2"/>
    <w:lvlOverride w:ilvl="0">
      <w:startOverride w:val="1"/>
    </w:lvlOverride>
  </w:num>
  <w:num w:numId="7">
    <w:abstractNumId w:val="9"/>
  </w:num>
  <w:num w:numId="8">
    <w:abstractNumId w:val="12"/>
  </w:num>
  <w:num w:numId="9">
    <w:abstractNumId w:val="15"/>
  </w:num>
  <w:num w:numId="10">
    <w:abstractNumId w:val="19"/>
  </w:num>
  <w:num w:numId="11">
    <w:abstractNumId w:val="10"/>
  </w:num>
  <w:num w:numId="12">
    <w:abstractNumId w:val="20"/>
  </w:num>
  <w:num w:numId="13">
    <w:abstractNumId w:val="1"/>
  </w:num>
  <w:num w:numId="14">
    <w:abstractNumId w:val="4"/>
  </w:num>
  <w:num w:numId="15">
    <w:abstractNumId w:val="22"/>
  </w:num>
  <w:num w:numId="16">
    <w:abstractNumId w:val="5"/>
  </w:num>
  <w:num w:numId="17">
    <w:abstractNumId w:val="23"/>
  </w:num>
  <w:num w:numId="18">
    <w:abstractNumId w:val="0"/>
  </w:num>
  <w:num w:numId="19">
    <w:abstractNumId w:val="2"/>
    <w:lvlOverride w:ilvl="0">
      <w:startOverride w:val="1"/>
    </w:lvlOverride>
  </w:num>
  <w:num w:numId="20">
    <w:abstractNumId w:val="2"/>
    <w:lvlOverride w:ilvl="0">
      <w:startOverride w:val="1"/>
    </w:lvlOverride>
  </w:num>
  <w:num w:numId="21">
    <w:abstractNumId w:val="2"/>
  </w:num>
  <w:num w:numId="22">
    <w:abstractNumId w:val="2"/>
    <w:lvlOverride w:ilvl="0">
      <w:startOverride w:val="1"/>
    </w:lvlOverride>
  </w:num>
  <w:num w:numId="23">
    <w:abstractNumId w:val="18"/>
  </w:num>
  <w:num w:numId="24">
    <w:abstractNumId w:val="3"/>
  </w:num>
  <w:num w:numId="25">
    <w:abstractNumId w:val="14"/>
  </w:num>
  <w:num w:numId="26">
    <w:abstractNumId w:val="13"/>
  </w:num>
  <w:num w:numId="27">
    <w:abstractNumId w:val="8"/>
  </w:num>
  <w:num w:numId="28">
    <w:abstractNumId w:val="21"/>
  </w:num>
  <w:num w:numId="29">
    <w:abstractNumId w:val="11"/>
  </w:num>
  <w:num w:numId="30">
    <w:abstractNumId w:val="2"/>
    <w:lvlOverride w:ilvl="0">
      <w:startOverride w:val="1"/>
    </w:lvlOverride>
  </w:num>
  <w:num w:numId="3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9B"/>
    <w:rsid w:val="00007726"/>
    <w:rsid w:val="0001085D"/>
    <w:rsid w:val="00010FF6"/>
    <w:rsid w:val="000204DB"/>
    <w:rsid w:val="00023250"/>
    <w:rsid w:val="00024843"/>
    <w:rsid w:val="00026B25"/>
    <w:rsid w:val="00031D2B"/>
    <w:rsid w:val="00031F1D"/>
    <w:rsid w:val="0003458B"/>
    <w:rsid w:val="00042783"/>
    <w:rsid w:val="00042CE1"/>
    <w:rsid w:val="000436FE"/>
    <w:rsid w:val="00044818"/>
    <w:rsid w:val="00046608"/>
    <w:rsid w:val="00050F76"/>
    <w:rsid w:val="000511DB"/>
    <w:rsid w:val="000536B5"/>
    <w:rsid w:val="0006262B"/>
    <w:rsid w:val="00062F0D"/>
    <w:rsid w:val="000674D8"/>
    <w:rsid w:val="000716DC"/>
    <w:rsid w:val="00081D43"/>
    <w:rsid w:val="00082135"/>
    <w:rsid w:val="000837F5"/>
    <w:rsid w:val="00086AAF"/>
    <w:rsid w:val="0008757C"/>
    <w:rsid w:val="00087B5E"/>
    <w:rsid w:val="00092F64"/>
    <w:rsid w:val="00093F4F"/>
    <w:rsid w:val="00094B0F"/>
    <w:rsid w:val="000953F4"/>
    <w:rsid w:val="000A2BBF"/>
    <w:rsid w:val="000A2CF7"/>
    <w:rsid w:val="000A32CD"/>
    <w:rsid w:val="000A5214"/>
    <w:rsid w:val="000A597D"/>
    <w:rsid w:val="000B36CC"/>
    <w:rsid w:val="000B66D5"/>
    <w:rsid w:val="000C2474"/>
    <w:rsid w:val="000C353C"/>
    <w:rsid w:val="000D69C1"/>
    <w:rsid w:val="000D78B6"/>
    <w:rsid w:val="000E310C"/>
    <w:rsid w:val="000E6B24"/>
    <w:rsid w:val="000E7B82"/>
    <w:rsid w:val="000F0960"/>
    <w:rsid w:val="000F10B2"/>
    <w:rsid w:val="000F2801"/>
    <w:rsid w:val="000F3AC0"/>
    <w:rsid w:val="000F6612"/>
    <w:rsid w:val="000F740A"/>
    <w:rsid w:val="00100707"/>
    <w:rsid w:val="00107A5F"/>
    <w:rsid w:val="00115B6D"/>
    <w:rsid w:val="0012170D"/>
    <w:rsid w:val="001230FB"/>
    <w:rsid w:val="00124369"/>
    <w:rsid w:val="00124EFE"/>
    <w:rsid w:val="001277A4"/>
    <w:rsid w:val="001401DA"/>
    <w:rsid w:val="00140C74"/>
    <w:rsid w:val="00141CD4"/>
    <w:rsid w:val="00143CD2"/>
    <w:rsid w:val="00144422"/>
    <w:rsid w:val="001444A0"/>
    <w:rsid w:val="00145963"/>
    <w:rsid w:val="00147122"/>
    <w:rsid w:val="00151BD1"/>
    <w:rsid w:val="00155308"/>
    <w:rsid w:val="00155D3E"/>
    <w:rsid w:val="0016306B"/>
    <w:rsid w:val="0016343A"/>
    <w:rsid w:val="00170C78"/>
    <w:rsid w:val="001767C2"/>
    <w:rsid w:val="0018015F"/>
    <w:rsid w:val="001803BD"/>
    <w:rsid w:val="00182109"/>
    <w:rsid w:val="00186B96"/>
    <w:rsid w:val="00187287"/>
    <w:rsid w:val="00190292"/>
    <w:rsid w:val="00191E0A"/>
    <w:rsid w:val="001923BE"/>
    <w:rsid w:val="0019640A"/>
    <w:rsid w:val="001A3EC2"/>
    <w:rsid w:val="001A6840"/>
    <w:rsid w:val="001B5E04"/>
    <w:rsid w:val="001B6606"/>
    <w:rsid w:val="001C13C3"/>
    <w:rsid w:val="001C36B5"/>
    <w:rsid w:val="001C7767"/>
    <w:rsid w:val="001C7EB4"/>
    <w:rsid w:val="001D1A7A"/>
    <w:rsid w:val="001D2071"/>
    <w:rsid w:val="001D27BC"/>
    <w:rsid w:val="001D364F"/>
    <w:rsid w:val="001D6DFF"/>
    <w:rsid w:val="001F56D5"/>
    <w:rsid w:val="001F6803"/>
    <w:rsid w:val="00205E16"/>
    <w:rsid w:val="00210930"/>
    <w:rsid w:val="00210D07"/>
    <w:rsid w:val="002121E3"/>
    <w:rsid w:val="002143A9"/>
    <w:rsid w:val="0021563F"/>
    <w:rsid w:val="0021789E"/>
    <w:rsid w:val="0022227A"/>
    <w:rsid w:val="0022248B"/>
    <w:rsid w:val="002230E4"/>
    <w:rsid w:val="00223D1F"/>
    <w:rsid w:val="00224010"/>
    <w:rsid w:val="00224C00"/>
    <w:rsid w:val="00225D72"/>
    <w:rsid w:val="0023051E"/>
    <w:rsid w:val="00241553"/>
    <w:rsid w:val="00241BAB"/>
    <w:rsid w:val="002426D7"/>
    <w:rsid w:val="00250011"/>
    <w:rsid w:val="0025316B"/>
    <w:rsid w:val="002550ED"/>
    <w:rsid w:val="00261424"/>
    <w:rsid w:val="00262145"/>
    <w:rsid w:val="002638A3"/>
    <w:rsid w:val="00264739"/>
    <w:rsid w:val="00275F5D"/>
    <w:rsid w:val="00276613"/>
    <w:rsid w:val="00284DB8"/>
    <w:rsid w:val="00286E7F"/>
    <w:rsid w:val="00287E82"/>
    <w:rsid w:val="0029021C"/>
    <w:rsid w:val="002913FC"/>
    <w:rsid w:val="0029228A"/>
    <w:rsid w:val="00296DB8"/>
    <w:rsid w:val="002A1A10"/>
    <w:rsid w:val="002A3AAC"/>
    <w:rsid w:val="002A4075"/>
    <w:rsid w:val="002B1346"/>
    <w:rsid w:val="002B13D9"/>
    <w:rsid w:val="002B1B6D"/>
    <w:rsid w:val="002C0B4F"/>
    <w:rsid w:val="002C5247"/>
    <w:rsid w:val="002C624F"/>
    <w:rsid w:val="002C6464"/>
    <w:rsid w:val="002C6EFA"/>
    <w:rsid w:val="002D33F7"/>
    <w:rsid w:val="002D37DD"/>
    <w:rsid w:val="002E08D5"/>
    <w:rsid w:val="002E18A9"/>
    <w:rsid w:val="002E5225"/>
    <w:rsid w:val="002F2583"/>
    <w:rsid w:val="002F54F8"/>
    <w:rsid w:val="00312F69"/>
    <w:rsid w:val="0031514F"/>
    <w:rsid w:val="003204C9"/>
    <w:rsid w:val="003243AD"/>
    <w:rsid w:val="00324AD0"/>
    <w:rsid w:val="00325582"/>
    <w:rsid w:val="00330A44"/>
    <w:rsid w:val="00333ED6"/>
    <w:rsid w:val="00334377"/>
    <w:rsid w:val="003431AE"/>
    <w:rsid w:val="00343808"/>
    <w:rsid w:val="00343C1E"/>
    <w:rsid w:val="00343E05"/>
    <w:rsid w:val="00347400"/>
    <w:rsid w:val="003478A6"/>
    <w:rsid w:val="00361B45"/>
    <w:rsid w:val="003674A8"/>
    <w:rsid w:val="0037034D"/>
    <w:rsid w:val="00371969"/>
    <w:rsid w:val="00373B85"/>
    <w:rsid w:val="00375001"/>
    <w:rsid w:val="003757F0"/>
    <w:rsid w:val="003767FD"/>
    <w:rsid w:val="00382E40"/>
    <w:rsid w:val="00387072"/>
    <w:rsid w:val="00393402"/>
    <w:rsid w:val="0039522A"/>
    <w:rsid w:val="00396F69"/>
    <w:rsid w:val="003977C2"/>
    <w:rsid w:val="003A25C2"/>
    <w:rsid w:val="003A3AAD"/>
    <w:rsid w:val="003A54A3"/>
    <w:rsid w:val="003B01A0"/>
    <w:rsid w:val="003B0C67"/>
    <w:rsid w:val="003B4BD5"/>
    <w:rsid w:val="003C01D6"/>
    <w:rsid w:val="003C06DF"/>
    <w:rsid w:val="003C14C1"/>
    <w:rsid w:val="003C52E4"/>
    <w:rsid w:val="003C7455"/>
    <w:rsid w:val="003D0599"/>
    <w:rsid w:val="003E32EE"/>
    <w:rsid w:val="003E6365"/>
    <w:rsid w:val="003F167B"/>
    <w:rsid w:val="003F1AEA"/>
    <w:rsid w:val="003F22D0"/>
    <w:rsid w:val="003F54C3"/>
    <w:rsid w:val="004021E5"/>
    <w:rsid w:val="00403A5D"/>
    <w:rsid w:val="004101C3"/>
    <w:rsid w:val="0041171A"/>
    <w:rsid w:val="004120F1"/>
    <w:rsid w:val="004152AC"/>
    <w:rsid w:val="00417A01"/>
    <w:rsid w:val="00423499"/>
    <w:rsid w:val="00427E16"/>
    <w:rsid w:val="00434DB7"/>
    <w:rsid w:val="0044604D"/>
    <w:rsid w:val="00446C4A"/>
    <w:rsid w:val="00452F0F"/>
    <w:rsid w:val="004548C2"/>
    <w:rsid w:val="00460B1A"/>
    <w:rsid w:val="004625C8"/>
    <w:rsid w:val="004706FB"/>
    <w:rsid w:val="004716EE"/>
    <w:rsid w:val="00472092"/>
    <w:rsid w:val="004753E0"/>
    <w:rsid w:val="004757E0"/>
    <w:rsid w:val="00475ED5"/>
    <w:rsid w:val="00480E2C"/>
    <w:rsid w:val="0048661A"/>
    <w:rsid w:val="004906C6"/>
    <w:rsid w:val="00490BF1"/>
    <w:rsid w:val="00492B24"/>
    <w:rsid w:val="00493A6F"/>
    <w:rsid w:val="004A5BFE"/>
    <w:rsid w:val="004B53DD"/>
    <w:rsid w:val="004B5E52"/>
    <w:rsid w:val="004C1C92"/>
    <w:rsid w:val="004C23C9"/>
    <w:rsid w:val="004C6212"/>
    <w:rsid w:val="004D0F0D"/>
    <w:rsid w:val="004D25CC"/>
    <w:rsid w:val="004D4727"/>
    <w:rsid w:val="004E0441"/>
    <w:rsid w:val="004E0666"/>
    <w:rsid w:val="004E06E9"/>
    <w:rsid w:val="004E15B0"/>
    <w:rsid w:val="004E306F"/>
    <w:rsid w:val="004E4189"/>
    <w:rsid w:val="004E524F"/>
    <w:rsid w:val="004F0B47"/>
    <w:rsid w:val="004F7B43"/>
    <w:rsid w:val="00505569"/>
    <w:rsid w:val="005119F8"/>
    <w:rsid w:val="00516BD3"/>
    <w:rsid w:val="00516FDA"/>
    <w:rsid w:val="00517FC9"/>
    <w:rsid w:val="00530EAE"/>
    <w:rsid w:val="00533113"/>
    <w:rsid w:val="00535292"/>
    <w:rsid w:val="00535BBA"/>
    <w:rsid w:val="00541BA9"/>
    <w:rsid w:val="00545E83"/>
    <w:rsid w:val="0054755C"/>
    <w:rsid w:val="0055113E"/>
    <w:rsid w:val="0055657E"/>
    <w:rsid w:val="00561FB5"/>
    <w:rsid w:val="0056215F"/>
    <w:rsid w:val="005643F7"/>
    <w:rsid w:val="00564BC2"/>
    <w:rsid w:val="00565F5A"/>
    <w:rsid w:val="0056786C"/>
    <w:rsid w:val="005944AC"/>
    <w:rsid w:val="00594FA6"/>
    <w:rsid w:val="005963D6"/>
    <w:rsid w:val="005A571C"/>
    <w:rsid w:val="005A5E0E"/>
    <w:rsid w:val="005B2826"/>
    <w:rsid w:val="005B5BE2"/>
    <w:rsid w:val="005C05CB"/>
    <w:rsid w:val="005C34B2"/>
    <w:rsid w:val="005C7BD0"/>
    <w:rsid w:val="005D55D9"/>
    <w:rsid w:val="005E1441"/>
    <w:rsid w:val="005E1FD9"/>
    <w:rsid w:val="005E4585"/>
    <w:rsid w:val="005E5A01"/>
    <w:rsid w:val="005E64BE"/>
    <w:rsid w:val="005E6CCB"/>
    <w:rsid w:val="005F0EEC"/>
    <w:rsid w:val="005F36F8"/>
    <w:rsid w:val="00600D9D"/>
    <w:rsid w:val="00600E63"/>
    <w:rsid w:val="00601CCA"/>
    <w:rsid w:val="006023EE"/>
    <w:rsid w:val="00611E69"/>
    <w:rsid w:val="00613753"/>
    <w:rsid w:val="0061559C"/>
    <w:rsid w:val="00616815"/>
    <w:rsid w:val="006203AC"/>
    <w:rsid w:val="00622D25"/>
    <w:rsid w:val="00635BDF"/>
    <w:rsid w:val="00635C7A"/>
    <w:rsid w:val="00636017"/>
    <w:rsid w:val="00636527"/>
    <w:rsid w:val="00637E01"/>
    <w:rsid w:val="00642899"/>
    <w:rsid w:val="00643F9E"/>
    <w:rsid w:val="0064613B"/>
    <w:rsid w:val="00646C09"/>
    <w:rsid w:val="00646CCC"/>
    <w:rsid w:val="00647819"/>
    <w:rsid w:val="0065384E"/>
    <w:rsid w:val="006559CE"/>
    <w:rsid w:val="006569E7"/>
    <w:rsid w:val="00657532"/>
    <w:rsid w:val="0066669A"/>
    <w:rsid w:val="0067018C"/>
    <w:rsid w:val="00670A45"/>
    <w:rsid w:val="0067290F"/>
    <w:rsid w:val="00673DCD"/>
    <w:rsid w:val="00676CB9"/>
    <w:rsid w:val="0069070B"/>
    <w:rsid w:val="00690809"/>
    <w:rsid w:val="0069276A"/>
    <w:rsid w:val="00695C90"/>
    <w:rsid w:val="006A67C0"/>
    <w:rsid w:val="006B0645"/>
    <w:rsid w:val="006B1BAA"/>
    <w:rsid w:val="006B2F94"/>
    <w:rsid w:val="006B3BEA"/>
    <w:rsid w:val="006B42CE"/>
    <w:rsid w:val="006B4912"/>
    <w:rsid w:val="006C28B5"/>
    <w:rsid w:val="006C5AC9"/>
    <w:rsid w:val="006D13E8"/>
    <w:rsid w:val="006D7E1F"/>
    <w:rsid w:val="006E2742"/>
    <w:rsid w:val="006E47D9"/>
    <w:rsid w:val="006F1A6D"/>
    <w:rsid w:val="006F3338"/>
    <w:rsid w:val="006F3621"/>
    <w:rsid w:val="006F446A"/>
    <w:rsid w:val="006F73F5"/>
    <w:rsid w:val="00701A5F"/>
    <w:rsid w:val="00701B1C"/>
    <w:rsid w:val="00701D0B"/>
    <w:rsid w:val="00702BAE"/>
    <w:rsid w:val="00712CB5"/>
    <w:rsid w:val="00720866"/>
    <w:rsid w:val="00720C58"/>
    <w:rsid w:val="00723F21"/>
    <w:rsid w:val="00727F41"/>
    <w:rsid w:val="0073081F"/>
    <w:rsid w:val="00730D89"/>
    <w:rsid w:val="00733C85"/>
    <w:rsid w:val="007348DB"/>
    <w:rsid w:val="0073706B"/>
    <w:rsid w:val="007378C6"/>
    <w:rsid w:val="0074127C"/>
    <w:rsid w:val="0074265B"/>
    <w:rsid w:val="00743D48"/>
    <w:rsid w:val="00750ED5"/>
    <w:rsid w:val="0075139D"/>
    <w:rsid w:val="00755177"/>
    <w:rsid w:val="0075527B"/>
    <w:rsid w:val="00757883"/>
    <w:rsid w:val="007626CF"/>
    <w:rsid w:val="007629BB"/>
    <w:rsid w:val="00765B4E"/>
    <w:rsid w:val="00766836"/>
    <w:rsid w:val="00772382"/>
    <w:rsid w:val="00775BF5"/>
    <w:rsid w:val="007760C9"/>
    <w:rsid w:val="00776C81"/>
    <w:rsid w:val="00776D67"/>
    <w:rsid w:val="00780BC0"/>
    <w:rsid w:val="00782D51"/>
    <w:rsid w:val="0078368E"/>
    <w:rsid w:val="007878A8"/>
    <w:rsid w:val="00791EA2"/>
    <w:rsid w:val="00792027"/>
    <w:rsid w:val="0079478C"/>
    <w:rsid w:val="00795FE9"/>
    <w:rsid w:val="00797BE6"/>
    <w:rsid w:val="007A0916"/>
    <w:rsid w:val="007A146C"/>
    <w:rsid w:val="007A169B"/>
    <w:rsid w:val="007A1CAF"/>
    <w:rsid w:val="007A4113"/>
    <w:rsid w:val="007A6158"/>
    <w:rsid w:val="007B04B3"/>
    <w:rsid w:val="007B4DB0"/>
    <w:rsid w:val="007B6661"/>
    <w:rsid w:val="007C1703"/>
    <w:rsid w:val="007C5B35"/>
    <w:rsid w:val="007D2EE2"/>
    <w:rsid w:val="007D7522"/>
    <w:rsid w:val="007E3AE7"/>
    <w:rsid w:val="007F0051"/>
    <w:rsid w:val="007F099D"/>
    <w:rsid w:val="007F1325"/>
    <w:rsid w:val="007F7477"/>
    <w:rsid w:val="0080130A"/>
    <w:rsid w:val="008100B3"/>
    <w:rsid w:val="00810756"/>
    <w:rsid w:val="00812294"/>
    <w:rsid w:val="00813C11"/>
    <w:rsid w:val="008168EF"/>
    <w:rsid w:val="00821A1B"/>
    <w:rsid w:val="00822853"/>
    <w:rsid w:val="008231FD"/>
    <w:rsid w:val="00823E76"/>
    <w:rsid w:val="00824CBB"/>
    <w:rsid w:val="00826986"/>
    <w:rsid w:val="008338E7"/>
    <w:rsid w:val="00835AF5"/>
    <w:rsid w:val="00835BA7"/>
    <w:rsid w:val="00836B5A"/>
    <w:rsid w:val="00840B83"/>
    <w:rsid w:val="00841C2D"/>
    <w:rsid w:val="0084384E"/>
    <w:rsid w:val="00843B3E"/>
    <w:rsid w:val="00856312"/>
    <w:rsid w:val="0086065E"/>
    <w:rsid w:val="008632A1"/>
    <w:rsid w:val="00863AB1"/>
    <w:rsid w:val="00863D20"/>
    <w:rsid w:val="00864C14"/>
    <w:rsid w:val="0086727D"/>
    <w:rsid w:val="0087084B"/>
    <w:rsid w:val="0088017C"/>
    <w:rsid w:val="00880FFC"/>
    <w:rsid w:val="00882D60"/>
    <w:rsid w:val="008857A4"/>
    <w:rsid w:val="00887C65"/>
    <w:rsid w:val="00894D6D"/>
    <w:rsid w:val="00896F75"/>
    <w:rsid w:val="008A0100"/>
    <w:rsid w:val="008A0D9D"/>
    <w:rsid w:val="008A14DC"/>
    <w:rsid w:val="008A3553"/>
    <w:rsid w:val="008A60D0"/>
    <w:rsid w:val="008B19F2"/>
    <w:rsid w:val="008C2EB1"/>
    <w:rsid w:val="008C5161"/>
    <w:rsid w:val="008C5ADA"/>
    <w:rsid w:val="008C5B8F"/>
    <w:rsid w:val="008C7D7F"/>
    <w:rsid w:val="008D60E4"/>
    <w:rsid w:val="008D69D6"/>
    <w:rsid w:val="008E04EB"/>
    <w:rsid w:val="008E1CBD"/>
    <w:rsid w:val="008E2757"/>
    <w:rsid w:val="008E3A63"/>
    <w:rsid w:val="008F1B63"/>
    <w:rsid w:val="008F366D"/>
    <w:rsid w:val="008F5800"/>
    <w:rsid w:val="008F6302"/>
    <w:rsid w:val="008F67B4"/>
    <w:rsid w:val="00901F25"/>
    <w:rsid w:val="00903CD2"/>
    <w:rsid w:val="00906214"/>
    <w:rsid w:val="00907FB0"/>
    <w:rsid w:val="00912BA6"/>
    <w:rsid w:val="009140D5"/>
    <w:rsid w:val="009160DB"/>
    <w:rsid w:val="009235F8"/>
    <w:rsid w:val="0092421F"/>
    <w:rsid w:val="00930FAD"/>
    <w:rsid w:val="00941668"/>
    <w:rsid w:val="0094306D"/>
    <w:rsid w:val="0094325D"/>
    <w:rsid w:val="00943316"/>
    <w:rsid w:val="00945850"/>
    <w:rsid w:val="00947F1C"/>
    <w:rsid w:val="0095602A"/>
    <w:rsid w:val="00956CF0"/>
    <w:rsid w:val="00963172"/>
    <w:rsid w:val="00964F5A"/>
    <w:rsid w:val="00966F73"/>
    <w:rsid w:val="009675A4"/>
    <w:rsid w:val="00971266"/>
    <w:rsid w:val="00977871"/>
    <w:rsid w:val="009801E2"/>
    <w:rsid w:val="00980892"/>
    <w:rsid w:val="00981523"/>
    <w:rsid w:val="00982730"/>
    <w:rsid w:val="00983464"/>
    <w:rsid w:val="009849A1"/>
    <w:rsid w:val="00987E81"/>
    <w:rsid w:val="0098DF85"/>
    <w:rsid w:val="00990E94"/>
    <w:rsid w:val="009A2C71"/>
    <w:rsid w:val="009A3CBB"/>
    <w:rsid w:val="009A628D"/>
    <w:rsid w:val="009B1E1D"/>
    <w:rsid w:val="009B5D1B"/>
    <w:rsid w:val="009C0D59"/>
    <w:rsid w:val="009C0E98"/>
    <w:rsid w:val="009C6204"/>
    <w:rsid w:val="009D6FE8"/>
    <w:rsid w:val="009D7DFC"/>
    <w:rsid w:val="009E0D9B"/>
    <w:rsid w:val="009E4C94"/>
    <w:rsid w:val="009E62E1"/>
    <w:rsid w:val="009E7595"/>
    <w:rsid w:val="009F349B"/>
    <w:rsid w:val="009F3CFE"/>
    <w:rsid w:val="009F5456"/>
    <w:rsid w:val="009F6AC3"/>
    <w:rsid w:val="009F7247"/>
    <w:rsid w:val="00A00C37"/>
    <w:rsid w:val="00A013EC"/>
    <w:rsid w:val="00A110B5"/>
    <w:rsid w:val="00A1177C"/>
    <w:rsid w:val="00A13F6B"/>
    <w:rsid w:val="00A148D0"/>
    <w:rsid w:val="00A1533D"/>
    <w:rsid w:val="00A1767A"/>
    <w:rsid w:val="00A21D91"/>
    <w:rsid w:val="00A25100"/>
    <w:rsid w:val="00A31092"/>
    <w:rsid w:val="00A343E6"/>
    <w:rsid w:val="00A357FD"/>
    <w:rsid w:val="00A370B9"/>
    <w:rsid w:val="00A419B1"/>
    <w:rsid w:val="00A44C29"/>
    <w:rsid w:val="00A46E3A"/>
    <w:rsid w:val="00A46EB6"/>
    <w:rsid w:val="00A477FE"/>
    <w:rsid w:val="00A533E5"/>
    <w:rsid w:val="00A5362D"/>
    <w:rsid w:val="00A53FF9"/>
    <w:rsid w:val="00A61C93"/>
    <w:rsid w:val="00A62CB0"/>
    <w:rsid w:val="00A6590E"/>
    <w:rsid w:val="00A65C11"/>
    <w:rsid w:val="00A6620E"/>
    <w:rsid w:val="00A71665"/>
    <w:rsid w:val="00A725E1"/>
    <w:rsid w:val="00A742FF"/>
    <w:rsid w:val="00A81DDA"/>
    <w:rsid w:val="00A82742"/>
    <w:rsid w:val="00A863EB"/>
    <w:rsid w:val="00A91A9A"/>
    <w:rsid w:val="00A94358"/>
    <w:rsid w:val="00A9773D"/>
    <w:rsid w:val="00AA0A50"/>
    <w:rsid w:val="00AA1C43"/>
    <w:rsid w:val="00AA1E95"/>
    <w:rsid w:val="00AA4586"/>
    <w:rsid w:val="00AA77E8"/>
    <w:rsid w:val="00AB35D2"/>
    <w:rsid w:val="00AC0216"/>
    <w:rsid w:val="00AC6F23"/>
    <w:rsid w:val="00AD0991"/>
    <w:rsid w:val="00AD11ED"/>
    <w:rsid w:val="00AD1218"/>
    <w:rsid w:val="00AD1743"/>
    <w:rsid w:val="00AD504D"/>
    <w:rsid w:val="00AD63A5"/>
    <w:rsid w:val="00AE1536"/>
    <w:rsid w:val="00AE15CA"/>
    <w:rsid w:val="00AE1A4D"/>
    <w:rsid w:val="00AE2C16"/>
    <w:rsid w:val="00AE6E5D"/>
    <w:rsid w:val="00AE6F5E"/>
    <w:rsid w:val="00AF1AE6"/>
    <w:rsid w:val="00AF1B6C"/>
    <w:rsid w:val="00AF65F8"/>
    <w:rsid w:val="00AF6B2D"/>
    <w:rsid w:val="00AF6F2B"/>
    <w:rsid w:val="00B01B84"/>
    <w:rsid w:val="00B050D7"/>
    <w:rsid w:val="00B07E3E"/>
    <w:rsid w:val="00B1033E"/>
    <w:rsid w:val="00B11BF9"/>
    <w:rsid w:val="00B16330"/>
    <w:rsid w:val="00B16B17"/>
    <w:rsid w:val="00B16F43"/>
    <w:rsid w:val="00B21577"/>
    <w:rsid w:val="00B246B4"/>
    <w:rsid w:val="00B25C6A"/>
    <w:rsid w:val="00B27289"/>
    <w:rsid w:val="00B319B3"/>
    <w:rsid w:val="00B371F0"/>
    <w:rsid w:val="00B373EC"/>
    <w:rsid w:val="00B4016A"/>
    <w:rsid w:val="00B513D8"/>
    <w:rsid w:val="00B536E9"/>
    <w:rsid w:val="00B57692"/>
    <w:rsid w:val="00B60079"/>
    <w:rsid w:val="00B61B80"/>
    <w:rsid w:val="00B6341F"/>
    <w:rsid w:val="00B636E4"/>
    <w:rsid w:val="00B6396F"/>
    <w:rsid w:val="00B63E94"/>
    <w:rsid w:val="00B658A7"/>
    <w:rsid w:val="00B712FC"/>
    <w:rsid w:val="00B76918"/>
    <w:rsid w:val="00B831D5"/>
    <w:rsid w:val="00B83353"/>
    <w:rsid w:val="00B84376"/>
    <w:rsid w:val="00B85E12"/>
    <w:rsid w:val="00B86A74"/>
    <w:rsid w:val="00B906D9"/>
    <w:rsid w:val="00B90D12"/>
    <w:rsid w:val="00B94875"/>
    <w:rsid w:val="00BA3BE1"/>
    <w:rsid w:val="00BA536E"/>
    <w:rsid w:val="00BA605E"/>
    <w:rsid w:val="00BA6CDE"/>
    <w:rsid w:val="00BB08BD"/>
    <w:rsid w:val="00BB2E76"/>
    <w:rsid w:val="00BB3C4F"/>
    <w:rsid w:val="00BB5DAB"/>
    <w:rsid w:val="00BB7075"/>
    <w:rsid w:val="00BB7778"/>
    <w:rsid w:val="00BC4784"/>
    <w:rsid w:val="00BC515A"/>
    <w:rsid w:val="00BD4CEC"/>
    <w:rsid w:val="00BD6569"/>
    <w:rsid w:val="00BD6806"/>
    <w:rsid w:val="00BD7197"/>
    <w:rsid w:val="00BE28E2"/>
    <w:rsid w:val="00BE3E24"/>
    <w:rsid w:val="00BE4CBB"/>
    <w:rsid w:val="00BE6EC6"/>
    <w:rsid w:val="00BE779A"/>
    <w:rsid w:val="00BE7B7C"/>
    <w:rsid w:val="00BF25DE"/>
    <w:rsid w:val="00BF2EE5"/>
    <w:rsid w:val="00BF4A30"/>
    <w:rsid w:val="00BF52F1"/>
    <w:rsid w:val="00BF7719"/>
    <w:rsid w:val="00C008E3"/>
    <w:rsid w:val="00C01DF2"/>
    <w:rsid w:val="00C05933"/>
    <w:rsid w:val="00C06A96"/>
    <w:rsid w:val="00C100EC"/>
    <w:rsid w:val="00C11621"/>
    <w:rsid w:val="00C14394"/>
    <w:rsid w:val="00C165E3"/>
    <w:rsid w:val="00C168CC"/>
    <w:rsid w:val="00C20067"/>
    <w:rsid w:val="00C22880"/>
    <w:rsid w:val="00C22A1C"/>
    <w:rsid w:val="00C23793"/>
    <w:rsid w:val="00C267CE"/>
    <w:rsid w:val="00C26A98"/>
    <w:rsid w:val="00C275D2"/>
    <w:rsid w:val="00C37985"/>
    <w:rsid w:val="00C42827"/>
    <w:rsid w:val="00C43F43"/>
    <w:rsid w:val="00C456A1"/>
    <w:rsid w:val="00C46CAA"/>
    <w:rsid w:val="00C5092F"/>
    <w:rsid w:val="00C54A25"/>
    <w:rsid w:val="00C5588E"/>
    <w:rsid w:val="00C630C4"/>
    <w:rsid w:val="00C643D6"/>
    <w:rsid w:val="00C6467D"/>
    <w:rsid w:val="00C6596E"/>
    <w:rsid w:val="00C71766"/>
    <w:rsid w:val="00C71CE7"/>
    <w:rsid w:val="00C723B9"/>
    <w:rsid w:val="00C73AE1"/>
    <w:rsid w:val="00C73F69"/>
    <w:rsid w:val="00C75B2E"/>
    <w:rsid w:val="00C81A5C"/>
    <w:rsid w:val="00C82ADE"/>
    <w:rsid w:val="00C8562D"/>
    <w:rsid w:val="00C85B1B"/>
    <w:rsid w:val="00C86782"/>
    <w:rsid w:val="00C8754C"/>
    <w:rsid w:val="00C90753"/>
    <w:rsid w:val="00CA4E26"/>
    <w:rsid w:val="00CB0B5E"/>
    <w:rsid w:val="00CB64D5"/>
    <w:rsid w:val="00CC55EC"/>
    <w:rsid w:val="00CC7EA9"/>
    <w:rsid w:val="00CD4CA7"/>
    <w:rsid w:val="00CD6347"/>
    <w:rsid w:val="00CD6E54"/>
    <w:rsid w:val="00CE0BE9"/>
    <w:rsid w:val="00CE606B"/>
    <w:rsid w:val="00CE742F"/>
    <w:rsid w:val="00CF45C3"/>
    <w:rsid w:val="00CF46C1"/>
    <w:rsid w:val="00CF4AC0"/>
    <w:rsid w:val="00CF6754"/>
    <w:rsid w:val="00D03210"/>
    <w:rsid w:val="00D07E62"/>
    <w:rsid w:val="00D11546"/>
    <w:rsid w:val="00D1247A"/>
    <w:rsid w:val="00D15336"/>
    <w:rsid w:val="00D16AC7"/>
    <w:rsid w:val="00D23D7E"/>
    <w:rsid w:val="00D24824"/>
    <w:rsid w:val="00D25DD1"/>
    <w:rsid w:val="00D26D30"/>
    <w:rsid w:val="00D279EC"/>
    <w:rsid w:val="00D3257B"/>
    <w:rsid w:val="00D366F1"/>
    <w:rsid w:val="00D44515"/>
    <w:rsid w:val="00D46307"/>
    <w:rsid w:val="00D474DC"/>
    <w:rsid w:val="00D52904"/>
    <w:rsid w:val="00D601CB"/>
    <w:rsid w:val="00D722DF"/>
    <w:rsid w:val="00D73FD3"/>
    <w:rsid w:val="00D740F0"/>
    <w:rsid w:val="00D82672"/>
    <w:rsid w:val="00D85189"/>
    <w:rsid w:val="00D90426"/>
    <w:rsid w:val="00D92CED"/>
    <w:rsid w:val="00DA1BF9"/>
    <w:rsid w:val="00DA3E59"/>
    <w:rsid w:val="00DB0DFE"/>
    <w:rsid w:val="00DB1BBB"/>
    <w:rsid w:val="00DB2EEB"/>
    <w:rsid w:val="00DB3447"/>
    <w:rsid w:val="00DB3DAD"/>
    <w:rsid w:val="00DB42DF"/>
    <w:rsid w:val="00DB697E"/>
    <w:rsid w:val="00DC0EDF"/>
    <w:rsid w:val="00DC3587"/>
    <w:rsid w:val="00DC6DE9"/>
    <w:rsid w:val="00DD0B90"/>
    <w:rsid w:val="00DD1C0A"/>
    <w:rsid w:val="00DD61E2"/>
    <w:rsid w:val="00DE2AC7"/>
    <w:rsid w:val="00DE5A82"/>
    <w:rsid w:val="00DF4209"/>
    <w:rsid w:val="00E01E43"/>
    <w:rsid w:val="00E04050"/>
    <w:rsid w:val="00E054CA"/>
    <w:rsid w:val="00E06D07"/>
    <w:rsid w:val="00E110C2"/>
    <w:rsid w:val="00E11719"/>
    <w:rsid w:val="00E12F79"/>
    <w:rsid w:val="00E14FD6"/>
    <w:rsid w:val="00E22670"/>
    <w:rsid w:val="00E243BC"/>
    <w:rsid w:val="00E3655C"/>
    <w:rsid w:val="00E36AC2"/>
    <w:rsid w:val="00E410E0"/>
    <w:rsid w:val="00E51300"/>
    <w:rsid w:val="00E53BEB"/>
    <w:rsid w:val="00E60677"/>
    <w:rsid w:val="00E6181B"/>
    <w:rsid w:val="00E63532"/>
    <w:rsid w:val="00E653E5"/>
    <w:rsid w:val="00E82BA5"/>
    <w:rsid w:val="00E82C1F"/>
    <w:rsid w:val="00E940EE"/>
    <w:rsid w:val="00E969BE"/>
    <w:rsid w:val="00E97744"/>
    <w:rsid w:val="00EA0EE8"/>
    <w:rsid w:val="00EA1D1C"/>
    <w:rsid w:val="00EA2082"/>
    <w:rsid w:val="00EA59C8"/>
    <w:rsid w:val="00EB1470"/>
    <w:rsid w:val="00EB1693"/>
    <w:rsid w:val="00EB70FE"/>
    <w:rsid w:val="00EC547E"/>
    <w:rsid w:val="00EC5B52"/>
    <w:rsid w:val="00EC5F43"/>
    <w:rsid w:val="00EC7780"/>
    <w:rsid w:val="00ED0E7D"/>
    <w:rsid w:val="00ED3DC8"/>
    <w:rsid w:val="00ED4CD1"/>
    <w:rsid w:val="00ED621C"/>
    <w:rsid w:val="00ED6992"/>
    <w:rsid w:val="00EE2493"/>
    <w:rsid w:val="00EE340B"/>
    <w:rsid w:val="00EE50F5"/>
    <w:rsid w:val="00EE6ADB"/>
    <w:rsid w:val="00EF0ABB"/>
    <w:rsid w:val="00EF13FB"/>
    <w:rsid w:val="00EF2714"/>
    <w:rsid w:val="00EF7C14"/>
    <w:rsid w:val="00EF7F5C"/>
    <w:rsid w:val="00F02E4F"/>
    <w:rsid w:val="00F0471C"/>
    <w:rsid w:val="00F07ED6"/>
    <w:rsid w:val="00F23346"/>
    <w:rsid w:val="00F26969"/>
    <w:rsid w:val="00F30DE5"/>
    <w:rsid w:val="00F30FE4"/>
    <w:rsid w:val="00F31F7C"/>
    <w:rsid w:val="00F35C40"/>
    <w:rsid w:val="00F403F9"/>
    <w:rsid w:val="00F41B65"/>
    <w:rsid w:val="00F47C5A"/>
    <w:rsid w:val="00F50B36"/>
    <w:rsid w:val="00F50DE6"/>
    <w:rsid w:val="00F565BA"/>
    <w:rsid w:val="00F579B4"/>
    <w:rsid w:val="00F624D1"/>
    <w:rsid w:val="00F6321D"/>
    <w:rsid w:val="00F6536C"/>
    <w:rsid w:val="00F657DF"/>
    <w:rsid w:val="00F70F2C"/>
    <w:rsid w:val="00F74DB9"/>
    <w:rsid w:val="00F767AB"/>
    <w:rsid w:val="00F85CD8"/>
    <w:rsid w:val="00F86F43"/>
    <w:rsid w:val="00F87698"/>
    <w:rsid w:val="00F91B12"/>
    <w:rsid w:val="00F9426D"/>
    <w:rsid w:val="00FA064B"/>
    <w:rsid w:val="00FA629E"/>
    <w:rsid w:val="00FA73EC"/>
    <w:rsid w:val="00FB09F4"/>
    <w:rsid w:val="00FB1231"/>
    <w:rsid w:val="00FB12A2"/>
    <w:rsid w:val="00FB52B6"/>
    <w:rsid w:val="00FB5646"/>
    <w:rsid w:val="00FC0171"/>
    <w:rsid w:val="00FC2439"/>
    <w:rsid w:val="00FC5B09"/>
    <w:rsid w:val="00FC6111"/>
    <w:rsid w:val="00FC6950"/>
    <w:rsid w:val="00FD39E1"/>
    <w:rsid w:val="00FD3A37"/>
    <w:rsid w:val="00FD71C3"/>
    <w:rsid w:val="00FE04DF"/>
    <w:rsid w:val="00FE0969"/>
    <w:rsid w:val="00FE4860"/>
    <w:rsid w:val="00FE76AA"/>
    <w:rsid w:val="00FE76F8"/>
    <w:rsid w:val="00FE7F40"/>
    <w:rsid w:val="00FF5B1F"/>
    <w:rsid w:val="00FF62D2"/>
    <w:rsid w:val="00FF7528"/>
    <w:rsid w:val="0524AB26"/>
    <w:rsid w:val="05BB7F07"/>
    <w:rsid w:val="05C155EA"/>
    <w:rsid w:val="07AF6BD4"/>
    <w:rsid w:val="07E29336"/>
    <w:rsid w:val="08A6C7C7"/>
    <w:rsid w:val="0DE83228"/>
    <w:rsid w:val="156E4D40"/>
    <w:rsid w:val="15CD1901"/>
    <w:rsid w:val="17CDD8FA"/>
    <w:rsid w:val="181FFBC9"/>
    <w:rsid w:val="18D8548B"/>
    <w:rsid w:val="1B3F5010"/>
    <w:rsid w:val="1C816DFF"/>
    <w:rsid w:val="1F9D1066"/>
    <w:rsid w:val="201BA484"/>
    <w:rsid w:val="22A48F85"/>
    <w:rsid w:val="24DD18B3"/>
    <w:rsid w:val="255F121D"/>
    <w:rsid w:val="26BE3542"/>
    <w:rsid w:val="27511831"/>
    <w:rsid w:val="2BA07620"/>
    <w:rsid w:val="2E0DFA6F"/>
    <w:rsid w:val="31AB838B"/>
    <w:rsid w:val="31EC56F3"/>
    <w:rsid w:val="3264B601"/>
    <w:rsid w:val="390AB76A"/>
    <w:rsid w:val="3CE58A52"/>
    <w:rsid w:val="401B8522"/>
    <w:rsid w:val="42454ED1"/>
    <w:rsid w:val="426EB05F"/>
    <w:rsid w:val="42BBC13A"/>
    <w:rsid w:val="43345EB2"/>
    <w:rsid w:val="44824DE3"/>
    <w:rsid w:val="4686E6F9"/>
    <w:rsid w:val="46F1FE62"/>
    <w:rsid w:val="472B58FE"/>
    <w:rsid w:val="476EBFAC"/>
    <w:rsid w:val="48817F3F"/>
    <w:rsid w:val="4CA2EDA2"/>
    <w:rsid w:val="4E14E290"/>
    <w:rsid w:val="50E2790E"/>
    <w:rsid w:val="52B77037"/>
    <w:rsid w:val="53805726"/>
    <w:rsid w:val="555DB0DC"/>
    <w:rsid w:val="56DF2EEB"/>
    <w:rsid w:val="5997C62A"/>
    <w:rsid w:val="6279A967"/>
    <w:rsid w:val="683C76B2"/>
    <w:rsid w:val="6CDDD25F"/>
    <w:rsid w:val="704EE61D"/>
    <w:rsid w:val="70D54F81"/>
    <w:rsid w:val="711DE18B"/>
    <w:rsid w:val="73300B99"/>
    <w:rsid w:val="737DA3B5"/>
    <w:rsid w:val="74531775"/>
    <w:rsid w:val="74E52181"/>
    <w:rsid w:val="7A68D7E1"/>
    <w:rsid w:val="7AE19DD0"/>
    <w:rsid w:val="7C138C53"/>
    <w:rsid w:val="7D4FAC02"/>
    <w:rsid w:val="7DD94A42"/>
    <w:rsid w:val="7E6CF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oNotEmbedSmartTags/>
  <w:decimalSymbol w:val="."/>
  <w:listSeparator w:val=","/>
  <w14:docId w14:val="4B63D0C9"/>
  <w15:chartTrackingRefBased/>
  <w15:docId w15:val="{3C7D29FD-C07F-CC47-8544-DD41C403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Normal"/>
    <w:next w:val="Text"/>
    <w:qFormat/>
    <w:rsid w:val="00AE1536"/>
    <w:pPr>
      <w:keepNext/>
      <w:numPr>
        <w:numId w:val="3"/>
      </w:numPr>
      <w:tabs>
        <w:tab w:val="clear" w:pos="360"/>
        <w:tab w:val="num" w:pos="288"/>
      </w:tabs>
      <w:spacing w:before="240" w:after="240"/>
      <w:jc w:val="center"/>
      <w:outlineLvl w:val="0"/>
    </w:pPr>
    <w:rPr>
      <w:b/>
      <w:kern w:val="32"/>
      <w:sz w:val="22"/>
    </w:rPr>
  </w:style>
  <w:style w:type="paragraph" w:styleId="Heading2">
    <w:name w:val="heading 2"/>
    <w:basedOn w:val="Normal"/>
    <w:next w:val="Text"/>
    <w:qFormat/>
    <w:pPr>
      <w:numPr>
        <w:numId w:val="21"/>
      </w:numPr>
      <w:tabs>
        <w:tab w:val="left" w:pos="288"/>
      </w:tabs>
      <w:spacing w:before="240"/>
      <w:outlineLvl w:val="1"/>
    </w:pPr>
    <w:rPr>
      <w:b/>
    </w:rPr>
  </w:style>
  <w:style w:type="paragraph" w:styleId="Heading3">
    <w:name w:val="heading 3"/>
    <w:basedOn w:val="Normal"/>
    <w:next w:val="Text"/>
    <w:qFormat/>
    <w:pPr>
      <w:keepNext/>
      <w:numPr>
        <w:numId w:val="18"/>
      </w:numPr>
      <w:tabs>
        <w:tab w:val="clear" w:pos="648"/>
        <w:tab w:val="left" w:pos="288"/>
      </w:tabs>
      <w:ind w:left="0" w:firstLine="0"/>
      <w:outlineLvl w:val="2"/>
    </w:pPr>
    <w:rPr>
      <w:i/>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autoSpaceDE w:val="0"/>
      <w:autoSpaceDN w:val="0"/>
    </w:pPr>
  </w:style>
  <w:style w:type="paragraph" w:styleId="Title">
    <w:name w:val="Title"/>
    <w:basedOn w:val="Normal"/>
    <w:next w:val="AuthorNames"/>
    <w:qFormat/>
    <w:pPr>
      <w:spacing w:after="480"/>
      <w:jc w:val="center"/>
      <w:outlineLvl w:val="0"/>
    </w:pPr>
    <w:rPr>
      <w:b/>
      <w:kern w:val="28"/>
      <w:sz w:val="36"/>
    </w:rPr>
  </w:style>
  <w:style w:type="paragraph" w:customStyle="1" w:styleId="AuthorNames">
    <w:name w:val="Author Names"/>
    <w:basedOn w:val="Normal"/>
    <w:next w:val="AuthorAffiliations"/>
    <w:pPr>
      <w:jc w:val="center"/>
    </w:pPr>
  </w:style>
  <w:style w:type="paragraph" w:customStyle="1" w:styleId="Abstract">
    <w:name w:val="Abstract"/>
    <w:basedOn w:val="Normal"/>
    <w:next w:val="Heading1"/>
    <w:pPr>
      <w:spacing w:before="480" w:after="480"/>
      <w:ind w:left="720" w:right="720" w:firstLine="288"/>
    </w:pPr>
    <w:rPr>
      <w:b/>
    </w:rPr>
  </w:style>
  <w:style w:type="character" w:styleId="FootnoteReference">
    <w:name w:val="footnote reference"/>
    <w:rPr>
      <w:sz w:val="20"/>
      <w:vertAlign w:val="superscript"/>
    </w:rPr>
  </w:style>
  <w:style w:type="paragraph" w:customStyle="1" w:styleId="Nomenclature">
    <w:name w:val="Nomenclature"/>
    <w:basedOn w:val="Normal"/>
    <w:pPr>
      <w:widowControl w:val="0"/>
      <w:tabs>
        <w:tab w:val="left" w:pos="864"/>
        <w:tab w:val="left" w:pos="1152"/>
      </w:tabs>
    </w:pPr>
  </w:style>
  <w:style w:type="paragraph" w:customStyle="1" w:styleId="AuthorAffiliations">
    <w:name w:val="Author Affiliations"/>
    <w:basedOn w:val="Normal"/>
    <w:next w:val="AuthorNames"/>
    <w:pPr>
      <w:spacing w:after="240"/>
      <w:jc w:val="center"/>
    </w:pPr>
    <w:rPr>
      <w:i/>
    </w:rPr>
  </w:style>
  <w:style w:type="character" w:styleId="Hyperlink">
    <w:name w:val="Hyperlink"/>
    <w:rPr>
      <w:rFonts w:ascii="Times New Roman" w:hAnsi="Times New Roman"/>
      <w:color w:val="auto"/>
      <w:sz w:val="20"/>
      <w:u w:val="single"/>
    </w:rPr>
  </w:style>
  <w:style w:type="paragraph" w:customStyle="1" w:styleId="Text">
    <w:name w:val="Text"/>
    <w:basedOn w:val="Normal"/>
    <w:rsid w:val="0067476A"/>
    <w:pPr>
      <w:tabs>
        <w:tab w:val="left" w:pos="288"/>
      </w:tabs>
      <w:spacing w:line="480" w:lineRule="auto"/>
      <w:ind w:firstLine="288"/>
    </w:pPr>
  </w:style>
  <w:style w:type="paragraph" w:customStyle="1" w:styleId="Equation">
    <w:name w:val="Equation"/>
    <w:basedOn w:val="Normal"/>
    <w:next w:val="Text"/>
    <w:autoRedefine/>
    <w:pPr>
      <w:tabs>
        <w:tab w:val="center" w:pos="4680"/>
        <w:tab w:val="right" w:pos="9360"/>
      </w:tabs>
      <w:spacing w:before="240" w:after="240"/>
    </w:pPr>
  </w:style>
  <w:style w:type="paragraph" w:customStyle="1" w:styleId="BibliographicalReferenceNumbers">
    <w:name w:val="Bibliographical Reference Numbers"/>
    <w:basedOn w:val="Normal"/>
    <w:next w:val="Text"/>
    <w:rPr>
      <w:vertAlign w:val="superscript"/>
    </w:rPr>
  </w:style>
  <w:style w:type="paragraph" w:customStyle="1" w:styleId="Figure">
    <w:name w:val="Figure"/>
    <w:basedOn w:val="Normal"/>
    <w:next w:val="Text"/>
    <w:pPr>
      <w:framePr w:hSpace="187" w:vSpace="187" w:wrap="around" w:vAnchor="text" w:hAnchor="text" w:y="1"/>
      <w:jc w:val="center"/>
    </w:pPr>
    <w:rPr>
      <w:b/>
    </w:rPr>
  </w:style>
  <w:style w:type="paragraph" w:customStyle="1" w:styleId="References">
    <w:name w:val="References"/>
    <w:basedOn w:val="Normal"/>
    <w:pPr>
      <w:ind w:firstLine="288"/>
    </w:pPr>
    <w:rPr>
      <w:sz w:val="18"/>
    </w:rPr>
  </w:style>
  <w:style w:type="paragraph" w:styleId="FootnoteText">
    <w:name w:val="footnote text"/>
    <w:basedOn w:val="Normal"/>
  </w:style>
  <w:style w:type="paragraph" w:customStyle="1" w:styleId="Footnote">
    <w:name w:val="Footnote"/>
    <w:basedOn w:val="Normal"/>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Caption">
    <w:name w:val="caption"/>
    <w:basedOn w:val="Normal"/>
    <w:next w:val="Normal"/>
    <w:qFormat/>
    <w:pPr>
      <w:spacing w:before="120" w:after="120"/>
    </w:pPr>
    <w:rPr>
      <w:b/>
    </w:rPr>
  </w:style>
  <w:style w:type="paragraph" w:customStyle="1" w:styleId="StyleAbstractLinespacingDouble">
    <w:name w:val="Style Abstract + Line spacing:  Double"/>
    <w:basedOn w:val="Abstract"/>
    <w:rsid w:val="00224C00"/>
    <w:pPr>
      <w:spacing w:before="240" w:after="240" w:line="480" w:lineRule="auto"/>
    </w:pPr>
    <w:rPr>
      <w:bCs/>
    </w:rPr>
  </w:style>
  <w:style w:type="paragraph" w:customStyle="1" w:styleId="StyleAbstractLinespacingDouble1">
    <w:name w:val="Style Abstract + Line spacing:  Double1"/>
    <w:basedOn w:val="Abstract"/>
    <w:rsid w:val="00224C00"/>
    <w:pPr>
      <w:spacing w:line="480" w:lineRule="auto"/>
    </w:pPr>
    <w:rPr>
      <w:bCs/>
    </w:rPr>
  </w:style>
  <w:style w:type="paragraph" w:styleId="BalloonText">
    <w:name w:val="Balloon Text"/>
    <w:basedOn w:val="Normal"/>
    <w:link w:val="BalloonTextChar"/>
    <w:uiPriority w:val="99"/>
    <w:semiHidden/>
    <w:unhideWhenUsed/>
    <w:rsid w:val="002121E3"/>
    <w:rPr>
      <w:rFonts w:ascii="Segoe UI" w:hAnsi="Segoe UI" w:cs="Segoe UI"/>
      <w:sz w:val="18"/>
      <w:szCs w:val="18"/>
    </w:rPr>
  </w:style>
  <w:style w:type="character" w:customStyle="1" w:styleId="BalloonTextChar">
    <w:name w:val="Balloon Text Char"/>
    <w:link w:val="BalloonText"/>
    <w:uiPriority w:val="99"/>
    <w:semiHidden/>
    <w:rsid w:val="002121E3"/>
    <w:rPr>
      <w:rFonts w:ascii="Segoe UI" w:hAnsi="Segoe UI" w:cs="Segoe UI"/>
      <w:sz w:val="18"/>
      <w:szCs w:val="18"/>
    </w:rPr>
  </w:style>
  <w:style w:type="character" w:styleId="CommentReference">
    <w:name w:val="annotation reference"/>
    <w:basedOn w:val="DefaultParagraphFont"/>
    <w:uiPriority w:val="99"/>
    <w:semiHidden/>
    <w:unhideWhenUsed/>
    <w:rsid w:val="00AF1B6C"/>
    <w:rPr>
      <w:sz w:val="16"/>
      <w:szCs w:val="16"/>
    </w:rPr>
  </w:style>
  <w:style w:type="paragraph" w:styleId="CommentText">
    <w:name w:val="annotation text"/>
    <w:basedOn w:val="Normal"/>
    <w:link w:val="CommentTextChar"/>
    <w:uiPriority w:val="99"/>
    <w:semiHidden/>
    <w:unhideWhenUsed/>
    <w:rsid w:val="00AF1B6C"/>
  </w:style>
  <w:style w:type="character" w:customStyle="1" w:styleId="CommentTextChar">
    <w:name w:val="Comment Text Char"/>
    <w:basedOn w:val="DefaultParagraphFont"/>
    <w:link w:val="CommentText"/>
    <w:uiPriority w:val="99"/>
    <w:semiHidden/>
    <w:rsid w:val="00AF1B6C"/>
  </w:style>
  <w:style w:type="paragraph" w:styleId="CommentSubject">
    <w:name w:val="annotation subject"/>
    <w:basedOn w:val="CommentText"/>
    <w:next w:val="CommentText"/>
    <w:link w:val="CommentSubjectChar"/>
    <w:uiPriority w:val="99"/>
    <w:semiHidden/>
    <w:unhideWhenUsed/>
    <w:rsid w:val="00AF1B6C"/>
    <w:rPr>
      <w:b/>
      <w:bCs/>
    </w:rPr>
  </w:style>
  <w:style w:type="character" w:customStyle="1" w:styleId="CommentSubjectChar">
    <w:name w:val="Comment Subject Char"/>
    <w:basedOn w:val="CommentTextChar"/>
    <w:link w:val="CommentSubject"/>
    <w:uiPriority w:val="99"/>
    <w:semiHidden/>
    <w:rsid w:val="00AF1B6C"/>
    <w:rPr>
      <w:b/>
      <w:bCs/>
    </w:rPr>
  </w:style>
  <w:style w:type="paragraph" w:styleId="ListParagraph">
    <w:name w:val="List Paragraph"/>
    <w:basedOn w:val="Normal"/>
    <w:uiPriority w:val="34"/>
    <w:qFormat/>
    <w:rsid w:val="00C71CE7"/>
    <w:pPr>
      <w:ind w:left="720"/>
      <w:jc w:val="left"/>
    </w:pPr>
    <w:rPr>
      <w:rFonts w:ascii="Calibri" w:eastAsiaTheme="minorHAnsi" w:hAnsi="Calibri"/>
      <w:sz w:val="22"/>
      <w:szCs w:val="22"/>
    </w:rPr>
  </w:style>
  <w:style w:type="character" w:customStyle="1" w:styleId="FooterChar">
    <w:name w:val="Footer Char"/>
    <w:basedOn w:val="DefaultParagraphFont"/>
    <w:link w:val="Footer"/>
    <w:uiPriority w:val="99"/>
    <w:rsid w:val="000C353C"/>
  </w:style>
  <w:style w:type="character" w:customStyle="1" w:styleId="UnresolvedMention1">
    <w:name w:val="Unresolved Mention1"/>
    <w:basedOn w:val="DefaultParagraphFont"/>
    <w:uiPriority w:val="99"/>
    <w:semiHidden/>
    <w:unhideWhenUsed/>
    <w:rsid w:val="00A1533D"/>
    <w:rPr>
      <w:color w:val="808080"/>
      <w:shd w:val="clear" w:color="auto" w:fill="E6E6E6"/>
    </w:rPr>
  </w:style>
  <w:style w:type="character" w:customStyle="1" w:styleId="UnresolvedMention2">
    <w:name w:val="Unresolved Mention2"/>
    <w:basedOn w:val="DefaultParagraphFont"/>
    <w:uiPriority w:val="99"/>
    <w:semiHidden/>
    <w:unhideWhenUsed/>
    <w:rsid w:val="001F56D5"/>
    <w:rPr>
      <w:color w:val="605E5C"/>
      <w:shd w:val="clear" w:color="auto" w:fill="E1DFDD"/>
    </w:rPr>
  </w:style>
  <w:style w:type="character" w:styleId="PlaceholderText">
    <w:name w:val="Placeholder Text"/>
    <w:basedOn w:val="DefaultParagraphFont"/>
    <w:uiPriority w:val="99"/>
    <w:semiHidden/>
    <w:rsid w:val="00F6321D"/>
    <w:rPr>
      <w:color w:val="808080"/>
    </w:rPr>
  </w:style>
  <w:style w:type="table" w:styleId="GridTable1Light">
    <w:name w:val="Grid Table 1 Light"/>
    <w:basedOn w:val="TableNormal"/>
    <w:uiPriority w:val="46"/>
    <w:rsid w:val="00F30FE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61104">
      <w:bodyDiv w:val="1"/>
      <w:marLeft w:val="0"/>
      <w:marRight w:val="0"/>
      <w:marTop w:val="0"/>
      <w:marBottom w:val="0"/>
      <w:divBdr>
        <w:top w:val="none" w:sz="0" w:space="0" w:color="auto"/>
        <w:left w:val="none" w:sz="0" w:space="0" w:color="auto"/>
        <w:bottom w:val="none" w:sz="0" w:space="0" w:color="auto"/>
        <w:right w:val="none" w:sz="0" w:space="0" w:color="auto"/>
      </w:divBdr>
    </w:div>
    <w:div w:id="87584025">
      <w:bodyDiv w:val="1"/>
      <w:marLeft w:val="0"/>
      <w:marRight w:val="0"/>
      <w:marTop w:val="0"/>
      <w:marBottom w:val="0"/>
      <w:divBdr>
        <w:top w:val="none" w:sz="0" w:space="0" w:color="auto"/>
        <w:left w:val="none" w:sz="0" w:space="0" w:color="auto"/>
        <w:bottom w:val="none" w:sz="0" w:space="0" w:color="auto"/>
        <w:right w:val="none" w:sz="0" w:space="0" w:color="auto"/>
      </w:divBdr>
    </w:div>
    <w:div w:id="130096448">
      <w:bodyDiv w:val="1"/>
      <w:marLeft w:val="0"/>
      <w:marRight w:val="0"/>
      <w:marTop w:val="0"/>
      <w:marBottom w:val="0"/>
      <w:divBdr>
        <w:top w:val="none" w:sz="0" w:space="0" w:color="auto"/>
        <w:left w:val="none" w:sz="0" w:space="0" w:color="auto"/>
        <w:bottom w:val="none" w:sz="0" w:space="0" w:color="auto"/>
        <w:right w:val="none" w:sz="0" w:space="0" w:color="auto"/>
      </w:divBdr>
    </w:div>
    <w:div w:id="162624626">
      <w:bodyDiv w:val="1"/>
      <w:marLeft w:val="0"/>
      <w:marRight w:val="0"/>
      <w:marTop w:val="0"/>
      <w:marBottom w:val="0"/>
      <w:divBdr>
        <w:top w:val="none" w:sz="0" w:space="0" w:color="auto"/>
        <w:left w:val="none" w:sz="0" w:space="0" w:color="auto"/>
        <w:bottom w:val="none" w:sz="0" w:space="0" w:color="auto"/>
        <w:right w:val="none" w:sz="0" w:space="0" w:color="auto"/>
      </w:divBdr>
    </w:div>
    <w:div w:id="263615553">
      <w:bodyDiv w:val="1"/>
      <w:marLeft w:val="0"/>
      <w:marRight w:val="0"/>
      <w:marTop w:val="0"/>
      <w:marBottom w:val="0"/>
      <w:divBdr>
        <w:top w:val="none" w:sz="0" w:space="0" w:color="auto"/>
        <w:left w:val="none" w:sz="0" w:space="0" w:color="auto"/>
        <w:bottom w:val="none" w:sz="0" w:space="0" w:color="auto"/>
        <w:right w:val="none" w:sz="0" w:space="0" w:color="auto"/>
      </w:divBdr>
    </w:div>
    <w:div w:id="280303257">
      <w:bodyDiv w:val="1"/>
      <w:marLeft w:val="0"/>
      <w:marRight w:val="0"/>
      <w:marTop w:val="0"/>
      <w:marBottom w:val="0"/>
      <w:divBdr>
        <w:top w:val="none" w:sz="0" w:space="0" w:color="auto"/>
        <w:left w:val="none" w:sz="0" w:space="0" w:color="auto"/>
        <w:bottom w:val="none" w:sz="0" w:space="0" w:color="auto"/>
        <w:right w:val="none" w:sz="0" w:space="0" w:color="auto"/>
      </w:divBdr>
    </w:div>
    <w:div w:id="360400431">
      <w:bodyDiv w:val="1"/>
      <w:marLeft w:val="0"/>
      <w:marRight w:val="0"/>
      <w:marTop w:val="0"/>
      <w:marBottom w:val="0"/>
      <w:divBdr>
        <w:top w:val="none" w:sz="0" w:space="0" w:color="auto"/>
        <w:left w:val="none" w:sz="0" w:space="0" w:color="auto"/>
        <w:bottom w:val="none" w:sz="0" w:space="0" w:color="auto"/>
        <w:right w:val="none" w:sz="0" w:space="0" w:color="auto"/>
      </w:divBdr>
    </w:div>
    <w:div w:id="522939437">
      <w:bodyDiv w:val="1"/>
      <w:marLeft w:val="0"/>
      <w:marRight w:val="0"/>
      <w:marTop w:val="0"/>
      <w:marBottom w:val="0"/>
      <w:divBdr>
        <w:top w:val="none" w:sz="0" w:space="0" w:color="auto"/>
        <w:left w:val="none" w:sz="0" w:space="0" w:color="auto"/>
        <w:bottom w:val="none" w:sz="0" w:space="0" w:color="auto"/>
        <w:right w:val="none" w:sz="0" w:space="0" w:color="auto"/>
      </w:divBdr>
    </w:div>
    <w:div w:id="553126497">
      <w:bodyDiv w:val="1"/>
      <w:marLeft w:val="0"/>
      <w:marRight w:val="0"/>
      <w:marTop w:val="0"/>
      <w:marBottom w:val="0"/>
      <w:divBdr>
        <w:top w:val="none" w:sz="0" w:space="0" w:color="auto"/>
        <w:left w:val="none" w:sz="0" w:space="0" w:color="auto"/>
        <w:bottom w:val="none" w:sz="0" w:space="0" w:color="auto"/>
        <w:right w:val="none" w:sz="0" w:space="0" w:color="auto"/>
      </w:divBdr>
    </w:div>
    <w:div w:id="725034465">
      <w:bodyDiv w:val="1"/>
      <w:marLeft w:val="0"/>
      <w:marRight w:val="0"/>
      <w:marTop w:val="0"/>
      <w:marBottom w:val="0"/>
      <w:divBdr>
        <w:top w:val="none" w:sz="0" w:space="0" w:color="auto"/>
        <w:left w:val="none" w:sz="0" w:space="0" w:color="auto"/>
        <w:bottom w:val="none" w:sz="0" w:space="0" w:color="auto"/>
        <w:right w:val="none" w:sz="0" w:space="0" w:color="auto"/>
      </w:divBdr>
    </w:div>
    <w:div w:id="993290566">
      <w:bodyDiv w:val="1"/>
      <w:marLeft w:val="0"/>
      <w:marRight w:val="0"/>
      <w:marTop w:val="0"/>
      <w:marBottom w:val="0"/>
      <w:divBdr>
        <w:top w:val="none" w:sz="0" w:space="0" w:color="auto"/>
        <w:left w:val="none" w:sz="0" w:space="0" w:color="auto"/>
        <w:bottom w:val="none" w:sz="0" w:space="0" w:color="auto"/>
        <w:right w:val="none" w:sz="0" w:space="0" w:color="auto"/>
      </w:divBdr>
    </w:div>
    <w:div w:id="1130326087">
      <w:bodyDiv w:val="1"/>
      <w:marLeft w:val="0"/>
      <w:marRight w:val="0"/>
      <w:marTop w:val="0"/>
      <w:marBottom w:val="0"/>
      <w:divBdr>
        <w:top w:val="none" w:sz="0" w:space="0" w:color="auto"/>
        <w:left w:val="none" w:sz="0" w:space="0" w:color="auto"/>
        <w:bottom w:val="none" w:sz="0" w:space="0" w:color="auto"/>
        <w:right w:val="none" w:sz="0" w:space="0" w:color="auto"/>
      </w:divBdr>
    </w:div>
    <w:div w:id="1173102426">
      <w:bodyDiv w:val="1"/>
      <w:marLeft w:val="0"/>
      <w:marRight w:val="0"/>
      <w:marTop w:val="0"/>
      <w:marBottom w:val="0"/>
      <w:divBdr>
        <w:top w:val="none" w:sz="0" w:space="0" w:color="auto"/>
        <w:left w:val="none" w:sz="0" w:space="0" w:color="auto"/>
        <w:bottom w:val="none" w:sz="0" w:space="0" w:color="auto"/>
        <w:right w:val="none" w:sz="0" w:space="0" w:color="auto"/>
      </w:divBdr>
    </w:div>
    <w:div w:id="1483111106">
      <w:bodyDiv w:val="1"/>
      <w:marLeft w:val="0"/>
      <w:marRight w:val="0"/>
      <w:marTop w:val="0"/>
      <w:marBottom w:val="0"/>
      <w:divBdr>
        <w:top w:val="none" w:sz="0" w:space="0" w:color="auto"/>
        <w:left w:val="none" w:sz="0" w:space="0" w:color="auto"/>
        <w:bottom w:val="none" w:sz="0" w:space="0" w:color="auto"/>
        <w:right w:val="none" w:sz="0" w:space="0" w:color="auto"/>
      </w:divBdr>
    </w:div>
    <w:div w:id="1485122894">
      <w:bodyDiv w:val="1"/>
      <w:marLeft w:val="0"/>
      <w:marRight w:val="0"/>
      <w:marTop w:val="0"/>
      <w:marBottom w:val="0"/>
      <w:divBdr>
        <w:top w:val="none" w:sz="0" w:space="0" w:color="auto"/>
        <w:left w:val="none" w:sz="0" w:space="0" w:color="auto"/>
        <w:bottom w:val="none" w:sz="0" w:space="0" w:color="auto"/>
        <w:right w:val="none" w:sz="0" w:space="0" w:color="auto"/>
      </w:divBdr>
    </w:div>
    <w:div w:id="1590382424">
      <w:bodyDiv w:val="1"/>
      <w:marLeft w:val="0"/>
      <w:marRight w:val="0"/>
      <w:marTop w:val="0"/>
      <w:marBottom w:val="0"/>
      <w:divBdr>
        <w:top w:val="none" w:sz="0" w:space="0" w:color="auto"/>
        <w:left w:val="none" w:sz="0" w:space="0" w:color="auto"/>
        <w:bottom w:val="none" w:sz="0" w:space="0" w:color="auto"/>
        <w:right w:val="none" w:sz="0" w:space="0" w:color="auto"/>
      </w:divBdr>
    </w:div>
    <w:div w:id="1636838658">
      <w:bodyDiv w:val="1"/>
      <w:marLeft w:val="0"/>
      <w:marRight w:val="0"/>
      <w:marTop w:val="0"/>
      <w:marBottom w:val="0"/>
      <w:divBdr>
        <w:top w:val="none" w:sz="0" w:space="0" w:color="auto"/>
        <w:left w:val="none" w:sz="0" w:space="0" w:color="auto"/>
        <w:bottom w:val="none" w:sz="0" w:space="0" w:color="auto"/>
        <w:right w:val="none" w:sz="0" w:space="0" w:color="auto"/>
      </w:divBdr>
    </w:div>
    <w:div w:id="1668898748">
      <w:bodyDiv w:val="1"/>
      <w:marLeft w:val="0"/>
      <w:marRight w:val="0"/>
      <w:marTop w:val="0"/>
      <w:marBottom w:val="0"/>
      <w:divBdr>
        <w:top w:val="none" w:sz="0" w:space="0" w:color="auto"/>
        <w:left w:val="none" w:sz="0" w:space="0" w:color="auto"/>
        <w:bottom w:val="none" w:sz="0" w:space="0" w:color="auto"/>
        <w:right w:val="none" w:sz="0" w:space="0" w:color="auto"/>
      </w:divBdr>
    </w:div>
    <w:div w:id="1672642172">
      <w:bodyDiv w:val="1"/>
      <w:marLeft w:val="0"/>
      <w:marRight w:val="0"/>
      <w:marTop w:val="0"/>
      <w:marBottom w:val="0"/>
      <w:divBdr>
        <w:top w:val="none" w:sz="0" w:space="0" w:color="auto"/>
        <w:left w:val="none" w:sz="0" w:space="0" w:color="auto"/>
        <w:bottom w:val="none" w:sz="0" w:space="0" w:color="auto"/>
        <w:right w:val="none" w:sz="0" w:space="0" w:color="auto"/>
      </w:divBdr>
    </w:div>
    <w:div w:id="1817379779">
      <w:bodyDiv w:val="1"/>
      <w:marLeft w:val="0"/>
      <w:marRight w:val="0"/>
      <w:marTop w:val="0"/>
      <w:marBottom w:val="0"/>
      <w:divBdr>
        <w:top w:val="none" w:sz="0" w:space="0" w:color="auto"/>
        <w:left w:val="none" w:sz="0" w:space="0" w:color="auto"/>
        <w:bottom w:val="none" w:sz="0" w:space="0" w:color="auto"/>
        <w:right w:val="none" w:sz="0" w:space="0" w:color="auto"/>
      </w:divBdr>
    </w:div>
    <w:div w:id="1987272269">
      <w:bodyDiv w:val="1"/>
      <w:marLeft w:val="0"/>
      <w:marRight w:val="0"/>
      <w:marTop w:val="0"/>
      <w:marBottom w:val="0"/>
      <w:divBdr>
        <w:top w:val="none" w:sz="0" w:space="0" w:color="auto"/>
        <w:left w:val="none" w:sz="0" w:space="0" w:color="auto"/>
        <w:bottom w:val="none" w:sz="0" w:space="0" w:color="auto"/>
        <w:right w:val="none" w:sz="0" w:space="0" w:color="auto"/>
      </w:divBdr>
    </w:div>
    <w:div w:id="2104915384">
      <w:bodyDiv w:val="1"/>
      <w:marLeft w:val="0"/>
      <w:marRight w:val="0"/>
      <w:marTop w:val="0"/>
      <w:marBottom w:val="0"/>
      <w:divBdr>
        <w:top w:val="none" w:sz="0" w:space="0" w:color="auto"/>
        <w:left w:val="none" w:sz="0" w:space="0" w:color="auto"/>
        <w:bottom w:val="none" w:sz="0" w:space="0" w:color="auto"/>
        <w:right w:val="none" w:sz="0" w:space="0" w:color="auto"/>
      </w:divBdr>
    </w:div>
    <w:div w:id="213713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1efc74875b7245aa"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horvath\Documents\LEAPS\Many%20Engine\Scratch2.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horvath\Documents\LEAPS\Many%20Engine\Scratch2.xlsm"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horvath\Documents\LEAPS\Many%20Engine\Scratch2.xlsm"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horvath\Documents\LEAPS\Many%20Engine\Scratch2.xlsm"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SUITCASE</c:v>
          </c:tx>
          <c:spPr>
            <a:ln w="25400" cap="rnd">
              <a:noFill/>
              <a:round/>
            </a:ln>
            <a:effectLst/>
          </c:spPr>
          <c:marker>
            <c:symbol val="circle"/>
            <c:size val="5"/>
            <c:spPr>
              <a:solidFill>
                <a:schemeClr val="accent1"/>
              </a:solidFill>
              <a:ln w="9525">
                <a:solidFill>
                  <a:schemeClr val="accent1"/>
                </a:solidFill>
              </a:ln>
              <a:effectLst/>
            </c:spPr>
          </c:marker>
          <c:xVal>
            <c:numRef>
              <c:f>Chartsv2!$C$15:$G$15</c:f>
              <c:numCache>
                <c:formatCode>General</c:formatCode>
                <c:ptCount val="5"/>
                <c:pt idx="0">
                  <c:v>2</c:v>
                </c:pt>
                <c:pt idx="1">
                  <c:v>4</c:v>
                </c:pt>
                <c:pt idx="2">
                  <c:v>8</c:v>
                </c:pt>
                <c:pt idx="3">
                  <c:v>16</c:v>
                </c:pt>
                <c:pt idx="4">
                  <c:v>32</c:v>
                </c:pt>
              </c:numCache>
            </c:numRef>
          </c:xVal>
          <c:yVal>
            <c:numRef>
              <c:f>Chartsv2!$C$27:$G$27</c:f>
              <c:numCache>
                <c:formatCode>0%</c:formatCode>
                <c:ptCount val="5"/>
                <c:pt idx="0">
                  <c:v>0.99897398997974629</c:v>
                </c:pt>
                <c:pt idx="1">
                  <c:v>1.0009527235902356</c:v>
                </c:pt>
                <c:pt idx="2">
                  <c:v>0.98959332693742663</c:v>
                </c:pt>
                <c:pt idx="3">
                  <c:v>0.94413575311800446</c:v>
                </c:pt>
                <c:pt idx="4">
                  <c:v>0.93153048715488751</c:v>
                </c:pt>
              </c:numCache>
            </c:numRef>
          </c:yVal>
          <c:smooth val="0"/>
          <c:extLst>
            <c:ext xmlns:c16="http://schemas.microsoft.com/office/drawing/2014/chart" uri="{C3380CC4-5D6E-409C-BE32-E72D297353CC}">
              <c16:uniqueId val="{00000000-50DD-4812-8FFA-B265A75F53E0}"/>
            </c:ext>
          </c:extLst>
        </c:ser>
        <c:ser>
          <c:idx val="1"/>
          <c:order val="1"/>
          <c:tx>
            <c:v>LEAPS</c:v>
          </c:tx>
          <c:spPr>
            <a:ln w="25400" cap="rnd">
              <a:noFill/>
              <a:round/>
            </a:ln>
            <a:effectLst/>
          </c:spPr>
          <c:marker>
            <c:symbol val="circle"/>
            <c:size val="5"/>
            <c:spPr>
              <a:solidFill>
                <a:schemeClr val="accent2"/>
              </a:solidFill>
              <a:ln w="9525">
                <a:solidFill>
                  <a:schemeClr val="accent2"/>
                </a:solidFill>
              </a:ln>
              <a:effectLst/>
            </c:spPr>
          </c:marker>
          <c:xVal>
            <c:numRef>
              <c:f>Chartsv2!$C$15:$G$15</c:f>
              <c:numCache>
                <c:formatCode>General</c:formatCode>
                <c:ptCount val="5"/>
                <c:pt idx="0">
                  <c:v>2</c:v>
                </c:pt>
                <c:pt idx="1">
                  <c:v>4</c:v>
                </c:pt>
                <c:pt idx="2">
                  <c:v>8</c:v>
                </c:pt>
                <c:pt idx="3">
                  <c:v>16</c:v>
                </c:pt>
                <c:pt idx="4">
                  <c:v>32</c:v>
                </c:pt>
              </c:numCache>
            </c:numRef>
          </c:xVal>
          <c:yVal>
            <c:numRef>
              <c:f>Chartsv2!$C$26:$G$26</c:f>
              <c:numCache>
                <c:formatCode>0%</c:formatCode>
                <c:ptCount val="5"/>
                <c:pt idx="0">
                  <c:v>1.0046394089186572</c:v>
                </c:pt>
                <c:pt idx="1">
                  <c:v>0.99607215688827011</c:v>
                </c:pt>
                <c:pt idx="2">
                  <c:v>0.96956535049475456</c:v>
                </c:pt>
                <c:pt idx="3">
                  <c:v>0.93500433270337646</c:v>
                </c:pt>
                <c:pt idx="4">
                  <c:v>0.93500433270337646</c:v>
                </c:pt>
              </c:numCache>
            </c:numRef>
          </c:yVal>
          <c:smooth val="0"/>
          <c:extLst>
            <c:ext xmlns:c16="http://schemas.microsoft.com/office/drawing/2014/chart" uri="{C3380CC4-5D6E-409C-BE32-E72D297353CC}">
              <c16:uniqueId val="{00000001-50DD-4812-8FFA-B265A75F53E0}"/>
            </c:ext>
          </c:extLst>
        </c:ser>
        <c:dLbls>
          <c:showLegendKey val="0"/>
          <c:showVal val="0"/>
          <c:showCatName val="0"/>
          <c:showSerName val="0"/>
          <c:showPercent val="0"/>
          <c:showBubbleSize val="0"/>
        </c:dLbls>
        <c:axId val="593018472"/>
        <c:axId val="593013552"/>
      </c:scatterChart>
      <c:valAx>
        <c:axId val="593018472"/>
        <c:scaling>
          <c:orientation val="minMax"/>
          <c:max val="35"/>
          <c:min val="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Engines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013552"/>
        <c:crosses val="autoZero"/>
        <c:crossBetween val="midCat"/>
        <c:majorUnit val="5"/>
      </c:valAx>
      <c:valAx>
        <c:axId val="593013552"/>
        <c:scaling>
          <c:orientation val="minMax"/>
          <c:min val="0.75000000000000011"/>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Predicted Wing Weight</a:t>
                </a:r>
                <a:r>
                  <a:rPr lang="en-US" baseline="0"/>
                  <a:t> Relative to Baseline Aircraft</a:t>
                </a:r>
                <a:r>
                  <a:rPr lang="en-US"/>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01847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Chartsv2!$A$130</c:f>
              <c:strCache>
                <c:ptCount val="1"/>
                <c:pt idx="0">
                  <c:v>SUITCASE</c:v>
                </c:pt>
              </c:strCache>
            </c:strRef>
          </c:tx>
          <c:spPr>
            <a:ln w="25400" cap="rnd">
              <a:noFill/>
              <a:round/>
            </a:ln>
            <a:effectLst/>
          </c:spPr>
          <c:marker>
            <c:symbol val="circle"/>
            <c:size val="5"/>
            <c:spPr>
              <a:solidFill>
                <a:schemeClr val="accent1"/>
              </a:solidFill>
              <a:ln w="9525">
                <a:solidFill>
                  <a:schemeClr val="accent1"/>
                </a:solidFill>
              </a:ln>
              <a:effectLst/>
            </c:spPr>
          </c:marker>
          <c:xVal>
            <c:numRef>
              <c:f>Chartsv2!$B$128:$J$128</c:f>
              <c:numCache>
                <c:formatCode>General</c:formatCode>
                <c:ptCount val="9"/>
                <c:pt idx="0">
                  <c:v>1</c:v>
                </c:pt>
                <c:pt idx="1">
                  <c:v>0.9</c:v>
                </c:pt>
                <c:pt idx="2">
                  <c:v>0.8</c:v>
                </c:pt>
                <c:pt idx="3">
                  <c:v>0.7</c:v>
                </c:pt>
                <c:pt idx="4">
                  <c:v>0.6</c:v>
                </c:pt>
                <c:pt idx="5">
                  <c:v>0.5</c:v>
                </c:pt>
                <c:pt idx="6">
                  <c:v>0.4</c:v>
                </c:pt>
                <c:pt idx="7">
                  <c:v>0.2</c:v>
                </c:pt>
                <c:pt idx="8">
                  <c:v>0</c:v>
                </c:pt>
              </c:numCache>
            </c:numRef>
          </c:xVal>
          <c:yVal>
            <c:numRef>
              <c:f>Chartsv2!$B$130:$J$130</c:f>
              <c:numCache>
                <c:formatCode>General</c:formatCode>
                <c:ptCount val="9"/>
                <c:pt idx="0">
                  <c:v>0.99846553276050753</c:v>
                </c:pt>
                <c:pt idx="1">
                  <c:v>0.98778594863577418</c:v>
                </c:pt>
                <c:pt idx="2">
                  <c:v>0.98586838241678532</c:v>
                </c:pt>
                <c:pt idx="3">
                  <c:v>0.97265537138959224</c:v>
                </c:pt>
                <c:pt idx="4">
                  <c:v>0.97272535555816853</c:v>
                </c:pt>
                <c:pt idx="5">
                  <c:v>0.96250766694603829</c:v>
                </c:pt>
                <c:pt idx="6">
                  <c:v>0.956992914462231</c:v>
                </c:pt>
                <c:pt idx="7">
                  <c:v>0.9477690010438834</c:v>
                </c:pt>
                <c:pt idx="8">
                  <c:v>0.9445077387882308</c:v>
                </c:pt>
              </c:numCache>
            </c:numRef>
          </c:yVal>
          <c:smooth val="0"/>
          <c:extLst>
            <c:ext xmlns:c16="http://schemas.microsoft.com/office/drawing/2014/chart" uri="{C3380CC4-5D6E-409C-BE32-E72D297353CC}">
              <c16:uniqueId val="{00000000-EEAF-45FF-BEA3-F97652C13D79}"/>
            </c:ext>
          </c:extLst>
        </c:ser>
        <c:ser>
          <c:idx val="1"/>
          <c:order val="1"/>
          <c:tx>
            <c:strRef>
              <c:f>Chartsv2!$A$131</c:f>
              <c:strCache>
                <c:ptCount val="1"/>
                <c:pt idx="0">
                  <c:v>LEAPS</c:v>
                </c:pt>
              </c:strCache>
            </c:strRef>
          </c:tx>
          <c:spPr>
            <a:ln w="25400" cap="rnd">
              <a:noFill/>
              <a:round/>
            </a:ln>
            <a:effectLst/>
          </c:spPr>
          <c:marker>
            <c:symbol val="circle"/>
            <c:size val="5"/>
            <c:spPr>
              <a:solidFill>
                <a:schemeClr val="accent2"/>
              </a:solidFill>
              <a:ln w="9525">
                <a:solidFill>
                  <a:schemeClr val="accent2"/>
                </a:solidFill>
              </a:ln>
              <a:effectLst/>
            </c:spPr>
          </c:marker>
          <c:xVal>
            <c:numRef>
              <c:f>Chartsv2!$B$128:$J$128</c:f>
              <c:numCache>
                <c:formatCode>General</c:formatCode>
                <c:ptCount val="9"/>
                <c:pt idx="0">
                  <c:v>1</c:v>
                </c:pt>
                <c:pt idx="1">
                  <c:v>0.9</c:v>
                </c:pt>
                <c:pt idx="2">
                  <c:v>0.8</c:v>
                </c:pt>
                <c:pt idx="3">
                  <c:v>0.7</c:v>
                </c:pt>
                <c:pt idx="4">
                  <c:v>0.6</c:v>
                </c:pt>
                <c:pt idx="5">
                  <c:v>0.5</c:v>
                </c:pt>
                <c:pt idx="6">
                  <c:v>0.4</c:v>
                </c:pt>
                <c:pt idx="7">
                  <c:v>0.2</c:v>
                </c:pt>
                <c:pt idx="8">
                  <c:v>0</c:v>
                </c:pt>
              </c:numCache>
            </c:numRef>
          </c:xVal>
          <c:yVal>
            <c:numRef>
              <c:f>Chartsv2!$B$131:$J$131</c:f>
              <c:numCache>
                <c:formatCode>General</c:formatCode>
                <c:ptCount val="9"/>
                <c:pt idx="0">
                  <c:v>1</c:v>
                </c:pt>
                <c:pt idx="1">
                  <c:v>0.98334400668940369</c:v>
                </c:pt>
                <c:pt idx="2">
                  <c:v>0.96656300692988162</c:v>
                </c:pt>
                <c:pt idx="3">
                  <c:v>0.94965700079031645</c:v>
                </c:pt>
                <c:pt idx="4">
                  <c:v>0.93262598827070775</c:v>
                </c:pt>
                <c:pt idx="5">
                  <c:v>0.91546996937105651</c:v>
                </c:pt>
                <c:pt idx="6">
                  <c:v>0.91380555136066177</c:v>
                </c:pt>
                <c:pt idx="7">
                  <c:v>0.91380555136066177</c:v>
                </c:pt>
                <c:pt idx="8">
                  <c:v>0.91380555126707619</c:v>
                </c:pt>
              </c:numCache>
            </c:numRef>
          </c:yVal>
          <c:smooth val="0"/>
          <c:extLst>
            <c:ext xmlns:c16="http://schemas.microsoft.com/office/drawing/2014/chart" uri="{C3380CC4-5D6E-409C-BE32-E72D297353CC}">
              <c16:uniqueId val="{00000001-EEAF-45FF-BEA3-F97652C13D79}"/>
            </c:ext>
          </c:extLst>
        </c:ser>
        <c:dLbls>
          <c:showLegendKey val="0"/>
          <c:showVal val="0"/>
          <c:showCatName val="0"/>
          <c:showSerName val="0"/>
          <c:showPercent val="0"/>
          <c:showBubbleSize val="0"/>
        </c:dLbls>
        <c:axId val="1150729048"/>
        <c:axId val="1150730688"/>
      </c:scatterChart>
      <c:valAx>
        <c:axId val="1150729048"/>
        <c:scaling>
          <c:orientation val="minMax"/>
          <c:max val="1"/>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Engine</a:t>
                </a:r>
                <a:r>
                  <a:rPr lang="en-US" baseline="0"/>
                  <a:t> Set Weighting Factor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730688"/>
        <c:crosses val="autoZero"/>
        <c:crossBetween val="midCat"/>
      </c:valAx>
      <c:valAx>
        <c:axId val="1150730688"/>
        <c:scaling>
          <c:orientation val="minMax"/>
          <c:min val="0.75000000000000011"/>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Predicted Wing</a:t>
                </a:r>
                <a:r>
                  <a:rPr lang="en-US" baseline="0"/>
                  <a:t> Structural Weight Relative to Baseline Aircraft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72904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Chartsv2!$A$130</c:f>
              <c:strCache>
                <c:ptCount val="1"/>
                <c:pt idx="0">
                  <c:v>SUITCASE</c:v>
                </c:pt>
              </c:strCache>
            </c:strRef>
          </c:tx>
          <c:spPr>
            <a:ln w="25400" cap="rnd">
              <a:noFill/>
              <a:round/>
            </a:ln>
            <a:effectLst/>
          </c:spPr>
          <c:marker>
            <c:symbol val="circle"/>
            <c:size val="5"/>
            <c:spPr>
              <a:solidFill>
                <a:schemeClr val="accent1"/>
              </a:solidFill>
              <a:ln w="9525">
                <a:solidFill>
                  <a:schemeClr val="accent1"/>
                </a:solidFill>
              </a:ln>
              <a:effectLst/>
            </c:spPr>
          </c:marker>
          <c:xVal>
            <c:numRef>
              <c:f>Chartsv2!$F$85:$K$85</c:f>
              <c:numCache>
                <c:formatCode>General</c:formatCode>
                <c:ptCount val="6"/>
                <c:pt idx="0">
                  <c:v>0</c:v>
                </c:pt>
                <c:pt idx="1">
                  <c:v>0.2</c:v>
                </c:pt>
                <c:pt idx="2">
                  <c:v>0.4</c:v>
                </c:pt>
                <c:pt idx="3">
                  <c:v>0.6</c:v>
                </c:pt>
                <c:pt idx="4">
                  <c:v>0.8</c:v>
                </c:pt>
                <c:pt idx="5">
                  <c:v>1</c:v>
                </c:pt>
              </c:numCache>
            </c:numRef>
          </c:xVal>
          <c:yVal>
            <c:numRef>
              <c:f>Chartsv2!$F$87:$K$87</c:f>
              <c:numCache>
                <c:formatCode>General</c:formatCode>
                <c:ptCount val="6"/>
                <c:pt idx="0">
                  <c:v>0.95059103685699164</c:v>
                </c:pt>
                <c:pt idx="1">
                  <c:v>0.95318468005544277</c:v>
                </c:pt>
                <c:pt idx="2">
                  <c:v>0.9865529862672473</c:v>
                </c:pt>
                <c:pt idx="3">
                  <c:v>0.98353169245229566</c:v>
                </c:pt>
                <c:pt idx="4">
                  <c:v>1.0124524322524955</c:v>
                </c:pt>
                <c:pt idx="5">
                  <c:v>1.0204645243432551</c:v>
                </c:pt>
              </c:numCache>
            </c:numRef>
          </c:yVal>
          <c:smooth val="0"/>
          <c:extLst>
            <c:ext xmlns:c16="http://schemas.microsoft.com/office/drawing/2014/chart" uri="{C3380CC4-5D6E-409C-BE32-E72D297353CC}">
              <c16:uniqueId val="{00000000-268B-4670-9E71-C4F9B6E1AE97}"/>
            </c:ext>
          </c:extLst>
        </c:ser>
        <c:ser>
          <c:idx val="1"/>
          <c:order val="1"/>
          <c:tx>
            <c:strRef>
              <c:f>Chartsv2!$A$131</c:f>
              <c:strCache>
                <c:ptCount val="1"/>
                <c:pt idx="0">
                  <c:v>LEAPS</c:v>
                </c:pt>
              </c:strCache>
            </c:strRef>
          </c:tx>
          <c:spPr>
            <a:ln w="25400" cap="rnd">
              <a:noFill/>
              <a:round/>
            </a:ln>
            <a:effectLst/>
          </c:spPr>
          <c:marker>
            <c:symbol val="circle"/>
            <c:size val="5"/>
            <c:spPr>
              <a:solidFill>
                <a:schemeClr val="accent2"/>
              </a:solidFill>
              <a:ln w="9525">
                <a:solidFill>
                  <a:schemeClr val="accent2"/>
                </a:solidFill>
              </a:ln>
              <a:effectLst/>
            </c:spPr>
          </c:marker>
          <c:xVal>
            <c:numRef>
              <c:f>Chartsv2!$F$85:$K$85</c:f>
              <c:numCache>
                <c:formatCode>General</c:formatCode>
                <c:ptCount val="6"/>
                <c:pt idx="0">
                  <c:v>0</c:v>
                </c:pt>
                <c:pt idx="1">
                  <c:v>0.2</c:v>
                </c:pt>
                <c:pt idx="2">
                  <c:v>0.4</c:v>
                </c:pt>
                <c:pt idx="3">
                  <c:v>0.6</c:v>
                </c:pt>
                <c:pt idx="4">
                  <c:v>0.8</c:v>
                </c:pt>
                <c:pt idx="5">
                  <c:v>1</c:v>
                </c:pt>
              </c:numCache>
            </c:numRef>
          </c:xVal>
          <c:yVal>
            <c:numRef>
              <c:f>Chartsv2!$F$88:$K$88</c:f>
              <c:numCache>
                <c:formatCode>General</c:formatCode>
                <c:ptCount val="6"/>
                <c:pt idx="0">
                  <c:v>0.93614382252050243</c:v>
                </c:pt>
                <c:pt idx="1">
                  <c:v>0.93614382252050243</c:v>
                </c:pt>
                <c:pt idx="2">
                  <c:v>0.93614382252050243</c:v>
                </c:pt>
                <c:pt idx="3">
                  <c:v>0.94344981526863314</c:v>
                </c:pt>
                <c:pt idx="4">
                  <c:v>0.96729422771136886</c:v>
                </c:pt>
                <c:pt idx="5">
                  <c:v>0.99047166203792247</c:v>
                </c:pt>
              </c:numCache>
            </c:numRef>
          </c:yVal>
          <c:smooth val="0"/>
          <c:extLst>
            <c:ext xmlns:c16="http://schemas.microsoft.com/office/drawing/2014/chart" uri="{C3380CC4-5D6E-409C-BE32-E72D297353CC}">
              <c16:uniqueId val="{00000001-268B-4670-9E71-C4F9B6E1AE97}"/>
            </c:ext>
          </c:extLst>
        </c:ser>
        <c:ser>
          <c:idx val="2"/>
          <c:order val="2"/>
          <c:tx>
            <c:strRef>
              <c:f>Chartsv2!$E$93</c:f>
              <c:strCache>
                <c:ptCount val="1"/>
                <c:pt idx="0">
                  <c:v>AMMIT</c:v>
                </c:pt>
              </c:strCache>
            </c:strRef>
          </c:tx>
          <c:spPr>
            <a:ln w="25400" cap="rnd">
              <a:noFill/>
              <a:round/>
            </a:ln>
            <a:effectLst/>
          </c:spPr>
          <c:marker>
            <c:symbol val="circle"/>
            <c:size val="5"/>
            <c:spPr>
              <a:solidFill>
                <a:schemeClr val="accent3"/>
              </a:solidFill>
              <a:ln w="9525">
                <a:solidFill>
                  <a:schemeClr val="accent3"/>
                </a:solidFill>
              </a:ln>
              <a:effectLst/>
            </c:spPr>
          </c:marker>
          <c:xVal>
            <c:numRef>
              <c:f>Chartsv2!$F$85:$K$85</c:f>
              <c:numCache>
                <c:formatCode>General</c:formatCode>
                <c:ptCount val="6"/>
                <c:pt idx="0">
                  <c:v>0</c:v>
                </c:pt>
                <c:pt idx="1">
                  <c:v>0.2</c:v>
                </c:pt>
                <c:pt idx="2">
                  <c:v>0.4</c:v>
                </c:pt>
                <c:pt idx="3">
                  <c:v>0.6</c:v>
                </c:pt>
                <c:pt idx="4">
                  <c:v>0.8</c:v>
                </c:pt>
                <c:pt idx="5">
                  <c:v>1</c:v>
                </c:pt>
              </c:numCache>
            </c:numRef>
          </c:xVal>
          <c:yVal>
            <c:numRef>
              <c:f>Chartsv2!$F$93:$K$93</c:f>
              <c:numCache>
                <c:formatCode>General</c:formatCode>
                <c:ptCount val="6"/>
                <c:pt idx="0">
                  <c:v>0.9358715337995418</c:v>
                </c:pt>
                <c:pt idx="1">
                  <c:v>0.9551084143422085</c:v>
                </c:pt>
                <c:pt idx="2">
                  <c:v>0.97510905576969553</c:v>
                </c:pt>
                <c:pt idx="3">
                  <c:v>0.99566310021118365</c:v>
                </c:pt>
                <c:pt idx="4">
                  <c:v>1.0166619012938323</c:v>
                </c:pt>
                <c:pt idx="5">
                  <c:v>1.0380166926194057</c:v>
                </c:pt>
              </c:numCache>
            </c:numRef>
          </c:yVal>
          <c:smooth val="0"/>
          <c:extLst>
            <c:ext xmlns:c16="http://schemas.microsoft.com/office/drawing/2014/chart" uri="{C3380CC4-5D6E-409C-BE32-E72D297353CC}">
              <c16:uniqueId val="{00000002-268B-4670-9E71-C4F9B6E1AE97}"/>
            </c:ext>
          </c:extLst>
        </c:ser>
        <c:dLbls>
          <c:showLegendKey val="0"/>
          <c:showVal val="0"/>
          <c:showCatName val="0"/>
          <c:showSerName val="0"/>
          <c:showPercent val="0"/>
          <c:showBubbleSize val="0"/>
        </c:dLbls>
        <c:axId val="1150729048"/>
        <c:axId val="1150730688"/>
      </c:scatterChart>
      <c:valAx>
        <c:axId val="1150729048"/>
        <c:scaling>
          <c:orientation val="minMax"/>
          <c:max val="1"/>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Engine</a:t>
                </a:r>
                <a:r>
                  <a:rPr lang="en-US" baseline="0"/>
                  <a:t> Set Weighting Factor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730688"/>
        <c:crosses val="autoZero"/>
        <c:crossBetween val="midCat"/>
      </c:valAx>
      <c:valAx>
        <c:axId val="1150730688"/>
        <c:scaling>
          <c:orientation val="minMax"/>
          <c:max val="1.05"/>
          <c:min val="0.75000000000000011"/>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Predicted Wing</a:t>
                </a:r>
                <a:r>
                  <a:rPr lang="en-US" baseline="0"/>
                  <a:t> Structural Weight Relative to Baseline Aircraft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72904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v>737</c:v>
          </c:tx>
          <c:spPr>
            <a:ln w="25400" cap="rnd">
              <a:noFill/>
              <a:round/>
            </a:ln>
            <a:effectLst/>
          </c:spPr>
          <c:marker>
            <c:symbol val="circle"/>
            <c:size val="3"/>
            <c:spPr>
              <a:solidFill>
                <a:schemeClr val="tx1"/>
              </a:solidFill>
              <a:ln w="3175">
                <a:noFill/>
              </a:ln>
              <a:effectLst/>
            </c:spPr>
          </c:marker>
          <c:xVal>
            <c:numRef>
              <c:f>Chartsv2!$B$17:$O$17</c:f>
              <c:numCache>
                <c:formatCode>General</c:formatCode>
                <c:ptCount val="14"/>
                <c:pt idx="0">
                  <c:v>0.96901273456257897</c:v>
                </c:pt>
                <c:pt idx="1">
                  <c:v>0.97330941560489403</c:v>
                </c:pt>
                <c:pt idx="2">
                  <c:v>0.95690826515623395</c:v>
                </c:pt>
                <c:pt idx="3">
                  <c:v>0.90616362521432803</c:v>
                </c:pt>
                <c:pt idx="4">
                  <c:v>0.84</c:v>
                </c:pt>
                <c:pt idx="5">
                  <c:v>0.84</c:v>
                </c:pt>
                <c:pt idx="6">
                  <c:v>0.86835092268934111</c:v>
                </c:pt>
                <c:pt idx="7">
                  <c:v>0.84</c:v>
                </c:pt>
                <c:pt idx="8">
                  <c:v>0.88482482008055396</c:v>
                </c:pt>
                <c:pt idx="9">
                  <c:v>0.96901273456257897</c:v>
                </c:pt>
                <c:pt idx="10">
                  <c:v>0.84</c:v>
                </c:pt>
                <c:pt idx="11">
                  <c:v>0.86591292704387302</c:v>
                </c:pt>
                <c:pt idx="12">
                  <c:v>0.84</c:v>
                </c:pt>
                <c:pt idx="13">
                  <c:v>0.84</c:v>
                </c:pt>
              </c:numCache>
            </c:numRef>
          </c:xVal>
          <c:yVal>
            <c:numRef>
              <c:f>Chartsv2!$B$23:$O$23</c:f>
              <c:numCache>
                <c:formatCode>0.0%</c:formatCode>
                <c:ptCount val="14"/>
                <c:pt idx="0">
                  <c:v>2.3950084725461425E-3</c:v>
                </c:pt>
                <c:pt idx="1">
                  <c:v>5.6712376856036138E-3</c:v>
                </c:pt>
                <c:pt idx="2">
                  <c:v>-4.8759212967218989E-3</c:v>
                </c:pt>
                <c:pt idx="3">
                  <c:v>-2.0238592861831693E-2</c:v>
                </c:pt>
                <c:pt idx="4">
                  <c:v>-9.6717239914615397E-3</c:v>
                </c:pt>
                <c:pt idx="5">
                  <c:v>3.7291807368526526E-3</c:v>
                </c:pt>
                <c:pt idx="6">
                  <c:v>-2.7721673165244709E-2</c:v>
                </c:pt>
                <c:pt idx="7">
                  <c:v>-1.4179571795966621E-2</c:v>
                </c:pt>
                <c:pt idx="8">
                  <c:v>1.0408156005366287E-2</c:v>
                </c:pt>
                <c:pt idx="9">
                  <c:v>3.7659445309944279E-3</c:v>
                </c:pt>
                <c:pt idx="10">
                  <c:v>-1.287597103877729E-2</c:v>
                </c:pt>
                <c:pt idx="11">
                  <c:v>-1.1325606396831981E-2</c:v>
                </c:pt>
                <c:pt idx="12">
                  <c:v>5.6135508892136551E-3</c:v>
                </c:pt>
                <c:pt idx="13">
                  <c:v>6.8744703121702917E-4</c:v>
                </c:pt>
              </c:numCache>
            </c:numRef>
          </c:yVal>
          <c:smooth val="0"/>
          <c:extLst>
            <c:ext xmlns:c16="http://schemas.microsoft.com/office/drawing/2014/chart" uri="{C3380CC4-5D6E-409C-BE32-E72D297353CC}">
              <c16:uniqueId val="{00000000-289B-4ACF-A132-45CA31AA63A6}"/>
            </c:ext>
          </c:extLst>
        </c:ser>
        <c:ser>
          <c:idx val="1"/>
          <c:order val="1"/>
          <c:tx>
            <c:v>ATR-42</c:v>
          </c:tx>
          <c:spPr>
            <a:ln w="25400" cap="rnd">
              <a:noFill/>
              <a:round/>
            </a:ln>
            <a:effectLst/>
          </c:spPr>
          <c:marker>
            <c:symbol val="circle"/>
            <c:size val="3"/>
            <c:spPr>
              <a:solidFill>
                <a:schemeClr val="tx1"/>
              </a:solidFill>
              <a:ln w="6350">
                <a:noFill/>
              </a:ln>
              <a:effectLst/>
            </c:spPr>
          </c:marker>
          <c:xVal>
            <c:numRef>
              <c:f>Chartsv2!$B$83:$K$83</c:f>
              <c:numCache>
                <c:formatCode>General</c:formatCode>
                <c:ptCount val="10"/>
                <c:pt idx="0">
                  <c:v>0.96322562759936603</c:v>
                </c:pt>
                <c:pt idx="1">
                  <c:v>0.84</c:v>
                </c:pt>
                <c:pt idx="2">
                  <c:v>0.84</c:v>
                </c:pt>
                <c:pt idx="3">
                  <c:v>0.88541306713931833</c:v>
                </c:pt>
                <c:pt idx="4">
                  <c:v>0.84</c:v>
                </c:pt>
                <c:pt idx="5">
                  <c:v>0.84</c:v>
                </c:pt>
                <c:pt idx="6">
                  <c:v>0.84</c:v>
                </c:pt>
                <c:pt idx="7">
                  <c:v>0.85409864444068906</c:v>
                </c:pt>
                <c:pt idx="8">
                  <c:v>0.90011208909037477</c:v>
                </c:pt>
                <c:pt idx="9">
                  <c:v>0.94483844139905004</c:v>
                </c:pt>
              </c:numCache>
            </c:numRef>
          </c:xVal>
          <c:yVal>
            <c:numRef>
              <c:f>Chartsv2!$B$84:$K$84</c:f>
              <c:numCache>
                <c:formatCode>0.00%</c:formatCode>
                <c:ptCount val="10"/>
                <c:pt idx="0">
                  <c:v>-7.9889212019394772E-4</c:v>
                </c:pt>
                <c:pt idx="1">
                  <c:v>-1.6145574183213596E-2</c:v>
                </c:pt>
                <c:pt idx="2">
                  <c:v>-1.5779735710560919E-2</c:v>
                </c:pt>
                <c:pt idx="3">
                  <c:v>-4.5378935910680047E-2</c:v>
                </c:pt>
                <c:pt idx="4">
                  <c:v>-1.5198138606752582E-2</c:v>
                </c:pt>
                <c:pt idx="5">
                  <c:v>-1.7877813073904181E-2</c:v>
                </c:pt>
                <c:pt idx="6">
                  <c:v>-5.1096255800182254E-2</c:v>
                </c:pt>
                <c:pt idx="7">
                  <c:v>-4.0753010290623226E-2</c:v>
                </c:pt>
                <c:pt idx="8">
                  <c:v>-4.460279130413964E-2</c:v>
                </c:pt>
                <c:pt idx="9">
                  <c:v>-2.939138165987229E-2</c:v>
                </c:pt>
              </c:numCache>
            </c:numRef>
          </c:yVal>
          <c:smooth val="0"/>
          <c:extLst>
            <c:ext xmlns:c16="http://schemas.microsoft.com/office/drawing/2014/chart" uri="{C3380CC4-5D6E-409C-BE32-E72D297353CC}">
              <c16:uniqueId val="{00000001-289B-4ACF-A132-45CA31AA63A6}"/>
            </c:ext>
          </c:extLst>
        </c:ser>
        <c:ser>
          <c:idx val="2"/>
          <c:order val="2"/>
          <c:tx>
            <c:strRef>
              <c:f>Chartsv2!$A$122</c:f>
              <c:strCache>
                <c:ptCount val="1"/>
                <c:pt idx="0">
                  <c:v>777</c:v>
                </c:pt>
              </c:strCache>
            </c:strRef>
          </c:tx>
          <c:spPr>
            <a:ln w="25400" cap="rnd">
              <a:noFill/>
              <a:round/>
            </a:ln>
            <a:effectLst/>
          </c:spPr>
          <c:marker>
            <c:symbol val="circle"/>
            <c:size val="3"/>
            <c:spPr>
              <a:solidFill>
                <a:schemeClr val="tx1"/>
              </a:solidFill>
              <a:ln w="6350">
                <a:noFill/>
              </a:ln>
              <a:effectLst/>
            </c:spPr>
          </c:marker>
          <c:xVal>
            <c:numRef>
              <c:f>Chartsv2!$B$125:$J$125</c:f>
              <c:numCache>
                <c:formatCode>General</c:formatCode>
                <c:ptCount val="9"/>
                <c:pt idx="0">
                  <c:v>0.96776987983203999</c:v>
                </c:pt>
                <c:pt idx="1">
                  <c:v>0.94307995716911552</c:v>
                </c:pt>
                <c:pt idx="2">
                  <c:v>0.91820473196762142</c:v>
                </c:pt>
                <c:pt idx="3">
                  <c:v>0.89314420422755691</c:v>
                </c:pt>
                <c:pt idx="4">
                  <c:v>0.86789837394892067</c:v>
                </c:pt>
                <c:pt idx="5">
                  <c:v>0.84246724113171489</c:v>
                </c:pt>
                <c:pt idx="6">
                  <c:v>0.84</c:v>
                </c:pt>
                <c:pt idx="7">
                  <c:v>0.84</c:v>
                </c:pt>
                <c:pt idx="8">
                  <c:v>0.84</c:v>
                </c:pt>
              </c:numCache>
            </c:numRef>
          </c:xVal>
          <c:yVal>
            <c:numRef>
              <c:f>Chartsv2!$B$126:$J$126</c:f>
              <c:numCache>
                <c:formatCode>0.00%</c:formatCode>
                <c:ptCount val="9"/>
                <c:pt idx="0">
                  <c:v>1.5368254477949282E-3</c:v>
                </c:pt>
                <c:pt idx="1">
                  <c:v>-4.496866909784682E-3</c:v>
                </c:pt>
                <c:pt idx="2">
                  <c:v>-1.9582102267625259E-2</c:v>
                </c:pt>
                <c:pt idx="3">
                  <c:v>-2.3644932496922351E-2</c:v>
                </c:pt>
                <c:pt idx="4">
                  <c:v>-4.122372986201335E-2</c:v>
                </c:pt>
                <c:pt idx="5">
                  <c:v>-4.8869945861552133E-2</c:v>
                </c:pt>
                <c:pt idx="6">
                  <c:v>-4.5128195255069115E-2</c:v>
                </c:pt>
                <c:pt idx="7">
                  <c:v>-3.5835155661151398E-2</c:v>
                </c:pt>
                <c:pt idx="8">
                  <c:v>-3.2506020078294319E-2</c:v>
                </c:pt>
              </c:numCache>
            </c:numRef>
          </c:yVal>
          <c:smooth val="0"/>
          <c:extLst>
            <c:ext xmlns:c16="http://schemas.microsoft.com/office/drawing/2014/chart" uri="{C3380CC4-5D6E-409C-BE32-E72D297353CC}">
              <c16:uniqueId val="{00000002-289B-4ACF-A132-45CA31AA63A6}"/>
            </c:ext>
          </c:extLst>
        </c:ser>
        <c:dLbls>
          <c:showLegendKey val="0"/>
          <c:showVal val="0"/>
          <c:showCatName val="0"/>
          <c:showSerName val="0"/>
          <c:showPercent val="0"/>
          <c:showBubbleSize val="0"/>
        </c:dLbls>
        <c:axId val="791099568"/>
        <c:axId val="791097272"/>
      </c:scatterChart>
      <c:valAx>
        <c:axId val="79109956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Engine</a:t>
                </a:r>
                <a:r>
                  <a:rPr lang="en-US" baseline="0"/>
                  <a:t> Inertia Relief Factor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097272"/>
        <c:crosses val="autoZero"/>
        <c:crossBetween val="midCat"/>
        <c:majorUnit val="4.0000000000000008E-2"/>
      </c:valAx>
      <c:valAx>
        <c:axId val="7910972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Error in</a:t>
                </a:r>
                <a:r>
                  <a:rPr lang="en-US" baseline="0"/>
                  <a:t> </a:t>
                </a:r>
                <a:r>
                  <a:rPr lang="en-US"/>
                  <a:t>Wing Weight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0995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71F3C3AD162418168A3D1EEC31C68" ma:contentTypeVersion="12" ma:contentTypeDescription="Create a new document." ma:contentTypeScope="" ma:versionID="060e37867f4d0865dc4c8e52af2a6234">
  <xsd:schema xmlns:xsd="http://www.w3.org/2001/XMLSchema" xmlns:xs="http://www.w3.org/2001/XMLSchema" xmlns:p="http://schemas.microsoft.com/office/2006/metadata/properties" xmlns:ns1="http://schemas.microsoft.com/sharepoint/v3" xmlns:ns3="3cb15ddf-dbe9-47ea-851d-c70642058130" xmlns:ns4="4817ca35-7031-43a6-bda2-0d9832ef6347" targetNamespace="http://schemas.microsoft.com/office/2006/metadata/properties" ma:root="true" ma:fieldsID="182aadf0e8a87e15cddc80f8a241d12c" ns1:_="" ns3:_="" ns4:_="">
    <xsd:import namespace="http://schemas.microsoft.com/sharepoint/v3"/>
    <xsd:import namespace="3cb15ddf-dbe9-47ea-851d-c70642058130"/>
    <xsd:import namespace="4817ca35-7031-43a6-bda2-0d9832ef63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b15ddf-dbe9-47ea-851d-c70642058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17ca35-7031-43a6-bda2-0d9832ef63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864B8-9DF0-4667-A06C-E6A30D5D0D0A}">
  <ds:schemaRefs>
    <ds:schemaRef ds:uri="http://schemas.microsoft.com/sharepoint/v3/contenttype/forms"/>
  </ds:schemaRefs>
</ds:datastoreItem>
</file>

<file path=customXml/itemProps2.xml><?xml version="1.0" encoding="utf-8"?>
<ds:datastoreItem xmlns:ds="http://schemas.openxmlformats.org/officeDocument/2006/customXml" ds:itemID="{B803E097-DA16-49EF-91B2-546400B39C9A}">
  <ds:schemaRefs>
    <ds:schemaRef ds:uri="4817ca35-7031-43a6-bda2-0d9832ef6347"/>
    <ds:schemaRef ds:uri="http://schemas.microsoft.com/office/2006/documentManagement/types"/>
    <ds:schemaRef ds:uri="http://schemas.microsoft.com/sharepoint/v3"/>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 ds:uri="3cb15ddf-dbe9-47ea-851d-c70642058130"/>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2DE639E-9FD8-411A-A05F-0B40062C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b15ddf-dbe9-47ea-851d-c70642058130"/>
    <ds:schemaRef ds:uri="4817ca35-7031-43a6-bda2-0d9832ef6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5A087B-4816-4A6C-99D1-159F9D27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2971</TotalTime>
  <Pages>10</Pages>
  <Words>5074</Words>
  <Characters>26767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Preparation of Papers for AIAA Journals</vt:lpstr>
    </vt:vector>
  </TitlesOfParts>
  <Manager/>
  <Company>AIAA</Company>
  <LinksUpToDate>false</LinksUpToDate>
  <CharactersWithSpaces>31778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for AIAA Journals</dc:title>
  <dc:subject/>
  <dc:creator>Heather Littlefield</dc:creator>
  <cp:keywords>TP Template 2017</cp:keywords>
  <dc:description/>
  <cp:lastModifiedBy>Horvath, Bryce L. (LARC-E401)</cp:lastModifiedBy>
  <cp:revision>315</cp:revision>
  <cp:lastPrinted>2020-10-29T15:05:00Z</cp:lastPrinted>
  <dcterms:created xsi:type="dcterms:W3CDTF">2021-05-25T20:04:00Z</dcterms:created>
  <dcterms:modified xsi:type="dcterms:W3CDTF">2021-06-14T13:08:00Z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0x010100E2D71F3C3AD162418168A3D1EEC31C68</vt:lpwstr>
  </property>
</Properties>
</file>