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3B3C" w:rsidRPr="00B65F23" w:rsidRDefault="00D73B3C" w:rsidP="00D73B3C">
      <w:r w:rsidRPr="00B65F23">
        <w:rPr>
          <w:rFonts w:ascii="Arial" w:hAnsi="Arial" w:cs="Arial"/>
          <w:color w:val="000000"/>
          <w:sz w:val="20"/>
          <w:szCs w:val="20"/>
        </w:rPr>
        <w:t>Down-Selection of Four Common Habitat Variants</w:t>
      </w:r>
    </w:p>
    <w:p w:rsidR="00C57D89" w:rsidRDefault="00C57D89" w:rsidP="00CF6E0E"/>
    <w:p w:rsidR="00E95831" w:rsidRDefault="00A1208A" w:rsidP="00CF6E0E">
      <w:r>
        <w:t>The Common Habitat is a large habitat</w:t>
      </w:r>
      <w:r w:rsidR="001501A5">
        <w:t xml:space="preserve"> developed as an alternative architecture study, not part of the current NASA baseline,</w:t>
      </w:r>
      <w:r>
        <w:t xml:space="preserve"> that uses the </w:t>
      </w:r>
      <w:r w:rsidR="001501A5">
        <w:t>SLS</w:t>
      </w:r>
      <w:r w:rsidR="006913EF">
        <w:t xml:space="preserve"> core stage liquid oxygen tank as its primary structure.  </w:t>
      </w:r>
      <w:r>
        <w:t xml:space="preserve">It </w:t>
      </w:r>
      <w:r w:rsidR="006913EF">
        <w:t>has a gravity-independent internal architecture, such that</w:t>
      </w:r>
      <w:r>
        <w:t xml:space="preserve"> identical units can be used on the lunar surface, Mars surface, and in microgravity.</w:t>
      </w:r>
      <w:r w:rsidR="006913EF">
        <w:t xml:space="preserve">  In developing the habitat, two key architectural questions emerged.  Should the internal layout use a vertical or horizontal orientation of the tank?  Should the crew size be four or eight?  This led to the design of four variants: a </w:t>
      </w:r>
      <w:r w:rsidR="006D0D0A">
        <w:t>four-crew</w:t>
      </w:r>
      <w:r w:rsidR="006913EF">
        <w:t xml:space="preserve"> horizontal, four</w:t>
      </w:r>
      <w:r w:rsidR="006D0D0A">
        <w:t>-</w:t>
      </w:r>
      <w:r w:rsidR="006913EF">
        <w:t>crew vertical, eight</w:t>
      </w:r>
      <w:r w:rsidR="006D0D0A">
        <w:t>-</w:t>
      </w:r>
      <w:r w:rsidR="006913EF">
        <w:t>crew horizontal, and eight</w:t>
      </w:r>
      <w:r w:rsidR="006D0D0A">
        <w:t>-</w:t>
      </w:r>
      <w:r w:rsidR="006913EF">
        <w:t>crew vertical.</w:t>
      </w:r>
      <w:r w:rsidR="00E95831">
        <w:t xml:space="preserve">  The four-crew variants use a shortened version of the tank while the eight-crew variants use the entire tank.  </w:t>
      </w:r>
      <w:r w:rsidR="003B61E2" w:rsidRPr="003B61E2">
        <w:t>The primary consideration applied for down-selection is the crew experience living and working in the habitat, inclusive of crew productivity, well-being, and survivability</w:t>
      </w:r>
      <w:r w:rsidR="003B61E2">
        <w:t>.</w:t>
      </w:r>
      <w:r w:rsidR="00E95831">
        <w:t xml:space="preserve">  Based on this consideration, a series of seven assessments were performed to compare the</w:t>
      </w:r>
      <w:r w:rsidR="004E01F5">
        <w:t xml:space="preserve"> </w:t>
      </w:r>
      <w:r w:rsidR="00E95831">
        <w:t xml:space="preserve">variants.  This analysis was performed as an unfunded, volunteer activity leveraging civil servants across multiple field centers, most with expertise working in various Artemis teams.  Additionally, the evaluation was limited to the use of CAD models, </w:t>
      </w:r>
      <w:r w:rsidR="006271D6">
        <w:t xml:space="preserve">images, and spreadsheet data, with no resources available for mockups or Virtual Reality.  </w:t>
      </w:r>
      <w:r w:rsidR="003B61E2">
        <w:t xml:space="preserve">A logistics analysis developed a standard logistics module and then estimated how much stowage could be carried onboard each Common Habitat and how many logistics modules </w:t>
      </w:r>
      <w:r w:rsidR="007C6570">
        <w:t>are required by each variant for a given mission duration.</w:t>
      </w:r>
      <w:r w:rsidR="001501A5">
        <w:t xml:space="preserve">  It </w:t>
      </w:r>
      <w:r w:rsidR="001501A5">
        <w:t xml:space="preserve">also </w:t>
      </w:r>
      <w:r w:rsidR="001501A5">
        <w:t>considered the amounts of water to be stored in each variant.</w:t>
      </w:r>
      <w:r w:rsidR="00E95831">
        <w:t xml:space="preserve">  </w:t>
      </w:r>
      <w:r w:rsidR="007C6570">
        <w:t>A functional analysis identified and compared the living and working functions across th</w:t>
      </w:r>
      <w:bookmarkStart w:id="0" w:name="_GoBack"/>
      <w:bookmarkEnd w:id="0"/>
      <w:r w:rsidR="007C6570">
        <w:t>e habitat</w:t>
      </w:r>
      <w:r w:rsidR="001501A5">
        <w:t>s</w:t>
      </w:r>
      <w:r w:rsidR="007C6570">
        <w:t>, ranking them relative to each other.</w:t>
      </w:r>
      <w:r w:rsidR="00E95831">
        <w:t xml:space="preserve">  </w:t>
      </w:r>
      <w:r w:rsidR="007C6570">
        <w:t>A crew time assessment first e</w:t>
      </w:r>
      <w:r w:rsidR="007C6570" w:rsidRPr="007C6570">
        <w:t>stimated</w:t>
      </w:r>
      <w:r w:rsidR="007C6570">
        <w:t xml:space="preserve"> the</w:t>
      </w:r>
      <w:r w:rsidR="007C6570" w:rsidRPr="007C6570">
        <w:t xml:space="preserve"> </w:t>
      </w:r>
      <w:r w:rsidR="007C6570">
        <w:t xml:space="preserve">total </w:t>
      </w:r>
      <w:r w:rsidR="007C6570" w:rsidRPr="007C6570">
        <w:t>crew time</w:t>
      </w:r>
      <w:r w:rsidR="007C6570">
        <w:t>, building a weekly crew timeline for both four and eight-person crews.  It then allocated time to activities linked to living and working functions, comparing how much time was available for each function in each variant.</w:t>
      </w:r>
      <w:r w:rsidR="00E95831">
        <w:t xml:space="preserve">  A science productivity assessment developed a </w:t>
      </w:r>
      <w:r w:rsidR="00E95831" w:rsidRPr="00E95831">
        <w:t>relative metric using crew time, science stowage, and assumed rates of experiment consumables use</w:t>
      </w:r>
      <w:r w:rsidR="00E95831">
        <w:t xml:space="preserve"> to analytically compare the four variants.  It also comparatively ranked the habitats with respect to a number of subjective parameters and a workstation acceptability rating.  A maintenance capacity assessment identified and compared eleven generic maintenance capabilities across the variants and also ranked the</w:t>
      </w:r>
      <w:r w:rsidR="004E01F5">
        <w:t>m</w:t>
      </w:r>
      <w:r w:rsidR="00E95831">
        <w:t xml:space="preserve"> for their predicted ability to complete twelve fabrication, maintenance, and repair scenarios.  A contingency responsiveness analysis examined twelve serious in-flight contingencies.  </w:t>
      </w:r>
      <w:r w:rsidR="00E95831" w:rsidRPr="00E95831">
        <w:t xml:space="preserve">For each scenario, </w:t>
      </w:r>
      <w:r w:rsidR="00E95831">
        <w:t xml:space="preserve">the </w:t>
      </w:r>
      <w:r w:rsidR="00E95831" w:rsidRPr="00E95831">
        <w:t>number of crew needed to respond were predicted and acceptability of various aspects of contingency response were evaluated</w:t>
      </w:r>
      <w:r w:rsidR="00E95831">
        <w:t xml:space="preserve">, comparing the variants against each other.  Finally, in a habitability assessment, </w:t>
      </w:r>
      <w:r w:rsidR="00E95831" w:rsidRPr="00E95831">
        <w:t>120 habitability characteristics reflecting 13 major categories were evaluated for each habitat</w:t>
      </w:r>
      <w:r w:rsidR="00E95831">
        <w:t xml:space="preserve">.  These results were compared to identify the most acceptable habitat in each category.  Ultimately, the data </w:t>
      </w:r>
      <w:r w:rsidR="004E01F5">
        <w:t>favored</w:t>
      </w:r>
      <w:r w:rsidR="00E95831">
        <w:t xml:space="preserve"> the horizontal orientation over the vertical and an eight-person crew over four.  Implications of selecting this variant are discussed, including specific architectural challenges that result from the use of the full tank.</w:t>
      </w:r>
    </w:p>
    <w:sectPr w:rsidR="00E95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629B2"/>
    <w:multiLevelType w:val="hybridMultilevel"/>
    <w:tmpl w:val="AAC4D67A"/>
    <w:lvl w:ilvl="0" w:tplc="B28AFDC4">
      <w:start w:val="1"/>
      <w:numFmt w:val="bullet"/>
      <w:lvlText w:val="•"/>
      <w:lvlJc w:val="left"/>
      <w:pPr>
        <w:tabs>
          <w:tab w:val="num" w:pos="720"/>
        </w:tabs>
        <w:ind w:left="720" w:hanging="360"/>
      </w:pPr>
      <w:rPr>
        <w:rFonts w:ascii="Times New Roman" w:hAnsi="Times New Roman" w:hint="default"/>
      </w:rPr>
    </w:lvl>
    <w:lvl w:ilvl="1" w:tplc="FD508B22" w:tentative="1">
      <w:start w:val="1"/>
      <w:numFmt w:val="bullet"/>
      <w:lvlText w:val="•"/>
      <w:lvlJc w:val="left"/>
      <w:pPr>
        <w:tabs>
          <w:tab w:val="num" w:pos="1440"/>
        </w:tabs>
        <w:ind w:left="1440" w:hanging="360"/>
      </w:pPr>
      <w:rPr>
        <w:rFonts w:ascii="Times New Roman" w:hAnsi="Times New Roman" w:hint="default"/>
      </w:rPr>
    </w:lvl>
    <w:lvl w:ilvl="2" w:tplc="2C4A9144" w:tentative="1">
      <w:start w:val="1"/>
      <w:numFmt w:val="bullet"/>
      <w:lvlText w:val="•"/>
      <w:lvlJc w:val="left"/>
      <w:pPr>
        <w:tabs>
          <w:tab w:val="num" w:pos="2160"/>
        </w:tabs>
        <w:ind w:left="2160" w:hanging="360"/>
      </w:pPr>
      <w:rPr>
        <w:rFonts w:ascii="Times New Roman" w:hAnsi="Times New Roman" w:hint="default"/>
      </w:rPr>
    </w:lvl>
    <w:lvl w:ilvl="3" w:tplc="6A76D0D0" w:tentative="1">
      <w:start w:val="1"/>
      <w:numFmt w:val="bullet"/>
      <w:lvlText w:val="•"/>
      <w:lvlJc w:val="left"/>
      <w:pPr>
        <w:tabs>
          <w:tab w:val="num" w:pos="2880"/>
        </w:tabs>
        <w:ind w:left="2880" w:hanging="360"/>
      </w:pPr>
      <w:rPr>
        <w:rFonts w:ascii="Times New Roman" w:hAnsi="Times New Roman" w:hint="default"/>
      </w:rPr>
    </w:lvl>
    <w:lvl w:ilvl="4" w:tplc="50ECF52E" w:tentative="1">
      <w:start w:val="1"/>
      <w:numFmt w:val="bullet"/>
      <w:lvlText w:val="•"/>
      <w:lvlJc w:val="left"/>
      <w:pPr>
        <w:tabs>
          <w:tab w:val="num" w:pos="3600"/>
        </w:tabs>
        <w:ind w:left="3600" w:hanging="360"/>
      </w:pPr>
      <w:rPr>
        <w:rFonts w:ascii="Times New Roman" w:hAnsi="Times New Roman" w:hint="default"/>
      </w:rPr>
    </w:lvl>
    <w:lvl w:ilvl="5" w:tplc="7990EACE" w:tentative="1">
      <w:start w:val="1"/>
      <w:numFmt w:val="bullet"/>
      <w:lvlText w:val="•"/>
      <w:lvlJc w:val="left"/>
      <w:pPr>
        <w:tabs>
          <w:tab w:val="num" w:pos="4320"/>
        </w:tabs>
        <w:ind w:left="4320" w:hanging="360"/>
      </w:pPr>
      <w:rPr>
        <w:rFonts w:ascii="Times New Roman" w:hAnsi="Times New Roman" w:hint="default"/>
      </w:rPr>
    </w:lvl>
    <w:lvl w:ilvl="6" w:tplc="5F4C4772" w:tentative="1">
      <w:start w:val="1"/>
      <w:numFmt w:val="bullet"/>
      <w:lvlText w:val="•"/>
      <w:lvlJc w:val="left"/>
      <w:pPr>
        <w:tabs>
          <w:tab w:val="num" w:pos="5040"/>
        </w:tabs>
        <w:ind w:left="5040" w:hanging="360"/>
      </w:pPr>
      <w:rPr>
        <w:rFonts w:ascii="Times New Roman" w:hAnsi="Times New Roman" w:hint="default"/>
      </w:rPr>
    </w:lvl>
    <w:lvl w:ilvl="7" w:tplc="5854E636" w:tentative="1">
      <w:start w:val="1"/>
      <w:numFmt w:val="bullet"/>
      <w:lvlText w:val="•"/>
      <w:lvlJc w:val="left"/>
      <w:pPr>
        <w:tabs>
          <w:tab w:val="num" w:pos="5760"/>
        </w:tabs>
        <w:ind w:left="5760" w:hanging="360"/>
      </w:pPr>
      <w:rPr>
        <w:rFonts w:ascii="Times New Roman" w:hAnsi="Times New Roman" w:hint="default"/>
      </w:rPr>
    </w:lvl>
    <w:lvl w:ilvl="8" w:tplc="3796F98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36424ECB"/>
    <w:multiLevelType w:val="hybridMultilevel"/>
    <w:tmpl w:val="221CEE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AB7321C"/>
    <w:multiLevelType w:val="hybridMultilevel"/>
    <w:tmpl w:val="1F102FF8"/>
    <w:lvl w:ilvl="0" w:tplc="C368E4A0">
      <w:start w:val="1"/>
      <w:numFmt w:val="bullet"/>
      <w:lvlText w:val="–"/>
      <w:lvlJc w:val="left"/>
      <w:pPr>
        <w:tabs>
          <w:tab w:val="num" w:pos="720"/>
        </w:tabs>
        <w:ind w:left="720" w:hanging="360"/>
      </w:pPr>
      <w:rPr>
        <w:rFonts w:ascii="Times New Roman" w:hAnsi="Times New Roman" w:hint="default"/>
      </w:rPr>
    </w:lvl>
    <w:lvl w:ilvl="1" w:tplc="616E5026">
      <w:start w:val="1"/>
      <w:numFmt w:val="bullet"/>
      <w:lvlText w:val="–"/>
      <w:lvlJc w:val="left"/>
      <w:pPr>
        <w:tabs>
          <w:tab w:val="num" w:pos="1440"/>
        </w:tabs>
        <w:ind w:left="1440" w:hanging="360"/>
      </w:pPr>
      <w:rPr>
        <w:rFonts w:ascii="Times New Roman" w:hAnsi="Times New Roman" w:hint="default"/>
      </w:rPr>
    </w:lvl>
    <w:lvl w:ilvl="2" w:tplc="3F46C1C4" w:tentative="1">
      <w:start w:val="1"/>
      <w:numFmt w:val="bullet"/>
      <w:lvlText w:val="–"/>
      <w:lvlJc w:val="left"/>
      <w:pPr>
        <w:tabs>
          <w:tab w:val="num" w:pos="2160"/>
        </w:tabs>
        <w:ind w:left="2160" w:hanging="360"/>
      </w:pPr>
      <w:rPr>
        <w:rFonts w:ascii="Times New Roman" w:hAnsi="Times New Roman" w:hint="default"/>
      </w:rPr>
    </w:lvl>
    <w:lvl w:ilvl="3" w:tplc="EF845D44" w:tentative="1">
      <w:start w:val="1"/>
      <w:numFmt w:val="bullet"/>
      <w:lvlText w:val="–"/>
      <w:lvlJc w:val="left"/>
      <w:pPr>
        <w:tabs>
          <w:tab w:val="num" w:pos="2880"/>
        </w:tabs>
        <w:ind w:left="2880" w:hanging="360"/>
      </w:pPr>
      <w:rPr>
        <w:rFonts w:ascii="Times New Roman" w:hAnsi="Times New Roman" w:hint="default"/>
      </w:rPr>
    </w:lvl>
    <w:lvl w:ilvl="4" w:tplc="88D2705A" w:tentative="1">
      <w:start w:val="1"/>
      <w:numFmt w:val="bullet"/>
      <w:lvlText w:val="–"/>
      <w:lvlJc w:val="left"/>
      <w:pPr>
        <w:tabs>
          <w:tab w:val="num" w:pos="3600"/>
        </w:tabs>
        <w:ind w:left="3600" w:hanging="360"/>
      </w:pPr>
      <w:rPr>
        <w:rFonts w:ascii="Times New Roman" w:hAnsi="Times New Roman" w:hint="default"/>
      </w:rPr>
    </w:lvl>
    <w:lvl w:ilvl="5" w:tplc="B710641A" w:tentative="1">
      <w:start w:val="1"/>
      <w:numFmt w:val="bullet"/>
      <w:lvlText w:val="–"/>
      <w:lvlJc w:val="left"/>
      <w:pPr>
        <w:tabs>
          <w:tab w:val="num" w:pos="4320"/>
        </w:tabs>
        <w:ind w:left="4320" w:hanging="360"/>
      </w:pPr>
      <w:rPr>
        <w:rFonts w:ascii="Times New Roman" w:hAnsi="Times New Roman" w:hint="default"/>
      </w:rPr>
    </w:lvl>
    <w:lvl w:ilvl="6" w:tplc="990CCEBC" w:tentative="1">
      <w:start w:val="1"/>
      <w:numFmt w:val="bullet"/>
      <w:lvlText w:val="–"/>
      <w:lvlJc w:val="left"/>
      <w:pPr>
        <w:tabs>
          <w:tab w:val="num" w:pos="5040"/>
        </w:tabs>
        <w:ind w:left="5040" w:hanging="360"/>
      </w:pPr>
      <w:rPr>
        <w:rFonts w:ascii="Times New Roman" w:hAnsi="Times New Roman" w:hint="default"/>
      </w:rPr>
    </w:lvl>
    <w:lvl w:ilvl="7" w:tplc="7C14A4FA" w:tentative="1">
      <w:start w:val="1"/>
      <w:numFmt w:val="bullet"/>
      <w:lvlText w:val="–"/>
      <w:lvlJc w:val="left"/>
      <w:pPr>
        <w:tabs>
          <w:tab w:val="num" w:pos="5760"/>
        </w:tabs>
        <w:ind w:left="5760" w:hanging="360"/>
      </w:pPr>
      <w:rPr>
        <w:rFonts w:ascii="Times New Roman" w:hAnsi="Times New Roman" w:hint="default"/>
      </w:rPr>
    </w:lvl>
    <w:lvl w:ilvl="8" w:tplc="802EF11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673E79B2"/>
    <w:multiLevelType w:val="hybridMultilevel"/>
    <w:tmpl w:val="07D84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40480D"/>
    <w:multiLevelType w:val="multilevel"/>
    <w:tmpl w:val="512C6194"/>
    <w:styleLink w:val="TechnicalPaper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5" w15:restartNumberingAfterBreak="0">
    <w:nsid w:val="732E6AF3"/>
    <w:multiLevelType w:val="multilevel"/>
    <w:tmpl w:val="512C6194"/>
    <w:numStyleLink w:val="TechnicalPaperOutline"/>
  </w:abstractNum>
  <w:num w:numId="1">
    <w:abstractNumId w:val="4"/>
  </w:num>
  <w:num w:numId="2">
    <w:abstractNumId w:val="5"/>
  </w:num>
  <w:num w:numId="3">
    <w:abstractNumId w:val="3"/>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E0E"/>
    <w:rsid w:val="001501A5"/>
    <w:rsid w:val="001970F6"/>
    <w:rsid w:val="0023533C"/>
    <w:rsid w:val="003B61E2"/>
    <w:rsid w:val="00443AD9"/>
    <w:rsid w:val="00487EAC"/>
    <w:rsid w:val="004E01F5"/>
    <w:rsid w:val="006271D6"/>
    <w:rsid w:val="0067220D"/>
    <w:rsid w:val="006913EF"/>
    <w:rsid w:val="006D0D0A"/>
    <w:rsid w:val="00787E59"/>
    <w:rsid w:val="007C6570"/>
    <w:rsid w:val="00833EE2"/>
    <w:rsid w:val="00A1208A"/>
    <w:rsid w:val="00B76002"/>
    <w:rsid w:val="00BA539B"/>
    <w:rsid w:val="00BF4D96"/>
    <w:rsid w:val="00C57D89"/>
    <w:rsid w:val="00CF6E0E"/>
    <w:rsid w:val="00D73B3C"/>
    <w:rsid w:val="00D915A8"/>
    <w:rsid w:val="00DA43EC"/>
    <w:rsid w:val="00E95831"/>
    <w:rsid w:val="00ED4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878C6"/>
  <w15:chartTrackingRefBased/>
  <w15:docId w15:val="{AF0D07D3-3775-4B6C-A2A6-E7E1A76AD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echnicalPaperOutline">
    <w:name w:val="Technical Paper Outline"/>
    <w:uiPriority w:val="99"/>
    <w:rsid w:val="001970F6"/>
    <w:pPr>
      <w:numPr>
        <w:numId w:val="1"/>
      </w:numPr>
    </w:pPr>
  </w:style>
  <w:style w:type="paragraph" w:styleId="ListParagraph">
    <w:name w:val="List Paragraph"/>
    <w:basedOn w:val="Normal"/>
    <w:uiPriority w:val="34"/>
    <w:qFormat/>
    <w:rsid w:val="00CF6E0E"/>
    <w:pPr>
      <w:ind w:left="720"/>
      <w:contextualSpacing/>
    </w:pPr>
  </w:style>
  <w:style w:type="paragraph" w:styleId="BalloonText">
    <w:name w:val="Balloon Text"/>
    <w:basedOn w:val="Normal"/>
    <w:link w:val="BalloonTextChar"/>
    <w:uiPriority w:val="99"/>
    <w:semiHidden/>
    <w:unhideWhenUsed/>
    <w:rsid w:val="00A120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20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007670">
      <w:bodyDiv w:val="1"/>
      <w:marLeft w:val="0"/>
      <w:marRight w:val="0"/>
      <w:marTop w:val="0"/>
      <w:marBottom w:val="0"/>
      <w:divBdr>
        <w:top w:val="none" w:sz="0" w:space="0" w:color="auto"/>
        <w:left w:val="none" w:sz="0" w:space="0" w:color="auto"/>
        <w:bottom w:val="none" w:sz="0" w:space="0" w:color="auto"/>
        <w:right w:val="none" w:sz="0" w:space="0" w:color="auto"/>
      </w:divBdr>
      <w:divsChild>
        <w:div w:id="2057386035">
          <w:marLeft w:val="547"/>
          <w:marRight w:val="0"/>
          <w:marTop w:val="106"/>
          <w:marBottom w:val="0"/>
          <w:divBdr>
            <w:top w:val="none" w:sz="0" w:space="0" w:color="auto"/>
            <w:left w:val="none" w:sz="0" w:space="0" w:color="auto"/>
            <w:bottom w:val="none" w:sz="0" w:space="0" w:color="auto"/>
            <w:right w:val="none" w:sz="0" w:space="0" w:color="auto"/>
          </w:divBdr>
        </w:div>
      </w:divsChild>
    </w:div>
    <w:div w:id="1700664317">
      <w:bodyDiv w:val="1"/>
      <w:marLeft w:val="0"/>
      <w:marRight w:val="0"/>
      <w:marTop w:val="0"/>
      <w:marBottom w:val="0"/>
      <w:divBdr>
        <w:top w:val="none" w:sz="0" w:space="0" w:color="auto"/>
        <w:left w:val="none" w:sz="0" w:space="0" w:color="auto"/>
        <w:bottom w:val="none" w:sz="0" w:space="0" w:color="auto"/>
        <w:right w:val="none" w:sz="0" w:space="0" w:color="auto"/>
      </w:divBdr>
      <w:divsChild>
        <w:div w:id="1148785311">
          <w:marLeft w:val="1166"/>
          <w:marRight w:val="0"/>
          <w:marTop w:val="9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516</Words>
  <Characters>2958</Characters>
  <Application>Microsoft Office Word</Application>
  <DocSecurity>0</DocSecurity>
  <Lines>62</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Robert L. (JSC-SF311)</dc:creator>
  <cp:keywords/>
  <dc:description/>
  <cp:lastModifiedBy>Howard, Robert L. (JSC-SF311)</cp:lastModifiedBy>
  <cp:revision>4</cp:revision>
  <dcterms:created xsi:type="dcterms:W3CDTF">2021-07-03T05:59:00Z</dcterms:created>
  <dcterms:modified xsi:type="dcterms:W3CDTF">2021-07-05T18:04:00Z</dcterms:modified>
</cp:coreProperties>
</file>