
<file path=[Content_Types].xml><?xml version="1.0" encoding="utf-8"?>
<Types xmlns="http://schemas.openxmlformats.org/package/2006/content-types">
  <Default Extension="(null)" ContentType="image/x-emf"/>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09F44A" w14:textId="77777777" w:rsidR="00FA3F56" w:rsidRPr="005A0574" w:rsidRDefault="00FA3F56" w:rsidP="00FA3F56">
      <w:pPr>
        <w:pStyle w:val="Title"/>
        <w:spacing w:before="120" w:after="120"/>
      </w:pPr>
      <w:r w:rsidRPr="005A0574">
        <w:t>The GF Convection Parameterization: recent developments, extensions, and applications</w:t>
      </w:r>
    </w:p>
    <w:p w14:paraId="53EDB2EB" w14:textId="77777777" w:rsidR="00FA3F56" w:rsidRPr="005A0574" w:rsidRDefault="00FA3F56" w:rsidP="00FA3F56">
      <w:pPr>
        <w:pStyle w:val="Authors"/>
        <w:rPr>
          <w:vertAlign w:val="superscript"/>
          <w:lang w:val="en-US"/>
        </w:rPr>
      </w:pPr>
      <w:r w:rsidRPr="005A0574">
        <w:rPr>
          <w:lang w:val="en-US"/>
        </w:rPr>
        <w:t xml:space="preserve"> Saulo R. Freitas</w:t>
      </w:r>
      <w:r w:rsidRPr="005A0574">
        <w:rPr>
          <w:vertAlign w:val="superscript"/>
          <w:lang w:val="en-US"/>
        </w:rPr>
        <w:t>1,2</w:t>
      </w:r>
      <w:r w:rsidRPr="005A0574">
        <w:rPr>
          <w:lang w:val="en-US"/>
        </w:rPr>
        <w:t>, Georg A. Grell</w:t>
      </w:r>
      <w:r w:rsidRPr="005A0574">
        <w:rPr>
          <w:vertAlign w:val="superscript"/>
          <w:lang w:val="en-US"/>
        </w:rPr>
        <w:t>3</w:t>
      </w:r>
      <w:r w:rsidRPr="005A0574">
        <w:rPr>
          <w:lang w:val="en-US"/>
        </w:rPr>
        <w:t xml:space="preserve">, and </w:t>
      </w:r>
      <w:proofErr w:type="spellStart"/>
      <w:r w:rsidRPr="005A0574">
        <w:rPr>
          <w:lang w:val="en-US"/>
        </w:rPr>
        <w:t>Haiqin</w:t>
      </w:r>
      <w:proofErr w:type="spellEnd"/>
      <w:r w:rsidRPr="005A0574">
        <w:rPr>
          <w:lang w:val="en-US"/>
        </w:rPr>
        <w:t xml:space="preserve"> Li</w:t>
      </w:r>
      <w:r w:rsidRPr="005A0574">
        <w:rPr>
          <w:vertAlign w:val="superscript"/>
          <w:lang w:val="en-US"/>
        </w:rPr>
        <w:t>3,4</w:t>
      </w:r>
    </w:p>
    <w:p w14:paraId="60F5BAE9" w14:textId="77777777" w:rsidR="00FA3F56" w:rsidRPr="005A0574" w:rsidRDefault="00FA3F56" w:rsidP="00FA3F56">
      <w:pPr>
        <w:pStyle w:val="Affiliation"/>
        <w:rPr>
          <w:vertAlign w:val="superscript"/>
          <w:lang w:val="en-US"/>
        </w:rPr>
      </w:pPr>
    </w:p>
    <w:p w14:paraId="4E1058CE" w14:textId="77777777" w:rsidR="00FA3F56" w:rsidRPr="005A0574" w:rsidRDefault="00FA3F56" w:rsidP="00FA3F56">
      <w:pPr>
        <w:pStyle w:val="Affiliation"/>
        <w:rPr>
          <w:lang w:val="en-US"/>
        </w:rPr>
      </w:pPr>
      <w:r w:rsidRPr="005A0574">
        <w:rPr>
          <w:vertAlign w:val="superscript"/>
          <w:lang w:val="en-US"/>
        </w:rPr>
        <w:t>1</w:t>
      </w:r>
      <w:r w:rsidRPr="005A0574">
        <w:rPr>
          <w:lang w:val="en-US"/>
        </w:rPr>
        <w:t xml:space="preserve">Goddard Earth Sciences Technology and Research, Universities Space Research Association, Columbia, MD, USA </w:t>
      </w:r>
    </w:p>
    <w:p w14:paraId="642BC0B5" w14:textId="77777777" w:rsidR="00FA3F56" w:rsidRPr="005A0574" w:rsidRDefault="00FA3F56" w:rsidP="00FA3F56">
      <w:pPr>
        <w:pStyle w:val="Affiliation"/>
        <w:rPr>
          <w:lang w:val="en-US"/>
        </w:rPr>
      </w:pPr>
      <w:r w:rsidRPr="005A0574">
        <w:rPr>
          <w:vertAlign w:val="superscript"/>
          <w:lang w:val="en-US"/>
        </w:rPr>
        <w:t>2</w:t>
      </w:r>
      <w:r w:rsidRPr="005A0574">
        <w:rPr>
          <w:lang w:val="en-US"/>
        </w:rPr>
        <w:t>Global Modeling and Assimilation Office, NASA Goddard Space Flight Center, Greenbelt, MD, USA</w:t>
      </w:r>
    </w:p>
    <w:p w14:paraId="7D8CD2D7" w14:textId="66A086D6" w:rsidR="00FA3F56" w:rsidRPr="005A0574" w:rsidRDefault="00FA3F56" w:rsidP="00FA3F56">
      <w:pPr>
        <w:pStyle w:val="Affiliation"/>
        <w:rPr>
          <w:lang w:val="en-US"/>
        </w:rPr>
      </w:pPr>
      <w:r w:rsidRPr="005A0574">
        <w:rPr>
          <w:vertAlign w:val="superscript"/>
          <w:lang w:val="en-US"/>
        </w:rPr>
        <w:t>3</w:t>
      </w:r>
      <w:r w:rsidRPr="005A0574">
        <w:rPr>
          <w:lang w:val="en-US"/>
        </w:rPr>
        <w:t>Earth Systems Research Laboratory</w:t>
      </w:r>
      <w:r w:rsidR="0043259D">
        <w:rPr>
          <w:lang w:val="en-US"/>
        </w:rPr>
        <w:t>,</w:t>
      </w:r>
      <w:r w:rsidRPr="005A0574">
        <w:rPr>
          <w:lang w:val="en-US"/>
        </w:rPr>
        <w:t xml:space="preserve"> National Oceanic and Atmospheric Administration, Boulder, CO, USA</w:t>
      </w:r>
    </w:p>
    <w:p w14:paraId="1E81824F" w14:textId="77777777" w:rsidR="00FA3F56" w:rsidRPr="005A0574" w:rsidRDefault="00FA3F56" w:rsidP="00FA3F56">
      <w:pPr>
        <w:pStyle w:val="Affiliation"/>
        <w:rPr>
          <w:lang w:val="en-US"/>
        </w:rPr>
      </w:pPr>
      <w:r w:rsidRPr="005A0574">
        <w:rPr>
          <w:vertAlign w:val="superscript"/>
          <w:lang w:val="en-US"/>
        </w:rPr>
        <w:t>4</w:t>
      </w:r>
      <w:r w:rsidRPr="005A0574">
        <w:rPr>
          <w:lang w:val="en-US"/>
        </w:rPr>
        <w:t>Cooperative Institute for Research in Environmental Sciences, University of Colorado Boulder, Boulder, CO, USA</w:t>
      </w:r>
    </w:p>
    <w:p w14:paraId="6970E272" w14:textId="77777777" w:rsidR="00FA3F56" w:rsidRPr="005A0574" w:rsidRDefault="00FA3F56" w:rsidP="00FA3F56">
      <w:pPr>
        <w:pStyle w:val="Affiliation"/>
        <w:rPr>
          <w:lang w:val="en-US"/>
        </w:rPr>
      </w:pPr>
    </w:p>
    <w:p w14:paraId="2AAC0FC6" w14:textId="77777777" w:rsidR="00FA3F56" w:rsidRPr="00660988" w:rsidRDefault="00FA3F56" w:rsidP="00FA3F56">
      <w:pPr>
        <w:pStyle w:val="Correspondence"/>
        <w:rPr>
          <w:lang w:val="pt-BR"/>
        </w:rPr>
      </w:pPr>
      <w:proofErr w:type="spellStart"/>
      <w:r w:rsidRPr="00660988">
        <w:rPr>
          <w:i/>
          <w:lang w:val="pt-BR"/>
        </w:rPr>
        <w:t>Correspondence</w:t>
      </w:r>
      <w:proofErr w:type="spellEnd"/>
      <w:r w:rsidRPr="00660988">
        <w:rPr>
          <w:i/>
          <w:lang w:val="pt-BR"/>
        </w:rPr>
        <w:t xml:space="preserve"> </w:t>
      </w:r>
      <w:proofErr w:type="spellStart"/>
      <w:r w:rsidRPr="00660988">
        <w:rPr>
          <w:i/>
          <w:lang w:val="pt-BR"/>
        </w:rPr>
        <w:t>to</w:t>
      </w:r>
      <w:proofErr w:type="spellEnd"/>
      <w:r w:rsidRPr="00660988">
        <w:rPr>
          <w:lang w:val="pt-BR"/>
        </w:rPr>
        <w:t>: Saulo R. Freitas (saulo.r.freitas@nasa.gov)</w:t>
      </w:r>
    </w:p>
    <w:p w14:paraId="25E5E909" w14:textId="41FEC170" w:rsidR="00FA3F56" w:rsidRPr="005A0574" w:rsidRDefault="00FA3F56" w:rsidP="00FA3F56">
      <w:pPr>
        <w:rPr>
          <w:szCs w:val="20"/>
        </w:rPr>
      </w:pPr>
      <w:r w:rsidRPr="005A0574">
        <w:rPr>
          <w:b/>
          <w:szCs w:val="20"/>
        </w:rPr>
        <w:t>Abstract</w:t>
      </w:r>
      <w:r w:rsidRPr="005A0574">
        <w:rPr>
          <w:szCs w:val="20"/>
        </w:rPr>
        <w:t>.</w:t>
      </w:r>
      <w:r w:rsidR="002E4F03">
        <w:rPr>
          <w:szCs w:val="20"/>
        </w:rPr>
        <w:t xml:space="preserve"> R</w:t>
      </w:r>
      <w:r w:rsidR="00856008" w:rsidRPr="005A0574">
        <w:rPr>
          <w:szCs w:val="20"/>
        </w:rPr>
        <w:t>ecent developments</w:t>
      </w:r>
      <w:r w:rsidR="00D764DD">
        <w:rPr>
          <w:szCs w:val="20"/>
        </w:rPr>
        <w:t xml:space="preserve"> and options</w:t>
      </w:r>
      <w:r w:rsidR="00856008" w:rsidRPr="005A0574">
        <w:rPr>
          <w:szCs w:val="20"/>
        </w:rPr>
        <w:t xml:space="preserve"> in the GF (Grell and Freitas, 2014, Freitas et al., 2018) convection parameterization</w:t>
      </w:r>
      <w:r w:rsidR="002E4F03">
        <w:rPr>
          <w:szCs w:val="20"/>
        </w:rPr>
        <w:t xml:space="preserve"> </w:t>
      </w:r>
      <w:proofErr w:type="gramStart"/>
      <w:r w:rsidR="002E4F03">
        <w:rPr>
          <w:szCs w:val="20"/>
        </w:rPr>
        <w:t>are</w:t>
      </w:r>
      <w:proofErr w:type="gramEnd"/>
      <w:r w:rsidR="002E4F03">
        <w:rPr>
          <w:szCs w:val="20"/>
        </w:rPr>
        <w:t xml:space="preserve"> presented</w:t>
      </w:r>
      <w:r w:rsidR="0043259D">
        <w:rPr>
          <w:szCs w:val="20"/>
        </w:rPr>
        <w:t>.</w:t>
      </w:r>
      <w:r w:rsidR="00856008" w:rsidRPr="005A0574">
        <w:rPr>
          <w:szCs w:val="20"/>
        </w:rPr>
        <w:t xml:space="preserve"> The parameterization has been expanded to a trimodal spectral size to simulate three convection modes: shallow, congestus and deep. In contrast to usual entrainment/detrainment assumptions, we assume that </w:t>
      </w:r>
      <w:r w:rsidR="00DF1FF6">
        <w:rPr>
          <w:szCs w:val="20"/>
        </w:rPr>
        <w:t xml:space="preserve">Beta Functions (BFs), commonly </w:t>
      </w:r>
      <w:r w:rsidR="002E4F03">
        <w:rPr>
          <w:szCs w:val="20"/>
        </w:rPr>
        <w:t>applied</w:t>
      </w:r>
      <w:r w:rsidR="00DF1FF6">
        <w:rPr>
          <w:szCs w:val="20"/>
        </w:rPr>
        <w:t xml:space="preserve"> to represent </w:t>
      </w:r>
      <w:r w:rsidR="00856008" w:rsidRPr="005A0574">
        <w:rPr>
          <w:szCs w:val="20"/>
        </w:rPr>
        <w:t>Probability Density Functions (PDF’s)</w:t>
      </w:r>
      <w:r w:rsidR="00ED7A07">
        <w:rPr>
          <w:szCs w:val="20"/>
        </w:rPr>
        <w:t>,</w:t>
      </w:r>
      <w:r w:rsidR="00856008" w:rsidRPr="005A0574">
        <w:rPr>
          <w:szCs w:val="20"/>
        </w:rPr>
        <w:t xml:space="preserve"> can be used to characterize the vertical mass flux profiles for the three modes, and use the </w:t>
      </w:r>
      <w:r w:rsidR="00DF1FF6">
        <w:rPr>
          <w:szCs w:val="20"/>
        </w:rPr>
        <w:t>BFs</w:t>
      </w:r>
      <w:r w:rsidR="00DF1FF6" w:rsidRPr="005A0574">
        <w:rPr>
          <w:szCs w:val="20"/>
        </w:rPr>
        <w:t xml:space="preserve"> </w:t>
      </w:r>
      <w:r w:rsidR="00856008" w:rsidRPr="005A0574">
        <w:rPr>
          <w:szCs w:val="20"/>
        </w:rPr>
        <w:t xml:space="preserve">to derive entrainment and detrainment rates. We also added a new closure for non-equilibrium convection that improved the simulation of the diurnal cycle of convection, with </w:t>
      </w:r>
      <w:r w:rsidR="00485F62">
        <w:rPr>
          <w:szCs w:val="20"/>
        </w:rPr>
        <w:t xml:space="preserve">a </w:t>
      </w:r>
      <w:r w:rsidR="00856008" w:rsidRPr="005A0574">
        <w:rPr>
          <w:szCs w:val="20"/>
        </w:rPr>
        <w:t xml:space="preserve">better representation of the transition from shallow to deep convection regimes over land. The transport of chemical constituents (including wet deposition) can be treated inside the GF scheme. </w:t>
      </w:r>
      <w:r w:rsidR="00F968D9">
        <w:rPr>
          <w:szCs w:val="20"/>
        </w:rPr>
        <w:t>The tracer</w:t>
      </w:r>
      <w:r w:rsidR="00682FCE">
        <w:rPr>
          <w:szCs w:val="20"/>
        </w:rPr>
        <w:t xml:space="preserve"> t</w:t>
      </w:r>
      <w:r w:rsidR="00856008" w:rsidRPr="005A0574">
        <w:rPr>
          <w:szCs w:val="20"/>
        </w:rPr>
        <w:t>ransport is handled in flux form and is mass conserving. Finally, the cloud microphysics has been extended to include the ice phase to simulate the conversion from liquid water to ice in updrafts with resulting additional heat release and the melting from snow to rain.</w:t>
      </w:r>
    </w:p>
    <w:p w14:paraId="202E3209" w14:textId="77777777" w:rsidR="00FA3F56" w:rsidRPr="005A0574" w:rsidRDefault="00FA3F56" w:rsidP="00FA3F56">
      <w:pPr>
        <w:pStyle w:val="Heading1"/>
        <w:spacing w:after="120"/>
        <w:ind w:left="432" w:hanging="432"/>
      </w:pPr>
      <w:r w:rsidRPr="005A0574">
        <w:t>Introduction</w:t>
      </w:r>
    </w:p>
    <w:p w14:paraId="4A7393A6" w14:textId="2E308386" w:rsidR="002E4F03" w:rsidRDefault="00FA3F56" w:rsidP="00FA3F56">
      <w:pPr>
        <w:ind w:firstLine="432"/>
        <w:rPr>
          <w:rFonts w:cs="Times"/>
          <w:color w:val="141413"/>
          <w:szCs w:val="20"/>
        </w:rPr>
      </w:pPr>
      <w:r w:rsidRPr="005A0574">
        <w:rPr>
          <w:szCs w:val="20"/>
        </w:rPr>
        <w:t xml:space="preserve">Convection </w:t>
      </w:r>
      <w:r w:rsidR="0043259D">
        <w:rPr>
          <w:szCs w:val="20"/>
        </w:rPr>
        <w:t>p</w:t>
      </w:r>
      <w:r w:rsidRPr="005A0574">
        <w:rPr>
          <w:szCs w:val="20"/>
        </w:rPr>
        <w:t xml:space="preserve">arameterizations (CPs) are components of atmospheric models that aim to represent the statistical effects of a </w:t>
      </w:r>
      <w:proofErr w:type="spellStart"/>
      <w:r w:rsidRPr="005A0574">
        <w:rPr>
          <w:szCs w:val="20"/>
        </w:rPr>
        <w:t>subgrid</w:t>
      </w:r>
      <w:proofErr w:type="spellEnd"/>
      <w:r w:rsidR="00F96CA4">
        <w:rPr>
          <w:szCs w:val="20"/>
        </w:rPr>
        <w:t>-</w:t>
      </w:r>
      <w:r w:rsidRPr="005A0574">
        <w:rPr>
          <w:szCs w:val="20"/>
        </w:rPr>
        <w:t xml:space="preserve">scale ensemble of convective clouds. </w:t>
      </w:r>
      <w:r w:rsidR="00F96CA4">
        <w:rPr>
          <w:szCs w:val="20"/>
        </w:rPr>
        <w:t xml:space="preserve">They are </w:t>
      </w:r>
      <w:r w:rsidRPr="005A0574">
        <w:rPr>
          <w:szCs w:val="20"/>
        </w:rPr>
        <w:t>necessary in models in which the spatial resolution is not sufficient to resolve the convective circulations.</w:t>
      </w:r>
      <w:r w:rsidRPr="005A0574">
        <w:t xml:space="preserve"> These parameterizations often differ fundamentally in closure assumptions and parameters used to solve the interaction problem, leading to a large spread and uncertainty in possible solutions. </w:t>
      </w:r>
      <w:bookmarkStart w:id="0" w:name="_Hlk78385257"/>
    </w:p>
    <w:p w14:paraId="144F7BFF" w14:textId="5B7DDE13" w:rsidR="00573632" w:rsidRDefault="002E4F03" w:rsidP="00573632">
      <w:pPr>
        <w:ind w:firstLine="432"/>
        <w:rPr>
          <w:rFonts w:eastAsiaTheme="minorEastAsia"/>
          <w:color w:val="191A18"/>
        </w:rPr>
      </w:pPr>
      <w:r w:rsidRPr="005A0574">
        <w:rPr>
          <w:rFonts w:cs="Times"/>
          <w:color w:val="141413"/>
        </w:rPr>
        <w:lastRenderedPageBreak/>
        <w:t>A seminal work by Arakawa and Schubert (1974)</w:t>
      </w:r>
      <w:r>
        <w:rPr>
          <w:rFonts w:cs="Times"/>
          <w:color w:val="141413"/>
        </w:rPr>
        <w:t xml:space="preserve"> provided the framework upon which numerous CPs were constructed.</w:t>
      </w:r>
      <w:r w:rsidRPr="005A0574" w:rsidDel="002E4F03">
        <w:rPr>
          <w:rFonts w:cs="Times"/>
          <w:color w:val="141413"/>
          <w:szCs w:val="20"/>
        </w:rPr>
        <w:t xml:space="preserve"> </w:t>
      </w:r>
      <w:bookmarkEnd w:id="0"/>
      <w:r w:rsidR="00FA3F56" w:rsidRPr="005A0574">
        <w:rPr>
          <w:rFonts w:cs="Times"/>
          <w:color w:val="141413"/>
          <w:szCs w:val="20"/>
        </w:rPr>
        <w:t xml:space="preserve">Following this, new ideas were implemented, such as including </w:t>
      </w:r>
      <w:proofErr w:type="spellStart"/>
      <w:r w:rsidR="00FA3F56" w:rsidRPr="005A0574">
        <w:rPr>
          <w:rFonts w:cs="Times"/>
          <w:color w:val="141413"/>
          <w:szCs w:val="20"/>
        </w:rPr>
        <w:t>stochasticism</w:t>
      </w:r>
      <w:proofErr w:type="spellEnd"/>
      <w:r w:rsidR="00FA3F56" w:rsidRPr="005A0574">
        <w:rPr>
          <w:rFonts w:cs="Times"/>
          <w:color w:val="141413"/>
          <w:szCs w:val="20"/>
        </w:rPr>
        <w:t xml:space="preserve"> (</w:t>
      </w:r>
      <w:proofErr w:type="spellStart"/>
      <w:r w:rsidR="00FA3F56" w:rsidRPr="005A0574">
        <w:rPr>
          <w:rFonts w:eastAsiaTheme="minorEastAsia"/>
          <w:color w:val="191A18"/>
        </w:rPr>
        <w:t>Grell</w:t>
      </w:r>
      <w:proofErr w:type="spellEnd"/>
      <w:r w:rsidR="00FA3F56" w:rsidRPr="005A0574">
        <w:rPr>
          <w:rFonts w:eastAsiaTheme="minorEastAsia"/>
          <w:color w:val="191A18"/>
        </w:rPr>
        <w:t xml:space="preserve"> and </w:t>
      </w:r>
      <w:proofErr w:type="spellStart"/>
      <w:r w:rsidR="00FA3F56" w:rsidRPr="005A0574">
        <w:rPr>
          <w:rFonts w:eastAsiaTheme="minorEastAsia"/>
          <w:color w:val="191A18"/>
        </w:rPr>
        <w:t>Devenyi</w:t>
      </w:r>
      <w:proofErr w:type="spellEnd"/>
      <w:r w:rsidR="00FA3F56" w:rsidRPr="005A0574">
        <w:rPr>
          <w:rFonts w:eastAsiaTheme="minorEastAsia"/>
          <w:color w:val="191A18"/>
        </w:rPr>
        <w:t xml:space="preserve">, 2002, Lin and </w:t>
      </w:r>
      <w:proofErr w:type="spellStart"/>
      <w:r w:rsidR="00FA3F56" w:rsidRPr="005A0574">
        <w:rPr>
          <w:rFonts w:eastAsiaTheme="minorEastAsia"/>
          <w:color w:val="191A18"/>
        </w:rPr>
        <w:t>Neelin</w:t>
      </w:r>
      <w:proofErr w:type="spellEnd"/>
      <w:r w:rsidR="00FA3F56" w:rsidRPr="005A0574">
        <w:rPr>
          <w:rFonts w:eastAsiaTheme="minorEastAsia"/>
          <w:color w:val="191A18"/>
        </w:rPr>
        <w:t xml:space="preserve">, 2003), and the super parameterization approach (Grabowski and </w:t>
      </w:r>
      <w:proofErr w:type="spellStart"/>
      <w:r w:rsidR="00FA3F56" w:rsidRPr="005A0574">
        <w:rPr>
          <w:rFonts w:eastAsiaTheme="minorEastAsia"/>
          <w:color w:val="191A18"/>
        </w:rPr>
        <w:t>Smolarkiewicz</w:t>
      </w:r>
      <w:proofErr w:type="spellEnd"/>
      <w:r w:rsidR="00FA3F56" w:rsidRPr="005A0574">
        <w:rPr>
          <w:rFonts w:eastAsiaTheme="minorEastAsia"/>
          <w:color w:val="191A18"/>
        </w:rPr>
        <w:t>, 1999, Randall et al., 2003), to name a few.</w:t>
      </w:r>
      <w:r w:rsidR="00573632">
        <w:rPr>
          <w:rFonts w:eastAsiaTheme="minorEastAsia"/>
          <w:color w:val="191A18"/>
        </w:rPr>
        <w:t xml:space="preserve"> </w:t>
      </w:r>
      <w:r w:rsidR="0018415A" w:rsidRPr="005A0574">
        <w:rPr>
          <w:rFonts w:eastAsiaTheme="minorEastAsia"/>
          <w:color w:val="191A18"/>
        </w:rPr>
        <w:t>An additional complication is the use of convective parameterizations on so-called “gray scales,” which is gaining attention rapidly (</w:t>
      </w:r>
      <w:proofErr w:type="spellStart"/>
      <w:r w:rsidR="0018415A" w:rsidRPr="005A0574">
        <w:rPr>
          <w:rFonts w:eastAsiaTheme="minorEastAsia"/>
          <w:color w:val="191A18"/>
        </w:rPr>
        <w:t>Kuell</w:t>
      </w:r>
      <w:proofErr w:type="spellEnd"/>
      <w:r w:rsidR="0018415A" w:rsidRPr="005A0574">
        <w:rPr>
          <w:rFonts w:eastAsiaTheme="minorEastAsia"/>
          <w:color w:val="191A18"/>
        </w:rPr>
        <w:t xml:space="preserve"> et al., 2007, Mironov 2009, Gerard et al., 2009, Yano et al., 2010, Arakawa et al., 2011, </w:t>
      </w:r>
      <w:proofErr w:type="spellStart"/>
      <w:r w:rsidR="0018415A" w:rsidRPr="005A0574">
        <w:rPr>
          <w:rFonts w:eastAsiaTheme="minorEastAsia"/>
          <w:color w:val="191A18"/>
        </w:rPr>
        <w:t>Grell</w:t>
      </w:r>
      <w:proofErr w:type="spellEnd"/>
      <w:r w:rsidR="0018415A" w:rsidRPr="005A0574">
        <w:rPr>
          <w:rFonts w:eastAsiaTheme="minorEastAsia"/>
          <w:color w:val="191A18"/>
        </w:rPr>
        <w:t xml:space="preserve"> and Freitas, 2014, Kwon and Hong, 2017). </w:t>
      </w:r>
    </w:p>
    <w:p w14:paraId="00C8FC50" w14:textId="087B1B62" w:rsidR="009E39EF" w:rsidRPr="005A0574" w:rsidRDefault="0018415A" w:rsidP="00660988">
      <w:pPr>
        <w:ind w:firstLine="432"/>
      </w:pPr>
      <w:r w:rsidRPr="005A0574">
        <w:rPr>
          <w:rFonts w:eastAsiaTheme="minorEastAsia"/>
          <w:color w:val="191A18"/>
        </w:rPr>
        <w:t xml:space="preserve">The original </w:t>
      </w:r>
      <w:proofErr w:type="spellStart"/>
      <w:r w:rsidRPr="005A0574">
        <w:rPr>
          <w:rFonts w:eastAsiaTheme="minorEastAsia"/>
          <w:color w:val="191A18"/>
        </w:rPr>
        <w:t>Grell</w:t>
      </w:r>
      <w:proofErr w:type="spellEnd"/>
      <w:r w:rsidRPr="005A0574">
        <w:rPr>
          <w:rFonts w:eastAsiaTheme="minorEastAsia"/>
          <w:color w:val="191A18"/>
        </w:rPr>
        <w:t xml:space="preserve"> and Freitas (2014, hereafter GF2014) scheme was </w:t>
      </w:r>
      <w:r w:rsidRPr="005A0574">
        <w:t xml:space="preserve">based on a convective parameterization developed by Grell (1993) and expanded by </w:t>
      </w:r>
      <w:proofErr w:type="spellStart"/>
      <w:r w:rsidRPr="005A0574">
        <w:t>Grell</w:t>
      </w:r>
      <w:proofErr w:type="spellEnd"/>
      <w:r w:rsidRPr="005A0574">
        <w:t xml:space="preserve"> and </w:t>
      </w:r>
      <w:proofErr w:type="spellStart"/>
      <w:r w:rsidRPr="005A0574">
        <w:t>Devenyi</w:t>
      </w:r>
      <w:proofErr w:type="spellEnd"/>
      <w:r w:rsidRPr="005A0574">
        <w:t xml:space="preserve"> (2002, </w:t>
      </w:r>
      <w:r w:rsidRPr="005A0574">
        <w:rPr>
          <w:rFonts w:eastAsiaTheme="minorEastAsia"/>
          <w:color w:val="191A18"/>
        </w:rPr>
        <w:t xml:space="preserve">hereafter </w:t>
      </w:r>
      <w:r w:rsidRPr="005A0574">
        <w:t xml:space="preserve">GD2002) to include </w:t>
      </w:r>
      <w:proofErr w:type="spellStart"/>
      <w:r w:rsidRPr="005A0574">
        <w:t>stochasticism</w:t>
      </w:r>
      <w:proofErr w:type="spellEnd"/>
      <w:r w:rsidRPr="005A0574">
        <w:t xml:space="preserve"> by expanding the original scheme to allow for a series of different assumptions that are commonly used in convective parameterizations and that have proven to lead to large sensitivity in model simulations. In GF, scale awareness (following Arakawa et al. 2011) was added for application on “gray scales”, </w:t>
      </w:r>
      <w:r w:rsidR="0032228E">
        <w:t>scales at which convection is partially resolved.  A</w:t>
      </w:r>
      <w:r w:rsidRPr="005A0574">
        <w:t xml:space="preserve">erosol awareness was implemented by including a Cloud Condensation Nuclei (CCN) dependence </w:t>
      </w:r>
      <w:r w:rsidR="0032228E">
        <w:t xml:space="preserve">for </w:t>
      </w:r>
      <w:r w:rsidR="00ED7A07">
        <w:t xml:space="preserve">the </w:t>
      </w:r>
      <w:r w:rsidR="00ED7A07" w:rsidRPr="005A0574">
        <w:t>conversion</w:t>
      </w:r>
      <w:r w:rsidRPr="005A0574">
        <w:t xml:space="preserve"> from cloud water to rainwater</w:t>
      </w:r>
      <w:r w:rsidR="0032228E">
        <w:t>,</w:t>
      </w:r>
      <w:r w:rsidRPr="005A0574">
        <w:t xml:space="preserve"> in addition to using an empirical approach that relates precipitation efficiency to CCN.</w:t>
      </w:r>
    </w:p>
    <w:p w14:paraId="7CA9F174" w14:textId="0D03925A" w:rsidR="009E2B3D" w:rsidRPr="005A0574" w:rsidRDefault="00F968D9" w:rsidP="009E2B3D">
      <w:r>
        <w:t xml:space="preserve">The </w:t>
      </w:r>
      <w:r w:rsidR="009E2B3D" w:rsidRPr="005A0574">
        <w:t>GF</w:t>
      </w:r>
      <w:r>
        <w:t xml:space="preserve"> has been</w:t>
      </w:r>
      <w:r w:rsidR="009E2B3D" w:rsidRPr="005A0574">
        <w:t xml:space="preserve"> used operational</w:t>
      </w:r>
      <w:r w:rsidR="0032228E">
        <w:t>ly</w:t>
      </w:r>
      <w:r w:rsidR="009E2B3D" w:rsidRPr="005A0574">
        <w:t xml:space="preserve"> in the Rapid Refresh </w:t>
      </w:r>
      <w:r w:rsidR="0032228E">
        <w:t xml:space="preserve">prediction system </w:t>
      </w:r>
      <w:r w:rsidR="009E2B3D" w:rsidRPr="005A0574">
        <w:t xml:space="preserve">(RAP, Benjamin et al. 2016) at the Environmental Modeling Center (EMC) at the National Center for Environmental Prediction (NCEP) of the National Weather Service (NWS) in the US, at the Global Modeling and Assimilation Office of NASA Goddard Space Flight Center, and in the Brazilian Center for Weather Forecast and Climate Studies (CPTEC/INPE). Scale awareness was </w:t>
      </w:r>
      <w:r>
        <w:t>evaluated</w:t>
      </w:r>
      <w:r w:rsidR="009E2B3D" w:rsidRPr="005A0574">
        <w:t xml:space="preserve"> in a nonhydrostatic global model with smoothly varying grid spacing from 50 to 3km (Fowler et al. 2016), </w:t>
      </w:r>
      <w:proofErr w:type="gramStart"/>
      <w:r w:rsidR="009E2B3D" w:rsidRPr="005A0574">
        <w:t>and also</w:t>
      </w:r>
      <w:proofErr w:type="gramEnd"/>
      <w:r w:rsidR="009E2B3D" w:rsidRPr="005A0574">
        <w:t xml:space="preserve"> in a cascade of global-scale simulations with uniform grid size spanning from 100 km to</w:t>
      </w:r>
      <w:r w:rsidR="00405590">
        <w:t xml:space="preserve"> a</w:t>
      </w:r>
      <w:r w:rsidR="009E2B3D" w:rsidRPr="005A0574">
        <w:t xml:space="preserve"> few k</w:t>
      </w:r>
      <w:r w:rsidR="00405590">
        <w:t>ilo</w:t>
      </w:r>
      <w:r w:rsidR="009E2B3D" w:rsidRPr="005A0574">
        <w:t>m</w:t>
      </w:r>
      <w:r w:rsidR="00405590">
        <w:t>eter</w:t>
      </w:r>
      <w:r w:rsidR="009E2B3D" w:rsidRPr="005A0574">
        <w:t xml:space="preserve">s using the NASA </w:t>
      </w:r>
      <w:r w:rsidR="002E4F03" w:rsidRPr="002E4F03">
        <w:t>Goddard Earth Observing System</w:t>
      </w:r>
      <w:r w:rsidR="002E4F03">
        <w:t xml:space="preserve"> (G</w:t>
      </w:r>
      <w:r w:rsidR="009E2B3D" w:rsidRPr="005A0574">
        <w:t>EOS</w:t>
      </w:r>
      <w:r w:rsidR="002E4F03">
        <w:t>) global circulation model</w:t>
      </w:r>
      <w:r w:rsidR="009E2B3D" w:rsidRPr="005A0574">
        <w:t xml:space="preserve"> </w:t>
      </w:r>
      <w:r w:rsidR="002E4F03">
        <w:t>(</w:t>
      </w:r>
      <w:r w:rsidR="009E2B3D" w:rsidRPr="005A0574">
        <w:t>GCM</w:t>
      </w:r>
      <w:r w:rsidR="002E4F03">
        <w:t>)</w:t>
      </w:r>
      <w:r w:rsidR="009E2B3D" w:rsidRPr="005A0574">
        <w:t xml:space="preserve"> (Freitas et al., 2018, 2020). </w:t>
      </w:r>
    </w:p>
    <w:p w14:paraId="1EA0E29C" w14:textId="2B612A9E" w:rsidR="009E2B3D" w:rsidRPr="005A0574" w:rsidRDefault="009E2B3D" w:rsidP="009E2B3D">
      <w:pPr>
        <w:rPr>
          <w:lang w:eastAsia="de-DE"/>
        </w:rPr>
      </w:pPr>
      <w:r w:rsidRPr="005A0574">
        <w:t xml:space="preserve">The use of GF in other modeling systems and for other applications required further modifications to represent physical processes such as momentum transport, cumulus congestus clouds, modifications of cloud water detrainment, and better representation of the diurnal cycle of </w:t>
      </w:r>
      <w:r w:rsidR="00D40DFB" w:rsidRPr="005A0574">
        <w:t>convection</w:t>
      </w:r>
      <w:r w:rsidRPr="005A0574">
        <w:t xml:space="preserve">. </w:t>
      </w:r>
      <w:r w:rsidR="00356D2F">
        <w:t>These new features are described in</w:t>
      </w:r>
      <w:r w:rsidRPr="005A0574">
        <w:t xml:space="preserve"> this paper</w:t>
      </w:r>
      <w:r w:rsidR="00356D2F">
        <w:t>.</w:t>
      </w:r>
    </w:p>
    <w:p w14:paraId="1B70B474" w14:textId="49ACBB4D" w:rsidR="003A4EED" w:rsidRPr="005A0574" w:rsidRDefault="003A4EED" w:rsidP="003A4EED">
      <w:pPr>
        <w:rPr>
          <w:lang w:eastAsia="de-DE"/>
        </w:rPr>
      </w:pPr>
      <w:r w:rsidRPr="005A0574">
        <w:rPr>
          <w:lang w:eastAsia="de-DE"/>
        </w:rPr>
        <w:lastRenderedPageBreak/>
        <w:t>In Section 2, we will describe the new implementations</w:t>
      </w:r>
      <w:r w:rsidR="002E4F03">
        <w:rPr>
          <w:lang w:eastAsia="de-DE"/>
        </w:rPr>
        <w:t xml:space="preserve"> and </w:t>
      </w:r>
      <w:r w:rsidR="00903B5B">
        <w:rPr>
          <w:lang w:eastAsia="de-DE"/>
        </w:rPr>
        <w:t>options</w:t>
      </w:r>
      <w:r w:rsidRPr="005A0574">
        <w:rPr>
          <w:lang w:eastAsia="de-DE"/>
        </w:rPr>
        <w:t xml:space="preserve">, Section 3 will show some results from </w:t>
      </w:r>
      <w:r w:rsidR="00405590">
        <w:rPr>
          <w:lang w:eastAsia="de-DE"/>
        </w:rPr>
        <w:t xml:space="preserve">both </w:t>
      </w:r>
      <w:r w:rsidRPr="005A0574">
        <w:rPr>
          <w:lang w:eastAsia="de-DE"/>
        </w:rPr>
        <w:t xml:space="preserve">single column models </w:t>
      </w:r>
      <w:r w:rsidR="00405590">
        <w:rPr>
          <w:lang w:eastAsia="de-DE"/>
        </w:rPr>
        <w:t>and</w:t>
      </w:r>
      <w:r w:rsidRPr="005A0574">
        <w:rPr>
          <w:lang w:eastAsia="de-DE"/>
        </w:rPr>
        <w:t xml:space="preserve"> full 3D simulations, and Section 4 will conclude and summarize results.</w:t>
      </w:r>
    </w:p>
    <w:p w14:paraId="615FE93B" w14:textId="15717A12" w:rsidR="009F1D19" w:rsidRPr="005A0574" w:rsidRDefault="009F1D19" w:rsidP="009F1D19">
      <w:pPr>
        <w:pStyle w:val="Heading2"/>
        <w:spacing w:before="120"/>
        <w:rPr>
          <w:rFonts w:cs="Times New Roman"/>
          <w:lang w:val="en-US"/>
        </w:rPr>
      </w:pPr>
      <w:r w:rsidRPr="005A0574">
        <w:rPr>
          <w:rFonts w:cs="Times New Roman"/>
          <w:lang w:val="en-US"/>
        </w:rPr>
        <w:t xml:space="preserve">2 </w:t>
      </w:r>
      <w:r w:rsidR="004F4F2D" w:rsidRPr="005A0574">
        <w:rPr>
          <w:rFonts w:cs="Times New Roman"/>
          <w:lang w:val="en-US"/>
        </w:rPr>
        <w:t>N</w:t>
      </w:r>
      <w:r w:rsidRPr="005A0574">
        <w:rPr>
          <w:rFonts w:cs="Times New Roman"/>
          <w:lang w:val="en-US"/>
        </w:rPr>
        <w:t xml:space="preserve">ew </w:t>
      </w:r>
      <w:r w:rsidR="004F4F2D" w:rsidRPr="005A0574">
        <w:rPr>
          <w:rFonts w:cs="Times New Roman"/>
          <w:lang w:val="en-US"/>
        </w:rPr>
        <w:t>developments</w:t>
      </w:r>
      <w:r w:rsidRPr="005A0574">
        <w:rPr>
          <w:rFonts w:cs="Times New Roman"/>
          <w:lang w:val="en-US"/>
        </w:rPr>
        <w:t xml:space="preserve"> and extensions</w:t>
      </w:r>
    </w:p>
    <w:p w14:paraId="2980C54A" w14:textId="771AFCC4" w:rsidR="003A4EED" w:rsidRPr="005A0574" w:rsidRDefault="003A4EED" w:rsidP="003A4EED">
      <w:pPr>
        <w:pStyle w:val="Heading2"/>
        <w:spacing w:before="120"/>
        <w:rPr>
          <w:rFonts w:cs="Times New Roman"/>
          <w:lang w:val="en-US"/>
        </w:rPr>
      </w:pPr>
      <w:r w:rsidRPr="005A0574">
        <w:rPr>
          <w:rFonts w:cs="Times New Roman"/>
          <w:lang w:val="en-US"/>
        </w:rPr>
        <w:t>2.1 The trimodal formulation</w:t>
      </w:r>
    </w:p>
    <w:p w14:paraId="788483A0" w14:textId="23B9CA0D" w:rsidR="00C716AA" w:rsidRPr="005A0574" w:rsidRDefault="00884418" w:rsidP="00D61A0B">
      <w:pPr>
        <w:rPr>
          <w:lang w:eastAsia="de-DE"/>
        </w:rPr>
      </w:pPr>
      <w:r w:rsidRPr="005A0574">
        <w:rPr>
          <w:lang w:eastAsia="de-DE"/>
        </w:rPr>
        <w:t xml:space="preserve">The original unimodal steady-state updraft deep plume has been replaced by a trimodal formulation, which allows up to three characteristic convective modes (Johnson et al., 1999): shallow, congestus, and deep. </w:t>
      </w:r>
      <w:r w:rsidR="00356D2F">
        <w:rPr>
          <w:lang w:eastAsia="de-DE"/>
        </w:rPr>
        <w:t xml:space="preserve">This </w:t>
      </w:r>
      <w:r w:rsidR="001148B7" w:rsidRPr="005A0574">
        <w:rPr>
          <w:lang w:eastAsia="de-DE"/>
        </w:rPr>
        <w:t>approach lies in between the two extremes</w:t>
      </w:r>
      <w:r w:rsidR="00356D2F">
        <w:rPr>
          <w:lang w:eastAsia="de-DE"/>
        </w:rPr>
        <w:t xml:space="preserve"> of having a single bulk cloud (e.g.</w:t>
      </w:r>
      <w:r w:rsidR="001148B7" w:rsidRPr="005A0574">
        <w:rPr>
          <w:lang w:eastAsia="de-DE"/>
        </w:rPr>
        <w:t xml:space="preserve">:  </w:t>
      </w:r>
      <w:proofErr w:type="spellStart"/>
      <w:r w:rsidR="001148B7" w:rsidRPr="005A0574">
        <w:rPr>
          <w:lang w:eastAsia="de-DE"/>
        </w:rPr>
        <w:t>Tiedtke</w:t>
      </w:r>
      <w:proofErr w:type="spellEnd"/>
      <w:r w:rsidR="001148B7" w:rsidRPr="005A0574">
        <w:rPr>
          <w:lang w:eastAsia="de-DE"/>
        </w:rPr>
        <w:t xml:space="preserve"> (1989), </w:t>
      </w:r>
      <w:proofErr w:type="spellStart"/>
      <w:r w:rsidR="001148B7" w:rsidRPr="005A0574">
        <w:rPr>
          <w:lang w:eastAsia="de-DE"/>
        </w:rPr>
        <w:t>Grell</w:t>
      </w:r>
      <w:proofErr w:type="spellEnd"/>
      <w:r w:rsidR="001148B7" w:rsidRPr="005A0574">
        <w:rPr>
          <w:lang w:eastAsia="de-DE"/>
        </w:rPr>
        <w:t xml:space="preserve"> (1993), and many others</w:t>
      </w:r>
      <w:r w:rsidR="00356D2F">
        <w:rPr>
          <w:lang w:eastAsia="de-DE"/>
        </w:rPr>
        <w:t>)</w:t>
      </w:r>
      <w:r w:rsidR="001148B7" w:rsidRPr="005A0574">
        <w:rPr>
          <w:lang w:eastAsia="de-DE"/>
        </w:rPr>
        <w:t xml:space="preserve">, and a full, spectral cloud size approach (e.g., Arakawa and Schubert, 1974, Grell et al. (1991), </w:t>
      </w:r>
      <w:proofErr w:type="spellStart"/>
      <w:r w:rsidR="001148B7" w:rsidRPr="005A0574">
        <w:rPr>
          <w:lang w:eastAsia="de-DE"/>
        </w:rPr>
        <w:t>Grell</w:t>
      </w:r>
      <w:proofErr w:type="spellEnd"/>
      <w:r w:rsidR="001148B7" w:rsidRPr="005A0574">
        <w:rPr>
          <w:lang w:eastAsia="de-DE"/>
        </w:rPr>
        <w:t xml:space="preserve"> (1993), </w:t>
      </w:r>
      <w:proofErr w:type="spellStart"/>
      <w:r w:rsidR="001148B7" w:rsidRPr="005A0574">
        <w:rPr>
          <w:lang w:eastAsia="de-DE"/>
        </w:rPr>
        <w:t>Moorthi</w:t>
      </w:r>
      <w:proofErr w:type="spellEnd"/>
      <w:r w:rsidR="001148B7" w:rsidRPr="005A0574">
        <w:rPr>
          <w:lang w:eastAsia="de-DE"/>
        </w:rPr>
        <w:t xml:space="preserve"> and Suarez, 1992, Baba 2019). </w:t>
      </w:r>
      <w:bookmarkStart w:id="1" w:name="_Hlk64014510"/>
      <w:r w:rsidR="00356D2F">
        <w:rPr>
          <w:lang w:eastAsia="de-DE"/>
        </w:rPr>
        <w:t xml:space="preserve">To be clear, </w:t>
      </w:r>
      <w:r w:rsidR="001148B7" w:rsidRPr="005A0574">
        <w:rPr>
          <w:lang w:eastAsia="de-DE"/>
        </w:rPr>
        <w:t xml:space="preserve">we are not claiming to represent three plumes, but </w:t>
      </w:r>
      <w:r w:rsidR="00DF1FF6">
        <w:rPr>
          <w:lang w:eastAsia="de-DE"/>
        </w:rPr>
        <w:t>BF</w:t>
      </w:r>
      <w:r w:rsidR="001148B7" w:rsidRPr="005A0574">
        <w:rPr>
          <w:lang w:eastAsia="de-DE"/>
        </w:rPr>
        <w:t xml:space="preserve">s characterizing plumes. For example, the </w:t>
      </w:r>
      <w:r w:rsidR="00DF1FF6">
        <w:rPr>
          <w:lang w:eastAsia="de-DE"/>
        </w:rPr>
        <w:t>B</w:t>
      </w:r>
      <w:r w:rsidR="001148B7" w:rsidRPr="005A0574">
        <w:rPr>
          <w:lang w:eastAsia="de-DE"/>
        </w:rPr>
        <w:t xml:space="preserve">F for deep convection is a statistical average of deep plumes in the grid </w:t>
      </w:r>
      <w:proofErr w:type="gramStart"/>
      <w:r w:rsidR="001148B7" w:rsidRPr="005A0574">
        <w:rPr>
          <w:lang w:eastAsia="de-DE"/>
        </w:rPr>
        <w:t>box, and</w:t>
      </w:r>
      <w:proofErr w:type="gramEnd"/>
      <w:r w:rsidR="001148B7" w:rsidRPr="005A0574">
        <w:rPr>
          <w:lang w:eastAsia="de-DE"/>
        </w:rPr>
        <w:t xml:space="preserve"> may include impacts from several plumes.</w:t>
      </w:r>
      <w:bookmarkEnd w:id="1"/>
    </w:p>
    <w:p w14:paraId="66563A48" w14:textId="6675609C" w:rsidR="00354518" w:rsidRPr="005A0574" w:rsidRDefault="00884418" w:rsidP="00D61A0B">
      <w:r w:rsidRPr="005A0574">
        <w:rPr>
          <w:lang w:eastAsia="de-DE"/>
        </w:rPr>
        <w:t>Each mode</w:t>
      </w:r>
      <w:r w:rsidR="00F962CE" w:rsidRPr="005A0574">
        <w:rPr>
          <w:lang w:eastAsia="de-DE"/>
        </w:rPr>
        <w:t xml:space="preserve"> of our trimodal </w:t>
      </w:r>
      <w:r w:rsidR="0036560A" w:rsidRPr="005A0574">
        <w:rPr>
          <w:lang w:eastAsia="de-DE"/>
        </w:rPr>
        <w:t>formulation</w:t>
      </w:r>
      <w:r w:rsidRPr="005A0574">
        <w:rPr>
          <w:lang w:eastAsia="de-DE"/>
        </w:rPr>
        <w:t xml:space="preserve"> is characterized by a </w:t>
      </w:r>
      <w:r w:rsidR="00DF1FF6">
        <w:rPr>
          <w:lang w:eastAsia="de-DE"/>
        </w:rPr>
        <w:t>B</w:t>
      </w:r>
      <w:r w:rsidRPr="005A0574">
        <w:rPr>
          <w:lang w:eastAsia="de-DE"/>
        </w:rPr>
        <w:t xml:space="preserve">F that determines average lateral mixing. For each mode we assume a characteristic initial gross lateral entrainment rate to represent an approximate size of one of the three modes of convection in the grid box. </w:t>
      </w:r>
      <w:r w:rsidR="00356D2F">
        <w:t>Se</w:t>
      </w:r>
      <w:r w:rsidRPr="005A0574">
        <w:t xml:space="preserve">ction 2.2 </w:t>
      </w:r>
      <w:r w:rsidR="000D13B8">
        <w:t xml:space="preserve">provides </w:t>
      </w:r>
      <w:r w:rsidR="000D13B8" w:rsidRPr="005A0574">
        <w:t>details</w:t>
      </w:r>
      <w:r w:rsidRPr="005A0574">
        <w:t xml:space="preserve"> </w:t>
      </w:r>
      <w:r w:rsidR="00405590">
        <w:t xml:space="preserve">of this formulation, </w:t>
      </w:r>
      <w:r w:rsidR="000D13B8">
        <w:t xml:space="preserve">including </w:t>
      </w:r>
      <w:r w:rsidR="000D13B8" w:rsidRPr="005A0574">
        <w:t>how</w:t>
      </w:r>
      <w:r w:rsidRPr="005A0574">
        <w:t xml:space="preserve"> the entrainment and detrainment rates (lateral mixing) are derived from the </w:t>
      </w:r>
      <w:r w:rsidR="00DF1FF6">
        <w:t>B</w:t>
      </w:r>
      <w:r w:rsidR="00F968D9">
        <w:t>F</w:t>
      </w:r>
      <w:r w:rsidRPr="005A0574">
        <w:t xml:space="preserve">s. </w:t>
      </w:r>
      <w:r w:rsidR="002519D1" w:rsidRPr="005A0574">
        <w:rPr>
          <w:lang w:eastAsia="de-DE"/>
        </w:rPr>
        <w:t>The deep and congestus modes are accompanied by convective</w:t>
      </w:r>
      <w:r w:rsidR="00356D2F">
        <w:rPr>
          <w:lang w:eastAsia="de-DE"/>
        </w:rPr>
        <w:t>-</w:t>
      </w:r>
      <w:r w:rsidR="002519D1" w:rsidRPr="005A0574">
        <w:rPr>
          <w:lang w:eastAsia="de-DE"/>
        </w:rPr>
        <w:t>scale saturated downdrafts sustained by rainfall evaporation. Associated with each mode, a set of closures to determine the mass flux at the cloud base w</w:t>
      </w:r>
      <w:r w:rsidR="00405590">
        <w:rPr>
          <w:lang w:eastAsia="de-DE"/>
        </w:rPr>
        <w:t>as</w:t>
      </w:r>
      <w:r w:rsidR="002519D1" w:rsidRPr="005A0574">
        <w:rPr>
          <w:lang w:eastAsia="de-DE"/>
        </w:rPr>
        <w:t xml:space="preserve"> introduced to adequately account for the diverse regimes of convection </w:t>
      </w:r>
      <w:proofErr w:type="gramStart"/>
      <w:r w:rsidR="002519D1" w:rsidRPr="005A0574">
        <w:rPr>
          <w:lang w:eastAsia="de-DE"/>
        </w:rPr>
        <w:t>in a given</w:t>
      </w:r>
      <w:proofErr w:type="gramEnd"/>
      <w:r w:rsidR="002519D1" w:rsidRPr="005A0574">
        <w:rPr>
          <w:lang w:eastAsia="de-DE"/>
        </w:rPr>
        <w:t xml:space="preserve"> grid cell. The three modes transport momentum, tracers, water, and moist static energy. For mass and energy, the spatial discretization of the tendency equation is conservative on machine precision. The three modes are allowed to cohabit a given model grid column. The parameterization is performed over the entire spectrum executing first the shallow, next the congestus, and finally the deep mode. In this manner, the convective tendencies resulting from the development of each mode may be applied as a forcing for the next one. </w:t>
      </w:r>
      <w:r w:rsidR="00D61A0B" w:rsidRPr="005A0574">
        <w:rPr>
          <w:lang w:eastAsia="de-DE"/>
        </w:rPr>
        <w:t>In this paper</w:t>
      </w:r>
      <w:r w:rsidR="00405590">
        <w:rPr>
          <w:lang w:eastAsia="de-DE"/>
        </w:rPr>
        <w:t>, however,</w:t>
      </w:r>
      <w:r w:rsidR="00D61A0B" w:rsidRPr="005A0574">
        <w:rPr>
          <w:lang w:eastAsia="de-DE"/>
        </w:rPr>
        <w:t xml:space="preserve"> </w:t>
      </w:r>
      <w:r w:rsidR="00BD7EEF">
        <w:rPr>
          <w:lang w:eastAsia="de-DE"/>
        </w:rPr>
        <w:t>the</w:t>
      </w:r>
      <w:r w:rsidR="00D61A0B" w:rsidRPr="005A0574">
        <w:rPr>
          <w:lang w:eastAsia="de-DE"/>
        </w:rPr>
        <w:t xml:space="preserve"> results </w:t>
      </w:r>
      <w:r w:rsidR="00BD7EEF">
        <w:rPr>
          <w:lang w:eastAsia="de-DE"/>
        </w:rPr>
        <w:t xml:space="preserve">shown do not include feedback from the shallower </w:t>
      </w:r>
      <w:r w:rsidR="00ED7A07">
        <w:rPr>
          <w:lang w:eastAsia="de-DE"/>
        </w:rPr>
        <w:t>modes.</w:t>
      </w:r>
      <w:r w:rsidR="00D61A0B" w:rsidRPr="005A0574">
        <w:rPr>
          <w:lang w:eastAsia="de-DE"/>
        </w:rPr>
        <w:t xml:space="preserve"> The impacts of a successive application will be looked at in a future study</w:t>
      </w:r>
      <w:r w:rsidR="00354518" w:rsidRPr="005A0574">
        <w:t>.</w:t>
      </w:r>
    </w:p>
    <w:p w14:paraId="4DA6FE30" w14:textId="6D260337" w:rsidR="002D546D" w:rsidRPr="005A0574" w:rsidRDefault="002D546D" w:rsidP="00D61A0B">
      <w:pPr>
        <w:rPr>
          <w:b/>
          <w:bCs/>
        </w:rPr>
      </w:pPr>
      <w:r w:rsidRPr="005A0574">
        <w:rPr>
          <w:b/>
          <w:bCs/>
        </w:rPr>
        <w:t xml:space="preserve">2.1.1 </w:t>
      </w:r>
      <w:r w:rsidR="00D61A0B" w:rsidRPr="005A0574">
        <w:rPr>
          <w:b/>
          <w:bCs/>
        </w:rPr>
        <w:t>Shallow</w:t>
      </w:r>
      <w:r w:rsidRPr="005A0574">
        <w:rPr>
          <w:b/>
          <w:bCs/>
        </w:rPr>
        <w:t xml:space="preserve"> convection</w:t>
      </w:r>
    </w:p>
    <w:p w14:paraId="05F39898" w14:textId="39A1A5F3" w:rsidR="000D13B8" w:rsidRDefault="002519D1" w:rsidP="002519D1">
      <w:r w:rsidRPr="005A0574">
        <w:lastRenderedPageBreak/>
        <w:t>The source parcels for the shallow convecting plumes are defined by mixing the environmental moist static energy (MSE) and water vapor mixing ratio over a user</w:t>
      </w:r>
      <w:r w:rsidR="00441AF5">
        <w:t>-</w:t>
      </w:r>
      <w:r w:rsidRPr="005A0574">
        <w:t xml:space="preserve">specified depth layer (currently, the lowest atmospheric layer with 30 hPa depth). Then, an excess MSE and moisture perturbation associated with the surface fluxes is added when calculating the forcing and checking for trigger functions, as described in GF2014. The cloud base is defined by the first model level where the source air parcel lifted from the surface without any lateral entrainment </w:t>
      </w:r>
      <w:r w:rsidR="00441AF5">
        <w:t>is positively buoyant.</w:t>
      </w:r>
      <w:r w:rsidRPr="005A0574">
        <w:t xml:space="preserve"> Above the cloud base</w:t>
      </w:r>
      <w:r w:rsidR="00441AF5">
        <w:t>,</w:t>
      </w:r>
      <w:r w:rsidRPr="005A0574">
        <w:t xml:space="preserve"> shallow convection growth and </w:t>
      </w:r>
      <w:r w:rsidR="00441AF5">
        <w:t xml:space="preserve">cloud </w:t>
      </w:r>
      <w:r w:rsidRPr="005A0574">
        <w:t xml:space="preserve">properties will </w:t>
      </w:r>
      <w:r w:rsidR="00441AF5">
        <w:t xml:space="preserve">strongly </w:t>
      </w:r>
      <w:r w:rsidR="00ED7A07" w:rsidRPr="005A0574">
        <w:t>depend on</w:t>
      </w:r>
      <w:r w:rsidRPr="005A0574">
        <w:t xml:space="preserve"> the </w:t>
      </w:r>
      <w:r w:rsidR="00DF1FF6">
        <w:t>description of</w:t>
      </w:r>
      <w:r w:rsidRPr="005A0574">
        <w:t xml:space="preserve"> the vertical mass flux distribution and resulting entrainment and detrainment rates. Since the </w:t>
      </w:r>
      <w:r w:rsidR="00DF1FF6">
        <w:t>BF</w:t>
      </w:r>
      <w:r w:rsidRPr="005A0574">
        <w:t xml:space="preserve">s are part of all three types of convection, the method will be described in detail in </w:t>
      </w:r>
      <w:r w:rsidR="00F968D9">
        <w:t>S</w:t>
      </w:r>
      <w:r w:rsidRPr="005A0574">
        <w:t>ection 2.2.  The shallow convection cloud tops are determined following two criteria. One is by</w:t>
      </w:r>
      <w:r w:rsidR="00ED7A07">
        <w:t xml:space="preserve"> the</w:t>
      </w:r>
      <w:r w:rsidR="00441AF5">
        <w:t xml:space="preserve"> first </w:t>
      </w:r>
      <w:r w:rsidRPr="005A0574">
        <w:t xml:space="preserve">vertical layer </w:t>
      </w:r>
      <w:r w:rsidR="00441AF5">
        <w:t>at which</w:t>
      </w:r>
      <w:r w:rsidRPr="005A0574">
        <w:t xml:space="preserve"> the buoyancy becomes negative. The second is defined by the first thermal inversion </w:t>
      </w:r>
      <w:r w:rsidR="000D13B8" w:rsidRPr="005A0574">
        <w:t xml:space="preserve">layer </w:t>
      </w:r>
      <w:r w:rsidR="000D13B8" w:rsidRPr="005A0574">
        <w:rPr>
          <w:color w:val="000000" w:themeColor="text1"/>
        </w:rPr>
        <w:t>above</w:t>
      </w:r>
      <w:r w:rsidRPr="005A0574">
        <w:t xml:space="preserve"> the planetary boundary layer (PBL)</w:t>
      </w:r>
      <w:r w:rsidR="000D13B8">
        <w:t xml:space="preserve"> height</w:t>
      </w:r>
      <w:r w:rsidRPr="005A0574">
        <w:t>.</w:t>
      </w:r>
      <w:r w:rsidR="000D13B8">
        <w:t xml:space="preserve"> The inversion layer is found following the two </w:t>
      </w:r>
      <w:r w:rsidR="00994778">
        <w:t>conditions</w:t>
      </w:r>
      <w:r w:rsidR="000D13B8">
        <w:t>:</w:t>
      </w:r>
    </w:p>
    <w:p w14:paraId="5FF13F66" w14:textId="3B9EE192" w:rsidR="000D13B8" w:rsidRPr="00994778" w:rsidRDefault="000D13B8" w:rsidP="002519D1">
      <w:pPr>
        <w:pStyle w:val="ListParagraph"/>
        <w:numPr>
          <w:ilvl w:val="0"/>
          <w:numId w:val="7"/>
        </w:numPr>
      </w:pPr>
      <w:r>
        <w:t>The first derivative</w:t>
      </w:r>
      <w:r w:rsidR="002519D1" w:rsidRPr="005A0574">
        <w:t xml:space="preserve"> </w:t>
      </w:r>
      <w:r w:rsidRPr="005A0574">
        <w:t>(</w:t>
      </w:r>
      <m:oMath>
        <m:f>
          <m:fPr>
            <m:type m:val="skw"/>
            <m:ctrlPr>
              <w:rPr>
                <w:rFonts w:ascii="Cambria Math" w:hAnsi="Cambria Math"/>
                <w:i/>
              </w:rPr>
            </m:ctrlPr>
          </m:fPr>
          <m:num>
            <m:r>
              <w:rPr>
                <w:rFonts w:ascii="Cambria Math" w:hAnsi="Cambria Math"/>
              </w:rPr>
              <m:t>∂</m:t>
            </m:r>
            <m:acc>
              <m:accPr>
                <m:chr m:val="̅"/>
                <m:ctrlPr>
                  <w:rPr>
                    <w:rFonts w:ascii="Cambria Math" w:hAnsi="Cambria Math"/>
                    <w:i/>
                  </w:rPr>
                </m:ctrlPr>
              </m:accPr>
              <m:e>
                <m:r>
                  <w:rPr>
                    <w:rFonts w:ascii="Cambria Math" w:hAnsi="Cambria Math"/>
                  </w:rPr>
                  <m:t>T</m:t>
                </m:r>
              </m:e>
            </m:acc>
          </m:num>
          <m:den>
            <m:r>
              <w:rPr>
                <w:rFonts w:ascii="Cambria Math" w:hAnsi="Cambria Math"/>
              </w:rPr>
              <m:t>∂z</m:t>
            </m:r>
          </m:den>
        </m:f>
      </m:oMath>
      <w:r w:rsidRPr="005A0574">
        <w:t xml:space="preserve"> </w:t>
      </w:r>
      <w:r w:rsidRPr="000D13B8">
        <w:rPr>
          <w:color w:val="4472C4" w:themeColor="accent1"/>
        </w:rPr>
        <w:t xml:space="preserve"> </w:t>
      </w:r>
      <w:r>
        <w:rPr>
          <w:color w:val="4472C4" w:themeColor="accent1"/>
        </w:rPr>
        <w:t xml:space="preserve">, </w:t>
      </w:r>
      <w:r w:rsidRPr="000D13B8">
        <w:rPr>
          <w:color w:val="000000" w:themeColor="text1"/>
        </w:rPr>
        <w:t xml:space="preserve">where </w:t>
      </w:r>
      <m:oMath>
        <m:acc>
          <m:accPr>
            <m:chr m:val="̅"/>
            <m:ctrlPr>
              <w:rPr>
                <w:rFonts w:ascii="Cambria Math" w:hAnsi="Cambria Math"/>
                <w:i/>
                <w:color w:val="000000" w:themeColor="text1"/>
              </w:rPr>
            </m:ctrlPr>
          </m:accPr>
          <m:e>
            <m:r>
              <w:rPr>
                <w:rFonts w:ascii="Cambria Math" w:hAnsi="Cambria Math"/>
                <w:color w:val="000000" w:themeColor="text1"/>
              </w:rPr>
              <m:t>T</m:t>
            </m:r>
          </m:e>
        </m:acc>
      </m:oMath>
      <w:r w:rsidRPr="000D13B8">
        <w:rPr>
          <w:color w:val="000000" w:themeColor="text1"/>
        </w:rPr>
        <w:t xml:space="preserve"> is the grid scale air temperature)</w:t>
      </w:r>
      <w:r>
        <w:rPr>
          <w:color w:val="000000" w:themeColor="text1"/>
        </w:rPr>
        <w:t xml:space="preserve"> </w:t>
      </w:r>
      <w:r w:rsidR="00994778">
        <w:rPr>
          <w:color w:val="000000" w:themeColor="text1"/>
        </w:rPr>
        <w:t>must have a local maximum.</w:t>
      </w:r>
    </w:p>
    <w:p w14:paraId="07F71CE4" w14:textId="06DDF3A4" w:rsidR="000D13B8" w:rsidRDefault="00994778" w:rsidP="002519D1">
      <w:pPr>
        <w:pStyle w:val="ListParagraph"/>
        <w:numPr>
          <w:ilvl w:val="0"/>
          <w:numId w:val="7"/>
        </w:numPr>
        <w:spacing w:line="240" w:lineRule="auto"/>
        <w:rPr>
          <w:color w:val="000000" w:themeColor="text1"/>
        </w:rPr>
      </w:pPr>
      <w:r w:rsidRPr="00994778">
        <w:rPr>
          <w:color w:val="000000" w:themeColor="text1"/>
        </w:rPr>
        <w:t>the absolute value of the second derivative must be zero</w:t>
      </w:r>
      <w:r>
        <w:rPr>
          <w:color w:val="000000" w:themeColor="text1"/>
        </w:rPr>
        <w:t xml:space="preserve"> (inflexion point).</w:t>
      </w:r>
    </w:p>
    <w:p w14:paraId="0BD8A18A" w14:textId="77777777" w:rsidR="00994778" w:rsidRPr="00994778" w:rsidRDefault="00994778" w:rsidP="00994778">
      <w:pPr>
        <w:pStyle w:val="ListParagraph"/>
        <w:spacing w:line="240" w:lineRule="auto"/>
        <w:ind w:left="1440"/>
        <w:rPr>
          <w:color w:val="000000" w:themeColor="text1"/>
        </w:rPr>
      </w:pPr>
    </w:p>
    <w:p w14:paraId="1D5CA3EC" w14:textId="1DDED0A5" w:rsidR="002519D1" w:rsidRPr="005A0574" w:rsidRDefault="002519D1" w:rsidP="002519D1">
      <w:r w:rsidRPr="005A0574">
        <w:t>The effective cloud top is defined by the layer which ha</w:t>
      </w:r>
      <w:r w:rsidR="00441AF5">
        <w:t>s</w:t>
      </w:r>
      <w:r w:rsidRPr="005A0574">
        <w:t xml:space="preserve"> the lower vertical height. The closures for the determination of the mass flux at cloud base, suitable for </w:t>
      </w:r>
      <w:r w:rsidR="001864B1">
        <w:t xml:space="preserve">the </w:t>
      </w:r>
      <w:r w:rsidRPr="005A0574">
        <w:t>shallow moist convection regime</w:t>
      </w:r>
      <w:r w:rsidR="00F968D9">
        <w:t xml:space="preserve">, </w:t>
      </w:r>
      <w:r w:rsidRPr="005A0574">
        <w:t>are:</w:t>
      </w:r>
    </w:p>
    <w:p w14:paraId="060960CA" w14:textId="19F32F32" w:rsidR="002519D1" w:rsidRPr="005A0574" w:rsidRDefault="002519D1" w:rsidP="002519D1">
      <w:pPr>
        <w:pStyle w:val="ListParagraph"/>
        <w:numPr>
          <w:ilvl w:val="0"/>
          <w:numId w:val="2"/>
        </w:numPr>
      </w:pPr>
      <w:r w:rsidRPr="005A0574">
        <w:t>Raymond (1995), which establishes the equilibrium for the boundary layer budget of the moist static energy. In this case, the flux out at the cloud base of shallow convection counterbalances the flux in from surface process</w:t>
      </w:r>
      <w:r w:rsidR="001864B1">
        <w:t>es</w:t>
      </w:r>
      <w:r w:rsidRPr="005A0574">
        <w:t>. This closure is called boundary layer quasi-equilibrium (BLQE). The BLQE closure provides a reasonable diurnal cycle of shallow convection over land</w:t>
      </w:r>
      <w:r w:rsidR="001864B1">
        <w:t>,</w:t>
      </w:r>
      <w:r w:rsidRPr="005A0574">
        <w:t xml:space="preserve"> as the resulting mass flux at cloud base is tightly connected with the surface fluxes. The equation for the mass flux at cloud base (</w:t>
      </w:r>
      <m:oMath>
        <m:sSub>
          <m:sSubPr>
            <m:ctrlPr>
              <w:rPr>
                <w:rFonts w:ascii="Cambria Math" w:hAnsi="Cambria Math"/>
                <w:i/>
              </w:rPr>
            </m:ctrlPr>
          </m:sSubPr>
          <m:e>
            <m:r>
              <w:rPr>
                <w:rFonts w:ascii="Cambria Math" w:hAnsi="Cambria Math"/>
              </w:rPr>
              <m:t>m</m:t>
            </m:r>
          </m:e>
          <m:sub>
            <m:r>
              <w:rPr>
                <w:rFonts w:ascii="Cambria Math" w:hAnsi="Cambria Math"/>
              </w:rPr>
              <m:t>b</m:t>
            </m:r>
          </m:sub>
        </m:sSub>
      </m:oMath>
      <w:r w:rsidRPr="005A0574">
        <w:t>) from this closure reads</w:t>
      </w:r>
    </w:p>
    <w:p w14:paraId="30D2E6DF" w14:textId="77777777" w:rsidR="002519D1" w:rsidRPr="005A0574" w:rsidRDefault="006801FF" w:rsidP="001148B7">
      <w:pPr>
        <w:ind w:left="720"/>
        <w:jc w:val="center"/>
      </w:pPr>
      <m:oMath>
        <m:sSub>
          <m:sSubPr>
            <m:ctrlPr>
              <w:rPr>
                <w:rFonts w:ascii="Cambria Math" w:hAnsi="Cambria Math"/>
                <w:i/>
              </w:rPr>
            </m:ctrlPr>
          </m:sSubPr>
          <m:e>
            <m:r>
              <w:rPr>
                <w:rFonts w:ascii="Cambria Math" w:hAnsi="Cambria Math"/>
              </w:rPr>
              <m:t>m</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m:t>
            </m:r>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p</m:t>
                    </m:r>
                  </m:e>
                  <m:sub>
                    <m:r>
                      <w:rPr>
                        <w:rFonts w:ascii="Cambria Math" w:hAnsi="Cambria Math"/>
                      </w:rPr>
                      <m:t>s</m:t>
                    </m:r>
                  </m:sub>
                </m:sSub>
              </m:sub>
              <m:sup>
                <m:sSub>
                  <m:sSubPr>
                    <m:ctrlPr>
                      <w:rPr>
                        <w:rFonts w:ascii="Cambria Math" w:hAnsi="Cambria Math"/>
                        <w:i/>
                      </w:rPr>
                    </m:ctrlPr>
                  </m:sSubPr>
                  <m:e>
                    <m:r>
                      <w:rPr>
                        <w:rFonts w:ascii="Cambria Math" w:hAnsi="Cambria Math"/>
                      </w:rPr>
                      <m:t>p</m:t>
                    </m:r>
                  </m:e>
                  <m:sub>
                    <m:r>
                      <w:rPr>
                        <w:rFonts w:ascii="Cambria Math" w:hAnsi="Cambria Math"/>
                      </w:rPr>
                      <m:t xml:space="preserve">cb  </m:t>
                    </m:r>
                  </m:sub>
                </m:sSub>
              </m:sup>
              <m:e>
                <m:f>
                  <m:fPr>
                    <m:ctrlPr>
                      <w:rPr>
                        <w:rFonts w:ascii="Cambria Math" w:hAnsi="Cambria Math"/>
                        <w:i/>
                      </w:rPr>
                    </m:ctrlPr>
                  </m:fPr>
                  <m:num>
                    <m:r>
                      <w:rPr>
                        <w:rFonts w:ascii="Cambria Math" w:hAnsi="Cambria Math"/>
                      </w:rPr>
                      <m:t>∂</m:t>
                    </m:r>
                    <m:acc>
                      <m:accPr>
                        <m:chr m:val="̃"/>
                        <m:ctrlPr>
                          <w:rPr>
                            <w:rFonts w:ascii="Cambria Math" w:hAnsi="Cambria Math"/>
                            <w:i/>
                          </w:rPr>
                        </m:ctrlPr>
                      </m:accPr>
                      <m:e>
                        <m:r>
                          <w:rPr>
                            <w:rFonts w:ascii="Cambria Math" w:hAnsi="Cambria Math"/>
                          </w:rPr>
                          <m:t>h</m:t>
                        </m:r>
                      </m:e>
                    </m:acc>
                  </m:num>
                  <m:den>
                    <m:r>
                      <w:rPr>
                        <w:rFonts w:ascii="Cambria Math" w:hAnsi="Cambria Math"/>
                      </w:rPr>
                      <m:t>∂t</m:t>
                    </m:r>
                  </m:den>
                </m:f>
                <m:r>
                  <w:rPr>
                    <w:rFonts w:ascii="Cambria Math" w:hAnsi="Cambria Math"/>
                  </w:rPr>
                  <m:t xml:space="preserve"> </m:t>
                </m:r>
                <m:f>
                  <m:fPr>
                    <m:ctrlPr>
                      <w:rPr>
                        <w:rFonts w:ascii="Cambria Math" w:hAnsi="Cambria Math"/>
                        <w:i/>
                      </w:rPr>
                    </m:ctrlPr>
                  </m:fPr>
                  <m:num>
                    <m:r>
                      <w:rPr>
                        <w:rFonts w:ascii="Cambria Math" w:hAnsi="Cambria Math"/>
                      </w:rPr>
                      <m:t>dp</m:t>
                    </m:r>
                  </m:num>
                  <m:den>
                    <m:r>
                      <w:rPr>
                        <w:rFonts w:ascii="Cambria Math" w:hAnsi="Cambria Math"/>
                      </w:rPr>
                      <m:t>g</m:t>
                    </m:r>
                  </m:den>
                </m:f>
              </m:e>
            </m:nary>
          </m:num>
          <m:den>
            <m:sSub>
              <m:sSubPr>
                <m:ctrlPr>
                  <w:rPr>
                    <w:rFonts w:ascii="Cambria Math" w:hAnsi="Cambria Math"/>
                    <w:i/>
                  </w:rPr>
                </m:ctrlPr>
              </m:sSubPr>
              <m:e>
                <m:d>
                  <m:dPr>
                    <m:ctrlPr>
                      <w:rPr>
                        <w:rFonts w:ascii="Cambria Math" w:hAnsi="Cambria Math"/>
                        <w:i/>
                      </w:rPr>
                    </m:ctrlPr>
                  </m:dPr>
                  <m:e>
                    <m:sSub>
                      <m:sSubPr>
                        <m:ctrlPr>
                          <w:rPr>
                            <w:rFonts w:ascii="Cambria Math" w:hAnsi="Cambria Math"/>
                            <w:i/>
                          </w:rPr>
                        </m:ctrlPr>
                      </m:sSubPr>
                      <m:e>
                        <m:r>
                          <w:rPr>
                            <w:rFonts w:ascii="Cambria Math" w:hAnsi="Cambria Math"/>
                          </w:rPr>
                          <m:t>h</m:t>
                        </m:r>
                      </m:e>
                      <m:sub>
                        <m:r>
                          <w:rPr>
                            <w:rFonts w:ascii="Cambria Math" w:hAnsi="Cambria Math"/>
                          </w:rPr>
                          <m:t>c</m:t>
                        </m:r>
                      </m:sub>
                    </m:sSub>
                    <m:r>
                      <w:rPr>
                        <w:rFonts w:ascii="Cambria Math" w:hAnsi="Cambria Math"/>
                      </w:rPr>
                      <m:t>-</m:t>
                    </m:r>
                    <m:acc>
                      <m:accPr>
                        <m:chr m:val="̃"/>
                        <m:ctrlPr>
                          <w:rPr>
                            <w:rFonts w:ascii="Cambria Math" w:hAnsi="Cambria Math"/>
                            <w:i/>
                          </w:rPr>
                        </m:ctrlPr>
                      </m:accPr>
                      <m:e>
                        <m:r>
                          <w:rPr>
                            <w:rFonts w:ascii="Cambria Math" w:hAnsi="Cambria Math"/>
                          </w:rPr>
                          <m:t>h</m:t>
                        </m:r>
                      </m:e>
                    </m:acc>
                  </m:e>
                </m:d>
              </m:e>
              <m:sub>
                <m:r>
                  <w:rPr>
                    <w:rFonts w:ascii="Cambria Math" w:hAnsi="Cambria Math"/>
                  </w:rPr>
                  <m:t>cb</m:t>
                </m:r>
              </m:sub>
            </m:sSub>
          </m:den>
        </m:f>
      </m:oMath>
      <w:r w:rsidR="002519D1" w:rsidRPr="005A0574">
        <w:t xml:space="preserve">    (1)</w:t>
      </w:r>
    </w:p>
    <w:p w14:paraId="25EFC969" w14:textId="6951F2D2" w:rsidR="002519D1" w:rsidRPr="005A0574" w:rsidRDefault="002519D1" w:rsidP="002519D1">
      <w:pPr>
        <w:ind w:left="720"/>
      </w:pPr>
      <w:r w:rsidRPr="005A0574">
        <w:t xml:space="preserve">where </w:t>
      </w:r>
      <m:oMath>
        <m:sSub>
          <m:sSubPr>
            <m:ctrlPr>
              <w:rPr>
                <w:rFonts w:ascii="Cambria Math" w:hAnsi="Cambria Math"/>
                <w:i/>
              </w:rPr>
            </m:ctrlPr>
          </m:sSubPr>
          <m:e>
            <m:r>
              <w:rPr>
                <w:rFonts w:ascii="Cambria Math" w:hAnsi="Cambria Math"/>
              </w:rPr>
              <m:t>h</m:t>
            </m:r>
          </m:e>
          <m:sub>
            <m:r>
              <w:rPr>
                <w:rFonts w:ascii="Cambria Math" w:hAnsi="Cambria Math"/>
              </w:rPr>
              <m:t>c</m:t>
            </m:r>
          </m:sub>
        </m:sSub>
      </m:oMath>
      <w:r w:rsidRPr="005A0574">
        <w:t xml:space="preserve"> and </w:t>
      </w:r>
      <m:oMath>
        <m:acc>
          <m:accPr>
            <m:chr m:val="̃"/>
            <m:ctrlPr>
              <w:rPr>
                <w:rFonts w:ascii="Cambria Math" w:hAnsi="Cambria Math"/>
                <w:i/>
              </w:rPr>
            </m:ctrlPr>
          </m:accPr>
          <m:e>
            <m:r>
              <w:rPr>
                <w:rFonts w:ascii="Cambria Math" w:hAnsi="Cambria Math"/>
              </w:rPr>
              <m:t>h</m:t>
            </m:r>
          </m:e>
        </m:acc>
      </m:oMath>
      <w:r w:rsidRPr="005A0574">
        <w:t xml:space="preserve"> are the in-cloud and environmental moist static energy, respectively, g is gravity, p is pressure, and the integral is determined from the surface to the cloud base. </w:t>
      </w:r>
      <m:oMath>
        <m:acc>
          <m:accPr>
            <m:chr m:val="̃"/>
            <m:ctrlPr>
              <w:rPr>
                <w:rFonts w:ascii="Cambria Math" w:hAnsi="Cambria Math"/>
                <w:i/>
              </w:rPr>
            </m:ctrlPr>
          </m:accPr>
          <m:e>
            <m:r>
              <w:rPr>
                <w:rFonts w:ascii="Cambria Math" w:hAnsi="Cambria Math"/>
              </w:rPr>
              <m:t>h</m:t>
            </m:r>
          </m:e>
        </m:acc>
      </m:oMath>
      <w:r w:rsidRPr="005A0574">
        <w:t xml:space="preserve"> </w:t>
      </w:r>
      <w:r w:rsidRPr="005A0574">
        <w:lastRenderedPageBreak/>
        <w:t>is approximated by the grid-scale moist static energy and its tendency is given by adding the tendencies from the grid-scale advection, diffusion in the planetary boundary layer and radiation.</w:t>
      </w:r>
    </w:p>
    <w:p w14:paraId="7B0E9729" w14:textId="77777777" w:rsidR="002519D1" w:rsidRPr="005A0574" w:rsidRDefault="002519D1" w:rsidP="002519D1">
      <w:pPr>
        <w:pStyle w:val="ListParagraph"/>
        <w:numPr>
          <w:ilvl w:val="0"/>
          <w:numId w:val="2"/>
        </w:numPr>
      </w:pPr>
      <w:r w:rsidRPr="005A0574">
        <w:t>Grant (2001), which introduced a closure based on the boundary layer convective scale vertical velocity (</w:t>
      </w:r>
      <m:oMath>
        <m:sSup>
          <m:sSupPr>
            <m:ctrlPr>
              <w:rPr>
                <w:rFonts w:ascii="Cambria Math" w:hAnsi="Cambria Math"/>
                <w:i/>
              </w:rPr>
            </m:ctrlPr>
          </m:sSupPr>
          <m:e>
            <m:r>
              <w:rPr>
                <w:rFonts w:ascii="Cambria Math" w:hAnsi="Cambria Math"/>
              </w:rPr>
              <m:t>w</m:t>
            </m:r>
          </m:e>
          <m:sup>
            <m:r>
              <w:rPr>
                <w:rFonts w:ascii="Cambria Math" w:hAnsi="Cambria Math"/>
              </w:rPr>
              <m:t>*</m:t>
            </m:r>
          </m:sup>
        </m:sSup>
      </m:oMath>
      <w:r w:rsidRPr="005A0574">
        <w:t>) and the air density at the cloud base (</w:t>
      </w:r>
      <w:r w:rsidRPr="005A0574">
        <w:rPr>
          <w:i/>
        </w:rPr>
        <w:sym w:font="Symbol" w:char="F072"/>
      </w:r>
      <w:r w:rsidRPr="005A0574">
        <w:t xml:space="preserve">).  In this closure, </w:t>
      </w:r>
      <m:oMath>
        <m:sSub>
          <m:sSubPr>
            <m:ctrlPr>
              <w:rPr>
                <w:rFonts w:ascii="Cambria Math" w:hAnsi="Cambria Math"/>
                <w:i/>
              </w:rPr>
            </m:ctrlPr>
          </m:sSubPr>
          <m:e>
            <m:r>
              <w:rPr>
                <w:rFonts w:ascii="Cambria Math" w:hAnsi="Cambria Math"/>
              </w:rPr>
              <m:t>m</m:t>
            </m:r>
          </m:e>
          <m:sub>
            <m:r>
              <w:rPr>
                <w:rFonts w:ascii="Cambria Math" w:hAnsi="Cambria Math"/>
              </w:rPr>
              <m:t>b</m:t>
            </m:r>
          </m:sub>
        </m:sSub>
        <m:r>
          <w:rPr>
            <w:rFonts w:ascii="Cambria Math" w:hAnsi="Cambria Math"/>
          </w:rPr>
          <m:t xml:space="preserve"> </m:t>
        </m:r>
      </m:oMath>
      <w:r w:rsidRPr="005A0574">
        <w:t>is simply given by:</w:t>
      </w:r>
    </w:p>
    <w:p w14:paraId="79C9EDD0" w14:textId="77777777" w:rsidR="002519D1" w:rsidRPr="005A0574" w:rsidRDefault="006801FF" w:rsidP="001148B7">
      <w:pPr>
        <w:ind w:left="720"/>
        <w:jc w:val="center"/>
      </w:pPr>
      <m:oMath>
        <m:sSub>
          <m:sSubPr>
            <m:ctrlPr>
              <w:rPr>
                <w:rFonts w:ascii="Cambria Math" w:hAnsi="Cambria Math"/>
                <w:i/>
              </w:rPr>
            </m:ctrlPr>
          </m:sSubPr>
          <m:e>
            <m:r>
              <w:rPr>
                <w:rFonts w:ascii="Cambria Math" w:hAnsi="Cambria Math"/>
              </w:rPr>
              <m:t>m</m:t>
            </m:r>
          </m:e>
          <m:sub>
            <m:r>
              <w:rPr>
                <w:rFonts w:ascii="Cambria Math" w:hAnsi="Cambria Math"/>
              </w:rPr>
              <m:t>b</m:t>
            </m:r>
          </m:sub>
        </m:sSub>
        <m:r>
          <w:rPr>
            <w:rFonts w:ascii="Cambria Math" w:hAnsi="Cambria Math"/>
          </w:rPr>
          <m:t xml:space="preserve">=0.03  </m:t>
        </m:r>
        <m:sSup>
          <m:sSupPr>
            <m:ctrlPr>
              <w:rPr>
                <w:rFonts w:ascii="Cambria Math" w:hAnsi="Cambria Math"/>
                <w:i/>
              </w:rPr>
            </m:ctrlPr>
          </m:sSupPr>
          <m:e>
            <m:r>
              <w:rPr>
                <w:rFonts w:ascii="Cambria Math" w:hAnsi="Cambria Math"/>
                <w:i/>
              </w:rPr>
              <w:sym w:font="Symbol" w:char="F072"/>
            </m:r>
            <m:r>
              <w:rPr>
                <w:rFonts w:ascii="Cambria Math" w:hAnsi="Cambria Math"/>
              </w:rPr>
              <m:t xml:space="preserve"> w</m:t>
            </m:r>
          </m:e>
          <m:sup>
            <m:r>
              <w:rPr>
                <w:rFonts w:ascii="Cambria Math" w:hAnsi="Cambria Math"/>
              </w:rPr>
              <m:t>*</m:t>
            </m:r>
          </m:sup>
        </m:sSup>
      </m:oMath>
      <w:r w:rsidR="002519D1" w:rsidRPr="005A0574">
        <w:t xml:space="preserve">   (2)</w:t>
      </w:r>
    </w:p>
    <w:p w14:paraId="52B53062" w14:textId="77777777" w:rsidR="002519D1" w:rsidRPr="005A0574" w:rsidRDefault="002519D1" w:rsidP="002519D1">
      <w:pPr>
        <w:pStyle w:val="ListParagraph"/>
        <w:numPr>
          <w:ilvl w:val="0"/>
          <w:numId w:val="2"/>
        </w:numPr>
      </w:pPr>
      <w:proofErr w:type="spellStart"/>
      <w:r w:rsidRPr="005A0574">
        <w:t>Rennó</w:t>
      </w:r>
      <w:proofErr w:type="spellEnd"/>
      <w:r w:rsidRPr="005A0574">
        <w:t xml:space="preserve"> and Ingersoll (1996) and Souza (1999), which applied the concept of convection as a natural heat engine to provide a closure for the updraft mass flux at cloud base:</w:t>
      </w:r>
    </w:p>
    <w:p w14:paraId="0C0E0821" w14:textId="77777777" w:rsidR="002519D1" w:rsidRPr="005A0574" w:rsidRDefault="006801FF" w:rsidP="001148B7">
      <w:pPr>
        <w:ind w:left="720"/>
        <w:jc w:val="center"/>
      </w:pPr>
      <m:oMath>
        <m:sSub>
          <m:sSubPr>
            <m:ctrlPr>
              <w:rPr>
                <w:rFonts w:ascii="Cambria Math" w:hAnsi="Cambria Math"/>
                <w:i/>
              </w:rPr>
            </m:ctrlPr>
          </m:sSubPr>
          <m:e>
            <m:r>
              <w:rPr>
                <w:rFonts w:ascii="Cambria Math" w:hAnsi="Cambria Math"/>
              </w:rPr>
              <m:t>m</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η</m:t>
            </m:r>
            <m:sSub>
              <m:sSubPr>
                <m:ctrlPr>
                  <w:rPr>
                    <w:rFonts w:ascii="Cambria Math" w:hAnsi="Cambria Math"/>
                    <w:i/>
                  </w:rPr>
                </m:ctrlPr>
              </m:sSubPr>
              <m:e>
                <m:r>
                  <w:rPr>
                    <w:rFonts w:ascii="Cambria Math" w:hAnsi="Cambria Math"/>
                  </w:rPr>
                  <m:t>F</m:t>
                </m:r>
              </m:e>
              <m:sub>
                <m:r>
                  <w:rPr>
                    <w:rFonts w:ascii="Cambria Math" w:hAnsi="Cambria Math"/>
                  </w:rPr>
                  <m:t>in</m:t>
                </m:r>
              </m:sub>
            </m:sSub>
          </m:num>
          <m:den>
            <m:sSub>
              <m:sSubPr>
                <m:ctrlPr>
                  <w:rPr>
                    <w:rFonts w:ascii="Cambria Math" w:hAnsi="Cambria Math"/>
                    <w:i/>
                  </w:rPr>
                </m:ctrlPr>
              </m:sSubPr>
              <m:e>
                <m:r>
                  <w:rPr>
                    <w:rFonts w:ascii="Cambria Math" w:hAnsi="Cambria Math"/>
                  </w:rPr>
                  <m:t>T</m:t>
                </m:r>
              </m:e>
              <m:sub>
                <m:r>
                  <w:rPr>
                    <w:rFonts w:ascii="Cambria Math" w:hAnsi="Cambria Math"/>
                  </w:rPr>
                  <m:t>cape</m:t>
                </m:r>
              </m:sub>
            </m:sSub>
          </m:den>
        </m:f>
      </m:oMath>
      <w:r w:rsidR="002519D1" w:rsidRPr="005A0574">
        <w:t xml:space="preserve">   (3)</w:t>
      </w:r>
    </w:p>
    <w:p w14:paraId="115A9C61" w14:textId="77777777" w:rsidR="002519D1" w:rsidRPr="005A0574" w:rsidRDefault="002519D1" w:rsidP="002519D1">
      <w:pPr>
        <w:ind w:left="720"/>
      </w:pPr>
      <w:r w:rsidRPr="005A0574">
        <w:t xml:space="preserve">where </w:t>
      </w:r>
      <m:oMath>
        <m:r>
          <w:rPr>
            <w:rFonts w:ascii="Cambria Math" w:hAnsi="Cambria Math"/>
          </w:rPr>
          <m:t>η</m:t>
        </m:r>
      </m:oMath>
      <w:r w:rsidRPr="005A0574">
        <w:t xml:space="preserve"> is the thermodynamic efficiency, </w:t>
      </w:r>
      <m:oMath>
        <m:sSub>
          <m:sSubPr>
            <m:ctrlPr>
              <w:rPr>
                <w:rFonts w:ascii="Cambria Math" w:hAnsi="Cambria Math"/>
                <w:i/>
              </w:rPr>
            </m:ctrlPr>
          </m:sSubPr>
          <m:e>
            <m:r>
              <w:rPr>
                <w:rFonts w:ascii="Cambria Math" w:hAnsi="Cambria Math"/>
              </w:rPr>
              <m:t>F</m:t>
            </m:r>
          </m:e>
          <m:sub>
            <m:r>
              <w:rPr>
                <w:rFonts w:ascii="Cambria Math" w:hAnsi="Cambria Math"/>
              </w:rPr>
              <m:t>in</m:t>
            </m:r>
          </m:sub>
        </m:sSub>
      </m:oMath>
      <w:r w:rsidRPr="005A0574">
        <w:t xml:space="preserve"> is the buoyancy surface flux and </w:t>
      </w:r>
      <m:oMath>
        <m:sSub>
          <m:sSubPr>
            <m:ctrlPr>
              <w:rPr>
                <w:rFonts w:ascii="Cambria Math" w:hAnsi="Cambria Math"/>
                <w:i/>
              </w:rPr>
            </m:ctrlPr>
          </m:sSubPr>
          <m:e>
            <m:r>
              <w:rPr>
                <w:rFonts w:ascii="Cambria Math" w:hAnsi="Cambria Math"/>
              </w:rPr>
              <m:t>T</m:t>
            </m:r>
          </m:e>
          <m:sub>
            <m:r>
              <w:rPr>
                <w:rFonts w:ascii="Cambria Math" w:hAnsi="Cambria Math"/>
              </w:rPr>
              <m:t>cape</m:t>
            </m:r>
          </m:sub>
        </m:sSub>
      </m:oMath>
      <w:r w:rsidRPr="005A0574">
        <w:t xml:space="preserve"> is the total convective available potential energy, which is approximated by the standard CAPE calculated from the vertical level of the air parcel source to the cloud top (Souza, 1999).</w:t>
      </w:r>
    </w:p>
    <w:p w14:paraId="57457639" w14:textId="77777777" w:rsidR="002D546D" w:rsidRPr="005A0574" w:rsidRDefault="002D546D" w:rsidP="00796203">
      <w:pPr>
        <w:pStyle w:val="Heading3"/>
      </w:pPr>
      <w:r w:rsidRPr="005A0574">
        <w:t>2.1.2 Congestus and deep convection</w:t>
      </w:r>
    </w:p>
    <w:p w14:paraId="3ABFEE1D" w14:textId="674D6E21" w:rsidR="00DD7393" w:rsidRPr="005A0574" w:rsidRDefault="00DD7393" w:rsidP="00DD7393">
      <w:r w:rsidRPr="005A0574">
        <w:t>Congestus and deep convection share several properties and will be described together in this section. Both allow associated convective</w:t>
      </w:r>
      <w:r w:rsidR="00E24D25">
        <w:t>-</w:t>
      </w:r>
      <w:r w:rsidRPr="005A0574">
        <w:t>scale saturated downdraft</w:t>
      </w:r>
      <w:r w:rsidR="00E24D25">
        <w:t>s</w:t>
      </w:r>
      <w:r w:rsidRPr="005A0574">
        <w:t xml:space="preserve"> (see Grell 1993 for further details). As for shallow convection, they are distinguished by </w:t>
      </w:r>
      <w:r w:rsidR="00E24D25">
        <w:t xml:space="preserve">different </w:t>
      </w:r>
      <w:r w:rsidRPr="005A0574">
        <w:t>characteristic initial gross entrainment rate</w:t>
      </w:r>
      <w:r w:rsidR="00E24D25">
        <w:t>s</w:t>
      </w:r>
      <w:r w:rsidRPr="005A0574">
        <w:t xml:space="preserve"> (</w:t>
      </w:r>
      <w:r w:rsidR="00CB458F" w:rsidRPr="005A0574">
        <w:rPr>
          <w:color w:val="000000" w:themeColor="text1"/>
        </w:rPr>
        <w:t xml:space="preserve">see </w:t>
      </w:r>
      <w:r w:rsidR="00F968D9">
        <w:rPr>
          <w:color w:val="000000" w:themeColor="text1"/>
        </w:rPr>
        <w:t>S</w:t>
      </w:r>
      <w:r w:rsidR="00CB458F" w:rsidRPr="005A0574">
        <w:rPr>
          <w:color w:val="000000" w:themeColor="text1"/>
        </w:rPr>
        <w:t>ection 2.2</w:t>
      </w:r>
      <w:r w:rsidRPr="005A0574">
        <w:t xml:space="preserve">) that </w:t>
      </w:r>
      <w:r w:rsidR="00E24D25">
        <w:t xml:space="preserve">represent </w:t>
      </w:r>
      <w:r w:rsidR="00DC1E29">
        <w:t>the</w:t>
      </w:r>
      <w:r w:rsidRPr="005A0574">
        <w:t xml:space="preserve"> deep and congestus </w:t>
      </w:r>
      <w:r w:rsidR="00DC1E29">
        <w:t>modes</w:t>
      </w:r>
      <w:r w:rsidRPr="005A0574">
        <w:t xml:space="preserve">. The cloud bases are found following the same procedure described for the shallow convection. For deep convection, the cloud top is defined by the vertical layer where the buoyancy becomes negative. For congestus convection, the thermal inversion layer which is closest to the 500 </w:t>
      </w:r>
      <w:proofErr w:type="spellStart"/>
      <w:r w:rsidRPr="005A0574">
        <w:t>hPa</w:t>
      </w:r>
      <w:proofErr w:type="spellEnd"/>
      <w:r w:rsidRPr="005A0574">
        <w:t xml:space="preserve"> pressure level defines the cloud top for the congestus mode.</w:t>
      </w:r>
    </w:p>
    <w:p w14:paraId="30134D6D" w14:textId="2E3737A2" w:rsidR="00DD7393" w:rsidRPr="005A0574" w:rsidRDefault="00DD7393" w:rsidP="00DD7393">
      <w:r w:rsidRPr="005A0574">
        <w:t xml:space="preserve">The closures formulations to determine the cloud base mass fluxes for deep convection are described in GD2002. For congestus, the closures BLQE (Eq. 1) and based on W* (Eq. 2) described in Section 2.1.1 are available, </w:t>
      </w:r>
      <w:r w:rsidR="00E24D25">
        <w:t>as well as</w:t>
      </w:r>
      <w:r w:rsidRPr="005A0574">
        <w:t xml:space="preserve"> the instability (measured as the cloud work function) removal using a prescribed time scale of 1800 seconds (see Section 2.3 for further details).</w:t>
      </w:r>
    </w:p>
    <w:p w14:paraId="59BA9A05" w14:textId="4EB924B1" w:rsidR="00DD7393" w:rsidRPr="005A0574" w:rsidRDefault="00DD7393" w:rsidP="00796203">
      <w:pPr>
        <w:pStyle w:val="Heading3"/>
      </w:pPr>
      <w:r w:rsidRPr="005A0574">
        <w:t>2.2</w:t>
      </w:r>
      <w:r w:rsidR="00796203" w:rsidRPr="005A0574">
        <w:t xml:space="preserve"> </w:t>
      </w:r>
      <w:r w:rsidR="007E0DD9" w:rsidRPr="007E0DD9">
        <w:t>Representation of normalized vertical mass flux profiles</w:t>
      </w:r>
      <w:bookmarkStart w:id="2" w:name="_Hlk78730229"/>
    </w:p>
    <w:bookmarkEnd w:id="2"/>
    <w:p w14:paraId="66B3922C" w14:textId="2B7A9E10" w:rsidR="00DD7393" w:rsidRPr="007E0DD9" w:rsidRDefault="00DD7393" w:rsidP="00796203">
      <w:pPr>
        <w:pStyle w:val="Heading3"/>
        <w:rPr>
          <w:b w:val="0"/>
          <w:bCs w:val="0"/>
        </w:rPr>
      </w:pPr>
      <w:r w:rsidRPr="007E0DD9">
        <w:rPr>
          <w:b w:val="0"/>
          <w:bCs w:val="0"/>
          <w:lang w:eastAsia="de-DE"/>
        </w:rPr>
        <w:t>The new version applies</w:t>
      </w:r>
      <w:r w:rsidR="00994778">
        <w:rPr>
          <w:b w:val="0"/>
          <w:bCs w:val="0"/>
          <w:lang w:eastAsia="de-DE"/>
        </w:rPr>
        <w:t xml:space="preserve"> analytical</w:t>
      </w:r>
      <w:r w:rsidRPr="007E0DD9">
        <w:rPr>
          <w:b w:val="0"/>
          <w:bCs w:val="0"/>
          <w:lang w:eastAsia="de-DE"/>
        </w:rPr>
        <w:t xml:space="preserve"> Beta functions to represent the average statistical mass flux of </w:t>
      </w:r>
      <w:r w:rsidRPr="007E0DD9">
        <w:rPr>
          <w:b w:val="0"/>
          <w:bCs w:val="0"/>
          <w:lang w:eastAsia="de-DE"/>
        </w:rPr>
        <w:lastRenderedPageBreak/>
        <w:t>the plumes</w:t>
      </w:r>
      <w:r w:rsidRPr="007E0DD9">
        <w:rPr>
          <w:b w:val="0"/>
          <w:bCs w:val="0"/>
        </w:rPr>
        <w:t xml:space="preserve">. We assume that the average normalized mass flux profiles for </w:t>
      </w:r>
      <w:r w:rsidR="00D260A7" w:rsidRPr="00256AF3">
        <w:rPr>
          <w:b w:val="0"/>
          <w:bCs w:val="0"/>
        </w:rPr>
        <w:t>updrafts</w:t>
      </w:r>
      <w:r w:rsidRPr="00256AF3">
        <w:rPr>
          <w:b w:val="0"/>
          <w:bCs w:val="0"/>
        </w:rPr>
        <w:t xml:space="preserve"> (</w:t>
      </w:r>
      <w:r w:rsidRPr="00256AF3">
        <w:rPr>
          <w:b w:val="0"/>
          <w:bCs w:val="0"/>
          <w:i/>
          <w:iCs/>
        </w:rPr>
        <w:t>Z</w:t>
      </w:r>
      <w:r w:rsidRPr="00256AF3">
        <w:rPr>
          <w:b w:val="0"/>
          <w:bCs w:val="0"/>
          <w:i/>
          <w:iCs/>
          <w:vertAlign w:val="subscript"/>
        </w:rPr>
        <w:t>u</w:t>
      </w:r>
      <w:r w:rsidRPr="00256AF3">
        <w:rPr>
          <w:b w:val="0"/>
          <w:bCs w:val="0"/>
        </w:rPr>
        <w:t xml:space="preserve">) and </w:t>
      </w:r>
      <w:r w:rsidRPr="007E0DD9">
        <w:rPr>
          <w:b w:val="0"/>
          <w:bCs w:val="0"/>
        </w:rPr>
        <w:t>downdrafts (</w:t>
      </w:r>
      <w:proofErr w:type="spellStart"/>
      <w:r w:rsidRPr="007E0DD9">
        <w:rPr>
          <w:b w:val="0"/>
          <w:bCs w:val="0"/>
          <w:i/>
          <w:iCs/>
        </w:rPr>
        <w:t>Z</w:t>
      </w:r>
      <w:r w:rsidRPr="007E0DD9">
        <w:rPr>
          <w:b w:val="0"/>
          <w:bCs w:val="0"/>
          <w:i/>
          <w:iCs/>
          <w:vertAlign w:val="subscript"/>
        </w:rPr>
        <w:t>d</w:t>
      </w:r>
      <w:proofErr w:type="spellEnd"/>
      <w:r w:rsidRPr="007E0DD9">
        <w:rPr>
          <w:b w:val="0"/>
          <w:bCs w:val="0"/>
        </w:rPr>
        <w:t>) in the grid box may be represented by a Beta function, which is given by:</w:t>
      </w:r>
    </w:p>
    <w:p w14:paraId="11FB9274" w14:textId="3B86E20F" w:rsidR="00DD7393" w:rsidRPr="007E0DD9" w:rsidRDefault="006801FF" w:rsidP="001148B7">
      <w:pPr>
        <w:pStyle w:val="Heading3"/>
        <w:jc w:val="center"/>
        <w:rPr>
          <w:b w:val="0"/>
          <w:bCs w:val="0"/>
        </w:rPr>
      </w:pPr>
      <m:oMath>
        <m:sSub>
          <m:sSubPr>
            <m:ctrlPr>
              <w:rPr>
                <w:rFonts w:ascii="Cambria Math" w:hAnsi="Cambria Math"/>
                <w:b w:val="0"/>
                <w:bCs w:val="0"/>
              </w:rPr>
            </m:ctrlPr>
          </m:sSubPr>
          <m:e>
            <m:r>
              <m:rPr>
                <m:sty m:val="bi"/>
              </m:rPr>
              <w:rPr>
                <w:rFonts w:ascii="Cambria Math" w:hAnsi="Cambria Math"/>
              </w:rPr>
              <m:t>Z</m:t>
            </m:r>
          </m:e>
          <m:sub>
            <m:r>
              <m:rPr>
                <m:sty m:val="bi"/>
              </m:rPr>
              <w:rPr>
                <w:rFonts w:ascii="Cambria Math" w:hAnsi="Cambria Math"/>
              </w:rPr>
              <m:t>u</m:t>
            </m:r>
            <m:r>
              <m:rPr>
                <m:sty m:val="b"/>
              </m:rPr>
              <w:rPr>
                <w:rFonts w:ascii="Cambria Math" w:hAnsi="Cambria Math"/>
              </w:rPr>
              <m:t>,</m:t>
            </m:r>
            <m:r>
              <m:rPr>
                <m:sty m:val="bi"/>
              </m:rPr>
              <w:rPr>
                <w:rFonts w:ascii="Cambria Math" w:hAnsi="Cambria Math"/>
              </w:rPr>
              <m:t>d</m:t>
            </m:r>
          </m:sub>
        </m:sSub>
        <m:r>
          <m:rPr>
            <m:sty m:val="b"/>
          </m:rPr>
          <w:rPr>
            <w:rFonts w:ascii="Cambria Math" w:hAnsi="Cambria Math"/>
          </w:rPr>
          <m:t>(</m:t>
        </m:r>
        <m:sSub>
          <m:sSubPr>
            <m:ctrlPr>
              <w:rPr>
                <w:rFonts w:ascii="Cambria Math" w:hAnsi="Cambria Math"/>
                <w:b w:val="0"/>
                <w:bCs w:val="0"/>
              </w:rPr>
            </m:ctrlPr>
          </m:sSubPr>
          <m:e>
            <m:r>
              <m:rPr>
                <m:sty m:val="bi"/>
              </m:rPr>
              <w:rPr>
                <w:rFonts w:ascii="Cambria Math" w:hAnsi="Cambria Math"/>
              </w:rPr>
              <m:t>r</m:t>
            </m:r>
          </m:e>
          <m:sub>
            <m:r>
              <m:rPr>
                <m:sty m:val="bi"/>
              </m:rPr>
              <w:rPr>
                <w:rFonts w:ascii="Cambria Math" w:hAnsi="Cambria Math"/>
              </w:rPr>
              <m:t>k</m:t>
            </m:r>
          </m:sub>
        </m:sSub>
        <m:r>
          <m:rPr>
            <m:sty m:val="b"/>
          </m:rPr>
          <w:rPr>
            <w:rFonts w:ascii="Cambria Math" w:hAnsi="Cambria Math"/>
          </w:rPr>
          <m:t>)=</m:t>
        </m:r>
        <m:sSup>
          <m:sSupPr>
            <m:ctrlPr>
              <w:rPr>
                <w:rFonts w:ascii="Cambria Math" w:hAnsi="Cambria Math"/>
                <w:b w:val="0"/>
                <w:bCs w:val="0"/>
              </w:rPr>
            </m:ctrlPr>
          </m:sSupPr>
          <m:e>
            <m:r>
              <m:rPr>
                <m:sty m:val="bi"/>
              </m:rPr>
              <w:rPr>
                <w:rFonts w:ascii="Cambria Math" w:hAnsi="Cambria Math"/>
              </w:rPr>
              <m:t>c</m:t>
            </m:r>
            <m:r>
              <m:rPr>
                <m:sty m:val="b"/>
              </m:rPr>
              <w:rPr>
                <w:rFonts w:ascii="Cambria Math" w:hAnsi="Cambria Math"/>
              </w:rPr>
              <m:t xml:space="preserve"> </m:t>
            </m:r>
            <m:sSub>
              <m:sSubPr>
                <m:ctrlPr>
                  <w:rPr>
                    <w:rFonts w:ascii="Cambria Math" w:hAnsi="Cambria Math"/>
                    <w:b w:val="0"/>
                    <w:bCs w:val="0"/>
                  </w:rPr>
                </m:ctrlPr>
              </m:sSubPr>
              <m:e>
                <m:r>
                  <m:rPr>
                    <m:sty m:val="bi"/>
                  </m:rPr>
                  <w:rPr>
                    <w:rFonts w:ascii="Cambria Math" w:hAnsi="Cambria Math"/>
                  </w:rPr>
                  <m:t>r</m:t>
                </m:r>
              </m:e>
              <m:sub>
                <m:r>
                  <m:rPr>
                    <m:sty m:val="bi"/>
                  </m:rPr>
                  <w:rPr>
                    <w:rFonts w:ascii="Cambria Math" w:hAnsi="Cambria Math"/>
                  </w:rPr>
                  <m:t>k</m:t>
                </m:r>
              </m:sub>
            </m:sSub>
          </m:e>
          <m:sup>
            <m:r>
              <m:rPr>
                <m:sty m:val="bi"/>
              </m:rPr>
              <w:rPr>
                <w:rFonts w:ascii="Cambria Math" w:hAnsi="Cambria Math"/>
              </w:rPr>
              <m:t>α</m:t>
            </m:r>
            <m:r>
              <m:rPr>
                <m:sty m:val="b"/>
              </m:rPr>
              <w:rPr>
                <w:rFonts w:ascii="Cambria Math" w:hAnsi="Cambria Math"/>
              </w:rPr>
              <m:t>-1</m:t>
            </m:r>
          </m:sup>
        </m:sSup>
        <m:r>
          <m:rPr>
            <m:sty m:val="b"/>
          </m:rPr>
          <w:rPr>
            <w:rFonts w:ascii="Cambria Math" w:hAnsi="Cambria Math"/>
          </w:rPr>
          <m:t xml:space="preserve"> </m:t>
        </m:r>
        <m:sSup>
          <m:sSupPr>
            <m:ctrlPr>
              <w:rPr>
                <w:rFonts w:ascii="Cambria Math" w:hAnsi="Cambria Math"/>
                <w:b w:val="0"/>
                <w:bCs w:val="0"/>
              </w:rPr>
            </m:ctrlPr>
          </m:sSupPr>
          <m:e>
            <m:r>
              <m:rPr>
                <m:sty m:val="b"/>
              </m:rPr>
              <w:rPr>
                <w:rFonts w:ascii="Cambria Math" w:hAnsi="Cambria Math"/>
              </w:rPr>
              <m:t>(1-</m:t>
            </m:r>
            <m:sSub>
              <m:sSubPr>
                <m:ctrlPr>
                  <w:rPr>
                    <w:rFonts w:ascii="Cambria Math" w:hAnsi="Cambria Math"/>
                    <w:b w:val="0"/>
                    <w:bCs w:val="0"/>
                  </w:rPr>
                </m:ctrlPr>
              </m:sSubPr>
              <m:e>
                <m:r>
                  <m:rPr>
                    <m:sty m:val="bi"/>
                  </m:rPr>
                  <w:rPr>
                    <w:rFonts w:ascii="Cambria Math" w:hAnsi="Cambria Math"/>
                  </w:rPr>
                  <m:t>r</m:t>
                </m:r>
              </m:e>
              <m:sub>
                <m:r>
                  <m:rPr>
                    <m:sty m:val="bi"/>
                  </m:rPr>
                  <w:rPr>
                    <w:rFonts w:ascii="Cambria Math" w:hAnsi="Cambria Math"/>
                  </w:rPr>
                  <m:t>k</m:t>
                </m:r>
              </m:sub>
            </m:sSub>
            <m:r>
              <m:rPr>
                <m:sty m:val="b"/>
              </m:rPr>
              <w:rPr>
                <w:rFonts w:ascii="Cambria Math" w:hAnsi="Cambria Math"/>
              </w:rPr>
              <m:t>)</m:t>
            </m:r>
          </m:e>
          <m:sup>
            <m:r>
              <m:rPr>
                <m:sty m:val="bi"/>
              </m:rPr>
              <w:rPr>
                <w:rFonts w:ascii="Cambria Math" w:hAnsi="Cambria Math"/>
              </w:rPr>
              <m:t>β</m:t>
            </m:r>
            <m:r>
              <m:rPr>
                <m:sty m:val="b"/>
              </m:rPr>
              <w:rPr>
                <w:rFonts w:ascii="Cambria Math" w:hAnsi="Cambria Math"/>
              </w:rPr>
              <m:t>-1</m:t>
            </m:r>
          </m:sup>
        </m:sSup>
      </m:oMath>
      <w:r w:rsidR="00DD7393" w:rsidRPr="007E0DD9">
        <w:rPr>
          <w:b w:val="0"/>
          <w:bCs w:val="0"/>
        </w:rPr>
        <w:t xml:space="preserve">  (4)</w:t>
      </w:r>
    </w:p>
    <w:p w14:paraId="7B2E3844" w14:textId="3E414FD6" w:rsidR="00DD7393" w:rsidRPr="007E0DD9" w:rsidRDefault="00494282" w:rsidP="00796203">
      <w:pPr>
        <w:pStyle w:val="Heading3"/>
        <w:rPr>
          <w:b w:val="0"/>
          <w:bCs w:val="0"/>
        </w:rPr>
      </w:pPr>
      <w:r w:rsidRPr="007E0DD9">
        <w:rPr>
          <w:b w:val="0"/>
          <w:bCs w:val="0"/>
        </w:rPr>
        <w:t>w</w:t>
      </w:r>
      <w:r w:rsidR="00DD7393" w:rsidRPr="007E0DD9">
        <w:rPr>
          <w:b w:val="0"/>
          <w:bCs w:val="0"/>
        </w:rPr>
        <w:t xml:space="preserve">here c is </w:t>
      </w:r>
      <w:r w:rsidR="00EB584C">
        <w:rPr>
          <w:b w:val="0"/>
          <w:bCs w:val="0"/>
        </w:rPr>
        <w:t xml:space="preserve">defined below (Eq. 6) </w:t>
      </w:r>
      <w:r w:rsidR="00DD7393" w:rsidRPr="007E0DD9">
        <w:rPr>
          <w:b w:val="0"/>
          <w:bCs w:val="0"/>
        </w:rPr>
        <w:t>a</w:t>
      </w:r>
      <w:r w:rsidR="00EB584C">
        <w:rPr>
          <w:b w:val="0"/>
          <w:bCs w:val="0"/>
        </w:rPr>
        <w:t>s</w:t>
      </w:r>
      <w:r w:rsidR="00DD7393" w:rsidRPr="007E0DD9">
        <w:rPr>
          <w:b w:val="0"/>
          <w:bCs w:val="0"/>
        </w:rPr>
        <w:t xml:space="preserve"> normalization constant to assure that total </w:t>
      </w:r>
      <w:r w:rsidR="00994778">
        <w:rPr>
          <w:b w:val="0"/>
          <w:bCs w:val="0"/>
        </w:rPr>
        <w:t>integral</w:t>
      </w:r>
      <w:r w:rsidR="00DD7393" w:rsidRPr="007E0DD9">
        <w:rPr>
          <w:b w:val="0"/>
          <w:bCs w:val="0"/>
        </w:rPr>
        <w:t xml:space="preserve"> is 1, </w:t>
      </w:r>
      <w:bookmarkStart w:id="3" w:name="_Hlk63081494"/>
      <w:proofErr w:type="spellStart"/>
      <w:r w:rsidR="00DD7393" w:rsidRPr="007E0DD9">
        <w:rPr>
          <w:b w:val="0"/>
          <w:bCs w:val="0"/>
          <w:i/>
          <w:iCs/>
        </w:rPr>
        <w:t>r</w:t>
      </w:r>
      <w:r w:rsidR="00DD7393" w:rsidRPr="007E0DD9">
        <w:rPr>
          <w:b w:val="0"/>
          <w:bCs w:val="0"/>
          <w:i/>
          <w:iCs/>
          <w:vertAlign w:val="subscript"/>
        </w:rPr>
        <w:t>k</w:t>
      </w:r>
      <w:bookmarkEnd w:id="3"/>
      <w:proofErr w:type="spellEnd"/>
      <w:r w:rsidR="00DD7393" w:rsidRPr="00256AF3">
        <w:rPr>
          <w:b w:val="0"/>
          <w:bCs w:val="0"/>
        </w:rPr>
        <w:t xml:space="preserve"> is the location of the mass</w:t>
      </w:r>
      <w:r w:rsidR="00D260A7" w:rsidRPr="00256AF3">
        <w:rPr>
          <w:b w:val="0"/>
          <w:bCs w:val="0"/>
        </w:rPr>
        <w:t xml:space="preserve"> </w:t>
      </w:r>
      <w:r w:rsidR="00DD7393" w:rsidRPr="00256AF3">
        <w:rPr>
          <w:b w:val="0"/>
          <w:bCs w:val="0"/>
        </w:rPr>
        <w:t xml:space="preserve">flux maximum, given by the ratio between the pressure depth from where the </w:t>
      </w:r>
      <w:r w:rsidR="00EB584C">
        <w:rPr>
          <w:b w:val="0"/>
          <w:bCs w:val="0"/>
        </w:rPr>
        <w:t xml:space="preserve">normalized </w:t>
      </w:r>
      <w:r w:rsidR="00DD7393" w:rsidRPr="00256AF3">
        <w:rPr>
          <w:b w:val="0"/>
          <w:bCs w:val="0"/>
        </w:rPr>
        <w:t xml:space="preserve">maximum </w:t>
      </w:r>
      <w:r w:rsidR="00EB584C">
        <w:rPr>
          <w:b w:val="0"/>
          <w:bCs w:val="0"/>
        </w:rPr>
        <w:t xml:space="preserve">mass flux </w:t>
      </w:r>
      <w:r w:rsidR="00DD7393" w:rsidRPr="00256AF3">
        <w:rPr>
          <w:b w:val="0"/>
          <w:bCs w:val="0"/>
        </w:rPr>
        <w:t xml:space="preserve">of the cloud </w:t>
      </w:r>
      <w:r w:rsidR="00DD7393" w:rsidRPr="007E0DD9">
        <w:rPr>
          <w:b w:val="0"/>
          <w:bCs w:val="0"/>
        </w:rPr>
        <w:t>is in relation to the cloud base related to the total depth of the cloud</w:t>
      </w:r>
    </w:p>
    <w:bookmarkStart w:id="4" w:name="_Hlk63082819"/>
    <w:p w14:paraId="33E45EE0" w14:textId="2FD6AB6F" w:rsidR="00A14835" w:rsidRPr="007E0DD9" w:rsidRDefault="006801FF" w:rsidP="00A14835">
      <w:pPr>
        <w:pStyle w:val="Heading3"/>
        <w:jc w:val="center"/>
        <w:rPr>
          <w:b w:val="0"/>
          <w:bCs w:val="0"/>
          <w:vertAlign w:val="subscript"/>
        </w:rPr>
      </w:pPr>
      <m:oMath>
        <m:sSub>
          <m:sSubPr>
            <m:ctrlPr>
              <w:rPr>
                <w:rFonts w:ascii="Cambria Math" w:hAnsi="Cambria Math"/>
                <w:b w:val="0"/>
                <w:bCs w:val="0"/>
                <w:vertAlign w:val="subscript"/>
              </w:rPr>
            </m:ctrlPr>
          </m:sSubPr>
          <m:e>
            <m:r>
              <m:rPr>
                <m:sty m:val="bi"/>
              </m:rPr>
              <w:rPr>
                <w:rFonts w:ascii="Cambria Math" w:hAnsi="Cambria Math"/>
                <w:vertAlign w:val="subscript"/>
              </w:rPr>
              <m:t>r</m:t>
            </m:r>
          </m:e>
          <m:sub>
            <m:r>
              <m:rPr>
                <m:sty m:val="bi"/>
              </m:rPr>
              <w:rPr>
                <w:rFonts w:ascii="Cambria Math" w:hAnsi="Cambria Math"/>
                <w:vertAlign w:val="subscript"/>
              </w:rPr>
              <m:t>k</m:t>
            </m:r>
            <m:r>
              <m:rPr>
                <m:sty m:val="b"/>
              </m:rPr>
              <w:rPr>
                <w:rFonts w:ascii="Cambria Math" w:hAnsi="Cambria Math"/>
                <w:vertAlign w:val="subscript"/>
              </w:rPr>
              <m:t xml:space="preserve">   </m:t>
            </m:r>
          </m:sub>
        </m:sSub>
        <m:r>
          <m:rPr>
            <m:sty m:val="b"/>
          </m:rPr>
          <w:rPr>
            <w:rFonts w:ascii="Cambria Math" w:hAnsi="Cambria Math"/>
            <w:vertAlign w:val="subscript"/>
          </w:rPr>
          <m:t xml:space="preserve">= </m:t>
        </m:r>
        <m:f>
          <m:fPr>
            <m:ctrlPr>
              <w:rPr>
                <w:rFonts w:ascii="Cambria Math" w:hAnsi="Cambria Math"/>
                <w:b w:val="0"/>
                <w:bCs w:val="0"/>
                <w:vertAlign w:val="subscript"/>
              </w:rPr>
            </m:ctrlPr>
          </m:fPr>
          <m:num>
            <w:bookmarkStart w:id="5" w:name="_Hlk63081116"/>
            <m:r>
              <m:rPr>
                <m:sty m:val="bi"/>
              </m:rPr>
              <w:rPr>
                <w:rFonts w:ascii="Cambria Math" w:hAnsi="Cambria Math"/>
                <w:vertAlign w:val="subscript"/>
              </w:rPr>
              <m:t>p</m:t>
            </m:r>
            <m:r>
              <m:rPr>
                <m:sty m:val="b"/>
              </m:rPr>
              <w:rPr>
                <w:rFonts w:ascii="Cambria Math" w:hAnsi="Cambria Math"/>
                <w:vertAlign w:val="subscript"/>
              </w:rPr>
              <m:t xml:space="preserve">- </m:t>
            </m:r>
            <m:sSub>
              <m:sSubPr>
                <m:ctrlPr>
                  <w:rPr>
                    <w:rFonts w:ascii="Cambria Math" w:hAnsi="Cambria Math"/>
                    <w:b w:val="0"/>
                    <w:bCs w:val="0"/>
                    <w:vertAlign w:val="subscript"/>
                  </w:rPr>
                </m:ctrlPr>
              </m:sSubPr>
              <m:e>
                <m:r>
                  <m:rPr>
                    <m:sty m:val="bi"/>
                  </m:rPr>
                  <w:rPr>
                    <w:rFonts w:ascii="Cambria Math" w:hAnsi="Cambria Math"/>
                    <w:vertAlign w:val="subscript"/>
                  </w:rPr>
                  <m:t>p</m:t>
                </m:r>
              </m:e>
              <m:sub>
                <m:r>
                  <m:rPr>
                    <m:sty m:val="bi"/>
                  </m:rPr>
                  <w:rPr>
                    <w:rFonts w:ascii="Cambria Math" w:hAnsi="Cambria Math"/>
                    <w:vertAlign w:val="subscript"/>
                  </w:rPr>
                  <m:t>base</m:t>
                </m:r>
              </m:sub>
            </m:sSub>
            <w:bookmarkEnd w:id="5"/>
          </m:num>
          <m:den>
            <m:sSub>
              <m:sSubPr>
                <m:ctrlPr>
                  <w:rPr>
                    <w:rFonts w:ascii="Cambria Math" w:hAnsi="Cambria Math"/>
                    <w:b w:val="0"/>
                    <w:bCs w:val="0"/>
                    <w:vertAlign w:val="subscript"/>
                  </w:rPr>
                </m:ctrlPr>
              </m:sSubPr>
              <m:e>
                <m:r>
                  <m:rPr>
                    <m:sty m:val="bi"/>
                  </m:rPr>
                  <w:rPr>
                    <w:rFonts w:ascii="Cambria Math" w:hAnsi="Cambria Math"/>
                    <w:vertAlign w:val="subscript"/>
                  </w:rPr>
                  <m:t>p</m:t>
                </m:r>
              </m:e>
              <m:sub>
                <m:r>
                  <m:rPr>
                    <m:sty m:val="bi"/>
                  </m:rPr>
                  <w:rPr>
                    <w:rFonts w:ascii="Cambria Math" w:hAnsi="Cambria Math"/>
                    <w:vertAlign w:val="subscript"/>
                  </w:rPr>
                  <m:t>t</m:t>
                </m:r>
              </m:sub>
            </m:sSub>
            <m:r>
              <m:rPr>
                <m:sty m:val="b"/>
              </m:rPr>
              <w:rPr>
                <w:rFonts w:ascii="Cambria Math" w:hAnsi="Cambria Math"/>
                <w:vertAlign w:val="subscript"/>
              </w:rPr>
              <m:t xml:space="preserve">- </m:t>
            </m:r>
            <m:sSub>
              <m:sSubPr>
                <m:ctrlPr>
                  <w:rPr>
                    <w:rFonts w:ascii="Cambria Math" w:hAnsi="Cambria Math"/>
                    <w:b w:val="0"/>
                    <w:bCs w:val="0"/>
                    <w:vertAlign w:val="subscript"/>
                  </w:rPr>
                </m:ctrlPr>
              </m:sSubPr>
              <m:e>
                <m:r>
                  <m:rPr>
                    <m:sty m:val="bi"/>
                  </m:rPr>
                  <w:rPr>
                    <w:rFonts w:ascii="Cambria Math" w:hAnsi="Cambria Math"/>
                    <w:vertAlign w:val="subscript"/>
                  </w:rPr>
                  <m:t>p</m:t>
                </m:r>
              </m:e>
              <m:sub>
                <m:r>
                  <m:rPr>
                    <m:sty m:val="bi"/>
                  </m:rPr>
                  <w:rPr>
                    <w:rFonts w:ascii="Cambria Math" w:hAnsi="Cambria Math"/>
                    <w:vertAlign w:val="subscript"/>
                  </w:rPr>
                  <m:t>base</m:t>
                </m:r>
              </m:sub>
            </m:sSub>
          </m:den>
        </m:f>
      </m:oMath>
      <w:bookmarkEnd w:id="4"/>
      <w:r w:rsidR="00A14835" w:rsidRPr="007E0DD9">
        <w:rPr>
          <w:b w:val="0"/>
          <w:bCs w:val="0"/>
          <w:vertAlign w:val="subscript"/>
        </w:rPr>
        <w:t xml:space="preserve">  </w:t>
      </w:r>
      <w:r w:rsidR="00A14835" w:rsidRPr="007E0DD9">
        <w:rPr>
          <w:b w:val="0"/>
          <w:bCs w:val="0"/>
        </w:rPr>
        <w:t>(5)</w:t>
      </w:r>
    </w:p>
    <w:p w14:paraId="7FC31C07" w14:textId="5A38C0A8" w:rsidR="00DD7393" w:rsidRPr="00256AF3" w:rsidRDefault="00796203" w:rsidP="001148B7">
      <w:pPr>
        <w:pStyle w:val="Heading3"/>
        <w:jc w:val="center"/>
        <w:rPr>
          <w:b w:val="0"/>
          <w:bCs w:val="0"/>
        </w:rPr>
      </w:pPr>
      <m:oMath>
        <m:r>
          <m:rPr>
            <m:sty m:val="bi"/>
          </m:rPr>
          <w:rPr>
            <w:rFonts w:ascii="Cambria Math" w:hAnsi="Cambria Math"/>
          </w:rPr>
          <m:t>c</m:t>
        </m:r>
        <m:r>
          <m:rPr>
            <m:sty m:val="b"/>
          </m:rPr>
          <w:rPr>
            <w:rFonts w:ascii="Cambria Math" w:hAnsi="Cambria Math"/>
          </w:rPr>
          <m:t xml:space="preserve">= </m:t>
        </m:r>
        <m:f>
          <m:fPr>
            <m:ctrlPr>
              <w:rPr>
                <w:rFonts w:ascii="Cambria Math" w:hAnsi="Cambria Math"/>
                <w:b w:val="0"/>
                <w:bCs w:val="0"/>
              </w:rPr>
            </m:ctrlPr>
          </m:fPr>
          <m:num>
            <m:r>
              <m:rPr>
                <m:sty m:val="b"/>
              </m:rPr>
              <w:rPr>
                <w:rFonts w:ascii="Cambria Math" w:hAnsi="Cambria Math"/>
              </w:rPr>
              <m:t>Γ(</m:t>
            </m:r>
            <m:r>
              <m:rPr>
                <m:sty m:val="bi"/>
              </m:rPr>
              <w:rPr>
                <w:rFonts w:ascii="Cambria Math" w:hAnsi="Cambria Math"/>
              </w:rPr>
              <m:t>α</m:t>
            </m:r>
            <m:r>
              <m:rPr>
                <m:sty m:val="b"/>
              </m:rPr>
              <w:rPr>
                <w:rFonts w:ascii="Cambria Math" w:hAnsi="Cambria Math"/>
              </w:rPr>
              <m:t>+</m:t>
            </m:r>
            <m:r>
              <m:rPr>
                <m:sty m:val="bi"/>
              </m:rPr>
              <w:rPr>
                <w:rFonts w:ascii="Cambria Math" w:hAnsi="Cambria Math"/>
              </w:rPr>
              <m:t>β</m:t>
            </m:r>
            <m:r>
              <m:rPr>
                <m:sty m:val="b"/>
              </m:rPr>
              <w:rPr>
                <w:rFonts w:ascii="Cambria Math" w:hAnsi="Cambria Math"/>
              </w:rPr>
              <m:t>)</m:t>
            </m:r>
          </m:num>
          <m:den>
            <m:r>
              <m:rPr>
                <m:sty m:val="b"/>
              </m:rPr>
              <w:rPr>
                <w:rFonts w:ascii="Cambria Math" w:hAnsi="Cambria Math"/>
              </w:rPr>
              <m:t>Γ</m:t>
            </m:r>
            <m:d>
              <m:dPr>
                <m:ctrlPr>
                  <w:rPr>
                    <w:rFonts w:ascii="Cambria Math" w:hAnsi="Cambria Math"/>
                    <w:b w:val="0"/>
                    <w:bCs w:val="0"/>
                  </w:rPr>
                </m:ctrlPr>
              </m:dPr>
              <m:e>
                <m:r>
                  <m:rPr>
                    <m:sty m:val="bi"/>
                  </m:rPr>
                  <w:rPr>
                    <w:rFonts w:ascii="Cambria Math" w:hAnsi="Cambria Math"/>
                  </w:rPr>
                  <m:t>α</m:t>
                </m:r>
              </m:e>
            </m:d>
            <m:r>
              <m:rPr>
                <m:sty m:val="b"/>
              </m:rPr>
              <w:rPr>
                <w:rFonts w:ascii="Cambria Math" w:hAnsi="Cambria Math"/>
              </w:rPr>
              <m:t>+Γ(</m:t>
            </m:r>
            <m:r>
              <m:rPr>
                <m:sty m:val="bi"/>
              </m:rPr>
              <w:rPr>
                <w:rFonts w:ascii="Cambria Math" w:hAnsi="Cambria Math"/>
              </w:rPr>
              <m:t>β</m:t>
            </m:r>
            <m:r>
              <m:rPr>
                <m:sty m:val="b"/>
              </m:rPr>
              <w:rPr>
                <w:rFonts w:ascii="Cambria Math" w:hAnsi="Cambria Math"/>
              </w:rPr>
              <m:t>)</m:t>
            </m:r>
          </m:den>
        </m:f>
        <m:r>
          <m:rPr>
            <m:sty m:val="bi"/>
          </m:rPr>
          <w:rPr>
            <w:rFonts w:ascii="Cambria Math" w:hAnsi="Cambria Math"/>
          </w:rPr>
          <m:t xml:space="preserve"> </m:t>
        </m:r>
      </m:oMath>
      <w:r w:rsidR="00A14835" w:rsidRPr="007E0DD9">
        <w:rPr>
          <w:b w:val="0"/>
          <w:bCs w:val="0"/>
        </w:rPr>
        <w:t xml:space="preserve"> (6)</w:t>
      </w:r>
    </w:p>
    <w:p w14:paraId="7B173C43" w14:textId="40EA1A36" w:rsidR="00DD7393" w:rsidRPr="005A0574" w:rsidRDefault="00DD7393" w:rsidP="00796203">
      <w:pPr>
        <w:pStyle w:val="Heading3"/>
        <w:rPr>
          <w:b w:val="0"/>
          <w:bCs w:val="0"/>
        </w:rPr>
      </w:pPr>
      <w:r w:rsidRPr="005A0574">
        <w:rPr>
          <w:b w:val="0"/>
          <w:bCs w:val="0"/>
        </w:rPr>
        <w:t>α and β determine the skewness of the function</w:t>
      </w:r>
      <w:r w:rsidR="000E478C" w:rsidRPr="005A0574">
        <w:rPr>
          <w:b w:val="0"/>
          <w:bCs w:val="0"/>
        </w:rPr>
        <w:t xml:space="preserve"> and </w:t>
      </w:r>
      <m:oMath>
        <m:r>
          <m:rPr>
            <m:sty m:val="b"/>
          </m:rPr>
          <w:rPr>
            <w:rFonts w:ascii="Cambria Math" w:hAnsi="Cambria Math"/>
          </w:rPr>
          <m:t>Γ</m:t>
        </m:r>
      </m:oMath>
      <w:r w:rsidR="000E478C" w:rsidRPr="005A0574">
        <w:rPr>
          <w:b w:val="0"/>
          <w:bCs w:val="0"/>
        </w:rPr>
        <w:t xml:space="preserve"> is the Gamma function</w:t>
      </w:r>
      <w:r w:rsidRPr="005A0574">
        <w:rPr>
          <w:b w:val="0"/>
          <w:bCs w:val="0"/>
        </w:rPr>
        <w:t xml:space="preserve">. In GF they depend to a large part on where the maximum of the </w:t>
      </w:r>
      <w:r w:rsidR="00DF1FF6">
        <w:rPr>
          <w:b w:val="0"/>
          <w:bCs w:val="0"/>
        </w:rPr>
        <w:t>B</w:t>
      </w:r>
      <w:r w:rsidRPr="005A0574">
        <w:rPr>
          <w:b w:val="0"/>
          <w:bCs w:val="0"/>
        </w:rPr>
        <w:t xml:space="preserve">F is located. For shallow and congestus convection, the maximum is located </w:t>
      </w:r>
      <w:r w:rsidRPr="00EB584C">
        <w:rPr>
          <w:b w:val="0"/>
          <w:bCs w:val="0"/>
        </w:rPr>
        <w:t>towards</w:t>
      </w:r>
      <w:r w:rsidRPr="005A0574">
        <w:rPr>
          <w:b w:val="0"/>
          <w:bCs w:val="0"/>
        </w:rPr>
        <w:t xml:space="preserve"> the cloud base. For shallow convection</w:t>
      </w:r>
      <w:r w:rsidR="00494282">
        <w:rPr>
          <w:b w:val="0"/>
          <w:bCs w:val="0"/>
        </w:rPr>
        <w:t>,</w:t>
      </w:r>
      <w:r w:rsidRPr="005A0574">
        <w:rPr>
          <w:b w:val="0"/>
          <w:bCs w:val="0"/>
        </w:rPr>
        <w:t xml:space="preserve"> it is assumed to be at or just above the level of free convection. For congestus</w:t>
      </w:r>
      <w:r w:rsidR="00494282">
        <w:rPr>
          <w:b w:val="0"/>
          <w:bCs w:val="0"/>
        </w:rPr>
        <w:t>,</w:t>
      </w:r>
      <w:r w:rsidRPr="005A0574">
        <w:rPr>
          <w:b w:val="0"/>
          <w:bCs w:val="0"/>
        </w:rPr>
        <w:t xml:space="preserve"> we assume this level to be higher, at half of the congestus cloud depth. For deep convection</w:t>
      </w:r>
      <w:r w:rsidR="00494282">
        <w:rPr>
          <w:b w:val="0"/>
          <w:bCs w:val="0"/>
        </w:rPr>
        <w:t>,</w:t>
      </w:r>
      <w:r w:rsidRPr="005A0574">
        <w:rPr>
          <w:b w:val="0"/>
          <w:bCs w:val="0"/>
        </w:rPr>
        <w:t xml:space="preserve"> this level is given by the level where the stability changes sign, where the stability is given by the difference from in-cloud moist static energy and environmental saturation moist static energy. This is equivalent to assuming that the strong increase in static stability at those levels will – statistically – lead to an increase in detrainment and a possible decrease in updraft radius (not necessarily updraft vertical velocity). For deep convection</w:t>
      </w:r>
      <w:r w:rsidR="00494282">
        <w:rPr>
          <w:b w:val="0"/>
          <w:bCs w:val="0"/>
        </w:rPr>
        <w:t>,</w:t>
      </w:r>
      <w:r w:rsidRPr="005A0574">
        <w:rPr>
          <w:b w:val="0"/>
          <w:bCs w:val="0"/>
        </w:rPr>
        <w:t xml:space="preserve"> we assume</w:t>
      </w:r>
    </w:p>
    <w:p w14:paraId="456FE321" w14:textId="3EB307C0" w:rsidR="00DD7393" w:rsidRPr="005A0574" w:rsidRDefault="00DD7393" w:rsidP="00B80D91">
      <w:pPr>
        <w:jc w:val="center"/>
      </w:pPr>
      <m:oMath>
        <m:r>
          <w:rPr>
            <w:rFonts w:ascii="Cambria Math" w:hAnsi="Cambria Math"/>
          </w:rPr>
          <m:t>β=1.3+</m:t>
        </m:r>
        <m:d>
          <m:dPr>
            <m:ctrlPr>
              <w:rPr>
                <w:rFonts w:ascii="Cambria Math" w:hAnsi="Cambria Math"/>
                <w:i/>
              </w:rPr>
            </m:ctrlPr>
          </m:dPr>
          <m:e>
            <m:r>
              <w:rPr>
                <w:rFonts w:ascii="Cambria Math" w:hAnsi="Cambria Math"/>
              </w:rPr>
              <m:t xml:space="preserve">1. - </m:t>
            </m:r>
            <m:f>
              <m:fPr>
                <m:ctrlPr>
                  <w:rPr>
                    <w:rFonts w:ascii="Cambria Math" w:hAnsi="Cambria Math"/>
                    <w:i/>
                  </w:rPr>
                </m:ctrlPr>
              </m:fPr>
              <m:num>
                <m:r>
                  <m:rPr>
                    <m:sty m:val="bi"/>
                  </m:rPr>
                  <w:rPr>
                    <w:rFonts w:ascii="Cambria Math" w:hAnsi="Cambria Math"/>
                    <w:vertAlign w:val="subscript"/>
                  </w:rPr>
                  <m:t xml:space="preserve">p- </m:t>
                </m:r>
                <m:sSub>
                  <m:sSubPr>
                    <m:ctrlPr>
                      <w:rPr>
                        <w:rFonts w:ascii="Cambria Math" w:hAnsi="Cambria Math"/>
                        <w:i/>
                        <w:szCs w:val="28"/>
                        <w:vertAlign w:val="subscript"/>
                      </w:rPr>
                    </m:ctrlPr>
                  </m:sSubPr>
                  <m:e>
                    <m:r>
                      <m:rPr>
                        <m:sty m:val="bi"/>
                      </m:rPr>
                      <w:rPr>
                        <w:rFonts w:ascii="Cambria Math" w:hAnsi="Cambria Math"/>
                        <w:vertAlign w:val="subscript"/>
                      </w:rPr>
                      <m:t>p</m:t>
                    </m:r>
                  </m:e>
                  <m:sub>
                    <m:r>
                      <m:rPr>
                        <m:sty m:val="bi"/>
                      </m:rPr>
                      <w:rPr>
                        <w:rFonts w:ascii="Cambria Math" w:hAnsi="Cambria Math"/>
                        <w:vertAlign w:val="subscript"/>
                      </w:rPr>
                      <m:t>base</m:t>
                    </m:r>
                  </m:sub>
                </m:sSub>
              </m:num>
              <m:den>
                <m:r>
                  <w:rPr>
                    <w:rFonts w:ascii="Cambria Math" w:hAnsi="Cambria Math"/>
                  </w:rPr>
                  <m:t>1200.</m:t>
                </m:r>
              </m:den>
            </m:f>
          </m:e>
        </m:d>
      </m:oMath>
      <w:r w:rsidR="00B80D91" w:rsidRPr="005A0574">
        <w:t xml:space="preserve"> (7)</w:t>
      </w:r>
    </w:p>
    <w:p w14:paraId="70694E83" w14:textId="49A3DE41" w:rsidR="00DD7393" w:rsidRPr="005A0574" w:rsidRDefault="00DD7393" w:rsidP="00DD7393">
      <w:r w:rsidRPr="005A0574">
        <w:t>Then</w:t>
      </w:r>
      <w:r w:rsidR="00796203" w:rsidRPr="005A0574">
        <w:t>,</w:t>
      </w:r>
      <w:r w:rsidRPr="005A0574">
        <w:t xml:space="preserve"> </w:t>
      </w:r>
      <m:oMath>
        <m:r>
          <w:rPr>
            <w:rFonts w:ascii="Cambria Math" w:hAnsi="Cambria Math"/>
          </w:rPr>
          <m:t>α</m:t>
        </m:r>
      </m:oMath>
      <w:r w:rsidRPr="005A0574">
        <w:t xml:space="preserve"> is imply given by</w:t>
      </w:r>
    </w:p>
    <w:p w14:paraId="12F5FC84" w14:textId="4B904E3F" w:rsidR="00DD7393" w:rsidRPr="005A0574" w:rsidRDefault="00DD7393" w:rsidP="00B80D91">
      <w:pPr>
        <w:jc w:val="center"/>
      </w:pPr>
      <m:oMath>
        <m:r>
          <w:rPr>
            <w:rFonts w:ascii="Cambria Math" w:hAnsi="Cambria Math"/>
          </w:rPr>
          <m:t xml:space="preserve">α= </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 xml:space="preserve">km </m:t>
                </m:r>
              </m:sub>
            </m:sSub>
            <m:d>
              <m:dPr>
                <m:ctrlPr>
                  <w:rPr>
                    <w:rFonts w:ascii="Cambria Math" w:hAnsi="Cambria Math"/>
                    <w:i/>
                  </w:rPr>
                </m:ctrlPr>
              </m:dPr>
              <m:e>
                <m:r>
                  <w:rPr>
                    <w:rFonts w:ascii="Cambria Math" w:hAnsi="Cambria Math"/>
                  </w:rPr>
                  <m:t>β-2.</m:t>
                </m:r>
              </m:e>
            </m:d>
            <m:r>
              <w:rPr>
                <w:rFonts w:ascii="Cambria Math" w:hAnsi="Cambria Math"/>
              </w:rPr>
              <m:t>+1.</m:t>
            </m:r>
          </m:num>
          <m:den>
            <m:r>
              <w:rPr>
                <w:rFonts w:ascii="Cambria Math" w:hAnsi="Cambria Math"/>
              </w:rPr>
              <m:t>1.-</m:t>
            </m:r>
            <m:sSub>
              <m:sSubPr>
                <m:ctrlPr>
                  <w:rPr>
                    <w:rFonts w:ascii="Cambria Math" w:hAnsi="Cambria Math"/>
                    <w:i/>
                  </w:rPr>
                </m:ctrlPr>
              </m:sSubPr>
              <m:e>
                <m:r>
                  <w:rPr>
                    <w:rFonts w:ascii="Cambria Math" w:hAnsi="Cambria Math"/>
                  </w:rPr>
                  <m:t>r</m:t>
                </m:r>
              </m:e>
              <m:sub>
                <m:r>
                  <w:rPr>
                    <w:rFonts w:ascii="Cambria Math" w:hAnsi="Cambria Math"/>
                  </w:rPr>
                  <m:t>km</m:t>
                </m:r>
              </m:sub>
            </m:sSub>
          </m:den>
        </m:f>
      </m:oMath>
      <w:r w:rsidR="00B80D91" w:rsidRPr="005A0574">
        <w:t xml:space="preserve"> (8)</w:t>
      </w:r>
    </w:p>
    <w:p w14:paraId="4BB3C91D" w14:textId="3F1078BC" w:rsidR="00DD7393" w:rsidRPr="005A0574" w:rsidRDefault="00DD7393" w:rsidP="00796203">
      <w:pPr>
        <w:pStyle w:val="Heading3"/>
        <w:rPr>
          <w:b w:val="0"/>
          <w:bCs w:val="0"/>
        </w:rPr>
      </w:pPr>
      <w:r w:rsidRPr="005A0574">
        <w:rPr>
          <w:b w:val="0"/>
          <w:bCs w:val="0"/>
        </w:rPr>
        <w:t xml:space="preserve">Where </w:t>
      </w:r>
      <m:oMath>
        <m:sSub>
          <m:sSubPr>
            <m:ctrlPr>
              <w:rPr>
                <w:rFonts w:ascii="Cambria Math" w:hAnsi="Cambria Math"/>
                <w:b w:val="0"/>
                <w:bCs w:val="0"/>
                <w:i/>
              </w:rPr>
            </m:ctrlPr>
          </m:sSubPr>
          <m:e>
            <m:r>
              <m:rPr>
                <m:sty m:val="bi"/>
              </m:rPr>
              <w:rPr>
                <w:rFonts w:ascii="Cambria Math" w:hAnsi="Cambria Math"/>
              </w:rPr>
              <m:t>r</m:t>
            </m:r>
          </m:e>
          <m:sub>
            <m:r>
              <m:rPr>
                <m:sty m:val="bi"/>
              </m:rPr>
              <w:rPr>
                <w:rFonts w:ascii="Cambria Math" w:hAnsi="Cambria Math"/>
              </w:rPr>
              <m:t xml:space="preserve">km </m:t>
            </m:r>
          </m:sub>
        </m:sSub>
      </m:oMath>
      <w:r w:rsidRPr="005A0574">
        <w:rPr>
          <w:b w:val="0"/>
          <w:bCs w:val="0"/>
        </w:rPr>
        <w:t xml:space="preserve">is the value of </w:t>
      </w:r>
      <w:proofErr w:type="gramStart"/>
      <w:r w:rsidRPr="005A0574">
        <w:rPr>
          <w:b w:val="0"/>
          <w:bCs w:val="0"/>
          <w:i/>
          <w:iCs/>
        </w:rPr>
        <w:t>r</w:t>
      </w:r>
      <w:r w:rsidRPr="005A0574">
        <w:rPr>
          <w:b w:val="0"/>
          <w:bCs w:val="0"/>
          <w:i/>
          <w:iCs/>
          <w:vertAlign w:val="subscript"/>
        </w:rPr>
        <w:t xml:space="preserve">k  </w:t>
      </w:r>
      <w:r w:rsidRPr="005A0574">
        <w:rPr>
          <w:b w:val="0"/>
          <w:bCs w:val="0"/>
        </w:rPr>
        <w:t>at</w:t>
      </w:r>
      <w:proofErr w:type="gramEnd"/>
      <w:r w:rsidRPr="005A0574">
        <w:rPr>
          <w:b w:val="0"/>
          <w:bCs w:val="0"/>
        </w:rPr>
        <w:t xml:space="preserve"> the level of maximum mass flux. </w:t>
      </w:r>
      <m:oMath>
        <m:r>
          <m:rPr>
            <m:sty m:val="bi"/>
          </m:rPr>
          <w:rPr>
            <w:rFonts w:ascii="Cambria Math" w:hAnsi="Cambria Math"/>
          </w:rPr>
          <m:t>α and β</m:t>
        </m:r>
      </m:oMath>
      <w:r w:rsidRPr="005A0574">
        <w:rPr>
          <w:b w:val="0"/>
          <w:bCs w:val="0"/>
        </w:rPr>
        <w:t xml:space="preserve"> determine the skewness of the </w:t>
      </w:r>
      <w:r w:rsidR="00DF1FF6">
        <w:rPr>
          <w:b w:val="0"/>
          <w:bCs w:val="0"/>
        </w:rPr>
        <w:t>B</w:t>
      </w:r>
      <w:r w:rsidRPr="005A0574">
        <w:rPr>
          <w:b w:val="0"/>
          <w:bCs w:val="0"/>
        </w:rPr>
        <w:t xml:space="preserve">F. For shallow convection we use </w:t>
      </w:r>
      <w:bookmarkStart w:id="6" w:name="_Hlk63082967"/>
      <m:oMath>
        <m:r>
          <m:rPr>
            <m:sty m:val="bi"/>
          </m:rPr>
          <w:rPr>
            <w:rFonts w:ascii="Cambria Math" w:hAnsi="Cambria Math"/>
          </w:rPr>
          <m:t>β=2.2</m:t>
        </m:r>
      </m:oMath>
      <w:bookmarkEnd w:id="6"/>
      <w:r w:rsidR="00BC7CF0">
        <w:rPr>
          <w:b w:val="0"/>
          <w:bCs w:val="0"/>
        </w:rPr>
        <w:t>;</w:t>
      </w:r>
      <w:r w:rsidRPr="005A0574">
        <w:rPr>
          <w:b w:val="0"/>
          <w:bCs w:val="0"/>
        </w:rPr>
        <w:t xml:space="preserve"> for congestus convection </w:t>
      </w:r>
      <m:oMath>
        <m:r>
          <m:rPr>
            <m:sty m:val="bi"/>
          </m:rPr>
          <w:rPr>
            <w:rFonts w:ascii="Cambria Math" w:hAnsi="Cambria Math"/>
          </w:rPr>
          <m:t>β=1.3</m:t>
        </m:r>
      </m:oMath>
      <w:r w:rsidR="00001036" w:rsidRPr="005A0574">
        <w:rPr>
          <w:b w:val="0"/>
          <w:bCs w:val="0"/>
        </w:rPr>
        <w:t xml:space="preserve">. </w:t>
      </w:r>
      <w:r w:rsidRPr="005A0574">
        <w:rPr>
          <w:b w:val="0"/>
          <w:bCs w:val="0"/>
        </w:rPr>
        <w:t xml:space="preserve">The downdrafts are assumed to reach maximum mass flux – in a statistical sense – at or below cloud base, therefore </w:t>
      </w:r>
    </w:p>
    <w:p w14:paraId="4B373B1F" w14:textId="4189573C" w:rsidR="00DD7393" w:rsidRPr="005A0574" w:rsidRDefault="006801FF" w:rsidP="00B80D91">
      <w:pPr>
        <w:jc w:val="center"/>
      </w:pPr>
      <m:oMath>
        <m:sSub>
          <m:sSubPr>
            <m:ctrlPr>
              <w:rPr>
                <w:rFonts w:ascii="Cambria Math" w:hAnsi="Cambria Math"/>
                <w:b/>
                <w:bCs/>
                <w:i/>
                <w:vertAlign w:val="subscript"/>
              </w:rPr>
            </m:ctrlPr>
          </m:sSubPr>
          <m:e>
            <m:r>
              <m:rPr>
                <m:sty m:val="bi"/>
              </m:rPr>
              <w:rPr>
                <w:rFonts w:ascii="Cambria Math" w:hAnsi="Cambria Math"/>
                <w:vertAlign w:val="subscript"/>
              </w:rPr>
              <m:t>r</m:t>
            </m:r>
          </m:e>
          <m:sub>
            <m:r>
              <m:rPr>
                <m:sty m:val="bi"/>
              </m:rPr>
              <w:rPr>
                <w:rFonts w:ascii="Cambria Math" w:hAnsi="Cambria Math"/>
                <w:vertAlign w:val="subscript"/>
              </w:rPr>
              <m:t xml:space="preserve">k   </m:t>
            </m:r>
          </m:sub>
        </m:sSub>
        <m:r>
          <m:rPr>
            <m:sty m:val="bi"/>
          </m:rPr>
          <w:rPr>
            <w:rFonts w:ascii="Cambria Math" w:hAnsi="Cambria Math"/>
            <w:vertAlign w:val="subscript"/>
          </w:rPr>
          <m:t xml:space="preserve">= </m:t>
        </m:r>
        <m:f>
          <m:fPr>
            <m:ctrlPr>
              <w:rPr>
                <w:rFonts w:ascii="Cambria Math" w:hAnsi="Cambria Math"/>
                <w:i/>
                <w:szCs w:val="28"/>
                <w:vertAlign w:val="subscript"/>
              </w:rPr>
            </m:ctrlPr>
          </m:fPr>
          <m:num>
            <m:sSub>
              <m:sSubPr>
                <m:ctrlPr>
                  <w:rPr>
                    <w:rFonts w:ascii="Cambria Math" w:hAnsi="Cambria Math"/>
                    <w:i/>
                    <w:szCs w:val="28"/>
                    <w:vertAlign w:val="subscript"/>
                  </w:rPr>
                </m:ctrlPr>
              </m:sSubPr>
              <m:e>
                <m:r>
                  <m:rPr>
                    <m:sty m:val="bi"/>
                  </m:rPr>
                  <w:rPr>
                    <w:rFonts w:ascii="Cambria Math" w:hAnsi="Cambria Math"/>
                    <w:vertAlign w:val="subscript"/>
                  </w:rPr>
                  <m:t>p</m:t>
                </m:r>
              </m:e>
              <m:sub/>
            </m:sSub>
            <m:r>
              <w:rPr>
                <w:rFonts w:ascii="Cambria Math" w:hAnsi="Cambria Math"/>
                <w:szCs w:val="28"/>
                <w:vertAlign w:val="subscript"/>
              </w:rPr>
              <m:t>-p(1)</m:t>
            </m:r>
          </m:num>
          <m:den>
            <m:sSub>
              <m:sSubPr>
                <m:ctrlPr>
                  <w:rPr>
                    <w:rFonts w:ascii="Cambria Math" w:hAnsi="Cambria Math"/>
                    <w:i/>
                    <w:szCs w:val="28"/>
                    <w:vertAlign w:val="subscript"/>
                  </w:rPr>
                </m:ctrlPr>
              </m:sSubPr>
              <m:e>
                <m:r>
                  <m:rPr>
                    <m:sty m:val="bi"/>
                  </m:rPr>
                  <w:rPr>
                    <w:rFonts w:ascii="Cambria Math" w:hAnsi="Cambria Math"/>
                    <w:vertAlign w:val="subscript"/>
                  </w:rPr>
                  <m:t>p</m:t>
                </m:r>
              </m:e>
              <m:sub>
                <m:r>
                  <m:rPr>
                    <m:sty m:val="bi"/>
                  </m:rPr>
                  <w:rPr>
                    <w:rFonts w:ascii="Cambria Math" w:hAnsi="Cambria Math"/>
                    <w:vertAlign w:val="subscript"/>
                  </w:rPr>
                  <m:t>start</m:t>
                </m:r>
              </m:sub>
            </m:sSub>
            <m:r>
              <w:rPr>
                <w:rFonts w:ascii="Cambria Math" w:hAnsi="Cambria Math"/>
                <w:szCs w:val="28"/>
                <w:vertAlign w:val="subscript"/>
              </w:rPr>
              <m:t>-p(1)</m:t>
            </m:r>
          </m:den>
        </m:f>
      </m:oMath>
      <w:r w:rsidR="00B80D91" w:rsidRPr="005A0574">
        <w:rPr>
          <w:szCs w:val="28"/>
          <w:vertAlign w:val="subscript"/>
        </w:rPr>
        <w:t xml:space="preserve"> </w:t>
      </w:r>
      <w:r w:rsidR="00B80D91" w:rsidRPr="005A0574">
        <w:t>(</w:t>
      </w:r>
      <w:r w:rsidR="00B80D91" w:rsidRPr="005A0574">
        <w:rPr>
          <w:b/>
          <w:bCs/>
        </w:rPr>
        <w:t>9</w:t>
      </w:r>
      <w:r w:rsidR="00B80D91" w:rsidRPr="005A0574">
        <w:t>)</w:t>
      </w:r>
    </w:p>
    <w:p w14:paraId="20E40016" w14:textId="4BDB6A43" w:rsidR="00DD7393" w:rsidRPr="005A0574" w:rsidRDefault="00BC7CF0" w:rsidP="00DD7393">
      <w:r>
        <w:lastRenderedPageBreak/>
        <w:t>w</w:t>
      </w:r>
      <w:r w:rsidR="00DD7393" w:rsidRPr="005A0574">
        <w:t xml:space="preserve">ith </w:t>
      </w:r>
      <m:oMath>
        <m:r>
          <w:rPr>
            <w:rFonts w:ascii="Cambria Math" w:hAnsi="Cambria Math"/>
          </w:rPr>
          <m:t>β=4.</m:t>
        </m:r>
      </m:oMath>
      <w:r w:rsidR="00EB584C">
        <w:t xml:space="preserve"> </w:t>
      </w:r>
      <m:oMath>
        <m:sSub>
          <m:sSubPr>
            <m:ctrlPr>
              <w:rPr>
                <w:rFonts w:ascii="Cambria Math" w:hAnsi="Cambria Math"/>
                <w:i/>
                <w:szCs w:val="28"/>
                <w:vertAlign w:val="subscript"/>
              </w:rPr>
            </m:ctrlPr>
          </m:sSubPr>
          <m:e>
            <m:r>
              <m:rPr>
                <m:sty m:val="bi"/>
              </m:rPr>
              <w:rPr>
                <w:rFonts w:ascii="Cambria Math" w:hAnsi="Cambria Math"/>
                <w:vertAlign w:val="subscript"/>
              </w:rPr>
              <m:t>p</m:t>
            </m:r>
          </m:e>
          <m:sub>
            <m:r>
              <m:rPr>
                <m:sty m:val="bi"/>
              </m:rPr>
              <w:rPr>
                <w:rFonts w:ascii="Cambria Math" w:hAnsi="Cambria Math"/>
                <w:vertAlign w:val="subscript"/>
              </w:rPr>
              <m:t>start</m:t>
            </m:r>
          </m:sub>
        </m:sSub>
        <m:r>
          <w:rPr>
            <w:rFonts w:ascii="Cambria Math" w:hAnsi="Cambria Math"/>
            <w:szCs w:val="28"/>
            <w:vertAlign w:val="subscript"/>
          </w:rPr>
          <m:t xml:space="preserve"> </m:t>
        </m:r>
      </m:oMath>
      <w:r w:rsidR="00EB584C" w:rsidRPr="00660988">
        <w:rPr>
          <w:szCs w:val="28"/>
        </w:rPr>
        <w:t>here is the downdraft originating level</w:t>
      </w:r>
      <w:r w:rsidR="00F968D9">
        <w:rPr>
          <w:szCs w:val="28"/>
        </w:rPr>
        <w:t>.</w:t>
      </w:r>
    </w:p>
    <w:p w14:paraId="65E40E14" w14:textId="0614AA8B" w:rsidR="00DD7393" w:rsidRPr="005A0574" w:rsidRDefault="00DD7393" w:rsidP="00DD7393">
      <w:pPr>
        <w:spacing w:before="100" w:beforeAutospacing="1" w:after="100" w:afterAutospacing="1"/>
      </w:pPr>
      <w:r w:rsidRPr="005A0574">
        <w:t xml:space="preserve">Once the normalized mass flux profiles are defined, the entrainment and detrainment rates are adjusted accordingly.  First, </w:t>
      </w:r>
      <w:r w:rsidR="00BC7CF0">
        <w:t xml:space="preserve">an </w:t>
      </w:r>
      <w:r w:rsidRPr="005A0574">
        <w:t xml:space="preserve">initial entrainment rate is given that is meant to characterize the type of convection in the grid box. This is assumed to be the initial rate at the cloud base. In the version of the parameterization that is used in the </w:t>
      </w:r>
      <w:proofErr w:type="spellStart"/>
      <w:r w:rsidR="00001036" w:rsidRPr="005A0574">
        <w:rPr>
          <w:i/>
          <w:iCs/>
        </w:rPr>
        <w:t>RAPid</w:t>
      </w:r>
      <w:proofErr w:type="spellEnd"/>
      <w:r w:rsidR="00001036" w:rsidRPr="005A0574">
        <w:rPr>
          <w:i/>
          <w:iCs/>
        </w:rPr>
        <w:t xml:space="preserve"> refresh hourly update cycle</w:t>
      </w:r>
      <w:r w:rsidR="00001036" w:rsidRPr="005A0574">
        <w:t xml:space="preserve"> at the National Weather Service of the U.S. (hereafter </w:t>
      </w:r>
      <w:r w:rsidRPr="005A0574">
        <w:t>RAP</w:t>
      </w:r>
      <w:r w:rsidR="00001036" w:rsidRPr="005A0574">
        <w:t>)</w:t>
      </w:r>
      <w:r w:rsidRPr="005A0574">
        <w:t xml:space="preserve"> and is available to the community using </w:t>
      </w:r>
      <w:proofErr w:type="spellStart"/>
      <w:r w:rsidRPr="005A0574">
        <w:t>github</w:t>
      </w:r>
      <w:proofErr w:type="spellEnd"/>
      <w:r w:rsidRPr="005A0574">
        <w:t xml:space="preserve">, we use </w:t>
      </w:r>
    </w:p>
    <w:p w14:paraId="78FCF70B" w14:textId="2E2E1A51" w:rsidR="00DD7393" w:rsidRPr="005A0574" w:rsidRDefault="00DD7393" w:rsidP="00252938">
      <w:pPr>
        <w:spacing w:before="100" w:beforeAutospacing="1" w:after="100" w:afterAutospacing="1"/>
        <w:jc w:val="center"/>
      </w:pPr>
      <m:oMath>
        <m:r>
          <w:rPr>
            <w:rFonts w:ascii="Cambria Math" w:hAnsi="Cambria Math"/>
          </w:rPr>
          <m:t>ℇ</m:t>
        </m:r>
        <m:d>
          <m:dPr>
            <m:ctrlPr>
              <w:rPr>
                <w:rFonts w:ascii="Cambria Math" w:hAnsi="Cambria Math"/>
                <w:i/>
              </w:rPr>
            </m:ctrlPr>
          </m:dPr>
          <m:e>
            <m:r>
              <w:rPr>
                <w:rFonts w:ascii="Cambria Math" w:hAnsi="Cambria Math"/>
              </w:rPr>
              <m:t>z</m:t>
            </m:r>
          </m:e>
        </m:d>
        <m:r>
          <w:rPr>
            <w:rFonts w:ascii="Cambria Math" w:hAnsi="Cambria Math"/>
          </w:rPr>
          <m:t xml:space="preserve">=7.e-5, 3.e-4, 1.e-3  </m:t>
        </m:r>
      </m:oMath>
      <w:r w:rsidRPr="005A0574">
        <w:t>(</w:t>
      </w:r>
      <w:r w:rsidR="00B80D91" w:rsidRPr="005A0574">
        <w:t>10</w:t>
      </w:r>
      <w:r w:rsidRPr="005A0574">
        <w:t>a)</w:t>
      </w:r>
    </w:p>
    <w:p w14:paraId="1B9E62C6" w14:textId="77777777" w:rsidR="00DD7393" w:rsidRPr="005A0574" w:rsidRDefault="00DD7393" w:rsidP="00DD7393">
      <w:pPr>
        <w:spacing w:before="100" w:beforeAutospacing="1" w:after="100" w:afterAutospacing="1"/>
        <w:rPr>
          <w:iCs/>
        </w:rPr>
      </w:pPr>
      <m:oMath>
        <m:r>
          <m:rPr>
            <m:sty m:val="p"/>
          </m:rPr>
          <w:rPr>
            <w:rFonts w:ascii="Cambria Math" w:hAnsi="Cambria Math"/>
          </w:rPr>
          <m:t>for deep, congestus, and shallow convection respectively</m:t>
        </m:r>
      </m:oMath>
      <w:r w:rsidRPr="005A0574">
        <w:rPr>
          <w:iCs/>
        </w:rPr>
        <w:t>, with</w:t>
      </w:r>
    </w:p>
    <w:p w14:paraId="2640107C" w14:textId="1B5AA592" w:rsidR="00DD7393" w:rsidRPr="005A0574" w:rsidRDefault="00DD7393" w:rsidP="00252938">
      <w:pPr>
        <w:spacing w:before="100" w:beforeAutospacing="1" w:after="100" w:afterAutospacing="1"/>
        <w:jc w:val="center"/>
      </w:pPr>
      <m:oMath>
        <m:r>
          <w:rPr>
            <w:rFonts w:ascii="Cambria Math" w:hAnsi="Cambria Math"/>
          </w:rPr>
          <m:t>δ</m:t>
        </m:r>
        <m:d>
          <m:dPr>
            <m:ctrlPr>
              <w:rPr>
                <w:rFonts w:ascii="Cambria Math" w:hAnsi="Cambria Math"/>
                <w:i/>
              </w:rPr>
            </m:ctrlPr>
          </m:dPr>
          <m:e>
            <m:r>
              <w:rPr>
                <w:rFonts w:ascii="Cambria Math" w:hAnsi="Cambria Math"/>
              </w:rPr>
              <m:t>z</m:t>
            </m:r>
          </m:e>
        </m:d>
        <m:r>
          <w:rPr>
            <w:rFonts w:ascii="Cambria Math" w:hAnsi="Cambria Math"/>
          </w:rPr>
          <m:t>=0.1 ℇ</m:t>
        </m:r>
        <m:d>
          <m:dPr>
            <m:ctrlPr>
              <w:rPr>
                <w:rFonts w:ascii="Cambria Math" w:hAnsi="Cambria Math"/>
                <w:i/>
              </w:rPr>
            </m:ctrlPr>
          </m:dPr>
          <m:e>
            <m:r>
              <w:rPr>
                <w:rFonts w:ascii="Cambria Math" w:hAnsi="Cambria Math"/>
              </w:rPr>
              <m:t>z</m:t>
            </m:r>
          </m:e>
        </m:d>
        <m:r>
          <w:rPr>
            <w:rFonts w:ascii="Cambria Math" w:hAnsi="Cambria Math"/>
          </w:rPr>
          <m:t>,0.5 ℇ</m:t>
        </m:r>
        <m:d>
          <m:dPr>
            <m:ctrlPr>
              <w:rPr>
                <w:rFonts w:ascii="Cambria Math" w:hAnsi="Cambria Math"/>
                <w:i/>
              </w:rPr>
            </m:ctrlPr>
          </m:dPr>
          <m:e>
            <m:r>
              <w:rPr>
                <w:rFonts w:ascii="Cambria Math" w:hAnsi="Cambria Math"/>
              </w:rPr>
              <m:t>z</m:t>
            </m:r>
          </m:e>
        </m:d>
        <m:r>
          <w:rPr>
            <w:rFonts w:ascii="Cambria Math" w:hAnsi="Cambria Math"/>
          </w:rPr>
          <m:t>,0.75 ℇ</m:t>
        </m:r>
        <m:d>
          <m:dPr>
            <m:ctrlPr>
              <w:rPr>
                <w:rFonts w:ascii="Cambria Math" w:hAnsi="Cambria Math"/>
                <w:i/>
              </w:rPr>
            </m:ctrlPr>
          </m:dPr>
          <m:e>
            <m:r>
              <w:rPr>
                <w:rFonts w:ascii="Cambria Math" w:hAnsi="Cambria Math"/>
              </w:rPr>
              <m:t>z</m:t>
            </m:r>
          </m:e>
        </m:d>
        <m:r>
          <w:rPr>
            <w:rFonts w:ascii="Cambria Math" w:hAnsi="Cambria Math"/>
          </w:rPr>
          <m:t xml:space="preserve"> </m:t>
        </m:r>
      </m:oMath>
      <w:r w:rsidRPr="005A0574">
        <w:t xml:space="preserve"> (</w:t>
      </w:r>
      <w:r w:rsidR="00B80D91" w:rsidRPr="005A0574">
        <w:t>10</w:t>
      </w:r>
      <w:r w:rsidRPr="005A0574">
        <w:t>b)</w:t>
      </w:r>
    </w:p>
    <w:p w14:paraId="02C534A0" w14:textId="74A116C7" w:rsidR="00DD7393" w:rsidRPr="005A0574" w:rsidRDefault="00DD7393" w:rsidP="00DD7393">
      <w:pPr>
        <w:spacing w:before="100" w:beforeAutospacing="1" w:after="100" w:afterAutospacing="1"/>
      </w:pPr>
      <w:r w:rsidRPr="005A0574">
        <w:t xml:space="preserve">where </w:t>
      </w:r>
      <m:oMath>
        <m:r>
          <w:rPr>
            <w:rFonts w:ascii="Cambria Math" w:hAnsi="Cambria Math"/>
          </w:rPr>
          <m:t>ℇ,δ</m:t>
        </m:r>
      </m:oMath>
      <w:r w:rsidRPr="005A0574">
        <w:t xml:space="preserve"> are the entrainment/detrainment rates (m</w:t>
      </w:r>
      <w:r w:rsidRPr="005A0574">
        <w:rPr>
          <w:vertAlign w:val="superscript"/>
        </w:rPr>
        <w:t>-1</w:t>
      </w:r>
      <w:r w:rsidRPr="005A0574">
        <w:t>), With initial</w:t>
      </w:r>
      <m:oMath>
        <m:r>
          <w:rPr>
            <w:rFonts w:ascii="Cambria Math" w:hAnsi="Cambria Math"/>
          </w:rPr>
          <m:t xml:space="preserve"> ℇ,  δ </m:t>
        </m:r>
      </m:oMath>
      <w:r w:rsidRPr="005A0574">
        <w:t xml:space="preserve"> and the PDFs for </w:t>
      </w:r>
      <m:oMath>
        <m:r>
          <w:rPr>
            <w:rFonts w:ascii="Cambria Math" w:hAnsi="Cambria Math"/>
          </w:rPr>
          <m:t>Zu</m:t>
        </m:r>
      </m:oMath>
      <w:r w:rsidRPr="005A0574">
        <w:t xml:space="preserve"> defined, the effective </w:t>
      </w:r>
      <w:r w:rsidR="006547B7" w:rsidRPr="005A0574">
        <w:t xml:space="preserve">lateral mixing (given through </w:t>
      </w:r>
      <w:r w:rsidRPr="005A0574">
        <w:t xml:space="preserve">entrainment/detrainment rates </w:t>
      </w:r>
      <m:oMath>
        <m:sSup>
          <m:sSupPr>
            <m:ctrlPr>
              <w:rPr>
                <w:rFonts w:ascii="Cambria Math" w:hAnsi="Cambria Math"/>
                <w:i/>
              </w:rPr>
            </m:ctrlPr>
          </m:sSupPr>
          <m:e>
            <m:r>
              <w:rPr>
                <w:rFonts w:ascii="Cambria Math" w:hAnsi="Cambria Math"/>
              </w:rPr>
              <m:t>ℇ</m:t>
            </m:r>
          </m:e>
          <m:sup>
            <m:r>
              <w:rPr>
                <w:rFonts w:ascii="Cambria Math" w:hAnsi="Cambria Math"/>
              </w:rPr>
              <m:t>*</m:t>
            </m:r>
          </m:sup>
        </m:sSup>
        <m:r>
          <w:rPr>
            <w:rFonts w:ascii="Cambria Math" w:hAnsi="Cambria Math"/>
          </w:rPr>
          <m:t xml:space="preserve"> and </m:t>
        </m:r>
        <m:sSup>
          <m:sSupPr>
            <m:ctrlPr>
              <w:rPr>
                <w:rFonts w:ascii="Cambria Math" w:hAnsi="Cambria Math"/>
                <w:i/>
              </w:rPr>
            </m:ctrlPr>
          </m:sSupPr>
          <m:e>
            <m:r>
              <w:rPr>
                <w:rFonts w:ascii="Cambria Math" w:hAnsi="Cambria Math"/>
              </w:rPr>
              <m:t>δ</m:t>
            </m:r>
          </m:e>
          <m:sup>
            <m:r>
              <w:rPr>
                <w:rFonts w:ascii="Cambria Math" w:hAnsi="Cambria Math"/>
              </w:rPr>
              <m:t>*</m:t>
            </m:r>
          </m:sup>
        </m:sSup>
        <m:r>
          <w:rPr>
            <w:rFonts w:ascii="Cambria Math" w:hAnsi="Cambria Math"/>
          </w:rPr>
          <m:t>)</m:t>
        </m:r>
      </m:oMath>
      <w:r w:rsidR="00713BAE" w:rsidRPr="005A0574">
        <w:t>, in a statistical</w:t>
      </w:r>
      <w:r w:rsidR="00BC7CF0">
        <w:t>ly</w:t>
      </w:r>
      <w:r w:rsidR="00713BAE" w:rsidRPr="005A0574">
        <w:t xml:space="preserve"> averaged sen</w:t>
      </w:r>
      <w:r w:rsidR="00BC7CF0">
        <w:t>se</w:t>
      </w:r>
      <w:r w:rsidR="00713BAE" w:rsidRPr="005A0574">
        <w:t xml:space="preserve">, must be related to the vertical mass flux profiles. They </w:t>
      </w:r>
      <w:r w:rsidRPr="005A0574">
        <w:t>are simply given by:</w:t>
      </w:r>
    </w:p>
    <w:p w14:paraId="62808DDA" w14:textId="326C1568" w:rsidR="00DD7393" w:rsidRPr="005A0574" w:rsidRDefault="006801FF" w:rsidP="00252938">
      <w:pPr>
        <w:spacing w:before="100" w:beforeAutospacing="1" w:after="100" w:afterAutospacing="1"/>
        <w:jc w:val="center"/>
      </w:pPr>
      <m:oMath>
        <m:sSup>
          <m:sSupPr>
            <m:ctrlPr>
              <w:rPr>
                <w:rFonts w:ascii="Cambria Math" w:hAnsi="Cambria Math"/>
                <w:i/>
              </w:rPr>
            </m:ctrlPr>
          </m:sSupPr>
          <m:e>
            <m:r>
              <w:rPr>
                <w:rFonts w:ascii="Cambria Math" w:hAnsi="Cambria Math"/>
              </w:rPr>
              <m:t>ℇ</m:t>
            </m:r>
          </m:e>
          <m:sup>
            <m:r>
              <w:rPr>
                <w:rFonts w:ascii="Cambria Math" w:hAnsi="Cambria Math"/>
              </w:rPr>
              <m:t>*</m:t>
            </m:r>
          </m:sup>
        </m:sSup>
        <m:d>
          <m:dPr>
            <m:ctrlPr>
              <w:rPr>
                <w:rFonts w:ascii="Cambria Math" w:hAnsi="Cambria Math"/>
                <w:i/>
              </w:rPr>
            </m:ctrlPr>
          </m:dPr>
          <m:e>
            <m:r>
              <w:rPr>
                <w:rFonts w:ascii="Cambria Math" w:hAnsi="Cambria Math"/>
              </w:rPr>
              <m:t>z</m:t>
            </m:r>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u</m:t>
                        </m:r>
                      </m:sub>
                    </m:sSub>
                  </m:den>
                </m:f>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Z</m:t>
                        </m:r>
                      </m:e>
                      <m:sub>
                        <m:r>
                          <w:rPr>
                            <w:rFonts w:ascii="Cambria Math" w:hAnsi="Cambria Math"/>
                          </w:rPr>
                          <m:t>u</m:t>
                        </m:r>
                      </m:sub>
                    </m:sSub>
                  </m:num>
                  <m:den>
                    <m:r>
                      <w:rPr>
                        <w:rFonts w:ascii="Cambria Math" w:hAnsi="Cambria Math"/>
                      </w:rPr>
                      <m:t>dz</m:t>
                    </m:r>
                  </m:den>
                </m:f>
                <m:r>
                  <w:rPr>
                    <w:rFonts w:ascii="Cambria Math" w:hAnsi="Cambria Math"/>
                  </w:rPr>
                  <m:t>+δ</m:t>
                </m:r>
                <m:d>
                  <m:dPr>
                    <m:ctrlPr>
                      <w:rPr>
                        <w:rFonts w:ascii="Cambria Math" w:hAnsi="Cambria Math"/>
                        <w:i/>
                      </w:rPr>
                    </m:ctrlPr>
                  </m:dPr>
                  <m:e>
                    <m:r>
                      <w:rPr>
                        <w:rFonts w:ascii="Cambria Math" w:hAnsi="Cambria Math"/>
                      </w:rPr>
                      <m:t>z</m:t>
                    </m:r>
                  </m:e>
                </m:d>
                <m:r>
                  <w:rPr>
                    <w:rFonts w:ascii="Cambria Math" w:hAnsi="Cambria Math"/>
                  </w:rPr>
                  <m:t>,  z≤</m:t>
                </m:r>
                <m:sSub>
                  <m:sSubPr>
                    <m:ctrlPr>
                      <w:rPr>
                        <w:rFonts w:ascii="Cambria Math" w:hAnsi="Cambria Math"/>
                        <w:i/>
                      </w:rPr>
                    </m:ctrlPr>
                  </m:sSubPr>
                  <m:e>
                    <m:r>
                      <w:rPr>
                        <w:rFonts w:ascii="Cambria Math" w:hAnsi="Cambria Math"/>
                      </w:rPr>
                      <m:t>z</m:t>
                    </m:r>
                  </m:e>
                  <m:sub>
                    <m:r>
                      <w:rPr>
                        <w:rFonts w:ascii="Cambria Math" w:hAnsi="Cambria Math"/>
                      </w:rPr>
                      <m:t>max</m:t>
                    </m:r>
                  </m:sub>
                </m:sSub>
              </m:e>
              <m:e>
                <m:r>
                  <w:rPr>
                    <w:rFonts w:ascii="Cambria Math" w:hAnsi="Cambria Math"/>
                  </w:rPr>
                  <m:t>ℇ</m:t>
                </m:r>
                <m:d>
                  <m:dPr>
                    <m:ctrlPr>
                      <w:rPr>
                        <w:rFonts w:ascii="Cambria Math" w:hAnsi="Cambria Math"/>
                        <w:i/>
                      </w:rPr>
                    </m:ctrlPr>
                  </m:dPr>
                  <m:e>
                    <m:r>
                      <w:rPr>
                        <w:rFonts w:ascii="Cambria Math" w:hAnsi="Cambria Math"/>
                      </w:rPr>
                      <m:t>z</m:t>
                    </m:r>
                  </m:e>
                </m:d>
                <m:r>
                  <w:rPr>
                    <w:rFonts w:ascii="Cambria Math" w:hAnsi="Cambria Math"/>
                  </w:rPr>
                  <m:t>,                            z&gt;</m:t>
                </m:r>
                <m:sSub>
                  <m:sSubPr>
                    <m:ctrlPr>
                      <w:rPr>
                        <w:rFonts w:ascii="Cambria Math" w:hAnsi="Cambria Math"/>
                        <w:i/>
                      </w:rPr>
                    </m:ctrlPr>
                  </m:sSubPr>
                  <m:e>
                    <m:r>
                      <w:rPr>
                        <w:rFonts w:ascii="Cambria Math" w:hAnsi="Cambria Math"/>
                      </w:rPr>
                      <m:t>z</m:t>
                    </m:r>
                  </m:e>
                  <m:sub>
                    <m:r>
                      <w:rPr>
                        <w:rFonts w:ascii="Cambria Math" w:hAnsi="Cambria Math"/>
                      </w:rPr>
                      <m:t>max</m:t>
                    </m:r>
                  </m:sub>
                </m:sSub>
                <m:r>
                  <w:rPr>
                    <w:rFonts w:ascii="Cambria Math" w:hAnsi="Cambria Math"/>
                  </w:rPr>
                  <m:t xml:space="preserve">  </m:t>
                </m:r>
              </m:e>
            </m:eqArr>
          </m:e>
        </m:d>
        <m:r>
          <w:rPr>
            <w:rFonts w:ascii="Cambria Math" w:hAnsi="Cambria Math"/>
          </w:rPr>
          <m:t xml:space="preserve"> </m:t>
        </m:r>
      </m:oMath>
      <w:r w:rsidR="00DD7393" w:rsidRPr="005A0574">
        <w:t>(</w:t>
      </w:r>
      <w:r w:rsidR="00B80D91" w:rsidRPr="005A0574">
        <w:t>11</w:t>
      </w:r>
      <w:r w:rsidR="00DD7393" w:rsidRPr="005A0574">
        <w:t>a)</w:t>
      </w:r>
    </w:p>
    <w:p w14:paraId="78CED915" w14:textId="29A6B6A0" w:rsidR="00DD7393" w:rsidRPr="005A0574" w:rsidRDefault="006801FF" w:rsidP="00252938">
      <w:pPr>
        <w:spacing w:before="100" w:beforeAutospacing="1" w:after="100" w:afterAutospacing="1"/>
        <w:jc w:val="center"/>
      </w:pPr>
      <m:oMath>
        <m:sSup>
          <m:sSupPr>
            <m:ctrlPr>
              <w:rPr>
                <w:rFonts w:ascii="Cambria Math" w:hAnsi="Cambria Math"/>
                <w:i/>
              </w:rPr>
            </m:ctrlPr>
          </m:sSupPr>
          <m:e>
            <m:r>
              <w:rPr>
                <w:rFonts w:ascii="Cambria Math" w:hAnsi="Cambria Math"/>
              </w:rPr>
              <m:t>δ</m:t>
            </m:r>
          </m:e>
          <m:sup>
            <m:r>
              <w:rPr>
                <w:rFonts w:ascii="Cambria Math" w:hAnsi="Cambria Math"/>
              </w:rPr>
              <m:t>*</m:t>
            </m:r>
          </m:sup>
        </m:sSup>
        <m:d>
          <m:dPr>
            <m:ctrlPr>
              <w:rPr>
                <w:rFonts w:ascii="Cambria Math" w:hAnsi="Cambria Math"/>
                <w:i/>
              </w:rPr>
            </m:ctrlPr>
          </m:dPr>
          <m:e>
            <m:r>
              <w:rPr>
                <w:rFonts w:ascii="Cambria Math" w:hAnsi="Cambria Math"/>
              </w:rPr>
              <m:t>z</m:t>
            </m:r>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δ</m:t>
                </m:r>
                <m:d>
                  <m:dPr>
                    <m:ctrlPr>
                      <w:rPr>
                        <w:rFonts w:ascii="Cambria Math" w:hAnsi="Cambria Math"/>
                        <w:i/>
                      </w:rPr>
                    </m:ctrlPr>
                  </m:dPr>
                  <m:e>
                    <m:r>
                      <w:rPr>
                        <w:rFonts w:ascii="Cambria Math" w:hAnsi="Cambria Math"/>
                      </w:rPr>
                      <m:t>z</m:t>
                    </m:r>
                  </m:e>
                </m:d>
                <m:r>
                  <w:rPr>
                    <w:rFonts w:ascii="Cambria Math" w:hAnsi="Cambria Math"/>
                  </w:rPr>
                  <m:t>,                    z≤</m:t>
                </m:r>
                <m:sSub>
                  <m:sSubPr>
                    <m:ctrlPr>
                      <w:rPr>
                        <w:rFonts w:ascii="Cambria Math" w:hAnsi="Cambria Math"/>
                        <w:i/>
                      </w:rPr>
                    </m:ctrlPr>
                  </m:sSubPr>
                  <m:e>
                    <m:r>
                      <w:rPr>
                        <w:rFonts w:ascii="Cambria Math" w:hAnsi="Cambria Math"/>
                      </w:rPr>
                      <m:t>z</m:t>
                    </m:r>
                  </m:e>
                  <m:sub>
                    <m:r>
                      <w:rPr>
                        <w:rFonts w:ascii="Cambria Math" w:hAnsi="Cambria Math"/>
                      </w:rPr>
                      <m:t>max</m:t>
                    </m:r>
                  </m:sub>
                </m:sSub>
              </m:e>
              <m:e>
                <m:r>
                  <w:rPr>
                    <w:rFonts w:ascii="Cambria Math" w:hAnsi="Cambria Math"/>
                  </w:rPr>
                  <m:t xml:space="preserve"> -</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u</m:t>
                        </m:r>
                      </m:sub>
                    </m:sSub>
                  </m:den>
                </m:f>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Z</m:t>
                        </m:r>
                      </m:e>
                      <m:sub>
                        <m:r>
                          <w:rPr>
                            <w:rFonts w:ascii="Cambria Math" w:hAnsi="Cambria Math"/>
                          </w:rPr>
                          <m:t>u</m:t>
                        </m:r>
                      </m:sub>
                    </m:sSub>
                  </m:num>
                  <m:den>
                    <m:r>
                      <w:rPr>
                        <w:rFonts w:ascii="Cambria Math" w:hAnsi="Cambria Math"/>
                      </w:rPr>
                      <m:t>dz</m:t>
                    </m:r>
                  </m:den>
                </m:f>
                <m:r>
                  <w:rPr>
                    <w:rFonts w:ascii="Cambria Math" w:hAnsi="Cambria Math"/>
                  </w:rPr>
                  <m:t>+ℇ</m:t>
                </m:r>
                <m:d>
                  <m:dPr>
                    <m:ctrlPr>
                      <w:rPr>
                        <w:rFonts w:ascii="Cambria Math" w:hAnsi="Cambria Math"/>
                        <w:i/>
                      </w:rPr>
                    </m:ctrlPr>
                  </m:dPr>
                  <m:e>
                    <m:r>
                      <w:rPr>
                        <w:rFonts w:ascii="Cambria Math" w:hAnsi="Cambria Math"/>
                      </w:rPr>
                      <m:t>z</m:t>
                    </m:r>
                  </m:e>
                </m:d>
                <m:r>
                  <w:rPr>
                    <w:rFonts w:ascii="Cambria Math" w:hAnsi="Cambria Math"/>
                  </w:rPr>
                  <m:t>,  z&gt;</m:t>
                </m:r>
                <m:sSub>
                  <m:sSubPr>
                    <m:ctrlPr>
                      <w:rPr>
                        <w:rFonts w:ascii="Cambria Math" w:hAnsi="Cambria Math"/>
                        <w:i/>
                      </w:rPr>
                    </m:ctrlPr>
                  </m:sSubPr>
                  <m:e>
                    <m:r>
                      <w:rPr>
                        <w:rFonts w:ascii="Cambria Math" w:hAnsi="Cambria Math"/>
                      </w:rPr>
                      <m:t>z</m:t>
                    </m:r>
                  </m:e>
                  <m:sub>
                    <m:r>
                      <w:rPr>
                        <w:rFonts w:ascii="Cambria Math" w:hAnsi="Cambria Math"/>
                      </w:rPr>
                      <m:t>max</m:t>
                    </m:r>
                  </m:sub>
                </m:sSub>
                <m:r>
                  <w:rPr>
                    <w:rFonts w:ascii="Cambria Math" w:hAnsi="Cambria Math"/>
                  </w:rPr>
                  <m:t xml:space="preserve">  </m:t>
                </m:r>
              </m:e>
            </m:eqArr>
          </m:e>
        </m:d>
        <m:r>
          <w:rPr>
            <w:rFonts w:ascii="Cambria Math" w:hAnsi="Cambria Math"/>
          </w:rPr>
          <m:t xml:space="preserve"> </m:t>
        </m:r>
      </m:oMath>
      <w:r w:rsidR="00DD7393" w:rsidRPr="005A0574">
        <w:t>(</w:t>
      </w:r>
      <w:r w:rsidR="00B80D91" w:rsidRPr="005A0574">
        <w:t>11</w:t>
      </w:r>
      <w:r w:rsidR="00DD7393" w:rsidRPr="005A0574">
        <w:t>b)</w:t>
      </w:r>
    </w:p>
    <w:p w14:paraId="326AF942" w14:textId="62F3CE8C" w:rsidR="00DD7393" w:rsidRPr="005A0574" w:rsidRDefault="00DD7393" w:rsidP="00DD7393">
      <w:pPr>
        <w:rPr>
          <w:b/>
          <w:bCs/>
        </w:rPr>
      </w:pPr>
      <w:r w:rsidRPr="005A0574">
        <w:t xml:space="preserve">where z is the vertical height and  </w:t>
      </w:r>
      <m:oMath>
        <m:sSub>
          <m:sSubPr>
            <m:ctrlPr>
              <w:rPr>
                <w:rFonts w:ascii="Cambria Math" w:hAnsi="Cambria Math"/>
                <w:i/>
              </w:rPr>
            </m:ctrlPr>
          </m:sSubPr>
          <m:e>
            <m:r>
              <w:rPr>
                <w:rFonts w:ascii="Cambria Math" w:hAnsi="Cambria Math"/>
              </w:rPr>
              <m:t>z</m:t>
            </m:r>
          </m:e>
          <m:sub>
            <m:r>
              <w:rPr>
                <w:rFonts w:ascii="Cambria Math" w:hAnsi="Cambria Math"/>
              </w:rPr>
              <m:t>max</m:t>
            </m:r>
          </m:sub>
        </m:sSub>
      </m:oMath>
      <w:r w:rsidRPr="005A0574">
        <w:t xml:space="preserve"> is the vertical height where the maximum value of </w:t>
      </w:r>
      <m:oMath>
        <m:r>
          <w:rPr>
            <w:rFonts w:ascii="Cambria Math" w:hAnsi="Cambria Math"/>
          </w:rPr>
          <m:t>Zu</m:t>
        </m:r>
      </m:oMath>
      <w:r w:rsidR="00BC7CF0">
        <w:t xml:space="preserve"> is located</w:t>
      </w:r>
      <w:r w:rsidRPr="005A0574">
        <w:t>.</w:t>
      </w:r>
      <w:r w:rsidR="00FD377E" w:rsidRPr="005A0574">
        <w:t xml:space="preserve"> A comparison to observed mass flux profiles using a Single </w:t>
      </w:r>
      <w:r w:rsidR="00252938" w:rsidRPr="005A0574">
        <w:t>Column</w:t>
      </w:r>
      <w:r w:rsidR="00FD377E" w:rsidRPr="005A0574">
        <w:t xml:space="preserve"> Model approach is given in Figure 4 and described later in this section in more detail.</w:t>
      </w:r>
    </w:p>
    <w:p w14:paraId="4CE931EA" w14:textId="4A9AF709" w:rsidR="00DD7393" w:rsidRPr="005A0574" w:rsidRDefault="00DD7393" w:rsidP="00DD7393">
      <w:r w:rsidRPr="005A0574">
        <w:t xml:space="preserve">The use of </w:t>
      </w:r>
      <w:r w:rsidR="00DF1FF6">
        <w:t>B</w:t>
      </w:r>
      <w:r w:rsidR="007E0DD9">
        <w:t>F</w:t>
      </w:r>
      <w:r w:rsidRPr="005A0574">
        <w:t>s enables interesting options for introducing completely mass</w:t>
      </w:r>
      <w:r w:rsidR="001160DB">
        <w:t>-</w:t>
      </w:r>
      <w:r w:rsidRPr="005A0574">
        <w:t>conserving Stochastic Parameter Perturbations (SPPs) with possibly significant increase in spread. It may of course also be used for training and tuning purposes. The operational version of the RAP</w:t>
      </w:r>
      <w:r w:rsidR="00713BAE" w:rsidRPr="005A0574">
        <w:rPr>
          <w:i/>
          <w:iCs/>
        </w:rPr>
        <w:t xml:space="preserve"> </w:t>
      </w:r>
      <w:r w:rsidRPr="005A0574">
        <w:t xml:space="preserve">uses the GF scheme with </w:t>
      </w:r>
      <w:r w:rsidR="00DF1FF6">
        <w:t>BF</w:t>
      </w:r>
      <w:r w:rsidRPr="005A0574">
        <w:t xml:space="preserve">s without tuning and so far without any stochastic applications. However, we are planning </w:t>
      </w:r>
      <w:r w:rsidRPr="005A0574">
        <w:lastRenderedPageBreak/>
        <w:t>on using some of the approaches described next also for SPP stochastics in the near future. In the next section we will describe possible ways to apply stochastics and/or use this approach for tuning.</w:t>
      </w:r>
    </w:p>
    <w:p w14:paraId="02BCEB2C" w14:textId="77777777" w:rsidR="00796203" w:rsidRPr="005A0574" w:rsidRDefault="00796203" w:rsidP="00796203">
      <w:pPr>
        <w:pStyle w:val="Heading3"/>
      </w:pPr>
      <w:r w:rsidRPr="005A0574">
        <w:t>2.3 Options for stochastic approaches</w:t>
      </w:r>
    </w:p>
    <w:p w14:paraId="2496ACDC" w14:textId="203BD844" w:rsidR="00796203" w:rsidRPr="005A0574" w:rsidRDefault="00796203" w:rsidP="00796203">
      <w:pPr>
        <w:spacing w:before="100" w:beforeAutospacing="1" w:after="100" w:afterAutospacing="1"/>
        <w:rPr>
          <w:lang w:eastAsia="de-DE"/>
        </w:rPr>
      </w:pPr>
      <w:r w:rsidRPr="005A0574">
        <w:rPr>
          <w:lang w:eastAsia="de-DE"/>
        </w:rPr>
        <w:t xml:space="preserve">Following from Section 2.2, and </w:t>
      </w:r>
      <w:r w:rsidR="00575DAF" w:rsidRPr="005A0574">
        <w:rPr>
          <w:lang w:eastAsia="de-DE"/>
        </w:rPr>
        <w:t>E</w:t>
      </w:r>
      <w:r w:rsidRPr="005A0574">
        <w:rPr>
          <w:lang w:eastAsia="de-DE"/>
        </w:rPr>
        <w:t>quation 4 we use the requirement</w:t>
      </w:r>
      <w:r w:rsidR="00575DAF" w:rsidRPr="005A0574">
        <w:rPr>
          <w:lang w:eastAsia="de-DE"/>
        </w:rPr>
        <w:t>:</w:t>
      </w:r>
    </w:p>
    <w:p w14:paraId="43723E67" w14:textId="314D84E5" w:rsidR="00796203" w:rsidRPr="005A0574" w:rsidRDefault="006801FF" w:rsidP="00252938">
      <w:pPr>
        <w:spacing w:before="100" w:beforeAutospacing="1" w:after="100" w:afterAutospacing="1"/>
        <w:jc w:val="center"/>
      </w:pPr>
      <m:oMath>
        <m:sSub>
          <m:sSubPr>
            <m:ctrlPr>
              <w:rPr>
                <w:rFonts w:ascii="Cambria Math" w:hAnsi="Cambria Math"/>
                <w:i/>
              </w:rPr>
            </m:ctrlPr>
          </m:sSubPr>
          <m:e>
            <m:d>
              <m:dPr>
                <m:begChr m:val=""/>
                <m:endChr m:val="|"/>
                <m:ctrlPr>
                  <w:rPr>
                    <w:rFonts w:ascii="Cambria Math" w:hAnsi="Cambria Math"/>
                    <w:i/>
                  </w:rPr>
                </m:ctrlPr>
              </m:dPr>
              <m:e>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Z</m:t>
                        </m:r>
                      </m:e>
                      <m:sub>
                        <m:r>
                          <w:rPr>
                            <w:rFonts w:ascii="Cambria Math" w:hAnsi="Cambria Math"/>
                          </w:rPr>
                          <m:t>u,d</m:t>
                        </m:r>
                      </m:sub>
                    </m:sSub>
                  </m:num>
                  <m:den>
                    <m:r>
                      <w:rPr>
                        <w:rFonts w:ascii="Cambria Math" w:hAnsi="Cambria Math"/>
                      </w:rPr>
                      <m:t>d</m:t>
                    </m:r>
                    <m:sSub>
                      <m:sSubPr>
                        <m:ctrlPr>
                          <w:rPr>
                            <w:rFonts w:ascii="Cambria Math" w:hAnsi="Cambria Math"/>
                            <w:i/>
                          </w:rPr>
                        </m:ctrlPr>
                      </m:sSubPr>
                      <m:e>
                        <m:r>
                          <w:rPr>
                            <w:rFonts w:ascii="Cambria Math" w:hAnsi="Cambria Math"/>
                          </w:rPr>
                          <m:t>r</m:t>
                        </m:r>
                      </m:e>
                      <m:sub>
                        <m:r>
                          <w:rPr>
                            <w:rFonts w:ascii="Cambria Math" w:hAnsi="Cambria Math"/>
                          </w:rPr>
                          <m:t>k</m:t>
                        </m:r>
                      </m:sub>
                    </m:sSub>
                  </m:den>
                </m:f>
              </m:e>
            </m:d>
          </m:e>
          <m:sub>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max</m:t>
                </m:r>
              </m:sub>
            </m:sSub>
          </m:sub>
        </m:sSub>
        <m:r>
          <w:rPr>
            <w:rFonts w:ascii="Cambria Math" w:hAnsi="Cambria Math"/>
          </w:rPr>
          <m:t>=0 ⟹ f(α,β,</m:t>
        </m:r>
        <m:sSub>
          <m:sSubPr>
            <m:ctrlPr>
              <w:rPr>
                <w:rFonts w:ascii="Cambria Math" w:hAnsi="Cambria Math"/>
                <w:i/>
              </w:rPr>
            </m:ctrlPr>
          </m:sSubPr>
          <m:e>
            <m:r>
              <w:rPr>
                <w:rFonts w:ascii="Cambria Math" w:hAnsi="Cambria Math"/>
              </w:rPr>
              <m:t>r</m:t>
            </m:r>
          </m:e>
          <m:sub>
            <m:r>
              <w:rPr>
                <w:rFonts w:ascii="Cambria Math" w:hAnsi="Cambria Math"/>
              </w:rPr>
              <m:t>max</m:t>
            </m:r>
          </m:sub>
        </m:sSub>
        <m:r>
          <w:rPr>
            <w:rFonts w:ascii="Cambria Math" w:hAnsi="Cambria Math"/>
          </w:rPr>
          <m:t>) = 0,</m:t>
        </m:r>
      </m:oMath>
      <w:r w:rsidR="00796203" w:rsidRPr="005A0574">
        <w:t xml:space="preserve">  (</w:t>
      </w:r>
      <w:r w:rsidR="00B80D91" w:rsidRPr="005A0574">
        <w:t>12</w:t>
      </w:r>
      <w:r w:rsidR="00796203" w:rsidRPr="005A0574">
        <w:t>)</w:t>
      </w:r>
    </w:p>
    <w:p w14:paraId="3DBD7FB9" w14:textId="27C14A62" w:rsidR="00B33ADA" w:rsidRPr="005A0574" w:rsidRDefault="00796203" w:rsidP="00796203">
      <w:pPr>
        <w:spacing w:before="100" w:beforeAutospacing="1" w:after="100" w:afterAutospacing="1"/>
      </w:pPr>
      <w:r w:rsidRPr="005A0574">
        <w:t xml:space="preserve">where </w:t>
      </w:r>
      <m:oMath>
        <m:sSub>
          <m:sSubPr>
            <m:ctrlPr>
              <w:rPr>
                <w:rFonts w:ascii="Cambria Math" w:hAnsi="Cambria Math"/>
                <w:i/>
              </w:rPr>
            </m:ctrlPr>
          </m:sSubPr>
          <m:e>
            <m:r>
              <w:rPr>
                <w:rFonts w:ascii="Cambria Math" w:hAnsi="Cambria Math"/>
              </w:rPr>
              <m:t>r</m:t>
            </m:r>
          </m:e>
          <m:sub>
            <m:r>
              <w:rPr>
                <w:rFonts w:ascii="Cambria Math" w:hAnsi="Cambria Math"/>
              </w:rPr>
              <m:t>max</m:t>
            </m:r>
          </m:sub>
        </m:sSub>
        <m:r>
          <w:rPr>
            <w:rFonts w:ascii="Cambria Math" w:hAnsi="Cambria Math"/>
          </w:rPr>
          <m:t xml:space="preserve"> </m:t>
        </m:r>
      </m:oMath>
      <w:r w:rsidRPr="005A0574">
        <w:t>relates to the vertical level where the mass flux profile reaches its maximum value. In this way, the function is un</w:t>
      </w:r>
      <w:r w:rsidR="001160DB">
        <w:t>equ</w:t>
      </w:r>
      <w:r w:rsidRPr="005A0574">
        <w:t xml:space="preserve">ivocally defined once </w:t>
      </w:r>
      <w:r w:rsidRPr="005A0574">
        <w:rPr>
          <w:rFonts w:eastAsia="Euclid Symbol"/>
        </w:rPr>
        <w:t xml:space="preserve">β and </w:t>
      </w:r>
      <m:oMath>
        <m:sSub>
          <m:sSubPr>
            <m:ctrlPr>
              <w:rPr>
                <w:rFonts w:ascii="Cambria Math" w:hAnsi="Cambria Math"/>
                <w:i/>
              </w:rPr>
            </m:ctrlPr>
          </m:sSubPr>
          <m:e>
            <m:r>
              <w:rPr>
                <w:rFonts w:ascii="Cambria Math" w:hAnsi="Cambria Math"/>
              </w:rPr>
              <m:t>r</m:t>
            </m:r>
          </m:e>
          <m:sub>
            <m:r>
              <w:rPr>
                <w:rFonts w:ascii="Cambria Math" w:hAnsi="Cambria Math"/>
              </w:rPr>
              <m:t>max</m:t>
            </m:r>
          </m:sub>
        </m:sSub>
      </m:oMath>
      <w:r w:rsidRPr="005A0574">
        <w:rPr>
          <w:rFonts w:eastAsia="Euclid Symbol"/>
        </w:rPr>
        <w:t xml:space="preserve"> are specified. The two parameters β and </w:t>
      </w:r>
      <m:oMath>
        <m:sSub>
          <m:sSubPr>
            <m:ctrlPr>
              <w:rPr>
                <w:rFonts w:ascii="Cambria Math" w:hAnsi="Cambria Math"/>
                <w:i/>
              </w:rPr>
            </m:ctrlPr>
          </m:sSubPr>
          <m:e>
            <m:r>
              <w:rPr>
                <w:rFonts w:ascii="Cambria Math" w:hAnsi="Cambria Math"/>
              </w:rPr>
              <m:t>r</m:t>
            </m:r>
          </m:e>
          <m:sub>
            <m:r>
              <w:rPr>
                <w:rFonts w:ascii="Cambria Math" w:hAnsi="Cambria Math"/>
              </w:rPr>
              <m:t>max</m:t>
            </m:r>
          </m:sub>
        </m:sSub>
      </m:oMath>
      <w:r w:rsidRPr="005A0574">
        <w:rPr>
          <w:rFonts w:eastAsia="Euclid Symbol"/>
        </w:rPr>
        <w:t xml:space="preserve"> may be stochastically perturbed. The </w:t>
      </w:r>
      <m:oMath>
        <m:sSub>
          <m:sSubPr>
            <m:ctrlPr>
              <w:rPr>
                <w:rFonts w:ascii="Cambria Math" w:hAnsi="Cambria Math"/>
                <w:i/>
              </w:rPr>
            </m:ctrlPr>
          </m:sSubPr>
          <m:e>
            <m:r>
              <w:rPr>
                <w:rFonts w:ascii="Cambria Math" w:hAnsi="Cambria Math"/>
              </w:rPr>
              <m:t>r</m:t>
            </m:r>
          </m:e>
          <m:sub>
            <m:r>
              <w:rPr>
                <w:rFonts w:ascii="Cambria Math" w:hAnsi="Cambria Math"/>
              </w:rPr>
              <m:t>max</m:t>
            </m:r>
          </m:sub>
        </m:sSub>
      </m:oMath>
      <w:r w:rsidRPr="005A0574">
        <w:rPr>
          <w:rFonts w:eastAsia="Euclid Symbol"/>
        </w:rPr>
        <w:t xml:space="preserve"> is used to move the level of maximum mass flux up or down, and the β is used to define the shape of the profile. The allowed range of the beta parameter is [1, 5]. </w:t>
      </w:r>
      <w:r w:rsidRPr="005A0574">
        <w:t xml:space="preserve">For example, Figure 1 introduces the universe of solutions for </w:t>
      </w:r>
      <m:oMath>
        <m:sSub>
          <m:sSubPr>
            <m:ctrlPr>
              <w:rPr>
                <w:rFonts w:ascii="Cambria Math" w:hAnsi="Cambria Math"/>
                <w:i/>
              </w:rPr>
            </m:ctrlPr>
          </m:sSubPr>
          <m:e>
            <m:r>
              <w:rPr>
                <w:rFonts w:ascii="Cambria Math" w:hAnsi="Cambria Math"/>
              </w:rPr>
              <m:t>Z</m:t>
            </m:r>
          </m:e>
          <m:sub>
            <m:r>
              <w:rPr>
                <w:rFonts w:ascii="Cambria Math" w:hAnsi="Cambria Math"/>
              </w:rPr>
              <m:t xml:space="preserve">u </m:t>
            </m:r>
          </m:sub>
        </m:sSub>
      </m:oMath>
      <w:r w:rsidRPr="005A0574">
        <w:t xml:space="preserve">of the deep convection updraft for a case where the heights of cloud base, of maximum mass flux and the cloud top are 1.2, 4.3 and 15.1 km, respectively. Choosing </w:t>
      </w:r>
      <w:r w:rsidRPr="005A0574">
        <w:rPr>
          <w:rFonts w:eastAsia="Euclid Symbol"/>
        </w:rPr>
        <w:t xml:space="preserve">β closer to 1 </w:t>
      </w:r>
      <w:proofErr w:type="gramStart"/>
      <w:r w:rsidRPr="005A0574">
        <w:rPr>
          <w:rFonts w:eastAsia="Euclid Symbol"/>
        </w:rPr>
        <w:t>results</w:t>
      </w:r>
      <w:proofErr w:type="gramEnd"/>
      <w:r w:rsidRPr="005A0574">
        <w:rPr>
          <w:rFonts w:eastAsia="Euclid Symbol"/>
        </w:rPr>
        <w:t xml:space="preserve"> in a very gentle shape of the mass flux in the troposphere, but with very sharp in</w:t>
      </w:r>
      <w:r w:rsidR="002E3D19">
        <w:rPr>
          <w:rFonts w:eastAsia="Euclid Symbol"/>
        </w:rPr>
        <w:t>crease</w:t>
      </w:r>
      <w:r w:rsidRPr="005A0574">
        <w:rPr>
          <w:rFonts w:eastAsia="Euclid Symbol"/>
        </w:rPr>
        <w:t xml:space="preserve">/decrease at cloud base/cloud top with large entrainment/detrainment mass rates. Increasing β, the profile becomes curved and, above the level of maximum </w:t>
      </w:r>
      <w:r w:rsidRPr="00660988">
        <w:rPr>
          <w:rFonts w:eastAsia="Euclid Symbol"/>
          <w:i/>
        </w:rPr>
        <w:t>Z</w:t>
      </w:r>
      <w:r w:rsidRPr="00660988">
        <w:rPr>
          <w:rFonts w:eastAsia="Euclid Symbol"/>
          <w:i/>
          <w:vertAlign w:val="subscript"/>
        </w:rPr>
        <w:t>u</w:t>
      </w:r>
      <w:r w:rsidRPr="005A0574">
        <w:rPr>
          <w:rFonts w:eastAsia="Euclid Symbol"/>
        </w:rPr>
        <w:t xml:space="preserve">, the detrainment rates dominate over the entrainment. </w:t>
      </w:r>
      <w:r w:rsidRPr="005A0574">
        <w:t xml:space="preserve">An appropriate choice of the </w:t>
      </w:r>
      <w:r w:rsidRPr="005A0574">
        <w:rPr>
          <w:rFonts w:eastAsia="Euclid Symbol"/>
        </w:rPr>
        <w:t>β</w:t>
      </w:r>
      <w:r w:rsidRPr="005A0574">
        <w:t xml:space="preserve"> parameter implies, for example, a more even detrainment of condensate water through the upper troposphere or a sharper, narrower detrainment at the very deep cloud top layer. </w:t>
      </w:r>
    </w:p>
    <w:p w14:paraId="4AEE4B87" w14:textId="3D4F538A" w:rsidR="00214F25" w:rsidRPr="005A0574" w:rsidRDefault="00796203" w:rsidP="007B72A5">
      <w:pPr>
        <w:spacing w:before="100" w:beforeAutospacing="1" w:after="100" w:afterAutospacing="1"/>
      </w:pPr>
      <w:r w:rsidRPr="005A0574">
        <w:t xml:space="preserve">To give an example, using </w:t>
      </w:r>
      <w:r w:rsidR="00B80D91" w:rsidRPr="005A0574">
        <w:t>E</w:t>
      </w:r>
      <w:r w:rsidRPr="005A0574">
        <w:t xml:space="preserve">quations </w:t>
      </w:r>
      <w:r w:rsidR="00B80D91" w:rsidRPr="005A0574">
        <w:t>10</w:t>
      </w:r>
      <w:r w:rsidRPr="005A0574">
        <w:t xml:space="preserve"> and </w:t>
      </w:r>
      <w:r w:rsidR="00B80D91" w:rsidRPr="005A0574">
        <w:t>11</w:t>
      </w:r>
      <w:r w:rsidRPr="005A0574">
        <w:t xml:space="preserve">,  </w:t>
      </w:r>
      <m:oMath>
        <m:sSub>
          <m:sSubPr>
            <m:ctrlPr>
              <w:rPr>
                <w:rFonts w:ascii="Cambria Math" w:hAnsi="Cambria Math"/>
                <w:i/>
              </w:rPr>
            </m:ctrlPr>
          </m:sSubPr>
          <m:e>
            <m:r>
              <w:rPr>
                <w:rFonts w:ascii="Cambria Math" w:hAnsi="Cambria Math"/>
              </w:rPr>
              <m:t>z</m:t>
            </m:r>
          </m:e>
          <m:sub>
            <m:r>
              <w:rPr>
                <w:rFonts w:ascii="Cambria Math" w:hAnsi="Cambria Math"/>
              </w:rPr>
              <m:t>max</m:t>
            </m:r>
          </m:sub>
        </m:sSub>
      </m:oMath>
      <w:r w:rsidRPr="005A0574">
        <w:t xml:space="preserve"> is defined as 4.3 km in Figure 1. Figure 2 introduces the difference between the effective entrainment and detrainment rates (</w:t>
      </w:r>
      <m:oMath>
        <m:sSup>
          <m:sSupPr>
            <m:ctrlPr>
              <w:rPr>
                <w:rFonts w:ascii="Cambria Math" w:hAnsi="Cambria Math"/>
                <w:i/>
              </w:rPr>
            </m:ctrlPr>
          </m:sSupPr>
          <m:e>
            <m:r>
              <w:rPr>
                <w:rFonts w:ascii="Cambria Math" w:hAnsi="Cambria Math"/>
              </w:rPr>
              <m:t>ℇ</m:t>
            </m:r>
          </m:e>
          <m:sup>
            <m:r>
              <w:rPr>
                <w:rFonts w:ascii="Cambria Math" w:hAnsi="Cambria Math"/>
              </w:rPr>
              <m:t>*</m:t>
            </m:r>
          </m:sup>
        </m:sSup>
        <m:r>
          <w:rPr>
            <w:rFonts w:ascii="Cambria Math" w:hAnsi="Cambria Math"/>
          </w:rPr>
          <m:t xml:space="preserve">- </m:t>
        </m:r>
        <m:sSup>
          <m:sSupPr>
            <m:ctrlPr>
              <w:rPr>
                <w:rFonts w:ascii="Cambria Math" w:hAnsi="Cambria Math"/>
                <w:i/>
              </w:rPr>
            </m:ctrlPr>
          </m:sSupPr>
          <m:e>
            <m:r>
              <w:rPr>
                <w:rFonts w:ascii="Cambria Math" w:hAnsi="Cambria Math"/>
              </w:rPr>
              <m:t>δ</m:t>
            </m:r>
          </m:e>
          <m:sup>
            <m:r>
              <w:rPr>
                <w:rFonts w:ascii="Cambria Math" w:hAnsi="Cambria Math"/>
              </w:rPr>
              <m:t>*</m:t>
            </m:r>
          </m:sup>
        </m:sSup>
        <m:r>
          <w:rPr>
            <w:rFonts w:ascii="Cambria Math" w:hAnsi="Cambria Math"/>
          </w:rPr>
          <m:t>)</m:t>
        </m:r>
      </m:oMath>
      <w:r w:rsidRPr="005A0574">
        <w:t xml:space="preserve"> for the case shown in Figure 1. Assuming </w:t>
      </w:r>
      <w:r w:rsidRPr="005A0574">
        <w:rPr>
          <w:rFonts w:eastAsia="Euclid Symbol"/>
        </w:rPr>
        <w:t xml:space="preserve">β closer to 1 implies a very large effective entrainment/detrainment at cloud base/top with very small net mass exchange in between. </w:t>
      </w:r>
      <w:r w:rsidR="002E3D19">
        <w:rPr>
          <w:rFonts w:eastAsia="Euclid Symbol"/>
        </w:rPr>
        <w:t>I</w:t>
      </w:r>
      <w:r w:rsidRPr="005A0574">
        <w:rPr>
          <w:rFonts w:eastAsia="Euclid Symbol"/>
        </w:rPr>
        <w:t xml:space="preserve">ncreasing β makes the entrainment and detrainment layers wider and smoother. </w:t>
      </w:r>
    </w:p>
    <w:p w14:paraId="45A8F8B2" w14:textId="3A09F5E2" w:rsidR="00252938" w:rsidRPr="005A0574" w:rsidRDefault="00252938" w:rsidP="00252938">
      <w:pPr>
        <w:spacing w:before="100" w:beforeAutospacing="1" w:after="100" w:afterAutospacing="1"/>
      </w:pPr>
      <w:r w:rsidRPr="005A0574">
        <w:t>The above</w:t>
      </w:r>
      <w:r w:rsidR="002E3D19">
        <w:t>-</w:t>
      </w:r>
      <w:r w:rsidRPr="005A0574">
        <w:t xml:space="preserve">described options for stochastically perturbing vertical mass flux distributions may also be used in fine tuning of model performance, </w:t>
      </w:r>
      <w:proofErr w:type="gramStart"/>
      <w:r w:rsidRPr="005A0574">
        <w:t>in particular for</w:t>
      </w:r>
      <w:proofErr w:type="gramEnd"/>
      <w:r w:rsidRPr="005A0574">
        <w:t xml:space="preserve"> operational forecasting applications. Those parameters allow slight changes in the vertical distribution of heating and drying and may </w:t>
      </w:r>
      <w:r w:rsidRPr="005A0574">
        <w:lastRenderedPageBreak/>
        <w:t xml:space="preserve">be used to improve </w:t>
      </w:r>
      <w:r w:rsidR="005E71FD" w:rsidRPr="005A0574">
        <w:t>biases in</w:t>
      </w:r>
      <w:r w:rsidRPr="005A0574">
        <w:t xml:space="preserve"> temperature and moisture profiles. As is the case with parameters and assumptions in convective parameterizations in general, the values proposed in </w:t>
      </w:r>
      <w:r w:rsidR="00E05ECD" w:rsidRPr="005A0574">
        <w:t>S</w:t>
      </w:r>
      <w:r w:rsidRPr="005A0574">
        <w:t>ection 2.2 may</w:t>
      </w:r>
      <w:r w:rsidR="002E3D19">
        <w:t>,</w:t>
      </w:r>
      <w:r w:rsidRPr="005A0574">
        <w:t xml:space="preserve"> of course</w:t>
      </w:r>
      <w:r w:rsidR="002E3D19">
        <w:t>,</w:t>
      </w:r>
      <w:r w:rsidRPr="005A0574">
        <w:t xml:space="preserve"> not be universal, and optimal values may need adjustments for each host model.</w:t>
      </w:r>
    </w:p>
    <w:p w14:paraId="3D2D4887" w14:textId="47E57BCC" w:rsidR="00981BA3" w:rsidRPr="005A0574" w:rsidRDefault="00981BA3" w:rsidP="00796203">
      <w:pPr>
        <w:pStyle w:val="Heading3"/>
      </w:pPr>
      <w:r w:rsidRPr="005A0574">
        <w:t>2.3 Diurnal cycle closure</w:t>
      </w:r>
    </w:p>
    <w:p w14:paraId="0D4449EC" w14:textId="2D3114BA" w:rsidR="00981BA3" w:rsidRPr="005A0574" w:rsidRDefault="00981BA3" w:rsidP="00981BA3">
      <w:pPr>
        <w:rPr>
          <w:lang w:eastAsia="de-DE"/>
        </w:rPr>
      </w:pPr>
      <w:r w:rsidRPr="005A0574">
        <w:rPr>
          <w:lang w:eastAsia="de-DE"/>
        </w:rPr>
        <w:t>Convection parameterizations based on the use of CAPE for closure and/or trigger function prove difficult in accurately representing the diurnal march of convection and precipitation associated with the diurnal surface heating in an environment of weak large-scale forcing. In nature, shallow and congestus convective plumes start a few hours after sunrise, moistening and cooling the lower and mid-troposphere. Th</w:t>
      </w:r>
      <w:r w:rsidR="002E3D19">
        <w:rPr>
          <w:lang w:eastAsia="de-DE"/>
        </w:rPr>
        <w:t>ese</w:t>
      </w:r>
      <w:r w:rsidRPr="005A0574">
        <w:rPr>
          <w:lang w:eastAsia="de-DE"/>
        </w:rPr>
        <w:t xml:space="preserve"> physical process</w:t>
      </w:r>
      <w:r w:rsidR="002E3D19">
        <w:rPr>
          <w:lang w:eastAsia="de-DE"/>
        </w:rPr>
        <w:t>es</w:t>
      </w:r>
      <w:r w:rsidRPr="005A0574">
        <w:rPr>
          <w:lang w:eastAsia="de-DE"/>
        </w:rPr>
        <w:t xml:space="preserve"> prepare the environment for the deep penetrative and larger rainfall</w:t>
      </w:r>
      <w:r w:rsidR="002E3D19">
        <w:rPr>
          <w:lang w:eastAsia="de-DE"/>
        </w:rPr>
        <w:t>-</w:t>
      </w:r>
      <w:r w:rsidRPr="005A0574">
        <w:rPr>
          <w:lang w:eastAsia="de-DE"/>
        </w:rPr>
        <w:t xml:space="preserve">producing convection, which usually occurs in the mid-afternoon to early evening. Models, in general, simulate a more abrupt transition, with the rainfall peaking in phase with the surface fluxes, earlier than observations </w:t>
      </w:r>
      <w:r w:rsidR="002E3D19">
        <w:rPr>
          <w:lang w:eastAsia="de-DE"/>
        </w:rPr>
        <w:t>indicate</w:t>
      </w:r>
      <w:r w:rsidR="005E2072" w:rsidRPr="005A0574">
        <w:rPr>
          <w:lang w:eastAsia="de-DE"/>
        </w:rPr>
        <w:t xml:space="preserve"> (Betts and Jakob, 2002)</w:t>
      </w:r>
      <w:r w:rsidRPr="005A0574">
        <w:rPr>
          <w:lang w:eastAsia="de-DE"/>
        </w:rPr>
        <w:t xml:space="preserve">. </w:t>
      </w:r>
    </w:p>
    <w:p w14:paraId="188D3F1F" w14:textId="652624C5" w:rsidR="00534E03" w:rsidRPr="005A0574" w:rsidRDefault="00981BA3" w:rsidP="00981BA3">
      <w:r w:rsidRPr="005A0574">
        <w:rPr>
          <w:lang w:eastAsia="de-DE"/>
        </w:rPr>
        <w:t xml:space="preserve">In addition to a more accurate timing of the precipitation forecast, a realistic representation of the diurnal cycle in a global model also should improve the forecast of the near-surface maximum temperature. Additionally, it improves the </w:t>
      </w:r>
      <w:proofErr w:type="spellStart"/>
      <w:r w:rsidRPr="005A0574">
        <w:rPr>
          <w:lang w:eastAsia="de-DE"/>
        </w:rPr>
        <w:t>subgrid</w:t>
      </w:r>
      <w:proofErr w:type="spellEnd"/>
      <w:r w:rsidR="008E640E">
        <w:rPr>
          <w:lang w:eastAsia="de-DE"/>
        </w:rPr>
        <w:t>-</w:t>
      </w:r>
      <w:r w:rsidRPr="005A0574">
        <w:rPr>
          <w:lang w:eastAsia="de-DE"/>
        </w:rPr>
        <w:t xml:space="preserve">scale convective transport of tracers, which should be especially relevant for carbon dioxide over vegetated areas. Moreover, as models configured </w:t>
      </w:r>
      <w:r w:rsidR="008E640E">
        <w:rPr>
          <w:lang w:eastAsia="de-DE"/>
        </w:rPr>
        <w:t>at</w:t>
      </w:r>
      <w:r w:rsidRPr="005A0574">
        <w:rPr>
          <w:lang w:eastAsia="de-DE"/>
        </w:rPr>
        <w:t xml:space="preserve"> cloud-resolving scales can intrinsically capture the diurnal cycle of convection, global models with good skill </w:t>
      </w:r>
      <w:r w:rsidR="008E640E">
        <w:rPr>
          <w:lang w:eastAsia="de-DE"/>
        </w:rPr>
        <w:t>i</w:t>
      </w:r>
      <w:r w:rsidRPr="005A0574">
        <w:rPr>
          <w:lang w:eastAsia="de-DE"/>
        </w:rPr>
        <w:t>n the diurnal cycle representation should yield a smoother transition from non-resolved to resolved scales. Lastly, it seems plausible that benefits on the data assimilation are also expected with a better diurnal cycle representation.</w:t>
      </w:r>
    </w:p>
    <w:p w14:paraId="5BEA76C4" w14:textId="0C82CD80" w:rsidR="00497772" w:rsidRPr="005A0574" w:rsidRDefault="00497772" w:rsidP="00497772">
      <w:pPr>
        <w:rPr>
          <w:lang w:eastAsia="de-DE"/>
        </w:rPr>
      </w:pPr>
      <w:r w:rsidRPr="005A0574">
        <w:rPr>
          <w:lang w:eastAsia="de-DE"/>
        </w:rPr>
        <w:t>In the effort to improve the diurnal cycle in the GF scheme, we adopted a closure for non-equilibrium convection developed by</w:t>
      </w:r>
      <w:r w:rsidRPr="005A0574">
        <w:t xml:space="preserve"> Bechtold et al. (2014, hereafter B2014), which as we further demonstrate, notably improves the simulation of the diurnal cycle of convection and precipitation over land. B2014 proposed the following equation for the convective tendency for deep convection which represents the stabilization response in the closure equation for the mass flux at cloud base: </w:t>
      </w:r>
    </w:p>
    <w:p w14:paraId="0CF6143F" w14:textId="616C18FC" w:rsidR="0080184E" w:rsidRPr="005A0574" w:rsidRDefault="006801FF" w:rsidP="00E05ECD">
      <w:pPr>
        <w:jc w:val="center"/>
        <w:rPr>
          <w:noProof/>
        </w:rPr>
      </w:pPr>
      <m:oMath>
        <m:sSub>
          <m:sSubPr>
            <m:ctrlPr>
              <w:rPr>
                <w:rFonts w:ascii="Cambria Math" w:hAnsi="Cambria Math"/>
                <w:i/>
                <w:noProof/>
              </w:rPr>
            </m:ctrlPr>
          </m:sSubPr>
          <m:e>
            <m:d>
              <m:dPr>
                <m:begChr m:val=""/>
                <m:endChr m:val="|"/>
                <m:ctrlPr>
                  <w:rPr>
                    <w:rFonts w:ascii="Cambria Math" w:hAnsi="Cambria Math"/>
                    <w:i/>
                    <w:noProof/>
                  </w:rPr>
                </m:ctrlPr>
              </m:dPr>
              <m:e>
                <m:f>
                  <m:fPr>
                    <m:ctrlPr>
                      <w:rPr>
                        <w:rFonts w:ascii="Cambria Math" w:hAnsi="Cambria Math"/>
                        <w:i/>
                        <w:noProof/>
                      </w:rPr>
                    </m:ctrlPr>
                  </m:fPr>
                  <m:num>
                    <m:r>
                      <w:rPr>
                        <w:rFonts w:ascii="Cambria Math" w:hAnsi="Cambria Math"/>
                        <w:noProof/>
                      </w:rPr>
                      <m:t>∂</m:t>
                    </m:r>
                    <m:r>
                      <m:rPr>
                        <m:sty m:val="p"/>
                      </m:rPr>
                      <w:rPr>
                        <w:rFonts w:ascii="Cambria Math" w:hAnsi="Cambria Math"/>
                        <w:noProof/>
                      </w:rPr>
                      <m:t>Π</m:t>
                    </m:r>
                  </m:num>
                  <m:den>
                    <m:r>
                      <w:rPr>
                        <w:rFonts w:ascii="Cambria Math" w:hAnsi="Cambria Math"/>
                        <w:noProof/>
                      </w:rPr>
                      <m:t>∂t</m:t>
                    </m:r>
                  </m:den>
                </m:f>
              </m:e>
            </m:d>
          </m:e>
          <m:sub>
            <m:r>
              <w:rPr>
                <w:rFonts w:ascii="Cambria Math" w:hAnsi="Cambria Math"/>
                <w:noProof/>
              </w:rPr>
              <m:t>conv</m:t>
            </m:r>
          </m:sub>
        </m:sSub>
        <m:r>
          <w:rPr>
            <w:rFonts w:ascii="Cambria Math" w:hAnsi="Cambria Math"/>
            <w:noProof/>
          </w:rPr>
          <m:t>=-</m:t>
        </m:r>
        <m:f>
          <m:fPr>
            <m:ctrlPr>
              <w:rPr>
                <w:rFonts w:ascii="Cambria Math" w:hAnsi="Cambria Math"/>
                <w:i/>
                <w:noProof/>
              </w:rPr>
            </m:ctrlPr>
          </m:fPr>
          <m:num>
            <m:r>
              <m:rPr>
                <m:sty m:val="p"/>
              </m:rPr>
              <w:rPr>
                <w:rFonts w:ascii="Cambria Math" w:hAnsi="Cambria Math"/>
                <w:noProof/>
              </w:rPr>
              <m:t>Π</m:t>
            </m:r>
          </m:num>
          <m:den>
            <m:r>
              <w:rPr>
                <w:rFonts w:ascii="Cambria Math" w:hAnsi="Cambria Math"/>
                <w:noProof/>
              </w:rPr>
              <m:t>τ</m:t>
            </m:r>
          </m:den>
        </m:f>
        <m:r>
          <w:rPr>
            <w:rFonts w:ascii="Cambria Math" w:hAnsi="Cambria Math"/>
            <w:noProof/>
          </w:rPr>
          <m:t>+</m:t>
        </m:r>
        <m:f>
          <m:fPr>
            <m:ctrlPr>
              <w:rPr>
                <w:rFonts w:ascii="Cambria Math" w:hAnsi="Cambria Math"/>
                <w:i/>
                <w:noProof/>
              </w:rPr>
            </m:ctrlPr>
          </m:fPr>
          <m:num>
            <m:sSub>
              <m:sSubPr>
                <m:ctrlPr>
                  <w:rPr>
                    <w:rFonts w:ascii="Cambria Math" w:hAnsi="Cambria Math"/>
                    <w:i/>
                    <w:noProof/>
                  </w:rPr>
                </m:ctrlPr>
              </m:sSubPr>
              <m:e>
                <m:r>
                  <w:rPr>
                    <w:rFonts w:ascii="Cambria Math" w:hAnsi="Cambria Math"/>
                    <w:noProof/>
                  </w:rPr>
                  <m:t>τ</m:t>
                </m:r>
              </m:e>
              <m:sub>
                <m:r>
                  <w:rPr>
                    <w:rFonts w:ascii="Cambria Math" w:hAnsi="Cambria Math"/>
                    <w:noProof/>
                  </w:rPr>
                  <m:t>BL</m:t>
                </m:r>
              </m:sub>
            </m:sSub>
          </m:num>
          <m:den>
            <m:r>
              <w:rPr>
                <w:rFonts w:ascii="Cambria Math" w:hAnsi="Cambria Math"/>
                <w:noProof/>
              </w:rPr>
              <m:t>τ</m:t>
            </m:r>
          </m:den>
        </m:f>
        <m:sSub>
          <m:sSubPr>
            <m:ctrlPr>
              <w:rPr>
                <w:rFonts w:ascii="Cambria Math" w:hAnsi="Cambria Math"/>
                <w:i/>
                <w:noProof/>
              </w:rPr>
            </m:ctrlPr>
          </m:sSubPr>
          <m:e>
            <m:d>
              <m:dPr>
                <m:begChr m:val=""/>
                <m:endChr m:val="|"/>
                <m:ctrlPr>
                  <w:rPr>
                    <w:rFonts w:ascii="Cambria Math" w:hAnsi="Cambria Math"/>
                    <w:i/>
                    <w:noProof/>
                  </w:rPr>
                </m:ctrlPr>
              </m:dPr>
              <m:e>
                <m:f>
                  <m:fPr>
                    <m:ctrlPr>
                      <w:rPr>
                        <w:rFonts w:ascii="Cambria Math" w:hAnsi="Cambria Math"/>
                        <w:i/>
                        <w:noProof/>
                      </w:rPr>
                    </m:ctrlPr>
                  </m:fPr>
                  <m:num>
                    <m:r>
                      <w:rPr>
                        <w:rFonts w:ascii="Cambria Math" w:hAnsi="Cambria Math"/>
                        <w:noProof/>
                      </w:rPr>
                      <m:t>∂</m:t>
                    </m:r>
                    <m:r>
                      <m:rPr>
                        <m:sty m:val="p"/>
                      </m:rPr>
                      <w:rPr>
                        <w:rFonts w:ascii="Cambria Math" w:hAnsi="Cambria Math"/>
                        <w:noProof/>
                      </w:rPr>
                      <m:t>Π</m:t>
                    </m:r>
                  </m:num>
                  <m:den>
                    <m:r>
                      <w:rPr>
                        <w:rFonts w:ascii="Cambria Math" w:hAnsi="Cambria Math"/>
                        <w:noProof/>
                      </w:rPr>
                      <m:t>∂t</m:t>
                    </m:r>
                  </m:den>
                </m:f>
              </m:e>
            </m:d>
          </m:e>
          <m:sub>
            <m:r>
              <w:rPr>
                <w:rFonts w:ascii="Cambria Math" w:hAnsi="Cambria Math"/>
                <w:noProof/>
              </w:rPr>
              <m:t>BL</m:t>
            </m:r>
          </m:sub>
        </m:sSub>
      </m:oMath>
      <w:r w:rsidR="0080184E" w:rsidRPr="005A0574">
        <w:rPr>
          <w:noProof/>
        </w:rPr>
        <w:t xml:space="preserve">       (</w:t>
      </w:r>
      <w:r w:rsidR="00B80D91" w:rsidRPr="005A0574">
        <w:rPr>
          <w:noProof/>
        </w:rPr>
        <w:t>13</w:t>
      </w:r>
      <w:r w:rsidR="0080184E" w:rsidRPr="005A0574">
        <w:rPr>
          <w:noProof/>
        </w:rPr>
        <w:t>)</w:t>
      </w:r>
    </w:p>
    <w:p w14:paraId="57737B2B" w14:textId="236378EB" w:rsidR="0080184E" w:rsidRPr="005A0574" w:rsidRDefault="0080184E" w:rsidP="0080184E">
      <w:pPr>
        <w:rPr>
          <w:noProof/>
        </w:rPr>
      </w:pPr>
      <w:r w:rsidRPr="005A0574">
        <w:rPr>
          <w:noProof/>
        </w:rPr>
        <w:t xml:space="preserve">where </w:t>
      </w:r>
      <w:r w:rsidRPr="005A0574">
        <w:rPr>
          <w:noProof/>
        </w:rPr>
        <w:sym w:font="Symbol" w:char="F050"/>
      </w:r>
      <w:r w:rsidRPr="005A0574">
        <w:rPr>
          <w:noProof/>
        </w:rPr>
        <w:t xml:space="preserve"> is called </w:t>
      </w:r>
      <w:r w:rsidR="008E640E">
        <w:rPr>
          <w:noProof/>
        </w:rPr>
        <w:t xml:space="preserve">the </w:t>
      </w:r>
      <w:r w:rsidRPr="005A0574">
        <w:rPr>
          <w:noProof/>
        </w:rPr>
        <w:t xml:space="preserve">density-weight buoyancy integral, and </w:t>
      </w:r>
      <w:r w:rsidRPr="005A0574">
        <w:rPr>
          <w:noProof/>
        </w:rPr>
        <w:sym w:font="Symbol" w:char="F074"/>
      </w:r>
      <w:r w:rsidRPr="005A0574">
        <w:rPr>
          <w:noProof/>
        </w:rPr>
        <w:t xml:space="preserve"> and </w:t>
      </w:r>
      <w:r w:rsidRPr="005A0574">
        <w:rPr>
          <w:noProof/>
        </w:rPr>
        <w:sym w:font="Symbol" w:char="F074"/>
      </w:r>
      <w:r w:rsidRPr="005A0574">
        <w:rPr>
          <w:noProof/>
          <w:vertAlign w:val="subscript"/>
        </w:rPr>
        <w:t xml:space="preserve">BL  </w:t>
      </w:r>
      <w:r w:rsidRPr="005A0574">
        <w:rPr>
          <w:noProof/>
        </w:rPr>
        <w:t>are appropriate</w:t>
      </w:r>
      <w:r w:rsidR="00256AF3">
        <w:rPr>
          <w:noProof/>
        </w:rPr>
        <w:t xml:space="preserve"> </w:t>
      </w:r>
      <w:r w:rsidRPr="005A0574">
        <w:rPr>
          <w:noProof/>
        </w:rPr>
        <w:t>time scales. The tendency of the second term on the right side of Eq. (</w:t>
      </w:r>
      <w:r w:rsidR="00B80D91" w:rsidRPr="005A0574">
        <w:rPr>
          <w:noProof/>
        </w:rPr>
        <w:t>13</w:t>
      </w:r>
      <w:r w:rsidRPr="005A0574">
        <w:rPr>
          <w:noProof/>
        </w:rPr>
        <w:t>), is the total boundary layer production given by:</w:t>
      </w:r>
    </w:p>
    <w:p w14:paraId="04490900" w14:textId="7D27B0DC" w:rsidR="0080184E" w:rsidRPr="005A0574" w:rsidRDefault="006801FF" w:rsidP="00E05ECD">
      <w:pPr>
        <w:jc w:val="center"/>
        <w:rPr>
          <w:noProof/>
        </w:rPr>
      </w:pPr>
      <m:oMath>
        <m:sSub>
          <m:sSubPr>
            <m:ctrlPr>
              <w:rPr>
                <w:rFonts w:ascii="Cambria Math" w:hAnsi="Cambria Math"/>
                <w:i/>
                <w:noProof/>
              </w:rPr>
            </m:ctrlPr>
          </m:sSubPr>
          <m:e>
            <m:d>
              <m:dPr>
                <m:begChr m:val=""/>
                <m:endChr m:val="|"/>
                <m:ctrlPr>
                  <w:rPr>
                    <w:rFonts w:ascii="Cambria Math" w:hAnsi="Cambria Math"/>
                    <w:i/>
                    <w:noProof/>
                  </w:rPr>
                </m:ctrlPr>
              </m:dPr>
              <m:e>
                <m:f>
                  <m:fPr>
                    <m:ctrlPr>
                      <w:rPr>
                        <w:rFonts w:ascii="Cambria Math" w:hAnsi="Cambria Math"/>
                        <w:i/>
                        <w:noProof/>
                      </w:rPr>
                    </m:ctrlPr>
                  </m:fPr>
                  <m:num>
                    <m:r>
                      <w:rPr>
                        <w:rFonts w:ascii="Cambria Math" w:hAnsi="Cambria Math"/>
                        <w:noProof/>
                      </w:rPr>
                      <m:t>∂</m:t>
                    </m:r>
                    <m:r>
                      <m:rPr>
                        <m:sty m:val="p"/>
                      </m:rPr>
                      <w:rPr>
                        <w:rFonts w:ascii="Cambria Math" w:hAnsi="Cambria Math"/>
                        <w:noProof/>
                      </w:rPr>
                      <m:t>Π</m:t>
                    </m:r>
                  </m:num>
                  <m:den>
                    <m:r>
                      <w:rPr>
                        <w:rFonts w:ascii="Cambria Math" w:hAnsi="Cambria Math"/>
                        <w:noProof/>
                      </w:rPr>
                      <m:t>∂t</m:t>
                    </m:r>
                  </m:den>
                </m:f>
              </m:e>
            </m:d>
          </m:e>
          <m:sub>
            <m:r>
              <w:rPr>
                <w:rFonts w:ascii="Cambria Math" w:hAnsi="Cambria Math"/>
                <w:noProof/>
              </w:rPr>
              <m:t>BL</m:t>
            </m:r>
          </m:sub>
        </m:sSub>
        <m:r>
          <w:rPr>
            <w:rFonts w:ascii="Cambria Math" w:hAnsi="Cambria Math"/>
            <w:noProof/>
          </w:rPr>
          <m:t>=-</m:t>
        </m:r>
        <m:f>
          <m:fPr>
            <m:ctrlPr>
              <w:rPr>
                <w:rFonts w:ascii="Cambria Math" w:hAnsi="Cambria Math"/>
                <w:i/>
                <w:noProof/>
              </w:rPr>
            </m:ctrlPr>
          </m:fPr>
          <m:num>
            <m:r>
              <w:rPr>
                <w:rFonts w:ascii="Cambria Math" w:hAnsi="Cambria Math"/>
                <w:noProof/>
              </w:rPr>
              <m:t>1</m:t>
            </m:r>
          </m:num>
          <m:den>
            <m:sSup>
              <m:sSupPr>
                <m:ctrlPr>
                  <w:rPr>
                    <w:rFonts w:ascii="Cambria Math" w:hAnsi="Cambria Math"/>
                    <w:i/>
                    <w:noProof/>
                  </w:rPr>
                </m:ctrlPr>
              </m:sSupPr>
              <m:e>
                <m:r>
                  <w:rPr>
                    <w:rFonts w:ascii="Cambria Math" w:hAnsi="Cambria Math"/>
                    <w:noProof/>
                  </w:rPr>
                  <m:t>T</m:t>
                </m:r>
              </m:e>
              <m:sup>
                <m:r>
                  <w:rPr>
                    <w:rFonts w:ascii="Cambria Math" w:hAnsi="Cambria Math"/>
                    <w:noProof/>
                  </w:rPr>
                  <m:t>*</m:t>
                </m:r>
              </m:sup>
            </m:sSup>
          </m:den>
        </m:f>
        <m:sSub>
          <m:sSubPr>
            <m:ctrlPr>
              <w:rPr>
                <w:rFonts w:ascii="Cambria Math" w:hAnsi="Cambria Math"/>
                <w:i/>
                <w:noProof/>
              </w:rPr>
            </m:ctrlPr>
          </m:sSubPr>
          <m:e>
            <m:d>
              <m:dPr>
                <m:begChr m:val=""/>
                <m:endChr m:val="|"/>
                <m:ctrlPr>
                  <w:rPr>
                    <w:rFonts w:ascii="Cambria Math" w:hAnsi="Cambria Math"/>
                    <w:i/>
                    <w:noProof/>
                  </w:rPr>
                </m:ctrlPr>
              </m:dPr>
              <m:e>
                <m:nary>
                  <m:naryPr>
                    <m:limLoc m:val="subSup"/>
                    <m:ctrlPr>
                      <w:rPr>
                        <w:rFonts w:ascii="Cambria Math" w:hAnsi="Cambria Math"/>
                        <w:i/>
                        <w:noProof/>
                      </w:rPr>
                    </m:ctrlPr>
                  </m:naryPr>
                  <m:sub>
                    <m:sSub>
                      <m:sSubPr>
                        <m:ctrlPr>
                          <w:rPr>
                            <w:rFonts w:ascii="Cambria Math" w:hAnsi="Cambria Math"/>
                            <w:i/>
                            <w:noProof/>
                          </w:rPr>
                        </m:ctrlPr>
                      </m:sSubPr>
                      <m:e>
                        <m:r>
                          <w:rPr>
                            <w:rFonts w:ascii="Cambria Math" w:hAnsi="Cambria Math"/>
                            <w:noProof/>
                          </w:rPr>
                          <m:t>p</m:t>
                        </m:r>
                      </m:e>
                      <m:sub>
                        <m:r>
                          <w:rPr>
                            <w:rFonts w:ascii="Cambria Math" w:hAnsi="Cambria Math"/>
                            <w:noProof/>
                          </w:rPr>
                          <m:t>s</m:t>
                        </m:r>
                      </m:sub>
                    </m:sSub>
                  </m:sub>
                  <m:sup>
                    <m:sSub>
                      <m:sSubPr>
                        <m:ctrlPr>
                          <w:rPr>
                            <w:rFonts w:ascii="Cambria Math" w:hAnsi="Cambria Math"/>
                            <w:i/>
                            <w:noProof/>
                          </w:rPr>
                        </m:ctrlPr>
                      </m:sSubPr>
                      <m:e>
                        <m:r>
                          <w:rPr>
                            <w:rFonts w:ascii="Cambria Math" w:hAnsi="Cambria Math"/>
                            <w:noProof/>
                          </w:rPr>
                          <m:t>p</m:t>
                        </m:r>
                      </m:e>
                      <m:sub>
                        <m:r>
                          <w:rPr>
                            <w:rFonts w:ascii="Cambria Math" w:hAnsi="Cambria Math"/>
                            <w:noProof/>
                          </w:rPr>
                          <m:t>b</m:t>
                        </m:r>
                      </m:sub>
                    </m:sSub>
                  </m:sup>
                  <m:e>
                    <m:f>
                      <m:fPr>
                        <m:ctrlPr>
                          <w:rPr>
                            <w:rFonts w:ascii="Cambria Math" w:hAnsi="Cambria Math"/>
                            <w:i/>
                            <w:noProof/>
                          </w:rPr>
                        </m:ctrlPr>
                      </m:fPr>
                      <m:num>
                        <m:r>
                          <w:rPr>
                            <w:rFonts w:ascii="Cambria Math" w:hAnsi="Cambria Math"/>
                            <w:noProof/>
                          </w:rPr>
                          <m:t>∂</m:t>
                        </m:r>
                        <m:acc>
                          <m:accPr>
                            <m:chr m:val="̅"/>
                            <m:ctrlPr>
                              <w:rPr>
                                <w:rFonts w:ascii="Cambria Math" w:hAnsi="Cambria Math"/>
                                <w:noProof/>
                              </w:rPr>
                            </m:ctrlPr>
                          </m:accPr>
                          <m:e>
                            <m:sSub>
                              <m:sSubPr>
                                <m:ctrlPr>
                                  <w:rPr>
                                    <w:rFonts w:ascii="Cambria Math" w:hAnsi="Cambria Math"/>
                                    <w:noProof/>
                                  </w:rPr>
                                </m:ctrlPr>
                              </m:sSubPr>
                              <m:e>
                                <m:r>
                                  <m:rPr>
                                    <m:sty m:val="p"/>
                                  </m:rPr>
                                  <w:rPr>
                                    <w:rFonts w:ascii="Cambria Math" w:hAnsi="Cambria Math"/>
                                    <w:noProof/>
                                  </w:rPr>
                                  <m:t>T</m:t>
                                </m:r>
                              </m:e>
                              <m:sub>
                                <m:r>
                                  <w:rPr>
                                    <w:rFonts w:ascii="Cambria Math" w:hAnsi="Cambria Math"/>
                                    <w:noProof/>
                                  </w:rPr>
                                  <m:t>v</m:t>
                                </m:r>
                              </m:sub>
                            </m:sSub>
                          </m:e>
                        </m:acc>
                      </m:num>
                      <m:den>
                        <m:r>
                          <w:rPr>
                            <w:rFonts w:ascii="Cambria Math" w:hAnsi="Cambria Math"/>
                            <w:noProof/>
                          </w:rPr>
                          <m:t>∂t</m:t>
                        </m:r>
                      </m:den>
                    </m:f>
                  </m:e>
                </m:nary>
              </m:e>
            </m:d>
          </m:e>
          <m:sub>
            <m:r>
              <w:rPr>
                <w:rFonts w:ascii="Cambria Math" w:hAnsi="Cambria Math"/>
                <w:noProof/>
              </w:rPr>
              <m:t>BL</m:t>
            </m:r>
          </m:sub>
        </m:sSub>
        <m:r>
          <w:rPr>
            <w:rFonts w:ascii="Cambria Math" w:hAnsi="Cambria Math"/>
            <w:noProof/>
          </w:rPr>
          <m:t>dp</m:t>
        </m:r>
      </m:oMath>
      <w:r w:rsidR="0080184E" w:rsidRPr="005A0574">
        <w:rPr>
          <w:noProof/>
        </w:rPr>
        <w:t xml:space="preserve">    (</w:t>
      </w:r>
      <w:r w:rsidR="00B80D91" w:rsidRPr="005A0574">
        <w:rPr>
          <w:noProof/>
        </w:rPr>
        <w:t>14</w:t>
      </w:r>
      <w:r w:rsidR="0080184E" w:rsidRPr="005A0574">
        <w:rPr>
          <w:noProof/>
        </w:rPr>
        <w:t>)</w:t>
      </w:r>
    </w:p>
    <w:p w14:paraId="00EAF974" w14:textId="25001746" w:rsidR="0080184E" w:rsidRPr="005A0574" w:rsidRDefault="0080184E" w:rsidP="0080184E">
      <w:pPr>
        <w:rPr>
          <w:noProof/>
        </w:rPr>
      </w:pPr>
      <w:r w:rsidRPr="005A0574">
        <w:rPr>
          <w:noProof/>
        </w:rPr>
        <w:t>where the virtual temperature tendency includes tendencies from grid-scale advection, diffusive transport and radiation. T</w:t>
      </w:r>
      <w:r w:rsidRPr="005A0574">
        <w:rPr>
          <w:noProof/>
          <w:vertAlign w:val="superscript"/>
        </w:rPr>
        <w:t>*</w:t>
      </w:r>
      <w:r w:rsidRPr="005A0574">
        <w:rPr>
          <w:noProof/>
        </w:rPr>
        <w:t xml:space="preserve"> is a scale temperature parameter, and the integral is performed from the surface (p</w:t>
      </w:r>
      <w:r w:rsidRPr="005A0574">
        <w:rPr>
          <w:noProof/>
          <w:vertAlign w:val="subscript"/>
        </w:rPr>
        <w:t>s</w:t>
      </w:r>
      <w:r w:rsidRPr="005A0574">
        <w:rPr>
          <w:noProof/>
        </w:rPr>
        <w:t>) to the cloud base (p</w:t>
      </w:r>
      <w:r w:rsidRPr="005A0574">
        <w:rPr>
          <w:noProof/>
          <w:vertAlign w:val="subscript"/>
        </w:rPr>
        <w:t>b</w:t>
      </w:r>
      <w:r w:rsidRPr="005A0574">
        <w:rPr>
          <w:noProof/>
        </w:rPr>
        <w:t xml:space="preserve">). The justification for subracting a fraction of the boundary layer production is that </w:t>
      </w:r>
      <w:r w:rsidRPr="005A0574">
        <w:rPr>
          <w:noProof/>
        </w:rPr>
        <w:sym w:font="Symbol" w:char="F050"/>
      </w:r>
      <w:r w:rsidRPr="005A0574">
        <w:rPr>
          <w:noProof/>
        </w:rPr>
        <w:t xml:space="preserve"> already contains all the boundary layer heating but it is not totally available for deep convection. </w:t>
      </w:r>
    </w:p>
    <w:p w14:paraId="50D99483" w14:textId="77777777" w:rsidR="0048760E" w:rsidRPr="005A0574" w:rsidRDefault="00113497" w:rsidP="0048760E">
      <w:pPr>
        <w:rPr>
          <w:lang w:eastAsia="de-DE"/>
        </w:rPr>
      </w:pPr>
      <w:r w:rsidRPr="005A0574">
        <w:rPr>
          <w:lang w:eastAsia="de-DE"/>
        </w:rPr>
        <w:t xml:space="preserve">In GF, we follow </w:t>
      </w:r>
      <w:r w:rsidRPr="005A0574">
        <w:t xml:space="preserve">B2014 to introduce an additional closure using the concept of the </w:t>
      </w:r>
      <w:r w:rsidRPr="005A0574">
        <w:rPr>
          <w:lang w:eastAsia="de-DE"/>
        </w:rPr>
        <w:t xml:space="preserve">cloud work function (CWF) available for the deep convection overturning. The CWF is calculated as </w:t>
      </w:r>
    </w:p>
    <w:p w14:paraId="462347BF" w14:textId="4B3BD5B3" w:rsidR="0048760E" w:rsidRPr="005A0574" w:rsidRDefault="0048760E" w:rsidP="00E05ECD">
      <w:pPr>
        <w:jc w:val="center"/>
        <w:rPr>
          <w:color w:val="FF0000"/>
          <w:lang w:eastAsia="de-DE"/>
        </w:rPr>
      </w:pPr>
      <m:oMath>
        <m:r>
          <w:rPr>
            <w:rFonts w:ascii="Cambria Math" w:hAnsi="Cambria Math"/>
            <w:lang w:eastAsia="de-DE"/>
          </w:rPr>
          <m:t xml:space="preserve">A=  </m:t>
        </m:r>
        <m:nary>
          <m:naryPr>
            <m:limLoc m:val="subSup"/>
            <m:ctrlPr>
              <w:rPr>
                <w:rFonts w:ascii="Cambria Math" w:hAnsi="Cambria Math"/>
                <w:i/>
                <w:lang w:eastAsia="de-DE"/>
              </w:rPr>
            </m:ctrlPr>
          </m:naryPr>
          <m:sub>
            <m:r>
              <w:rPr>
                <w:rFonts w:ascii="Cambria Math" w:hAnsi="Cambria Math"/>
                <w:lang w:eastAsia="de-DE"/>
              </w:rPr>
              <m:t>zb</m:t>
            </m:r>
          </m:sub>
          <m:sup>
            <m:r>
              <w:rPr>
                <w:rFonts w:ascii="Cambria Math" w:hAnsi="Cambria Math"/>
                <w:lang w:eastAsia="de-DE"/>
              </w:rPr>
              <m:t>zt</m:t>
            </m:r>
          </m:sup>
          <m:e>
            <m:f>
              <m:fPr>
                <m:ctrlPr>
                  <w:rPr>
                    <w:rFonts w:ascii="Cambria Math" w:hAnsi="Cambria Math"/>
                    <w:i/>
                    <w:lang w:eastAsia="de-DE"/>
                  </w:rPr>
                </m:ctrlPr>
              </m:fPr>
              <m:num>
                <m:r>
                  <w:rPr>
                    <w:rFonts w:ascii="Cambria Math" w:hAnsi="Cambria Math"/>
                    <w:lang w:eastAsia="de-DE"/>
                  </w:rPr>
                  <m:t>1</m:t>
                </m:r>
              </m:num>
              <m:den>
                <m:sSub>
                  <m:sSubPr>
                    <m:ctrlPr>
                      <w:rPr>
                        <w:rFonts w:ascii="Cambria Math" w:hAnsi="Cambria Math"/>
                        <w:i/>
                        <w:lang w:eastAsia="de-DE"/>
                      </w:rPr>
                    </m:ctrlPr>
                  </m:sSubPr>
                  <m:e>
                    <m:r>
                      <w:rPr>
                        <w:rFonts w:ascii="Cambria Math" w:hAnsi="Cambria Math"/>
                        <w:lang w:eastAsia="de-DE"/>
                      </w:rPr>
                      <m:t>c</m:t>
                    </m:r>
                  </m:e>
                  <m:sub>
                    <m:r>
                      <w:rPr>
                        <w:rFonts w:ascii="Cambria Math" w:hAnsi="Cambria Math"/>
                        <w:lang w:eastAsia="de-DE"/>
                      </w:rPr>
                      <m:t>p</m:t>
                    </m:r>
                  </m:sub>
                </m:sSub>
                <m:acc>
                  <m:accPr>
                    <m:chr m:val="̅"/>
                    <m:ctrlPr>
                      <w:rPr>
                        <w:rFonts w:ascii="Cambria Math" w:hAnsi="Cambria Math"/>
                        <w:i/>
                        <w:lang w:eastAsia="de-DE"/>
                      </w:rPr>
                    </m:ctrlPr>
                  </m:accPr>
                  <m:e>
                    <m:r>
                      <w:rPr>
                        <w:rFonts w:ascii="Cambria Math" w:hAnsi="Cambria Math"/>
                        <w:lang w:eastAsia="de-DE"/>
                      </w:rPr>
                      <m:t>T</m:t>
                    </m:r>
                  </m:e>
                </m:acc>
              </m:den>
            </m:f>
          </m:e>
        </m:nary>
        <m:f>
          <m:fPr>
            <m:ctrlPr>
              <w:rPr>
                <w:rFonts w:ascii="Cambria Math" w:hAnsi="Cambria Math"/>
                <w:i/>
                <w:lang w:eastAsia="de-DE"/>
              </w:rPr>
            </m:ctrlPr>
          </m:fPr>
          <m:num>
            <m:sSub>
              <m:sSubPr>
                <m:ctrlPr>
                  <w:rPr>
                    <w:rFonts w:ascii="Cambria Math" w:hAnsi="Cambria Math"/>
                    <w:i/>
                    <w:lang w:eastAsia="de-DE"/>
                  </w:rPr>
                </m:ctrlPr>
              </m:sSubPr>
              <m:e>
                <m:r>
                  <w:rPr>
                    <w:rFonts w:ascii="Cambria Math" w:hAnsi="Cambria Math"/>
                    <w:lang w:eastAsia="de-DE"/>
                  </w:rPr>
                  <m:t>Z</m:t>
                </m:r>
              </m:e>
              <m:sub>
                <m:r>
                  <w:rPr>
                    <w:rFonts w:ascii="Cambria Math" w:hAnsi="Cambria Math"/>
                    <w:lang w:eastAsia="de-DE"/>
                  </w:rPr>
                  <m:t>u</m:t>
                </m:r>
              </m:sub>
            </m:sSub>
          </m:num>
          <m:den>
            <m:r>
              <w:rPr>
                <w:rFonts w:ascii="Cambria Math" w:hAnsi="Cambria Math"/>
                <w:lang w:eastAsia="de-DE"/>
              </w:rPr>
              <m:t>1+γ</m:t>
            </m:r>
          </m:den>
        </m:f>
        <m:r>
          <w:rPr>
            <w:rFonts w:ascii="Cambria Math" w:hAnsi="Cambria Math"/>
            <w:lang w:eastAsia="de-DE"/>
          </w:rPr>
          <m:t xml:space="preserve"> (</m:t>
        </m:r>
        <m:sSub>
          <m:sSubPr>
            <m:ctrlPr>
              <w:rPr>
                <w:rFonts w:ascii="Cambria Math" w:hAnsi="Cambria Math"/>
                <w:i/>
                <w:lang w:eastAsia="de-DE"/>
              </w:rPr>
            </m:ctrlPr>
          </m:sSubPr>
          <m:e>
            <m:r>
              <w:rPr>
                <w:rFonts w:ascii="Cambria Math" w:hAnsi="Cambria Math"/>
                <w:lang w:eastAsia="de-DE"/>
              </w:rPr>
              <m:t>h</m:t>
            </m:r>
          </m:e>
          <m:sub>
            <m:r>
              <w:rPr>
                <w:rFonts w:ascii="Cambria Math" w:hAnsi="Cambria Math"/>
                <w:lang w:eastAsia="de-DE"/>
              </w:rPr>
              <m:t>u</m:t>
            </m:r>
          </m:sub>
        </m:sSub>
        <m:r>
          <w:rPr>
            <w:rFonts w:ascii="Cambria Math" w:hAnsi="Cambria Math"/>
            <w:lang w:eastAsia="de-DE"/>
          </w:rPr>
          <m:t>-</m:t>
        </m:r>
        <m:sSup>
          <m:sSupPr>
            <m:ctrlPr>
              <w:rPr>
                <w:rFonts w:ascii="Cambria Math" w:hAnsi="Cambria Math"/>
                <w:i/>
                <w:lang w:eastAsia="de-DE"/>
              </w:rPr>
            </m:ctrlPr>
          </m:sSupPr>
          <m:e>
            <m:acc>
              <m:accPr>
                <m:chr m:val="̅"/>
                <m:ctrlPr>
                  <w:rPr>
                    <w:rFonts w:ascii="Cambria Math" w:hAnsi="Cambria Math"/>
                    <w:i/>
                    <w:lang w:eastAsia="de-DE"/>
                  </w:rPr>
                </m:ctrlPr>
              </m:accPr>
              <m:e>
                <m:r>
                  <w:rPr>
                    <w:rFonts w:ascii="Cambria Math" w:hAnsi="Cambria Math"/>
                    <w:lang w:eastAsia="de-DE"/>
                  </w:rPr>
                  <m:t>h</m:t>
                </m:r>
              </m:e>
            </m:acc>
          </m:e>
          <m:sup>
            <m:r>
              <w:rPr>
                <w:rFonts w:ascii="Cambria Math" w:hAnsi="Cambria Math"/>
                <w:lang w:eastAsia="de-DE"/>
              </w:rPr>
              <m:t>*</m:t>
            </m:r>
          </m:sup>
        </m:sSup>
        <m:r>
          <w:rPr>
            <w:rFonts w:ascii="Cambria Math" w:hAnsi="Cambria Math"/>
            <w:lang w:eastAsia="de-DE"/>
          </w:rPr>
          <m:t xml:space="preserve">) gdz  </m:t>
        </m:r>
      </m:oMath>
      <w:r w:rsidRPr="005A0574">
        <w:rPr>
          <w:lang w:eastAsia="de-DE"/>
        </w:rPr>
        <w:t>(1</w:t>
      </w:r>
      <w:r w:rsidR="00B80D91" w:rsidRPr="005A0574">
        <w:rPr>
          <w:lang w:eastAsia="de-DE"/>
        </w:rPr>
        <w:t>5</w:t>
      </w:r>
      <w:r w:rsidRPr="005A0574">
        <w:rPr>
          <w:lang w:eastAsia="de-DE"/>
        </w:rPr>
        <w:t>)</w:t>
      </w:r>
    </w:p>
    <w:p w14:paraId="52844247" w14:textId="77777777" w:rsidR="0048760E" w:rsidRPr="005A0574" w:rsidRDefault="0048760E" w:rsidP="0048760E">
      <w:pPr>
        <w:rPr>
          <w:lang w:eastAsia="de-DE"/>
        </w:rPr>
      </w:pPr>
      <w:r w:rsidRPr="005A0574">
        <w:rPr>
          <w:lang w:eastAsia="de-DE"/>
        </w:rPr>
        <w:t xml:space="preserve">where, </w:t>
      </w:r>
      <w:r w:rsidRPr="005A0574">
        <w:rPr>
          <w:i/>
          <w:iCs/>
          <w:lang w:eastAsia="de-DE"/>
        </w:rPr>
        <w:t>A</w:t>
      </w:r>
      <w:r w:rsidRPr="005A0574">
        <w:rPr>
          <w:lang w:eastAsia="de-DE"/>
        </w:rPr>
        <w:t xml:space="preserve"> is the total updraft CWF, </w:t>
      </w:r>
      <w:proofErr w:type="spellStart"/>
      <w:r w:rsidRPr="005A0574">
        <w:rPr>
          <w:i/>
          <w:iCs/>
          <w:lang w:eastAsia="de-DE"/>
        </w:rPr>
        <w:t>z</w:t>
      </w:r>
      <w:r w:rsidRPr="005A0574">
        <w:rPr>
          <w:i/>
          <w:iCs/>
          <w:vertAlign w:val="subscript"/>
          <w:lang w:eastAsia="de-DE"/>
        </w:rPr>
        <w:t>b</w:t>
      </w:r>
      <w:proofErr w:type="spellEnd"/>
      <w:r w:rsidRPr="005A0574">
        <w:rPr>
          <w:lang w:eastAsia="de-DE"/>
        </w:rPr>
        <w:t xml:space="preserve"> and </w:t>
      </w:r>
      <w:proofErr w:type="spellStart"/>
      <w:r w:rsidRPr="005A0574">
        <w:rPr>
          <w:i/>
          <w:iCs/>
          <w:lang w:eastAsia="de-DE"/>
        </w:rPr>
        <w:t>z</w:t>
      </w:r>
      <w:r w:rsidRPr="005A0574">
        <w:rPr>
          <w:i/>
          <w:iCs/>
          <w:vertAlign w:val="subscript"/>
          <w:lang w:eastAsia="de-DE"/>
        </w:rPr>
        <w:t>t</w:t>
      </w:r>
      <w:proofErr w:type="spellEnd"/>
      <w:r w:rsidRPr="005A0574">
        <w:rPr>
          <w:i/>
          <w:iCs/>
          <w:lang w:eastAsia="de-DE"/>
        </w:rPr>
        <w:t xml:space="preserve"> </w:t>
      </w:r>
      <w:r w:rsidRPr="005A0574">
        <w:rPr>
          <w:lang w:eastAsia="de-DE"/>
        </w:rPr>
        <w:t xml:space="preserve">are the height of the cloud base and cloud top, respectively, </w:t>
      </w:r>
      <w:r w:rsidRPr="005A0574">
        <w:rPr>
          <w:i/>
          <w:lang w:eastAsia="de-DE"/>
        </w:rPr>
        <w:t xml:space="preserve">g </w:t>
      </w:r>
      <w:r w:rsidRPr="005A0574">
        <w:rPr>
          <w:lang w:eastAsia="de-DE"/>
        </w:rPr>
        <w:t xml:space="preserve">is the gravity, </w:t>
      </w:r>
      <w:r w:rsidRPr="005A0574">
        <w:rPr>
          <w:i/>
          <w:lang w:eastAsia="de-DE"/>
        </w:rPr>
        <w:t>c</w:t>
      </w:r>
      <w:r w:rsidRPr="005A0574">
        <w:rPr>
          <w:i/>
          <w:vertAlign w:val="subscript"/>
          <w:lang w:eastAsia="de-DE"/>
        </w:rPr>
        <w:t>p</w:t>
      </w:r>
      <w:r w:rsidRPr="005A0574">
        <w:rPr>
          <w:lang w:eastAsia="de-DE"/>
        </w:rPr>
        <w:t xml:space="preserve"> the specific heat of dry air, </w:t>
      </w:r>
      <m:oMath>
        <m:sSub>
          <m:sSubPr>
            <m:ctrlPr>
              <w:rPr>
                <w:rFonts w:ascii="Cambria Math" w:hAnsi="Cambria Math"/>
                <w:i/>
                <w:lang w:eastAsia="de-DE"/>
              </w:rPr>
            </m:ctrlPr>
          </m:sSubPr>
          <m:e>
            <m:r>
              <w:rPr>
                <w:rFonts w:ascii="Cambria Math" w:hAnsi="Cambria Math"/>
                <w:lang w:eastAsia="de-DE"/>
              </w:rPr>
              <m:t>Z</m:t>
            </m:r>
          </m:e>
          <m:sub>
            <m:r>
              <w:rPr>
                <w:rFonts w:ascii="Cambria Math" w:hAnsi="Cambria Math"/>
                <w:lang w:eastAsia="de-DE"/>
              </w:rPr>
              <m:t>u</m:t>
            </m:r>
          </m:sub>
        </m:sSub>
      </m:oMath>
      <w:r w:rsidRPr="005A0574">
        <w:rPr>
          <w:lang w:eastAsia="de-DE"/>
        </w:rPr>
        <w:t xml:space="preserve"> is the normalized mass flux,</w:t>
      </w:r>
      <m:oMath>
        <m:r>
          <w:rPr>
            <w:rFonts w:ascii="Cambria Math" w:hAnsi="Cambria Math"/>
            <w:lang w:eastAsia="de-DE"/>
          </w:rPr>
          <m:t xml:space="preserve"> </m:t>
        </m:r>
        <m:acc>
          <m:accPr>
            <m:chr m:val="̅"/>
            <m:ctrlPr>
              <w:rPr>
                <w:rFonts w:ascii="Cambria Math" w:hAnsi="Cambria Math"/>
                <w:i/>
                <w:lang w:eastAsia="de-DE"/>
              </w:rPr>
            </m:ctrlPr>
          </m:accPr>
          <m:e>
            <m:r>
              <w:rPr>
                <w:rFonts w:ascii="Cambria Math" w:hAnsi="Cambria Math"/>
                <w:lang w:eastAsia="de-DE"/>
              </w:rPr>
              <m:t>T</m:t>
            </m:r>
          </m:e>
        </m:acc>
      </m:oMath>
      <w:r w:rsidRPr="005A0574">
        <w:rPr>
          <w:lang w:eastAsia="de-DE"/>
        </w:rPr>
        <w:t xml:space="preserve"> is the grid-scale air temperature, and </w:t>
      </w:r>
      <m:oMath>
        <m:sSub>
          <m:sSubPr>
            <m:ctrlPr>
              <w:rPr>
                <w:rFonts w:ascii="Cambria Math" w:hAnsi="Cambria Math"/>
                <w:i/>
                <w:lang w:eastAsia="de-DE"/>
              </w:rPr>
            </m:ctrlPr>
          </m:sSubPr>
          <m:e>
            <m:r>
              <w:rPr>
                <w:rFonts w:ascii="Cambria Math" w:hAnsi="Cambria Math"/>
                <w:lang w:eastAsia="de-DE"/>
              </w:rPr>
              <m:t>h</m:t>
            </m:r>
          </m:e>
          <m:sub>
            <m:r>
              <w:rPr>
                <w:rFonts w:ascii="Cambria Math" w:hAnsi="Cambria Math"/>
                <w:lang w:eastAsia="de-DE"/>
              </w:rPr>
              <m:t>u</m:t>
            </m:r>
          </m:sub>
        </m:sSub>
      </m:oMath>
      <w:r w:rsidRPr="005A0574">
        <w:rPr>
          <w:lang w:eastAsia="de-DE"/>
        </w:rPr>
        <w:t>,</w:t>
      </w:r>
      <w:r w:rsidRPr="005A0574">
        <w:rPr>
          <w:vertAlign w:val="subscript"/>
          <w:lang w:eastAsia="de-DE"/>
        </w:rPr>
        <w:t xml:space="preserve"> </w:t>
      </w:r>
      <m:oMath>
        <m:sSup>
          <m:sSupPr>
            <m:ctrlPr>
              <w:rPr>
                <w:rFonts w:ascii="Cambria Math" w:hAnsi="Cambria Math"/>
                <w:i/>
                <w:lang w:eastAsia="de-DE"/>
              </w:rPr>
            </m:ctrlPr>
          </m:sSupPr>
          <m:e>
            <m:acc>
              <m:accPr>
                <m:chr m:val="̅"/>
                <m:ctrlPr>
                  <w:rPr>
                    <w:rFonts w:ascii="Cambria Math" w:hAnsi="Cambria Math"/>
                    <w:i/>
                    <w:lang w:eastAsia="de-DE"/>
                  </w:rPr>
                </m:ctrlPr>
              </m:accPr>
              <m:e>
                <m:r>
                  <w:rPr>
                    <w:rFonts w:ascii="Cambria Math" w:hAnsi="Cambria Math"/>
                    <w:lang w:eastAsia="de-DE"/>
                  </w:rPr>
                  <m:t>h</m:t>
                </m:r>
              </m:e>
            </m:acc>
          </m:e>
          <m:sup>
            <m:r>
              <w:rPr>
                <w:rFonts w:ascii="Cambria Math" w:hAnsi="Cambria Math"/>
                <w:lang w:eastAsia="de-DE"/>
              </w:rPr>
              <m:t>*</m:t>
            </m:r>
          </m:sup>
        </m:sSup>
      </m:oMath>
      <w:r w:rsidRPr="005A0574">
        <w:rPr>
          <w:lang w:eastAsia="de-DE"/>
        </w:rPr>
        <w:t xml:space="preserve">are the updraft and grid-scale saturated moist static energy, respectively. The parameter </w:t>
      </w:r>
      <w:r w:rsidRPr="005A0574">
        <w:rPr>
          <w:lang w:eastAsia="de-DE"/>
        </w:rPr>
        <w:sym w:font="Symbol" w:char="F067"/>
      </w:r>
      <w:r w:rsidRPr="005A0574">
        <w:rPr>
          <w:lang w:eastAsia="de-DE"/>
        </w:rPr>
        <w:t xml:space="preserve"> is given by Grell (1993, Eq. A15). Following B2014, the boundary layer production is given by:</w:t>
      </w:r>
    </w:p>
    <w:p w14:paraId="36B2215B" w14:textId="556E66F4" w:rsidR="00113497" w:rsidRPr="005A0574" w:rsidRDefault="006801FF" w:rsidP="00E05ECD">
      <w:pPr>
        <w:jc w:val="center"/>
        <w:rPr>
          <w:lang w:eastAsia="de-DE"/>
        </w:rPr>
      </w:pPr>
      <m:oMath>
        <m:sSub>
          <m:sSubPr>
            <m:ctrlPr>
              <w:rPr>
                <w:rFonts w:ascii="Cambria Math" w:hAnsi="Cambria Math"/>
                <w:i/>
                <w:lang w:eastAsia="de-DE"/>
              </w:rPr>
            </m:ctrlPr>
          </m:sSubPr>
          <m:e>
            <m:r>
              <w:rPr>
                <w:rFonts w:ascii="Cambria Math" w:hAnsi="Cambria Math"/>
                <w:lang w:eastAsia="de-DE"/>
              </w:rPr>
              <m:t>A</m:t>
            </m:r>
          </m:e>
          <m:sub>
            <m:r>
              <w:rPr>
                <w:rFonts w:ascii="Cambria Math" w:hAnsi="Cambria Math"/>
                <w:lang w:eastAsia="de-DE"/>
              </w:rPr>
              <m:t>BL</m:t>
            </m:r>
          </m:sub>
        </m:sSub>
        <m:r>
          <w:rPr>
            <w:rFonts w:ascii="Cambria Math" w:hAnsi="Cambria Math"/>
            <w:lang w:eastAsia="de-DE"/>
          </w:rPr>
          <m:t>=</m:t>
        </m:r>
        <m:f>
          <m:fPr>
            <m:ctrlPr>
              <w:rPr>
                <w:rFonts w:ascii="Cambria Math" w:hAnsi="Cambria Math"/>
                <w:i/>
                <w:noProof/>
              </w:rPr>
            </m:ctrlPr>
          </m:fPr>
          <m:num>
            <m:sSub>
              <m:sSubPr>
                <m:ctrlPr>
                  <w:rPr>
                    <w:rFonts w:ascii="Cambria Math" w:hAnsi="Cambria Math"/>
                    <w:i/>
                    <w:noProof/>
                  </w:rPr>
                </m:ctrlPr>
              </m:sSubPr>
              <m:e>
                <m:r>
                  <w:rPr>
                    <w:rFonts w:ascii="Cambria Math" w:hAnsi="Cambria Math"/>
                    <w:noProof/>
                  </w:rPr>
                  <m:t>τ</m:t>
                </m:r>
              </m:e>
              <m:sub>
                <m:r>
                  <w:rPr>
                    <w:rFonts w:ascii="Cambria Math" w:hAnsi="Cambria Math"/>
                    <w:noProof/>
                  </w:rPr>
                  <m:t>BL</m:t>
                </m:r>
              </m:sub>
            </m:sSub>
          </m:num>
          <m:den>
            <m:sSup>
              <m:sSupPr>
                <m:ctrlPr>
                  <w:rPr>
                    <w:rFonts w:ascii="Cambria Math" w:hAnsi="Cambria Math"/>
                    <w:i/>
                    <w:noProof/>
                  </w:rPr>
                </m:ctrlPr>
              </m:sSupPr>
              <m:e>
                <m:r>
                  <w:rPr>
                    <w:rFonts w:ascii="Cambria Math" w:hAnsi="Cambria Math"/>
                    <w:noProof/>
                  </w:rPr>
                  <m:t>T</m:t>
                </m:r>
              </m:e>
              <m:sup>
                <m:r>
                  <w:rPr>
                    <w:rFonts w:ascii="Cambria Math" w:hAnsi="Cambria Math"/>
                    <w:noProof/>
                  </w:rPr>
                  <m:t>*</m:t>
                </m:r>
              </m:sup>
            </m:sSup>
          </m:den>
        </m:f>
        <m:sSub>
          <m:sSubPr>
            <m:ctrlPr>
              <w:rPr>
                <w:rFonts w:ascii="Cambria Math" w:hAnsi="Cambria Math"/>
                <w:i/>
                <w:noProof/>
              </w:rPr>
            </m:ctrlPr>
          </m:sSubPr>
          <m:e>
            <m:d>
              <m:dPr>
                <m:begChr m:val=""/>
                <m:endChr m:val="|"/>
                <m:ctrlPr>
                  <w:rPr>
                    <w:rFonts w:ascii="Cambria Math" w:hAnsi="Cambria Math"/>
                    <w:i/>
                    <w:noProof/>
                  </w:rPr>
                </m:ctrlPr>
              </m:dPr>
              <m:e>
                <m:nary>
                  <m:naryPr>
                    <m:limLoc m:val="subSup"/>
                    <m:ctrlPr>
                      <w:rPr>
                        <w:rFonts w:ascii="Cambria Math" w:hAnsi="Cambria Math"/>
                        <w:i/>
                        <w:noProof/>
                      </w:rPr>
                    </m:ctrlPr>
                  </m:naryPr>
                  <m:sub>
                    <m:sSub>
                      <m:sSubPr>
                        <m:ctrlPr>
                          <w:rPr>
                            <w:rFonts w:ascii="Cambria Math" w:hAnsi="Cambria Math"/>
                            <w:i/>
                            <w:noProof/>
                          </w:rPr>
                        </m:ctrlPr>
                      </m:sSubPr>
                      <m:e>
                        <m:r>
                          <w:rPr>
                            <w:rFonts w:ascii="Cambria Math" w:hAnsi="Cambria Math"/>
                            <w:noProof/>
                          </w:rPr>
                          <m:t>z</m:t>
                        </m:r>
                      </m:e>
                      <m:sub>
                        <m:r>
                          <w:rPr>
                            <w:rFonts w:ascii="Cambria Math" w:hAnsi="Cambria Math"/>
                            <w:noProof/>
                          </w:rPr>
                          <m:t>surf</m:t>
                        </m:r>
                      </m:sub>
                    </m:sSub>
                  </m:sub>
                  <m:sup>
                    <m:sSub>
                      <m:sSubPr>
                        <m:ctrlPr>
                          <w:rPr>
                            <w:rFonts w:ascii="Cambria Math" w:hAnsi="Cambria Math"/>
                            <w:i/>
                            <w:noProof/>
                          </w:rPr>
                        </m:ctrlPr>
                      </m:sSubPr>
                      <m:e>
                        <m:r>
                          <w:rPr>
                            <w:rFonts w:ascii="Cambria Math" w:hAnsi="Cambria Math"/>
                            <w:noProof/>
                          </w:rPr>
                          <m:t>z</m:t>
                        </m:r>
                      </m:e>
                      <m:sub>
                        <m:r>
                          <w:rPr>
                            <w:rFonts w:ascii="Cambria Math" w:hAnsi="Cambria Math"/>
                            <w:noProof/>
                          </w:rPr>
                          <m:t>b</m:t>
                        </m:r>
                      </m:sub>
                    </m:sSub>
                  </m:sup>
                  <m:e>
                    <m:f>
                      <m:fPr>
                        <m:ctrlPr>
                          <w:rPr>
                            <w:rFonts w:ascii="Cambria Math" w:hAnsi="Cambria Math"/>
                            <w:i/>
                            <w:noProof/>
                          </w:rPr>
                        </m:ctrlPr>
                      </m:fPr>
                      <m:num>
                        <m:r>
                          <w:rPr>
                            <w:rFonts w:ascii="Cambria Math" w:hAnsi="Cambria Math"/>
                            <w:noProof/>
                          </w:rPr>
                          <m:t>∂</m:t>
                        </m:r>
                        <m:acc>
                          <m:accPr>
                            <m:chr m:val="̅"/>
                            <m:ctrlPr>
                              <w:rPr>
                                <w:rFonts w:ascii="Cambria Math" w:hAnsi="Cambria Math"/>
                                <w:noProof/>
                              </w:rPr>
                            </m:ctrlPr>
                          </m:accPr>
                          <m:e>
                            <m:sSub>
                              <m:sSubPr>
                                <m:ctrlPr>
                                  <w:rPr>
                                    <w:rFonts w:ascii="Cambria Math" w:hAnsi="Cambria Math"/>
                                    <w:noProof/>
                                  </w:rPr>
                                </m:ctrlPr>
                              </m:sSubPr>
                              <m:e>
                                <m:r>
                                  <m:rPr>
                                    <m:sty m:val="p"/>
                                  </m:rPr>
                                  <w:rPr>
                                    <w:rFonts w:ascii="Cambria Math" w:hAnsi="Cambria Math"/>
                                    <w:noProof/>
                                  </w:rPr>
                                  <m:t>T</m:t>
                                </m:r>
                              </m:e>
                              <m:sub>
                                <m:r>
                                  <w:rPr>
                                    <w:rFonts w:ascii="Cambria Math" w:hAnsi="Cambria Math"/>
                                    <w:noProof/>
                                  </w:rPr>
                                  <m:t>v</m:t>
                                </m:r>
                              </m:sub>
                            </m:sSub>
                          </m:e>
                        </m:acc>
                      </m:num>
                      <m:den>
                        <m:r>
                          <w:rPr>
                            <w:rFonts w:ascii="Cambria Math" w:hAnsi="Cambria Math"/>
                            <w:noProof/>
                          </w:rPr>
                          <m:t>∂t</m:t>
                        </m:r>
                      </m:den>
                    </m:f>
                  </m:e>
                </m:nary>
              </m:e>
            </m:d>
          </m:e>
          <m:sub>
            <m:r>
              <w:rPr>
                <w:rFonts w:ascii="Cambria Math" w:hAnsi="Cambria Math"/>
                <w:noProof/>
              </w:rPr>
              <m:t>BL</m:t>
            </m:r>
          </m:sub>
        </m:sSub>
        <m:r>
          <w:rPr>
            <w:rFonts w:ascii="Cambria Math" w:hAnsi="Cambria Math"/>
            <w:noProof/>
          </w:rPr>
          <m:t xml:space="preserve"> gdz</m:t>
        </m:r>
        <m:r>
          <w:rPr>
            <w:rFonts w:ascii="Cambria Math" w:hAnsi="Cambria Math"/>
            <w:lang w:eastAsia="de-DE"/>
          </w:rPr>
          <m:t xml:space="preserve">   </m:t>
        </m:r>
      </m:oMath>
      <w:r w:rsidR="00113497" w:rsidRPr="005A0574">
        <w:rPr>
          <w:lang w:eastAsia="de-DE"/>
        </w:rPr>
        <w:t>(1</w:t>
      </w:r>
      <w:r w:rsidR="00B80D91" w:rsidRPr="005A0574">
        <w:rPr>
          <w:lang w:eastAsia="de-DE"/>
        </w:rPr>
        <w:t>6</w:t>
      </w:r>
      <w:r w:rsidR="00113497" w:rsidRPr="005A0574">
        <w:rPr>
          <w:lang w:eastAsia="de-DE"/>
        </w:rPr>
        <w:t>)</w:t>
      </w:r>
    </w:p>
    <w:p w14:paraId="6AB67F11" w14:textId="345D603A" w:rsidR="00113497" w:rsidRPr="005A0574" w:rsidRDefault="00113497" w:rsidP="00113497">
      <w:r w:rsidRPr="005A0574">
        <w:rPr>
          <w:lang w:eastAsia="de-DE"/>
        </w:rPr>
        <w:t xml:space="preserve">where </w:t>
      </w:r>
      <m:oMath>
        <m:sSub>
          <m:sSubPr>
            <m:ctrlPr>
              <w:rPr>
                <w:rFonts w:ascii="Cambria Math" w:hAnsi="Cambria Math"/>
                <w:i/>
                <w:noProof/>
              </w:rPr>
            </m:ctrlPr>
          </m:sSubPr>
          <m:e>
            <m:r>
              <w:rPr>
                <w:rFonts w:ascii="Cambria Math" w:hAnsi="Cambria Math"/>
                <w:noProof/>
              </w:rPr>
              <m:t>τ</m:t>
            </m:r>
          </m:e>
          <m:sub>
            <m:r>
              <w:rPr>
                <w:rFonts w:ascii="Cambria Math" w:hAnsi="Cambria Math"/>
                <w:noProof/>
              </w:rPr>
              <m:t>BL</m:t>
            </m:r>
          </m:sub>
        </m:sSub>
      </m:oMath>
      <w:r w:rsidRPr="005A0574">
        <w:t xml:space="preserve"> is the </w:t>
      </w:r>
      <w:r w:rsidR="00F15E7D">
        <w:t xml:space="preserve">boundary layer </w:t>
      </w:r>
      <w:proofErr w:type="gramStart"/>
      <w:r w:rsidR="00F15E7D">
        <w:t>time-scale</w:t>
      </w:r>
      <w:proofErr w:type="gramEnd"/>
      <w:r w:rsidR="00F15E7D">
        <w:t xml:space="preserve"> given by B2014 (equation 15 therein)</w:t>
      </w:r>
      <w:r w:rsidRPr="005A0574">
        <w:t xml:space="preserve"> and the integral </w:t>
      </w:r>
      <w:r w:rsidR="006501F5">
        <w:t xml:space="preserve">is </w:t>
      </w:r>
      <w:r w:rsidRPr="005A0574">
        <w:t>being performed from the surface</w:t>
      </w:r>
      <w:r w:rsidR="00B6384F" w:rsidRPr="005A0574">
        <w:t xml:space="preserve"> (</w:t>
      </w:r>
      <w:proofErr w:type="spellStart"/>
      <w:r w:rsidR="00B6384F" w:rsidRPr="005A0574">
        <w:rPr>
          <w:i/>
          <w:iCs/>
        </w:rPr>
        <w:t>z</w:t>
      </w:r>
      <w:r w:rsidR="00B6384F" w:rsidRPr="005A0574">
        <w:rPr>
          <w:i/>
          <w:iCs/>
          <w:vertAlign w:val="subscript"/>
        </w:rPr>
        <w:t>surf</w:t>
      </w:r>
      <w:proofErr w:type="spellEnd"/>
      <w:r w:rsidR="00B6384F" w:rsidRPr="005A0574">
        <w:t>)</w:t>
      </w:r>
      <w:r w:rsidRPr="005A0574">
        <w:t xml:space="preserve"> to the cloud base. From Equations </w:t>
      </w:r>
      <w:r w:rsidR="0048760E" w:rsidRPr="005A0574">
        <w:t>1</w:t>
      </w:r>
      <w:r w:rsidR="00752879" w:rsidRPr="005A0574">
        <w:t>5</w:t>
      </w:r>
      <w:r w:rsidRPr="005A0574">
        <w:t xml:space="preserve"> and 1</w:t>
      </w:r>
      <w:r w:rsidR="00752879" w:rsidRPr="005A0574">
        <w:t>6</w:t>
      </w:r>
      <w:r w:rsidRPr="005A0574">
        <w:t xml:space="preserve">, the available CWF </w:t>
      </w:r>
      <m:oMath>
        <m:sSub>
          <m:sSubPr>
            <m:ctrlPr>
              <w:rPr>
                <w:rFonts w:ascii="Cambria Math" w:hAnsi="Cambria Math"/>
                <w:i/>
              </w:rPr>
            </m:ctrlPr>
          </m:sSubPr>
          <m:e>
            <m:r>
              <w:rPr>
                <w:rFonts w:ascii="Cambria Math" w:hAnsi="Cambria Math"/>
              </w:rPr>
              <m:t>(A</m:t>
            </m:r>
          </m:e>
          <m:sub>
            <m:r>
              <w:rPr>
                <w:rFonts w:ascii="Cambria Math" w:hAnsi="Cambria Math"/>
              </w:rPr>
              <m:t>avail</m:t>
            </m:r>
          </m:sub>
        </m:sSub>
        <m:r>
          <w:rPr>
            <w:rFonts w:ascii="Cambria Math" w:hAnsi="Cambria Math"/>
          </w:rPr>
          <m:t>)</m:t>
        </m:r>
      </m:oMath>
      <w:r w:rsidRPr="005A0574">
        <w:t xml:space="preserve"> is given by</w:t>
      </w:r>
    </w:p>
    <w:p w14:paraId="7635954D" w14:textId="5DA8CECF" w:rsidR="00113497" w:rsidRPr="005A0574" w:rsidRDefault="006801FF" w:rsidP="00E05ECD">
      <w:pPr>
        <w:jc w:val="center"/>
      </w:pPr>
      <m:oMath>
        <m:sSub>
          <m:sSubPr>
            <m:ctrlPr>
              <w:rPr>
                <w:rFonts w:ascii="Cambria Math" w:hAnsi="Cambria Math"/>
                <w:i/>
              </w:rPr>
            </m:ctrlPr>
          </m:sSubPr>
          <m:e>
            <m:r>
              <w:rPr>
                <w:rFonts w:ascii="Cambria Math" w:hAnsi="Cambria Math"/>
              </w:rPr>
              <m:t>A</m:t>
            </m:r>
          </m:e>
          <m:sub>
            <m:r>
              <w:rPr>
                <w:rFonts w:ascii="Cambria Math" w:hAnsi="Cambria Math"/>
              </w:rPr>
              <m:t>avail</m:t>
            </m:r>
          </m:sub>
        </m:sSub>
        <m:r>
          <w:rPr>
            <w:rFonts w:ascii="Cambria Math" w:hAnsi="Cambria Math"/>
          </w:rPr>
          <m:t>=A-</m:t>
        </m:r>
        <m:sSub>
          <m:sSubPr>
            <m:ctrlPr>
              <w:rPr>
                <w:rFonts w:ascii="Cambria Math" w:hAnsi="Cambria Math"/>
                <w:i/>
              </w:rPr>
            </m:ctrlPr>
          </m:sSubPr>
          <m:e>
            <m:r>
              <w:rPr>
                <w:rFonts w:ascii="Cambria Math" w:hAnsi="Cambria Math"/>
              </w:rPr>
              <m:t>A</m:t>
            </m:r>
          </m:e>
          <m:sub>
            <m:r>
              <w:rPr>
                <w:rFonts w:ascii="Cambria Math" w:hAnsi="Cambria Math"/>
              </w:rPr>
              <m:t>BL</m:t>
            </m:r>
          </m:sub>
        </m:sSub>
        <m:r>
          <w:rPr>
            <w:rFonts w:ascii="Cambria Math" w:hAnsi="Cambria Math"/>
          </w:rPr>
          <m:t xml:space="preserve">   </m:t>
        </m:r>
      </m:oMath>
      <w:r w:rsidR="00113497" w:rsidRPr="005A0574">
        <w:t>(1</w:t>
      </w:r>
      <w:r w:rsidR="00752879" w:rsidRPr="005A0574">
        <w:t>7</w:t>
      </w:r>
      <w:r w:rsidR="00113497" w:rsidRPr="005A0574">
        <w:t>)</w:t>
      </w:r>
    </w:p>
    <w:p w14:paraId="78C13D90" w14:textId="4D44B4A4" w:rsidR="00113497" w:rsidRPr="005A0574" w:rsidRDefault="004D5267" w:rsidP="0080184E">
      <w:r w:rsidRPr="005A0574">
        <w:t>and the rate of instability removal is given by</w:t>
      </w:r>
      <w:r w:rsidR="00E17355" w:rsidRPr="005A0574">
        <w:t xml:space="preserve"> </w:t>
      </w:r>
      <w:r w:rsidRPr="005A0574">
        <w:t xml:space="preserve"> </w:t>
      </w:r>
      <m:oMath>
        <m:f>
          <m:fPr>
            <m:type m:val="skw"/>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avail</m:t>
                </m:r>
              </m:sub>
            </m:sSub>
          </m:num>
          <m:den>
            <m:r>
              <w:rPr>
                <w:rFonts w:ascii="Cambria Math" w:hAnsi="Cambria Math"/>
              </w:rPr>
              <m:t>τ</m:t>
            </m:r>
          </m:den>
        </m:f>
        <m:r>
          <w:rPr>
            <w:rFonts w:ascii="Cambria Math" w:hAnsi="Cambria Math"/>
          </w:rPr>
          <m:t xml:space="preserve">  </m:t>
        </m:r>
      </m:oMath>
      <w:r w:rsidR="00E17355" w:rsidRPr="005A0574">
        <w:t xml:space="preserve">, where </w:t>
      </w:r>
      <m:oMath>
        <m:r>
          <w:rPr>
            <w:rFonts w:ascii="Cambria Math" w:hAnsi="Cambria Math"/>
          </w:rPr>
          <m:t>τ</m:t>
        </m:r>
      </m:oMath>
      <w:r w:rsidR="00E17355" w:rsidRPr="005A0574">
        <w:t xml:space="preserve"> is a prescribed time scale, currently </w:t>
      </w:r>
      <w:r w:rsidR="00855896" w:rsidRPr="005A0574">
        <w:t>1</w:t>
      </w:r>
      <w:r w:rsidR="00E17355" w:rsidRPr="005A0574">
        <w:t xml:space="preserve"> and </w:t>
      </w:r>
      <w:r w:rsidR="00855896" w:rsidRPr="005A0574">
        <w:t>0.5 hour</w:t>
      </w:r>
      <w:r w:rsidR="00E17355" w:rsidRPr="005A0574">
        <w:t xml:space="preserve"> for deep and congestus modes, respectively.</w:t>
      </w:r>
    </w:p>
    <w:p w14:paraId="5170904F" w14:textId="7D417180" w:rsidR="0080184E" w:rsidRPr="005A0574" w:rsidRDefault="0080184E" w:rsidP="0080184E">
      <w:r w:rsidRPr="005A0574">
        <w:t xml:space="preserve">While the impact for the GEOS modeling system was a substantial improvement, this may depend on other physical parameterizations and how tendencies are applied in a GCM. For this reason, in GF this closure is optional. </w:t>
      </w:r>
      <w:r w:rsidR="006501F5">
        <w:t>I</w:t>
      </w:r>
      <w:r w:rsidRPr="005A0574">
        <w:t>t can be combined with any of the other closures previously available in the scheme for deep convection.</w:t>
      </w:r>
    </w:p>
    <w:p w14:paraId="414F5F17" w14:textId="77777777" w:rsidR="004B783C" w:rsidRPr="005A0574" w:rsidRDefault="004B783C" w:rsidP="00796203">
      <w:pPr>
        <w:pStyle w:val="Heading3"/>
      </w:pPr>
      <w:r w:rsidRPr="005A0574">
        <w:t xml:space="preserve">2.4 Inclusion of the ice phase process  </w:t>
      </w:r>
    </w:p>
    <w:p w14:paraId="1CFFD172" w14:textId="77777777" w:rsidR="004B783C" w:rsidRPr="005A0574" w:rsidRDefault="004B783C" w:rsidP="004B783C">
      <w:r w:rsidRPr="005A0574">
        <w:t>The thermodynamical equation employed in GF scheme uses the moist static energy (</w:t>
      </w:r>
      <w:r w:rsidRPr="005A0574">
        <w:rPr>
          <w:i/>
        </w:rPr>
        <w:t>h</w:t>
      </w:r>
      <w:r w:rsidRPr="005A0574">
        <w:t>) as a conserved quantity for non-entraining air parcels with adiabatic displacements:</w:t>
      </w:r>
    </w:p>
    <w:p w14:paraId="1D12BEF5" w14:textId="791EF2E2" w:rsidR="004B783C" w:rsidRPr="005A0574" w:rsidRDefault="004B783C" w:rsidP="00E05ECD">
      <w:pPr>
        <w:jc w:val="center"/>
      </w:pPr>
      <m:oMath>
        <m:r>
          <w:rPr>
            <w:rFonts w:ascii="Cambria Math" w:hAnsi="Cambria Math"/>
          </w:rPr>
          <w:lastRenderedPageBreak/>
          <m:t>dh=</m:t>
        </m:r>
        <m:r>
          <w:rPr>
            <w:rFonts w:ascii="Cambria Math" w:hAnsi="Cambria Math"/>
          </w:rPr>
          <m:t>0</m:t>
        </m:r>
      </m:oMath>
      <w:r w:rsidRPr="005A0574">
        <w:t xml:space="preserve">  (</w:t>
      </w:r>
      <w:r w:rsidR="00E90C7E" w:rsidRPr="005A0574">
        <w:t>1</w:t>
      </w:r>
      <w:r w:rsidR="00752879" w:rsidRPr="005A0574">
        <w:t>8</w:t>
      </w:r>
      <w:r w:rsidRPr="005A0574">
        <w:t>)</w:t>
      </w:r>
    </w:p>
    <w:p w14:paraId="73348DD9" w14:textId="77777777" w:rsidR="004B783C" w:rsidRPr="005A0574" w:rsidRDefault="004B783C" w:rsidP="004B783C">
      <w:r w:rsidRPr="005A0574">
        <w:t xml:space="preserve">where </w:t>
      </w:r>
      <w:r w:rsidRPr="005A0574">
        <w:rPr>
          <w:i/>
        </w:rPr>
        <w:t>h</w:t>
      </w:r>
      <w:r w:rsidRPr="005A0574">
        <w:t xml:space="preserve"> has the usual definition:</w:t>
      </w:r>
    </w:p>
    <w:p w14:paraId="4232BDA9" w14:textId="71DEA973" w:rsidR="004B783C" w:rsidRPr="005A0574" w:rsidRDefault="004B783C" w:rsidP="00E05ECD">
      <w:pPr>
        <w:jc w:val="center"/>
      </w:pPr>
      <m:oMath>
        <m:r>
          <w:rPr>
            <w:rFonts w:ascii="Cambria Math" w:hAnsi="Cambria Math"/>
          </w:rPr>
          <m:t>h=</m:t>
        </m:r>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T+gz+</m:t>
        </m:r>
        <m:sSub>
          <m:sSubPr>
            <m:ctrlPr>
              <w:rPr>
                <w:rFonts w:ascii="Cambria Math" w:hAnsi="Cambria Math"/>
                <w:i/>
              </w:rPr>
            </m:ctrlPr>
          </m:sSubPr>
          <m:e>
            <m:r>
              <w:rPr>
                <w:rFonts w:ascii="Cambria Math" w:hAnsi="Cambria Math"/>
              </w:rPr>
              <m:t>L</m:t>
            </m:r>
          </m:e>
          <m:sub>
            <m:r>
              <w:rPr>
                <w:rFonts w:ascii="Cambria Math" w:hAnsi="Cambria Math"/>
              </w:rPr>
              <m:t>v</m:t>
            </m:r>
          </m:sub>
        </m:sSub>
        <m:sSub>
          <m:sSubPr>
            <m:ctrlPr>
              <w:rPr>
                <w:rFonts w:ascii="Cambria Math" w:hAnsi="Cambria Math"/>
                <w:i/>
              </w:rPr>
            </m:ctrlPr>
          </m:sSubPr>
          <m:e>
            <m:r>
              <w:rPr>
                <w:rFonts w:ascii="Cambria Math" w:hAnsi="Cambria Math"/>
              </w:rPr>
              <m:t>q</m:t>
            </m:r>
          </m:e>
          <m:sub>
            <m:r>
              <w:rPr>
                <w:rFonts w:ascii="Cambria Math" w:hAnsi="Cambria Math"/>
              </w:rPr>
              <m:t>v</m:t>
            </m:r>
          </m:sub>
        </m:sSub>
      </m:oMath>
      <w:r w:rsidRPr="005A0574">
        <w:t xml:space="preserve">  (1</w:t>
      </w:r>
      <w:r w:rsidR="00752879" w:rsidRPr="005A0574">
        <w:t>9</w:t>
      </w:r>
      <w:r w:rsidRPr="005A0574">
        <w:t>)</w:t>
      </w:r>
    </w:p>
    <w:p w14:paraId="2FA2D1BD" w14:textId="4764E6C8" w:rsidR="004B783C" w:rsidRPr="005A0574" w:rsidRDefault="004B783C" w:rsidP="004B783C">
      <w:r w:rsidRPr="005A0574">
        <w:t xml:space="preserve">and </w:t>
      </w:r>
      <w:r w:rsidRPr="005A0574">
        <w:rPr>
          <w:i/>
        </w:rPr>
        <w:t>c</w:t>
      </w:r>
      <w:r w:rsidRPr="005A0574">
        <w:rPr>
          <w:i/>
          <w:vertAlign w:val="subscript"/>
        </w:rPr>
        <w:t>p</w:t>
      </w:r>
      <w:r w:rsidRPr="005A0574">
        <w:t xml:space="preserve"> is the isobaric heat capacity of dry air, T is the temperature, g is the gravity, z is the height, </w:t>
      </w:r>
      <w:proofErr w:type="spellStart"/>
      <w:r w:rsidRPr="005A0574">
        <w:rPr>
          <w:i/>
        </w:rPr>
        <w:t>L</w:t>
      </w:r>
      <w:r w:rsidRPr="005A0574">
        <w:rPr>
          <w:i/>
          <w:vertAlign w:val="subscript"/>
        </w:rPr>
        <w:t>v</w:t>
      </w:r>
      <w:proofErr w:type="spellEnd"/>
      <w:r w:rsidRPr="005A0574">
        <w:t xml:space="preserve"> the latent heat of vaporization, and </w:t>
      </w:r>
      <w:r w:rsidRPr="005A0574">
        <w:rPr>
          <w:i/>
        </w:rPr>
        <w:t>q</w:t>
      </w:r>
      <w:r w:rsidRPr="005A0574">
        <w:rPr>
          <w:i/>
          <w:vertAlign w:val="subscript"/>
        </w:rPr>
        <w:t>v</w:t>
      </w:r>
      <w:r w:rsidRPr="005A0574">
        <w:t xml:space="preserve"> the water vapor mixing ratio. However, </w:t>
      </w:r>
      <w:r w:rsidRPr="005A0574">
        <w:rPr>
          <w:i/>
        </w:rPr>
        <w:t>h</w:t>
      </w:r>
      <w:r w:rsidRPr="005A0574">
        <w:t xml:space="preserve"> is not conserved if the glaciation transformation occurs, and this process was not explicitly included in GF until now. Incorporating the transformation of liquid water to ice particles, Eq</w:t>
      </w:r>
      <w:r w:rsidR="00752879" w:rsidRPr="005A0574">
        <w:t>uation</w:t>
      </w:r>
      <w:r w:rsidRPr="005A0574">
        <w:t xml:space="preserve"> </w:t>
      </w:r>
      <w:r w:rsidR="00E90C7E" w:rsidRPr="005A0574">
        <w:t>1</w:t>
      </w:r>
      <w:r w:rsidR="00752879" w:rsidRPr="005A0574">
        <w:t>8</w:t>
      </w:r>
      <w:r w:rsidRPr="005A0574">
        <w:t xml:space="preserve"> now reads:</w:t>
      </w:r>
    </w:p>
    <w:p w14:paraId="1455153B" w14:textId="0A15C21B" w:rsidR="004B783C" w:rsidRPr="005A0574" w:rsidRDefault="004B783C" w:rsidP="00E05ECD">
      <w:pPr>
        <w:jc w:val="center"/>
      </w:pPr>
      <m:oMath>
        <m:r>
          <w:rPr>
            <w:rFonts w:ascii="Cambria Math" w:hAnsi="Cambria Math"/>
          </w:rPr>
          <m:t>dh=</m:t>
        </m:r>
        <m:sSub>
          <m:sSubPr>
            <m:ctrlPr>
              <w:rPr>
                <w:rFonts w:ascii="Cambria Math" w:hAnsi="Cambria Math"/>
                <w:i/>
              </w:rPr>
            </m:ctrlPr>
          </m:sSubPr>
          <m:e>
            <m:r>
              <w:rPr>
                <w:rFonts w:ascii="Cambria Math" w:hAnsi="Cambria Math"/>
              </w:rPr>
              <m:t>L</m:t>
            </m:r>
          </m:e>
          <m:sub>
            <m:r>
              <w:rPr>
                <w:rFonts w:ascii="Cambria Math" w:hAnsi="Cambria Math"/>
              </w:rPr>
              <m:t>f</m:t>
            </m:r>
          </m:sub>
        </m:sSub>
        <m:sSub>
          <m:sSubPr>
            <m:ctrlPr>
              <w:rPr>
                <w:rFonts w:ascii="Cambria Math" w:hAnsi="Cambria Math"/>
                <w:i/>
              </w:rPr>
            </m:ctrlPr>
          </m:sSubPr>
          <m:e>
            <m:r>
              <w:rPr>
                <w:rFonts w:ascii="Cambria Math" w:hAnsi="Cambria Math"/>
              </w:rPr>
              <m:t>q</m:t>
            </m:r>
          </m:e>
          <m:sub>
            <m:r>
              <w:rPr>
                <w:rFonts w:ascii="Cambria Math" w:hAnsi="Cambria Math"/>
              </w:rPr>
              <m:t>i</m:t>
            </m:r>
          </m:sub>
        </m:sSub>
      </m:oMath>
      <w:r w:rsidRPr="005A0574">
        <w:t xml:space="preserve">  (</w:t>
      </w:r>
      <w:r w:rsidR="00752879" w:rsidRPr="005A0574">
        <w:t>20</w:t>
      </w:r>
      <w:r w:rsidRPr="005A0574">
        <w:t>)</w:t>
      </w:r>
    </w:p>
    <w:p w14:paraId="1F1C3C8C" w14:textId="24D16137" w:rsidR="004B783C" w:rsidRPr="005A0574" w:rsidRDefault="004B783C" w:rsidP="004B783C">
      <w:r w:rsidRPr="005A0574">
        <w:t xml:space="preserve">where </w:t>
      </w:r>
      <w:proofErr w:type="spellStart"/>
      <w:r w:rsidRPr="005A0574">
        <w:rPr>
          <w:i/>
        </w:rPr>
        <w:t>L</w:t>
      </w:r>
      <w:r w:rsidRPr="005A0574">
        <w:rPr>
          <w:i/>
          <w:vertAlign w:val="subscript"/>
        </w:rPr>
        <w:t>f</w:t>
      </w:r>
      <w:proofErr w:type="spellEnd"/>
      <w:r w:rsidRPr="005A0574">
        <w:t xml:space="preserve"> is the latent heat of freezing, and </w:t>
      </w:r>
      <w:r w:rsidRPr="005A0574">
        <w:rPr>
          <w:i/>
        </w:rPr>
        <w:t>q</w:t>
      </w:r>
      <w:r w:rsidRPr="005A0574">
        <w:rPr>
          <w:i/>
          <w:vertAlign w:val="subscript"/>
        </w:rPr>
        <w:t>i</w:t>
      </w:r>
      <w:r w:rsidRPr="005A0574">
        <w:t xml:space="preserve"> is the ice mixing ratio. With the extended Eq</w:t>
      </w:r>
      <w:r w:rsidR="00752879" w:rsidRPr="005A0574">
        <w:t>uation</w:t>
      </w:r>
      <w:r w:rsidRPr="005A0574">
        <w:t xml:space="preserve"> </w:t>
      </w:r>
      <w:r w:rsidR="00752879" w:rsidRPr="005A0574">
        <w:t>20</w:t>
      </w:r>
      <w:r w:rsidRPr="005A0574">
        <w:t>, the general equation for the in-cloud moist static energy including the entraining process solved in this version of GF is</w:t>
      </w:r>
      <m:oMath>
        <m:r>
          <w:rPr>
            <w:rFonts w:ascii="Cambria Math" w:hAnsi="Cambria Math"/>
          </w:rPr>
          <m:t xml:space="preserve"> </m:t>
        </m:r>
      </m:oMath>
    </w:p>
    <w:p w14:paraId="194B7E9C" w14:textId="135F2DA1" w:rsidR="004B783C" w:rsidRPr="005A0574" w:rsidRDefault="004B783C" w:rsidP="00E05ECD">
      <w:pPr>
        <w:jc w:val="center"/>
      </w:pPr>
      <m:oMath>
        <m:r>
          <w:rPr>
            <w:rFonts w:ascii="Cambria Math" w:hAnsi="Cambria Math"/>
          </w:rPr>
          <m:t>dh=</m:t>
        </m:r>
        <m:sSub>
          <m:sSubPr>
            <m:ctrlPr>
              <w:rPr>
                <w:rFonts w:ascii="Cambria Math" w:hAnsi="Cambria Math"/>
                <w:i/>
              </w:rPr>
            </m:ctrlPr>
          </m:sSubPr>
          <m:e>
            <m:r>
              <w:rPr>
                <w:rFonts w:ascii="Cambria Math" w:hAnsi="Cambria Math"/>
              </w:rPr>
              <m:t>L</m:t>
            </m:r>
          </m:e>
          <m:sub>
            <m:r>
              <w:rPr>
                <w:rFonts w:ascii="Cambria Math" w:hAnsi="Cambria Math"/>
              </w:rPr>
              <m:t>f</m:t>
            </m:r>
          </m:sub>
        </m:sSub>
        <m:sSub>
          <m:sSubPr>
            <m:ctrlPr>
              <w:rPr>
                <w:rFonts w:ascii="Cambria Math" w:hAnsi="Cambria Math"/>
                <w:i/>
              </w:rPr>
            </m:ctrlPr>
          </m:sSubPr>
          <m:e>
            <m:r>
              <w:rPr>
                <w:rFonts w:ascii="Cambria Math" w:hAnsi="Cambria Math"/>
              </w:rPr>
              <m:t>q</m:t>
            </m:r>
          </m:e>
          <m:sub>
            <m:r>
              <w:rPr>
                <w:rFonts w:ascii="Cambria Math" w:hAnsi="Cambria Math"/>
              </w:rPr>
              <m:t>i</m:t>
            </m:r>
          </m:sub>
        </m:sSub>
        <m:r>
          <w:rPr>
            <w:rFonts w:ascii="Cambria Math" w:hAnsi="Cambria Math"/>
          </w:rPr>
          <m:t>+</m:t>
        </m:r>
        <m:sSub>
          <m:sSubPr>
            <m:ctrlPr>
              <w:rPr>
                <w:rFonts w:ascii="Cambria Math" w:hAnsi="Cambria Math"/>
                <w:i/>
              </w:rPr>
            </m:ctrlPr>
          </m:sSubPr>
          <m:e>
            <m:d>
              <m:dPr>
                <m:ctrlPr>
                  <w:rPr>
                    <w:rFonts w:ascii="Cambria Math" w:hAnsi="Cambria Math"/>
                    <w:i/>
                  </w:rPr>
                </m:ctrlPr>
              </m:dPr>
              <m:e>
                <m:r>
                  <w:rPr>
                    <w:rFonts w:ascii="Cambria Math" w:hAnsi="Cambria Math"/>
                  </w:rPr>
                  <m:t>dh</m:t>
                </m:r>
              </m:e>
            </m:d>
          </m:e>
          <m:sub>
            <m:r>
              <w:rPr>
                <w:rFonts w:ascii="Cambria Math" w:hAnsi="Cambria Math"/>
              </w:rPr>
              <m:t>entr</m:t>
            </m:r>
          </m:sub>
        </m:sSub>
      </m:oMath>
      <w:r w:rsidRPr="005A0574">
        <w:t xml:space="preserve">  (</w:t>
      </w:r>
      <w:r w:rsidR="00752879" w:rsidRPr="005A0574">
        <w:t>21</w:t>
      </w:r>
      <w:r w:rsidRPr="005A0574">
        <w:t>)</w:t>
      </w:r>
    </w:p>
    <w:p w14:paraId="0044DF8C" w14:textId="34DC2282" w:rsidR="004B783C" w:rsidRPr="005A0574" w:rsidRDefault="004B783C" w:rsidP="004B783C">
      <w:r w:rsidRPr="005A0574">
        <w:t>where (</w:t>
      </w:r>
      <w:r w:rsidRPr="005A0574">
        <w:rPr>
          <w:i/>
        </w:rPr>
        <w:t>dh</w:t>
      </w:r>
      <w:r w:rsidRPr="005A0574">
        <w:t>)</w:t>
      </w:r>
      <w:proofErr w:type="spellStart"/>
      <w:r w:rsidRPr="005A0574">
        <w:rPr>
          <w:i/>
          <w:vertAlign w:val="subscript"/>
        </w:rPr>
        <w:t>entr</w:t>
      </w:r>
      <w:proofErr w:type="spellEnd"/>
      <w:r w:rsidRPr="005A0574">
        <w:t xml:space="preserve"> represents the modification of the in-cloud moist static energy associated with the internal mixing with the entrained environmental air.</w:t>
      </w:r>
      <w:r w:rsidR="006E7443">
        <w:t xml:space="preserve"> Overall, the associated additional heating has a small impact on the total convective heating tendency.</w:t>
      </w:r>
    </w:p>
    <w:p w14:paraId="3698F4A7" w14:textId="5580C7E8" w:rsidR="00E46DEF" w:rsidRPr="005A0574" w:rsidRDefault="004B783C" w:rsidP="004B783C">
      <w:r w:rsidRPr="005A0574">
        <w:t>The partition between liquid and ice phases contents is represented by a smoothed Heaviside function which increases from 0 to 1 in the finite temperature range [2</w:t>
      </w:r>
      <w:r w:rsidR="00E46DEF" w:rsidRPr="005A0574">
        <w:t>35</w:t>
      </w:r>
      <w:r w:rsidRPr="005A0574">
        <w:t>.16, 273.16] K</w:t>
      </w:r>
      <w:r w:rsidR="006B4DF0" w:rsidRPr="005A0574">
        <w:t>, which is given by</w:t>
      </w:r>
      <w:r w:rsidR="00E46DEF" w:rsidRPr="005A0574">
        <w:t xml:space="preserve"> </w:t>
      </w:r>
      <w:proofErr w:type="spellStart"/>
      <w:r w:rsidR="00E46DEF" w:rsidRPr="005A0574">
        <w:t>fract_li</w:t>
      </w:r>
      <w:r w:rsidR="006B4DF0" w:rsidRPr="005A0574">
        <w:t>q</w:t>
      </w:r>
      <w:proofErr w:type="spellEnd"/>
      <w:r w:rsidR="00E46DEF" w:rsidRPr="005A0574">
        <w:t xml:space="preserve"> = </w:t>
      </w:r>
      <w:proofErr w:type="gramStart"/>
      <w:r w:rsidR="00E46DEF" w:rsidRPr="005A0574">
        <w:t>min(</w:t>
      </w:r>
      <w:proofErr w:type="gramEnd"/>
      <w:r w:rsidR="00E46DEF" w:rsidRPr="005A0574">
        <w:t>1, (max(0,(</w:t>
      </w:r>
      <w:r w:rsidR="00117AFB" w:rsidRPr="005A0574">
        <w:t>T</w:t>
      </w:r>
      <w:r w:rsidR="00E46DEF" w:rsidRPr="005A0574">
        <w:t>-</w:t>
      </w:r>
      <w:r w:rsidR="006B4DF0" w:rsidRPr="005A0574">
        <w:t>235.16</w:t>
      </w:r>
      <w:r w:rsidR="00E46DEF" w:rsidRPr="005A0574">
        <w:t>))/(</w:t>
      </w:r>
      <w:r w:rsidR="006B4DF0" w:rsidRPr="005A0574">
        <w:t>273.16</w:t>
      </w:r>
      <w:r w:rsidR="00E46DEF" w:rsidRPr="005A0574">
        <w:t>-</w:t>
      </w:r>
      <w:r w:rsidR="006B4DF0" w:rsidRPr="005A0574">
        <w:t>235.16</w:t>
      </w:r>
      <w:r w:rsidR="00E46DEF" w:rsidRPr="005A0574">
        <w:t>))</w:t>
      </w:r>
      <w:r w:rsidR="00E46DEF" w:rsidRPr="005A0574">
        <w:rPr>
          <w:vertAlign w:val="superscript"/>
        </w:rPr>
        <w:t>2</w:t>
      </w:r>
      <w:r w:rsidR="00E46DEF" w:rsidRPr="005A0574">
        <w:t>)</w:t>
      </w:r>
      <w:r w:rsidR="006B4DF0" w:rsidRPr="005A0574">
        <w:t>.</w:t>
      </w:r>
    </w:p>
    <w:p w14:paraId="6519AAD6" w14:textId="16AF906E" w:rsidR="004B783C" w:rsidRPr="005A0574" w:rsidRDefault="004B783C" w:rsidP="004B783C">
      <w:r w:rsidRPr="005A0574">
        <w:t>The melting of precipitation</w:t>
      </w:r>
      <w:r w:rsidR="0024727C" w:rsidRPr="005A0574">
        <w:t xml:space="preserve"> falling</w:t>
      </w:r>
      <w:r w:rsidRPr="005A0574">
        <w:t xml:space="preserve"> across the freezing level is represented by adding an extra term to the grid-scale moist static energy tendency:</w:t>
      </w:r>
    </w:p>
    <w:p w14:paraId="24BBCB68" w14:textId="68796378" w:rsidR="004B783C" w:rsidRPr="005A0574" w:rsidRDefault="006801FF" w:rsidP="00E05ECD">
      <w:pPr>
        <w:jc w:val="center"/>
      </w:pPr>
      <m:oMath>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r>
                      <w:rPr>
                        <w:rFonts w:ascii="Cambria Math" w:hAnsi="Cambria Math"/>
                      </w:rPr>
                      <m:t>∂</m:t>
                    </m:r>
                    <m:acc>
                      <m:accPr>
                        <m:chr m:val="̅"/>
                        <m:ctrlPr>
                          <w:rPr>
                            <w:rFonts w:ascii="Cambria Math" w:hAnsi="Cambria Math"/>
                            <w:i/>
                          </w:rPr>
                        </m:ctrlPr>
                      </m:accPr>
                      <m:e>
                        <m:r>
                          <w:rPr>
                            <w:rFonts w:ascii="Cambria Math" w:hAnsi="Cambria Math"/>
                          </w:rPr>
                          <m:t>h</m:t>
                        </m:r>
                      </m:e>
                    </m:acc>
                  </m:num>
                  <m:den>
                    <m:r>
                      <w:rPr>
                        <w:rFonts w:ascii="Cambria Math" w:hAnsi="Cambria Math"/>
                      </w:rPr>
                      <m:t>∂t</m:t>
                    </m:r>
                  </m:den>
                </m:f>
              </m:e>
            </m:d>
          </m:e>
          <m:sub>
            <m:r>
              <w:rPr>
                <w:rFonts w:ascii="Cambria Math" w:hAnsi="Cambria Math"/>
              </w:rPr>
              <m:t>melt</m:t>
            </m:r>
          </m:sub>
        </m:sSub>
        <m:r>
          <w:rPr>
            <w:rFonts w:ascii="Cambria Math" w:hAnsi="Cambria Math"/>
          </w:rPr>
          <m:t>= -</m:t>
        </m:r>
        <m:f>
          <m:fPr>
            <m:ctrlPr>
              <w:rPr>
                <w:rFonts w:ascii="Cambria Math" w:hAnsi="Cambria Math"/>
                <w:i/>
              </w:rPr>
            </m:ctrlPr>
          </m:fPr>
          <m:num>
            <m:r>
              <w:rPr>
                <w:rFonts w:ascii="Cambria Math" w:hAnsi="Cambria Math"/>
              </w:rPr>
              <m:t xml:space="preserve">g </m:t>
            </m:r>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M</m:t>
            </m:r>
          </m:num>
          <m:den>
            <m:r>
              <w:rPr>
                <w:rFonts w:ascii="Cambria Math" w:hAnsi="Cambria Math"/>
              </w:rPr>
              <m:t>∆p</m:t>
            </m:r>
          </m:den>
        </m:f>
        <m:r>
          <w:rPr>
            <w:rFonts w:ascii="Cambria Math" w:hAnsi="Cambria Math"/>
          </w:rPr>
          <m:t xml:space="preserve"> </m:t>
        </m:r>
      </m:oMath>
      <w:r w:rsidR="004B783C" w:rsidRPr="005A0574">
        <w:t xml:space="preserve"> (</w:t>
      </w:r>
      <w:r w:rsidR="00752879" w:rsidRPr="005A0574">
        <w:t>22</w:t>
      </w:r>
      <w:r w:rsidR="004B783C" w:rsidRPr="005A0574">
        <w:t>)</w:t>
      </w:r>
    </w:p>
    <w:p w14:paraId="0642484F" w14:textId="2DE37BE2" w:rsidR="00130847" w:rsidRPr="005A0574" w:rsidRDefault="004B783C" w:rsidP="00534E03">
      <w:r w:rsidRPr="005A0574">
        <w:t xml:space="preserve">where </w:t>
      </w:r>
      <w:r w:rsidRPr="005A0574">
        <w:rPr>
          <w:i/>
        </w:rPr>
        <w:t>M</w:t>
      </w:r>
      <w:r w:rsidRPr="005A0574">
        <w:t xml:space="preserve"> is the mass mixing ratio of the frozen precipitation that will melt in a given model vertical layer of the pressure depth </w:t>
      </w:r>
      <w:r w:rsidRPr="005A0574">
        <w:sym w:font="Symbol" w:char="F044"/>
      </w:r>
      <w:r w:rsidRPr="005A0574">
        <w:rPr>
          <w:i/>
        </w:rPr>
        <w:t>p</w:t>
      </w:r>
      <w:r w:rsidRPr="005A0574">
        <w:t xml:space="preserve">. </w:t>
      </w:r>
    </w:p>
    <w:p w14:paraId="167CB055" w14:textId="639A9528" w:rsidR="00D12C2C" w:rsidRPr="005A0574" w:rsidRDefault="00D12C2C" w:rsidP="00D12C2C">
      <w:pPr>
        <w:pStyle w:val="Heading1"/>
        <w:numPr>
          <w:ilvl w:val="0"/>
          <w:numId w:val="4"/>
        </w:numPr>
      </w:pPr>
      <w:r w:rsidRPr="005A0574">
        <w:t xml:space="preserve">Applications  </w:t>
      </w:r>
    </w:p>
    <w:p w14:paraId="48855B69" w14:textId="6FFAA7DC" w:rsidR="00D12C2C" w:rsidRPr="005A0574" w:rsidRDefault="00D12C2C" w:rsidP="00D12C2C">
      <w:pPr>
        <w:rPr>
          <w:lang w:eastAsia="de-DE"/>
        </w:rPr>
      </w:pPr>
      <w:r w:rsidRPr="005A0574">
        <w:rPr>
          <w:lang w:eastAsia="de-DE"/>
        </w:rPr>
        <w:t>In this section, applications associated with the features described in the previous section are discussed.</w:t>
      </w:r>
    </w:p>
    <w:p w14:paraId="3B27BC70" w14:textId="6950ED32" w:rsidR="009F765A" w:rsidRPr="005A0574" w:rsidRDefault="009F765A" w:rsidP="009F765A">
      <w:pPr>
        <w:pStyle w:val="Heading2"/>
        <w:numPr>
          <w:ilvl w:val="0"/>
          <w:numId w:val="0"/>
        </w:numPr>
        <w:spacing w:before="120"/>
        <w:rPr>
          <w:lang w:val="en-US"/>
        </w:rPr>
      </w:pPr>
      <w:r w:rsidRPr="005A0574">
        <w:rPr>
          <w:lang w:val="en-US"/>
        </w:rPr>
        <w:t>3.1 The trimodal characteristics revealed by single-column simulations</w:t>
      </w:r>
    </w:p>
    <w:p w14:paraId="5431170B" w14:textId="52AC32EF" w:rsidR="004335AC" w:rsidRPr="005A0574" w:rsidRDefault="00130847" w:rsidP="004335AC">
      <w:pPr>
        <w:ind w:firstLine="720"/>
      </w:pPr>
      <w:r w:rsidRPr="005A0574">
        <w:rPr>
          <w:lang w:eastAsia="de-DE"/>
        </w:rPr>
        <w:t xml:space="preserve">The GF convection scheme was implemented into the Global Model Test Bed (GMTB) Single Column Model (SCM, </w:t>
      </w:r>
      <w:hyperlink r:id="rId8" w:history="1">
        <w:r w:rsidRPr="005A0574">
          <w:rPr>
            <w:rStyle w:val="Hyperlink"/>
          </w:rPr>
          <w:t>https://dtcenter.org/GMTB/gmtb_scm_ccpp_doc/</w:t>
        </w:r>
      </w:hyperlink>
      <w:r w:rsidRPr="005A0574">
        <w:rPr>
          <w:lang w:eastAsia="de-DE"/>
        </w:rPr>
        <w:t xml:space="preserve">), and SCM </w:t>
      </w:r>
      <w:r w:rsidRPr="005A0574">
        <w:rPr>
          <w:lang w:eastAsia="de-DE"/>
        </w:rPr>
        <w:lastRenderedPageBreak/>
        <w:t xml:space="preserve">simulations were executed using data from the Tropical Warm Pool International Cloud Experiment (TWP-ICE, May et al., 2008) to demonstrate the trimodal characteristics and the value of using </w:t>
      </w:r>
      <w:r w:rsidR="00DF1FF6">
        <w:rPr>
          <w:lang w:eastAsia="de-DE"/>
        </w:rPr>
        <w:t>BF</w:t>
      </w:r>
      <w:r w:rsidRPr="005A0574">
        <w:rPr>
          <w:lang w:eastAsia="de-DE"/>
        </w:rPr>
        <w:t>s. TWP-ICE is a comprehensive field campaign that took place on January and February 2006 over Darwin, Australia.</w:t>
      </w:r>
      <w:r w:rsidR="004335AC" w:rsidRPr="005A0574">
        <w:t xml:space="preserve"> </w:t>
      </w:r>
    </w:p>
    <w:p w14:paraId="125A9038" w14:textId="73FBE791" w:rsidR="00130847" w:rsidRPr="005A0574" w:rsidRDefault="004335AC" w:rsidP="004335AC">
      <w:pPr>
        <w:ind w:firstLine="720"/>
      </w:pPr>
      <w:r w:rsidRPr="005A0574">
        <w:t xml:space="preserve">Strong precipitation events are observed during the active monsoon period with a major Mesoscale Convective System (MCS) on 23 January 2006 and followed by a suppressed monsoon with relatively weak rainfall (Fig. 3). 19 January 2006 – 25 January 2006 and 26 January 2006 – 02 February 2006 are defined as active monsoon and suppressed monsoon periods for the subsequent quantitative analysis. </w:t>
      </w:r>
      <w:r w:rsidR="00AC3E3E">
        <w:t xml:space="preserve">As shown in Fig. 3, </w:t>
      </w:r>
      <w:r w:rsidRPr="005A0574">
        <w:t xml:space="preserve">GF captures all the peak precipitation events during the active monsoon period. The heavy precipitation in the active monsoon period appears underestimated, while the light precipitation events in the suppressed monsoon period may </w:t>
      </w:r>
      <w:r w:rsidR="00AC3E3E">
        <w:t>be</w:t>
      </w:r>
      <w:r w:rsidRPr="005A0574">
        <w:t xml:space="preserve"> overestimated. However, exact agreement cannot be expected. Precipitation data for this data set were derived from radar data</w:t>
      </w:r>
      <w:r w:rsidR="00AC3E3E">
        <w:t>;</w:t>
      </w:r>
      <w:r w:rsidRPr="005A0574">
        <w:t xml:space="preserve"> derivation of large</w:t>
      </w:r>
      <w:r w:rsidR="006501F5">
        <w:t>-</w:t>
      </w:r>
      <w:r w:rsidRPr="005A0574">
        <w:t xml:space="preserve">scale forcing data is also not trivial. Some of this is also obvious in the calculation and discussion of the Q1 and Q2 profiles (later in this section) The convective precipitation contributes about 78% of the total precipitation during the active monsoon period and contributes as high as 94% of total precipitation during the suppressed monsoon period. </w:t>
      </w:r>
    </w:p>
    <w:p w14:paraId="60C85E0E" w14:textId="14B05C8F" w:rsidR="00CE1376" w:rsidRPr="005A0574" w:rsidRDefault="008C7D08" w:rsidP="00B33ADA">
      <w:pPr>
        <w:ind w:firstLine="720"/>
        <w:rPr>
          <w:bCs/>
        </w:rPr>
      </w:pPr>
      <w:r w:rsidRPr="005A0574">
        <w:rPr>
          <w:bCs/>
        </w:rPr>
        <w:t xml:space="preserve">To test the approximation of the normalized mass flux with our </w:t>
      </w:r>
      <w:r w:rsidR="00DF1FF6">
        <w:rPr>
          <w:bCs/>
        </w:rPr>
        <w:t>generalized normalized mass flux</w:t>
      </w:r>
      <w:r w:rsidRPr="005A0574">
        <w:rPr>
          <w:bCs/>
        </w:rPr>
        <w:t xml:space="preserve"> approach, we compare the simulated mass flux profiles with observations, as analyzed by Kumar et al. (2016). Of particular importance for us is whether the </w:t>
      </w:r>
      <w:r w:rsidR="00DF1FF6">
        <w:rPr>
          <w:bCs/>
        </w:rPr>
        <w:t>predicted mass flux</w:t>
      </w:r>
      <w:r w:rsidR="00DF1FF6" w:rsidRPr="005A0574">
        <w:rPr>
          <w:bCs/>
        </w:rPr>
        <w:t xml:space="preserve"> </w:t>
      </w:r>
      <w:r w:rsidRPr="005A0574">
        <w:rPr>
          <w:bCs/>
        </w:rPr>
        <w:t xml:space="preserve">for deep convection </w:t>
      </w:r>
      <w:proofErr w:type="gramStart"/>
      <w:r w:rsidRPr="005A0574">
        <w:rPr>
          <w:bCs/>
        </w:rPr>
        <w:t>is able to</w:t>
      </w:r>
      <w:proofErr w:type="gramEnd"/>
      <w:r w:rsidRPr="005A0574">
        <w:rPr>
          <w:bCs/>
        </w:rPr>
        <w:t xml:space="preserve"> characterize deep convective clouds in the area, since this will determine maximum entrainment and detrainment in the </w:t>
      </w:r>
      <w:r w:rsidR="00AD5185" w:rsidRPr="005A0574">
        <w:rPr>
          <w:bCs/>
        </w:rPr>
        <w:t xml:space="preserve">GF </w:t>
      </w:r>
      <w:r w:rsidRPr="005A0574">
        <w:rPr>
          <w:bCs/>
        </w:rPr>
        <w:t>parameteri</w:t>
      </w:r>
      <w:r w:rsidR="00AD5185" w:rsidRPr="005A0574">
        <w:rPr>
          <w:bCs/>
        </w:rPr>
        <w:t>zation</w:t>
      </w:r>
      <w:r w:rsidRPr="005A0574">
        <w:rPr>
          <w:bCs/>
        </w:rPr>
        <w:t xml:space="preserve">. For completeness we also compare congestus and shallow clouds. The mean mass flux during the whole TWP-ICE simulation period from all cumulus clouds (deep, congestus, and shallow), are shown in Figure </w:t>
      </w:r>
      <w:r w:rsidR="00CE1376" w:rsidRPr="005A0574">
        <w:rPr>
          <w:bCs/>
        </w:rPr>
        <w:t>4B</w:t>
      </w:r>
      <w:r w:rsidRPr="005A0574">
        <w:rPr>
          <w:bCs/>
        </w:rPr>
        <w:t xml:space="preserve">. The congestus mass flux (green), which is weaker than the mass flux for deep convection, has </w:t>
      </w:r>
      <w:r w:rsidR="004335AC" w:rsidRPr="005A0574">
        <w:rPr>
          <w:bCs/>
        </w:rPr>
        <w:t xml:space="preserve">its maximum </w:t>
      </w:r>
      <w:r w:rsidRPr="005A0574">
        <w:rPr>
          <w:bCs/>
        </w:rPr>
        <w:t xml:space="preserve">around 7 km height. The maximum mass flux from deep convection (red) and all convective types (black) is around 6km and a bit under 6km, respectively.  Kumar et al. (2016) estimated the convective mass flux from two wet season (October 2005 </w:t>
      </w:r>
      <w:r w:rsidRPr="005A0574">
        <w:t>–</w:t>
      </w:r>
      <w:r w:rsidRPr="005A0574">
        <w:rPr>
          <w:bCs/>
        </w:rPr>
        <w:t xml:space="preserve"> April 2006 and October 2006 </w:t>
      </w:r>
      <w:r w:rsidRPr="005A0574">
        <w:t xml:space="preserve">– </w:t>
      </w:r>
      <w:r w:rsidRPr="005A0574">
        <w:rPr>
          <w:bCs/>
        </w:rPr>
        <w:t xml:space="preserve">April 2007) from radar observations over Darwin, Australia. Although the TWP-ICE simulation period (19 January 2006 </w:t>
      </w:r>
      <w:r w:rsidRPr="005A0574">
        <w:t xml:space="preserve">– </w:t>
      </w:r>
      <w:r w:rsidRPr="005A0574">
        <w:rPr>
          <w:bCs/>
        </w:rPr>
        <w:t xml:space="preserve">02 February 2006) is much shorter, the shape of </w:t>
      </w:r>
      <w:r w:rsidR="00AC3E3E">
        <w:rPr>
          <w:bCs/>
        </w:rPr>
        <w:t xml:space="preserve">the </w:t>
      </w:r>
      <w:r w:rsidRPr="005A0574">
        <w:rPr>
          <w:bCs/>
        </w:rPr>
        <w:t xml:space="preserve">mass </w:t>
      </w:r>
      <w:r w:rsidRPr="005A0574">
        <w:rPr>
          <w:bCs/>
        </w:rPr>
        <w:lastRenderedPageBreak/>
        <w:t xml:space="preserve">flux profiles in Figure </w:t>
      </w:r>
      <w:r w:rsidR="00FB7737">
        <w:rPr>
          <w:bCs/>
        </w:rPr>
        <w:t>4</w:t>
      </w:r>
      <w:r w:rsidRPr="005A0574">
        <w:rPr>
          <w:bCs/>
        </w:rPr>
        <w:t xml:space="preserve">b is quite </w:t>
      </w:r>
      <w:proofErr w:type="gramStart"/>
      <w:r w:rsidRPr="005A0574">
        <w:rPr>
          <w:bCs/>
        </w:rPr>
        <w:t>similar to</w:t>
      </w:r>
      <w:proofErr w:type="gramEnd"/>
      <w:r w:rsidRPr="005A0574">
        <w:rPr>
          <w:bCs/>
        </w:rPr>
        <w:t xml:space="preserve"> their observations</w:t>
      </w:r>
      <w:r w:rsidR="00FB7737">
        <w:rPr>
          <w:bCs/>
        </w:rPr>
        <w:t xml:space="preserve">, shown in </w:t>
      </w:r>
      <w:r w:rsidRPr="005A0574">
        <w:rPr>
          <w:bCs/>
        </w:rPr>
        <w:t xml:space="preserve">Figure </w:t>
      </w:r>
      <w:r w:rsidR="00CE1376" w:rsidRPr="005A0574">
        <w:rPr>
          <w:bCs/>
        </w:rPr>
        <w:t>4A</w:t>
      </w:r>
      <w:r w:rsidR="00FB7737">
        <w:rPr>
          <w:bCs/>
        </w:rPr>
        <w:t>.</w:t>
      </w:r>
      <w:r w:rsidRPr="005A0574">
        <w:rPr>
          <w:bCs/>
        </w:rPr>
        <w:t xml:space="preserve">, which is from Figure 13 of Kumar et al. 2016 </w:t>
      </w:r>
      <w:r w:rsidRPr="005A0574">
        <w:rPr>
          <w:color w:val="222222"/>
          <w:shd w:val="clear" w:color="auto" w:fill="FFFFFF"/>
          <w:lang w:eastAsia="zh-CN"/>
        </w:rPr>
        <w:t>© American Meteorological Society. Used with permission</w:t>
      </w:r>
      <w:r w:rsidRPr="005A0574">
        <w:rPr>
          <w:bCs/>
        </w:rPr>
        <w:t xml:space="preserve">).  </w:t>
      </w:r>
    </w:p>
    <w:p w14:paraId="6A6C7FA3" w14:textId="77777777" w:rsidR="006E3B16" w:rsidRPr="005A0574" w:rsidRDefault="006E3B16" w:rsidP="006E3B16">
      <w:pPr>
        <w:ind w:firstLine="720"/>
      </w:pPr>
      <w:r w:rsidRPr="005A0574">
        <w:t xml:space="preserve">Figure 5 shows the convective heating rate of shallow (Fig. 5A), congestus (Fig. 5B), and deep convection (Fig. 5C).  In the case of the shallow convection (Fig. 5A) the environment is warmed in the lower levels and cooled at cloud tops. Temperature tendencies are derived using </w:t>
      </w:r>
    </w:p>
    <w:p w14:paraId="5772F102" w14:textId="32DAE030" w:rsidR="00C7542F" w:rsidRPr="005A0574" w:rsidRDefault="006801FF" w:rsidP="006E3B16">
      <w:pPr>
        <w:spacing w:line="240" w:lineRule="auto"/>
        <w:jc w:val="center"/>
        <w:rPr>
          <w:color w:val="000000" w:themeColor="text1"/>
        </w:rPr>
      </w:pPr>
      <m:oMath>
        <m:f>
          <m:fPr>
            <m:ctrlPr>
              <w:rPr>
                <w:rFonts w:ascii="Cambria Math" w:eastAsiaTheme="minorEastAsia" w:hAnsi="Cambria Math"/>
                <w:i/>
                <w:color w:val="000000" w:themeColor="text1"/>
                <w:sz w:val="28"/>
                <w:szCs w:val="28"/>
                <w:lang w:val="pt-BR" w:eastAsia="pt-BR"/>
              </w:rPr>
            </m:ctrlPr>
          </m:fPr>
          <m:num>
            <m:r>
              <w:rPr>
                <w:rFonts w:ascii="Cambria Math" w:eastAsiaTheme="minorEastAsia" w:hAnsi="Cambria Math"/>
                <w:color w:val="000000" w:themeColor="text1"/>
                <w:sz w:val="28"/>
                <w:szCs w:val="28"/>
              </w:rPr>
              <m:t>∂T</m:t>
            </m:r>
          </m:num>
          <m:den>
            <m:r>
              <w:rPr>
                <w:rFonts w:ascii="Cambria Math" w:eastAsiaTheme="minorEastAsia" w:hAnsi="Cambria Math"/>
                <w:color w:val="000000" w:themeColor="text1"/>
                <w:sz w:val="28"/>
                <w:szCs w:val="28"/>
              </w:rPr>
              <m:t>∂t</m:t>
            </m:r>
          </m:den>
        </m:f>
        <m:r>
          <w:rPr>
            <w:rFonts w:ascii="Cambria Math" w:eastAsiaTheme="minorEastAsia" w:hAnsi="Cambria Math"/>
            <w:color w:val="000000" w:themeColor="text1"/>
            <w:sz w:val="28"/>
            <w:szCs w:val="28"/>
          </w:rPr>
          <m:t xml:space="preserve">= </m:t>
        </m:r>
        <m:f>
          <m:fPr>
            <m:ctrlPr>
              <w:rPr>
                <w:rFonts w:ascii="Cambria Math" w:eastAsiaTheme="minorEastAsia" w:hAnsi="Cambria Math"/>
                <w:i/>
                <w:color w:val="000000" w:themeColor="text1"/>
                <w:sz w:val="28"/>
                <w:szCs w:val="28"/>
                <w:lang w:val="pt-BR" w:eastAsia="pt-BR"/>
              </w:rPr>
            </m:ctrlPr>
          </m:fPr>
          <m:num>
            <m:r>
              <w:rPr>
                <w:rFonts w:ascii="Cambria Math" w:eastAsiaTheme="minorEastAsia" w:hAnsi="Cambria Math"/>
                <w:color w:val="000000" w:themeColor="text1"/>
                <w:sz w:val="28"/>
                <w:szCs w:val="28"/>
              </w:rPr>
              <m:t>1.</m:t>
            </m:r>
          </m:num>
          <m:den>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rPr>
                  <m:t>c</m:t>
                </m:r>
              </m:e>
              <m:sub>
                <m:r>
                  <w:rPr>
                    <w:rFonts w:ascii="Cambria Math" w:eastAsiaTheme="minorEastAsia" w:hAnsi="Cambria Math"/>
                    <w:color w:val="000000" w:themeColor="text1"/>
                    <w:sz w:val="28"/>
                    <w:szCs w:val="28"/>
                  </w:rPr>
                  <m:t>p</m:t>
                </m:r>
              </m:sub>
            </m:sSub>
          </m:den>
        </m:f>
        <m:r>
          <w:rPr>
            <w:rFonts w:ascii="Cambria Math" w:eastAsiaTheme="minorEastAsia" w:hAnsi="Cambria Math"/>
            <w:color w:val="000000" w:themeColor="text1"/>
            <w:sz w:val="28"/>
            <w:szCs w:val="28"/>
          </w:rPr>
          <m:t>ϱ</m:t>
        </m:r>
        <m:d>
          <m:dPr>
            <m:begChr m:val="["/>
            <m:endChr m:val="]"/>
            <m:ctrlPr>
              <w:rPr>
                <w:rFonts w:ascii="Cambria Math" w:eastAsiaTheme="minorEastAsia" w:hAnsi="Cambria Math"/>
                <w:i/>
                <w:color w:val="000000" w:themeColor="text1"/>
                <w:sz w:val="28"/>
                <w:szCs w:val="28"/>
                <w:lang w:val="pt-BR" w:eastAsia="pt-BR"/>
              </w:rPr>
            </m:ctrlPr>
          </m:dPr>
          <m:e>
            <m:r>
              <w:rPr>
                <w:rFonts w:ascii="Cambria Math" w:eastAsiaTheme="minorEastAsia" w:hAnsi="Cambria Math"/>
                <w:color w:val="000000" w:themeColor="text1"/>
                <w:sz w:val="28"/>
                <w:szCs w:val="28"/>
              </w:rPr>
              <m:t>h</m:t>
            </m:r>
            <m:d>
              <m:dPr>
                <m:ctrlPr>
                  <w:rPr>
                    <w:rFonts w:ascii="Cambria Math" w:eastAsiaTheme="minorEastAsia" w:hAnsi="Cambria Math"/>
                    <w:i/>
                    <w:color w:val="000000" w:themeColor="text1"/>
                    <w:sz w:val="28"/>
                    <w:szCs w:val="28"/>
                    <w:lang w:val="pt-BR" w:eastAsia="pt-BR"/>
                  </w:rPr>
                </m:ctrlPr>
              </m:dPr>
              <m:e>
                <m:r>
                  <w:rPr>
                    <w:rFonts w:ascii="Cambria Math" w:eastAsiaTheme="minorEastAsia" w:hAnsi="Cambria Math"/>
                    <w:color w:val="000000" w:themeColor="text1"/>
                    <w:sz w:val="28"/>
                    <w:szCs w:val="28"/>
                  </w:rPr>
                  <m:t>z</m:t>
                </m:r>
              </m:e>
            </m:d>
          </m:e>
        </m:d>
        <m:sSub>
          <m:sSubPr>
            <m:ctrlPr>
              <w:rPr>
                <w:rFonts w:ascii="Cambria Math" w:hAnsi="Cambria Math"/>
                <w:i/>
                <w:color w:val="000000" w:themeColor="text1"/>
                <w:sz w:val="28"/>
                <w:szCs w:val="28"/>
                <w:lang w:val="pt-BR" w:eastAsia="pt-BR"/>
              </w:rPr>
            </m:ctrlPr>
          </m:sSubPr>
          <m:e>
            <m:r>
              <w:rPr>
                <w:rFonts w:ascii="Cambria Math" w:hAnsi="Cambria Math"/>
                <w:color w:val="000000" w:themeColor="text1"/>
                <w:sz w:val="28"/>
                <w:szCs w:val="28"/>
              </w:rPr>
              <m:t>m</m:t>
            </m:r>
          </m:e>
          <m:sub>
            <m:r>
              <w:rPr>
                <w:rFonts w:ascii="Cambria Math" w:hAnsi="Cambria Math"/>
                <w:color w:val="000000" w:themeColor="text1"/>
                <w:sz w:val="28"/>
                <w:szCs w:val="28"/>
              </w:rPr>
              <m:t>b</m:t>
            </m:r>
            <m:d>
              <m:dPr>
                <m:ctrlPr>
                  <w:rPr>
                    <w:rFonts w:ascii="Cambria Math" w:hAnsi="Cambria Math"/>
                    <w:i/>
                    <w:color w:val="000000" w:themeColor="text1"/>
                    <w:sz w:val="28"/>
                    <w:szCs w:val="28"/>
                    <w:lang w:val="pt-BR" w:eastAsia="pt-BR"/>
                  </w:rPr>
                </m:ctrlPr>
              </m:dPr>
              <m:e>
                <m:r>
                  <w:rPr>
                    <w:rFonts w:ascii="Cambria Math" w:hAnsi="Cambria Math"/>
                    <w:color w:val="000000" w:themeColor="text1"/>
                    <w:sz w:val="28"/>
                    <w:szCs w:val="28"/>
                  </w:rPr>
                  <m:t>CU</m:t>
                </m:r>
              </m:e>
            </m:d>
          </m:sub>
        </m:sSub>
        <m:r>
          <w:rPr>
            <w:rFonts w:ascii="Cambria Math" w:hAnsi="Cambria Math"/>
            <w:color w:val="000000" w:themeColor="text1"/>
            <w:sz w:val="28"/>
            <w:szCs w:val="28"/>
          </w:rPr>
          <m:t xml:space="preserve">- </m:t>
        </m:r>
        <m:f>
          <m:fPr>
            <m:ctrlPr>
              <w:rPr>
                <w:rFonts w:ascii="Cambria Math" w:hAnsi="Cambria Math"/>
                <w:i/>
                <w:color w:val="000000" w:themeColor="text1"/>
                <w:sz w:val="28"/>
                <w:szCs w:val="28"/>
                <w:lang w:val="pt-BR" w:eastAsia="pt-BR"/>
              </w:rPr>
            </m:ctrlPr>
          </m:fPr>
          <m:num>
            <m:sSub>
              <m:sSubPr>
                <m:ctrlPr>
                  <w:rPr>
                    <w:rFonts w:ascii="Cambria Math" w:hAnsi="Cambria Math"/>
                    <w:i/>
                    <w:color w:val="000000" w:themeColor="text1"/>
                    <w:sz w:val="28"/>
                    <w:szCs w:val="28"/>
                    <w:lang w:val="pt-BR" w:eastAsia="pt-BR"/>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v</m:t>
                </m:r>
              </m:sub>
            </m:sSub>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c</m:t>
                </m:r>
              </m:e>
              <m:sub>
                <m:r>
                  <w:rPr>
                    <w:rFonts w:ascii="Cambria Math" w:hAnsi="Cambria Math"/>
                    <w:color w:val="000000" w:themeColor="text1"/>
                    <w:sz w:val="28"/>
                    <w:szCs w:val="28"/>
                  </w:rPr>
                  <m:t>p</m:t>
                </m:r>
              </m:sub>
            </m:sSub>
          </m:den>
        </m:f>
        <m:r>
          <w:rPr>
            <w:rFonts w:ascii="Cambria Math" w:eastAsiaTheme="minorEastAsia" w:hAnsi="Cambria Math"/>
            <w:color w:val="000000" w:themeColor="text1"/>
            <w:sz w:val="28"/>
            <w:szCs w:val="28"/>
          </w:rPr>
          <m:t>ϱ</m:t>
        </m:r>
        <m:d>
          <m:dPr>
            <m:begChr m:val="["/>
            <m:endChr m:val="]"/>
            <m:ctrlPr>
              <w:rPr>
                <w:rFonts w:ascii="Cambria Math" w:eastAsiaTheme="minorEastAsia" w:hAnsi="Cambria Math"/>
                <w:i/>
                <w:color w:val="000000" w:themeColor="text1"/>
                <w:sz w:val="28"/>
                <w:szCs w:val="28"/>
                <w:lang w:val="pt-BR" w:eastAsia="pt-BR"/>
              </w:rPr>
            </m:ctrlPr>
          </m:dPr>
          <m:e>
            <m:r>
              <w:rPr>
                <w:rFonts w:ascii="Cambria Math" w:eastAsiaTheme="minorEastAsia" w:hAnsi="Cambria Math"/>
                <w:color w:val="000000" w:themeColor="text1"/>
                <w:sz w:val="28"/>
                <w:szCs w:val="28"/>
              </w:rPr>
              <m:t>q</m:t>
            </m:r>
            <m:d>
              <m:dPr>
                <m:ctrlPr>
                  <w:rPr>
                    <w:rFonts w:ascii="Cambria Math" w:eastAsiaTheme="minorEastAsia" w:hAnsi="Cambria Math"/>
                    <w:i/>
                    <w:color w:val="000000" w:themeColor="text1"/>
                    <w:sz w:val="28"/>
                    <w:szCs w:val="28"/>
                    <w:lang w:val="pt-BR" w:eastAsia="pt-BR"/>
                  </w:rPr>
                </m:ctrlPr>
              </m:dPr>
              <m:e>
                <m:r>
                  <w:rPr>
                    <w:rFonts w:ascii="Cambria Math" w:eastAsiaTheme="minorEastAsia" w:hAnsi="Cambria Math"/>
                    <w:color w:val="000000" w:themeColor="text1"/>
                    <w:sz w:val="28"/>
                    <w:szCs w:val="28"/>
                  </w:rPr>
                  <m:t>z</m:t>
                </m:r>
              </m:e>
            </m:d>
          </m:e>
        </m:d>
        <m:sSub>
          <m:sSubPr>
            <m:ctrlPr>
              <w:rPr>
                <w:rFonts w:ascii="Cambria Math" w:hAnsi="Cambria Math"/>
                <w:i/>
                <w:color w:val="000000" w:themeColor="text1"/>
                <w:sz w:val="28"/>
                <w:szCs w:val="28"/>
                <w:lang w:val="pt-BR" w:eastAsia="pt-BR"/>
              </w:rPr>
            </m:ctrlPr>
          </m:sSubPr>
          <m:e>
            <m:r>
              <w:rPr>
                <w:rFonts w:ascii="Cambria Math" w:hAnsi="Cambria Math"/>
                <w:color w:val="000000" w:themeColor="text1"/>
                <w:sz w:val="28"/>
                <w:szCs w:val="28"/>
              </w:rPr>
              <m:t>m</m:t>
            </m:r>
          </m:e>
          <m:sub>
            <m:r>
              <w:rPr>
                <w:rFonts w:ascii="Cambria Math" w:hAnsi="Cambria Math"/>
                <w:color w:val="000000" w:themeColor="text1"/>
                <w:sz w:val="28"/>
                <w:szCs w:val="28"/>
              </w:rPr>
              <m:t>b</m:t>
            </m:r>
            <m:d>
              <m:dPr>
                <m:ctrlPr>
                  <w:rPr>
                    <w:rFonts w:ascii="Cambria Math" w:hAnsi="Cambria Math"/>
                    <w:i/>
                    <w:color w:val="000000" w:themeColor="text1"/>
                    <w:sz w:val="28"/>
                    <w:szCs w:val="28"/>
                    <w:lang w:val="pt-BR" w:eastAsia="pt-BR"/>
                  </w:rPr>
                </m:ctrlPr>
              </m:dPr>
              <m:e>
                <m:r>
                  <w:rPr>
                    <w:rFonts w:ascii="Cambria Math" w:hAnsi="Cambria Math"/>
                    <w:color w:val="000000" w:themeColor="text1"/>
                    <w:sz w:val="28"/>
                    <w:szCs w:val="28"/>
                  </w:rPr>
                  <m:t>CU</m:t>
                </m:r>
              </m:e>
            </m:d>
          </m:sub>
        </m:sSub>
      </m:oMath>
      <w:r w:rsidR="0036560A" w:rsidRPr="00660988">
        <w:rPr>
          <w:color w:val="000000" w:themeColor="text1"/>
          <w:sz w:val="28"/>
          <w:szCs w:val="28"/>
          <w:lang w:eastAsia="pt-BR"/>
        </w:rPr>
        <w:t xml:space="preserve"> (</w:t>
      </w:r>
      <w:r w:rsidR="00752879" w:rsidRPr="00660988">
        <w:rPr>
          <w:color w:val="000000" w:themeColor="text1"/>
          <w:sz w:val="28"/>
          <w:szCs w:val="28"/>
          <w:lang w:eastAsia="pt-BR"/>
        </w:rPr>
        <w:t>2</w:t>
      </w:r>
      <w:r w:rsidR="0036560A" w:rsidRPr="00660988">
        <w:rPr>
          <w:color w:val="000000" w:themeColor="text1"/>
          <w:sz w:val="28"/>
          <w:szCs w:val="28"/>
          <w:lang w:eastAsia="pt-BR"/>
        </w:rPr>
        <w:t>3)</w:t>
      </w:r>
    </w:p>
    <w:p w14:paraId="6F94B835" w14:textId="77777777" w:rsidR="00C7542F" w:rsidRPr="005A0574" w:rsidRDefault="00C7542F" w:rsidP="00C7542F">
      <w:pPr>
        <w:ind w:firstLine="720"/>
      </w:pPr>
    </w:p>
    <w:p w14:paraId="376BCB55" w14:textId="16650691" w:rsidR="00C7542F" w:rsidRPr="005A0574" w:rsidRDefault="00C7542F" w:rsidP="00C7542F">
      <w:r w:rsidRPr="005A0574">
        <w:t xml:space="preserve">Here the </w:t>
      </w:r>
      <m:oMath>
        <m:r>
          <w:rPr>
            <w:rFonts w:ascii="Cambria Math" w:hAnsi="Cambria Math"/>
          </w:rPr>
          <m:t>ϱ</m:t>
        </m:r>
      </m:oMath>
      <w:r w:rsidRPr="005A0574">
        <w:t xml:space="preserve"> is the change of moist static energy (</w:t>
      </w:r>
      <m:oMath>
        <m:r>
          <w:rPr>
            <w:rFonts w:ascii="Cambria Math" w:hAnsi="Cambria Math"/>
          </w:rPr>
          <m:t>h</m:t>
        </m:r>
      </m:oMath>
      <w:r w:rsidRPr="005A0574">
        <w:t>) or water vapor (</w:t>
      </w:r>
      <m:oMath>
        <m:r>
          <w:rPr>
            <w:rFonts w:ascii="Cambria Math" w:hAnsi="Cambria Math"/>
          </w:rPr>
          <m:t>q</m:t>
        </m:r>
      </m:oMath>
      <w:r w:rsidRPr="005A0574">
        <w:t xml:space="preserve">) per unit mass, and </w:t>
      </w:r>
      <m:oMath>
        <m:sSub>
          <m:sSubPr>
            <m:ctrlPr>
              <w:rPr>
                <w:rFonts w:ascii="Cambria Math" w:hAnsi="Cambria Math"/>
              </w:rPr>
            </m:ctrlPr>
          </m:sSubPr>
          <m:e>
            <m:r>
              <w:rPr>
                <w:rFonts w:ascii="Cambria Math" w:hAnsi="Cambria Math"/>
              </w:rPr>
              <m:t>m</m:t>
            </m:r>
          </m:e>
          <m:sub>
            <m:r>
              <w:rPr>
                <w:rFonts w:ascii="Cambria Math" w:hAnsi="Cambria Math"/>
              </w:rPr>
              <m:t>b</m:t>
            </m:r>
            <m:d>
              <m:dPr>
                <m:ctrlPr>
                  <w:rPr>
                    <w:rFonts w:ascii="Cambria Math" w:hAnsi="Cambria Math"/>
                  </w:rPr>
                </m:ctrlPr>
              </m:dPr>
              <m:e>
                <m:r>
                  <w:rPr>
                    <w:rFonts w:ascii="Cambria Math" w:hAnsi="Cambria Math"/>
                  </w:rPr>
                  <m:t>CU</m:t>
                </m:r>
              </m:e>
            </m:d>
          </m:sub>
        </m:sSub>
      </m:oMath>
      <w:r w:rsidRPr="005A0574">
        <w:t xml:space="preserve"> is the cloud base mass flux for deep, congestus, or shallow convection.</w:t>
      </w:r>
    </w:p>
    <w:p w14:paraId="008247C9" w14:textId="19520E83" w:rsidR="007D3A98" w:rsidRPr="005A0574" w:rsidRDefault="00686A38" w:rsidP="00B33ADA">
      <w:pPr>
        <w:ind w:firstLine="720"/>
        <w:rPr>
          <w:bCs/>
        </w:rPr>
      </w:pPr>
      <w:r>
        <w:t>More low-level heating due to shallow convection occurs during the active monsoon stage.</w:t>
      </w:r>
      <w:r w:rsidRPr="005A0574" w:rsidDel="00686A38">
        <w:t xml:space="preserve"> </w:t>
      </w:r>
      <w:r w:rsidR="00E63A5D" w:rsidRPr="005A0574">
        <w:rPr>
          <w:bCs/>
        </w:rPr>
        <w:t xml:space="preserve">The congestus (Fig. </w:t>
      </w:r>
      <w:r w:rsidR="00CE1376" w:rsidRPr="005A0574">
        <w:rPr>
          <w:bCs/>
        </w:rPr>
        <w:t>5B</w:t>
      </w:r>
      <w:r w:rsidR="00E63A5D" w:rsidRPr="005A0574">
        <w:rPr>
          <w:bCs/>
        </w:rPr>
        <w:t xml:space="preserve">) and deep (Fig. </w:t>
      </w:r>
      <w:r w:rsidR="00CE1376" w:rsidRPr="005A0574">
        <w:rPr>
          <w:bCs/>
        </w:rPr>
        <w:t>5C</w:t>
      </w:r>
      <w:r w:rsidR="00E63A5D" w:rsidRPr="005A0574">
        <w:rPr>
          <w:bCs/>
        </w:rPr>
        <w:t xml:space="preserve">) convection cool the boundary layer mainly by downdrafts and evaporation of rainfall, </w:t>
      </w:r>
      <w:proofErr w:type="gramStart"/>
      <w:r w:rsidR="00E63A5D" w:rsidRPr="005A0574">
        <w:rPr>
          <w:bCs/>
        </w:rPr>
        <w:t>and also</w:t>
      </w:r>
      <w:proofErr w:type="gramEnd"/>
      <w:r w:rsidR="00E63A5D" w:rsidRPr="005A0574">
        <w:rPr>
          <w:bCs/>
        </w:rPr>
        <w:t xml:space="preserve"> cool the troposphere by the evaporation of the</w:t>
      </w:r>
      <w:r w:rsidR="00AF73BA" w:rsidRPr="005A0574">
        <w:rPr>
          <w:bCs/>
        </w:rPr>
        <w:t xml:space="preserve"> detrained</w:t>
      </w:r>
      <w:r w:rsidR="00E63A5D" w:rsidRPr="005A0574">
        <w:rPr>
          <w:bCs/>
        </w:rPr>
        <w:t xml:space="preserve"> cloud condensates at cloud tops. On 23 January 2006, the strong heating from lower troposphere to 500hP and 200hPa for congestus and deep convection, respectively, corresponds to the heavy precipitation in Figure </w:t>
      </w:r>
      <w:r w:rsidR="00CE1376" w:rsidRPr="005A0574">
        <w:rPr>
          <w:bCs/>
        </w:rPr>
        <w:t>3</w:t>
      </w:r>
      <w:r w:rsidR="00E63A5D" w:rsidRPr="005A0574">
        <w:rPr>
          <w:bCs/>
        </w:rPr>
        <w:t xml:space="preserve">. </w:t>
      </w:r>
      <w:r w:rsidR="00E63A5D" w:rsidRPr="005A0574">
        <w:t xml:space="preserve">Figure </w:t>
      </w:r>
      <w:r w:rsidR="00626B39" w:rsidRPr="005A0574">
        <w:t>6</w:t>
      </w:r>
      <w:r w:rsidR="00E63A5D" w:rsidRPr="005A0574">
        <w:t xml:space="preserve"> shows the convective drying tendencies of shallow (Fig. </w:t>
      </w:r>
      <w:r w:rsidR="00626B39" w:rsidRPr="005A0574">
        <w:t>6A</w:t>
      </w:r>
      <w:r w:rsidR="00E63A5D" w:rsidRPr="005A0574">
        <w:t xml:space="preserve">), congestus (Fig. </w:t>
      </w:r>
      <w:r w:rsidR="00626B39" w:rsidRPr="005A0574">
        <w:t>6B</w:t>
      </w:r>
      <w:r w:rsidR="00E63A5D" w:rsidRPr="005A0574">
        <w:t xml:space="preserve">) and deep convection (Fig. </w:t>
      </w:r>
      <w:r w:rsidR="00626B39" w:rsidRPr="005A0574">
        <w:t>6C</w:t>
      </w:r>
      <w:r w:rsidR="00E63A5D" w:rsidRPr="005A0574">
        <w:t xml:space="preserve">).  The entraining of low-level environmental moist air into the convection plumes and raining out results in drying of </w:t>
      </w:r>
      <w:r w:rsidR="00A124D6">
        <w:t xml:space="preserve">the </w:t>
      </w:r>
      <w:r w:rsidR="00E63A5D" w:rsidRPr="005A0574">
        <w:t>low</w:t>
      </w:r>
      <w:r w:rsidR="00A124D6">
        <w:t>er</w:t>
      </w:r>
      <w:r w:rsidR="00E63A5D" w:rsidRPr="005A0574">
        <w:t xml:space="preserve"> atmosphere, while the detrained cloud water/ice </w:t>
      </w:r>
      <w:r w:rsidR="00AF73BA" w:rsidRPr="005A0574">
        <w:t>at the cloud top leads to some cooling</w:t>
      </w:r>
      <w:r w:rsidR="00E63A5D" w:rsidRPr="005A0574">
        <w:t xml:space="preserve">. The strongest drying for deep convection </w:t>
      </w:r>
      <w:r w:rsidR="00E63A5D" w:rsidRPr="005A0574">
        <w:rPr>
          <w:bCs/>
        </w:rPr>
        <w:t xml:space="preserve">on 23 January 2006 (Fig. </w:t>
      </w:r>
      <w:r w:rsidR="00626B39" w:rsidRPr="005A0574">
        <w:rPr>
          <w:bCs/>
        </w:rPr>
        <w:t>6C</w:t>
      </w:r>
      <w:r w:rsidR="00E63A5D" w:rsidRPr="005A0574">
        <w:rPr>
          <w:bCs/>
        </w:rPr>
        <w:t xml:space="preserve">) from </w:t>
      </w:r>
      <w:r w:rsidR="00A124D6">
        <w:rPr>
          <w:bCs/>
        </w:rPr>
        <w:t xml:space="preserve">the </w:t>
      </w:r>
      <w:r w:rsidR="00E63A5D" w:rsidRPr="005A0574">
        <w:rPr>
          <w:bCs/>
        </w:rPr>
        <w:t>lower troposphere to 200hPa also corresponds to the heavy precipitation in Figure 4.</w:t>
      </w:r>
    </w:p>
    <w:p w14:paraId="73A15FCD" w14:textId="187F1E92" w:rsidR="001E347E" w:rsidRPr="005A0574" w:rsidRDefault="007D3A98" w:rsidP="00B33ADA">
      <w:pPr>
        <w:ind w:firstLine="720"/>
        <w:rPr>
          <w:bCs/>
        </w:rPr>
      </w:pPr>
      <w:r w:rsidRPr="005A0574">
        <w:rPr>
          <w:bCs/>
        </w:rPr>
        <w:t>The heating and drying features of the SCM simulation with</w:t>
      </w:r>
      <w:r w:rsidR="00AD5185" w:rsidRPr="005A0574">
        <w:rPr>
          <w:bCs/>
        </w:rPr>
        <w:t xml:space="preserve"> the</w:t>
      </w:r>
      <w:r w:rsidRPr="005A0574">
        <w:rPr>
          <w:bCs/>
        </w:rPr>
        <w:t xml:space="preserve"> GF convection scheme are further validated </w:t>
      </w:r>
      <w:r w:rsidR="00A124D6">
        <w:rPr>
          <w:bCs/>
        </w:rPr>
        <w:t>by the</w:t>
      </w:r>
      <w:r w:rsidRPr="005A0574">
        <w:rPr>
          <w:bCs/>
        </w:rPr>
        <w:t xml:space="preserve"> diabatic heating source (Q1) and drying sink (Q2), which were defined by </w:t>
      </w:r>
      <w:proofErr w:type="spellStart"/>
      <w:r w:rsidRPr="005A0574">
        <w:rPr>
          <w:bCs/>
        </w:rPr>
        <w:t>Yanai</w:t>
      </w:r>
      <w:proofErr w:type="spellEnd"/>
      <w:r w:rsidRPr="005A0574">
        <w:rPr>
          <w:bCs/>
        </w:rPr>
        <w:t xml:space="preserve"> et al. </w:t>
      </w:r>
      <w:r w:rsidR="00626B39" w:rsidRPr="005A0574">
        <w:rPr>
          <w:bCs/>
        </w:rPr>
        <w:t>(</w:t>
      </w:r>
      <w:r w:rsidRPr="005A0574">
        <w:rPr>
          <w:bCs/>
        </w:rPr>
        <w:t>1973</w:t>
      </w:r>
      <w:r w:rsidR="00626B39" w:rsidRPr="005A0574">
        <w:rPr>
          <w:bCs/>
        </w:rPr>
        <w:t>)</w:t>
      </w:r>
      <w:r w:rsidRPr="005A0574">
        <w:rPr>
          <w:bCs/>
        </w:rPr>
        <w:t xml:space="preserve">, from sounding analysis. </w:t>
      </w:r>
      <w:r w:rsidR="003A5B20" w:rsidRPr="005A0574">
        <w:rPr>
          <w:bCs/>
        </w:rPr>
        <w:t xml:space="preserve">The averaged profiles </w:t>
      </w:r>
      <w:r w:rsidR="00A124D6">
        <w:rPr>
          <w:bCs/>
        </w:rPr>
        <w:t>of</w:t>
      </w:r>
      <w:r w:rsidR="003A5B20" w:rsidRPr="005A0574">
        <w:rPr>
          <w:bCs/>
        </w:rPr>
        <w:t xml:space="preserve"> Q1 and Q2 derived from constrained variational objective analysis observation (</w:t>
      </w:r>
      <w:proofErr w:type="spellStart"/>
      <w:r w:rsidR="003A5B20" w:rsidRPr="005A0574">
        <w:rPr>
          <w:bCs/>
        </w:rPr>
        <w:t>Xie</w:t>
      </w:r>
      <w:proofErr w:type="spellEnd"/>
      <w:r w:rsidR="003A5B20" w:rsidRPr="005A0574">
        <w:rPr>
          <w:bCs/>
        </w:rPr>
        <w:t xml:space="preserve"> et al. 2007) are shown in Figure 7A and Figure 7C</w:t>
      </w:r>
      <w:r w:rsidRPr="005A0574">
        <w:rPr>
          <w:bCs/>
        </w:rPr>
        <w:t xml:space="preserve">, while the SCM simulated Q1 and Q2 are given in </w:t>
      </w:r>
      <w:r w:rsidR="00CA3773" w:rsidRPr="005A0574">
        <w:rPr>
          <w:bCs/>
        </w:rPr>
        <w:t>Figure 7</w:t>
      </w:r>
      <w:r w:rsidR="003A5B20" w:rsidRPr="005A0574">
        <w:rPr>
          <w:bCs/>
        </w:rPr>
        <w:t>B</w:t>
      </w:r>
      <w:r w:rsidRPr="005A0574">
        <w:rPr>
          <w:bCs/>
        </w:rPr>
        <w:t xml:space="preserve"> and </w:t>
      </w:r>
      <w:r w:rsidR="00CA3773" w:rsidRPr="005A0574">
        <w:rPr>
          <w:bCs/>
        </w:rPr>
        <w:t>Figure 7</w:t>
      </w:r>
      <w:r w:rsidR="003A5B20" w:rsidRPr="005A0574">
        <w:rPr>
          <w:bCs/>
        </w:rPr>
        <w:t>D</w:t>
      </w:r>
      <w:r w:rsidRPr="005A0574">
        <w:rPr>
          <w:bCs/>
        </w:rPr>
        <w:t xml:space="preserve">. The shape of Q1 and Q2 in active/suppressed periods from </w:t>
      </w:r>
      <w:r w:rsidR="00A124D6">
        <w:rPr>
          <w:bCs/>
        </w:rPr>
        <w:t xml:space="preserve">the </w:t>
      </w:r>
      <w:r w:rsidRPr="005A0574">
        <w:rPr>
          <w:bCs/>
        </w:rPr>
        <w:t>simulation agrees with the observation very well, but with stronger magnitude. The maximum of Q1 and Q2 between 350hPa and 550</w:t>
      </w:r>
      <w:r w:rsidR="00626B39" w:rsidRPr="005A0574">
        <w:rPr>
          <w:bCs/>
        </w:rPr>
        <w:t xml:space="preserve"> </w:t>
      </w:r>
      <w:r w:rsidRPr="005A0574">
        <w:rPr>
          <w:bCs/>
        </w:rPr>
        <w:t xml:space="preserve">hPa in </w:t>
      </w:r>
      <w:r w:rsidR="00A124D6">
        <w:rPr>
          <w:bCs/>
        </w:rPr>
        <w:t xml:space="preserve">the </w:t>
      </w:r>
      <w:r w:rsidRPr="005A0574">
        <w:rPr>
          <w:bCs/>
        </w:rPr>
        <w:t>active monsoon period corresponds to the heavy precipitation in Fig</w:t>
      </w:r>
      <w:r w:rsidR="00626B39" w:rsidRPr="005A0574">
        <w:rPr>
          <w:bCs/>
        </w:rPr>
        <w:t>ure</w:t>
      </w:r>
      <w:r w:rsidRPr="005A0574">
        <w:rPr>
          <w:bCs/>
        </w:rPr>
        <w:t xml:space="preserve"> </w:t>
      </w:r>
      <w:r w:rsidR="00626B39" w:rsidRPr="005A0574">
        <w:rPr>
          <w:bCs/>
        </w:rPr>
        <w:t>3</w:t>
      </w:r>
      <w:r w:rsidRPr="005A0574">
        <w:rPr>
          <w:bCs/>
        </w:rPr>
        <w:t xml:space="preserve">. The Q1 and Q2 from observation and simulation were mainly distributed at low levels in </w:t>
      </w:r>
      <w:r w:rsidR="00A124D6">
        <w:rPr>
          <w:bCs/>
        </w:rPr>
        <w:t xml:space="preserve">the </w:t>
      </w:r>
      <w:r w:rsidRPr="005A0574">
        <w:rPr>
          <w:bCs/>
        </w:rPr>
        <w:t>suppressed period, consist</w:t>
      </w:r>
      <w:r w:rsidR="00A124D6">
        <w:rPr>
          <w:bCs/>
        </w:rPr>
        <w:t>ent</w:t>
      </w:r>
      <w:r w:rsidRPr="005A0574">
        <w:rPr>
          <w:bCs/>
        </w:rPr>
        <w:t xml:space="preserve"> with the study from </w:t>
      </w:r>
      <w:proofErr w:type="spellStart"/>
      <w:r w:rsidRPr="005A0574">
        <w:rPr>
          <w:bCs/>
        </w:rPr>
        <w:t>Xie</w:t>
      </w:r>
      <w:proofErr w:type="spellEnd"/>
      <w:r w:rsidRPr="005A0574">
        <w:rPr>
          <w:bCs/>
        </w:rPr>
        <w:t xml:space="preserve"> et al. </w:t>
      </w:r>
      <w:r w:rsidR="00626B39" w:rsidRPr="005A0574">
        <w:rPr>
          <w:bCs/>
        </w:rPr>
        <w:t>(</w:t>
      </w:r>
      <w:r w:rsidRPr="005A0574">
        <w:rPr>
          <w:bCs/>
        </w:rPr>
        <w:t>2010</w:t>
      </w:r>
      <w:r w:rsidR="00626B39" w:rsidRPr="005A0574">
        <w:rPr>
          <w:bCs/>
        </w:rPr>
        <w:t>)</w:t>
      </w:r>
      <w:r w:rsidRPr="005A0574">
        <w:rPr>
          <w:bCs/>
        </w:rPr>
        <w:t>.</w:t>
      </w:r>
    </w:p>
    <w:p w14:paraId="6340E570" w14:textId="62A7D7B7" w:rsidR="009F765A" w:rsidRPr="005A0574" w:rsidRDefault="009F765A" w:rsidP="009F765A">
      <w:pPr>
        <w:rPr>
          <w:b/>
          <w:lang w:eastAsia="de-DE"/>
        </w:rPr>
      </w:pPr>
      <w:r w:rsidRPr="005A0574">
        <w:rPr>
          <w:b/>
          <w:lang w:eastAsia="de-DE"/>
        </w:rPr>
        <w:t xml:space="preserve">3.2 Evaluation of the </w:t>
      </w:r>
      <w:r w:rsidR="002C5608">
        <w:rPr>
          <w:b/>
          <w:lang w:eastAsia="de-DE"/>
        </w:rPr>
        <w:t>d</w:t>
      </w:r>
      <w:r w:rsidRPr="005A0574">
        <w:rPr>
          <w:b/>
          <w:lang w:eastAsia="de-DE"/>
        </w:rPr>
        <w:t xml:space="preserve">iurnal </w:t>
      </w:r>
      <w:r w:rsidR="002C5608">
        <w:rPr>
          <w:b/>
          <w:lang w:eastAsia="de-DE"/>
        </w:rPr>
        <w:t>c</w:t>
      </w:r>
      <w:r w:rsidRPr="005A0574">
        <w:rPr>
          <w:b/>
          <w:lang w:eastAsia="de-DE"/>
        </w:rPr>
        <w:t xml:space="preserve">ycle </w:t>
      </w:r>
      <w:r w:rsidR="002C5608">
        <w:rPr>
          <w:b/>
          <w:lang w:eastAsia="de-DE"/>
        </w:rPr>
        <w:t>c</w:t>
      </w:r>
      <w:r w:rsidRPr="005A0574">
        <w:rPr>
          <w:b/>
          <w:lang w:eastAsia="de-DE"/>
        </w:rPr>
        <w:t xml:space="preserve">losure </w:t>
      </w:r>
    </w:p>
    <w:p w14:paraId="7D24045D" w14:textId="12A23C05" w:rsidR="009F765A" w:rsidRPr="005A0574" w:rsidRDefault="009F765A" w:rsidP="009F765A">
      <w:pPr>
        <w:widowControl w:val="0"/>
        <w:autoSpaceDE w:val="0"/>
        <w:autoSpaceDN w:val="0"/>
        <w:adjustRightInd w:val="0"/>
        <w:spacing w:after="240"/>
        <w:rPr>
          <w:color w:val="000000"/>
        </w:rPr>
      </w:pPr>
      <w:r w:rsidRPr="005A0574">
        <w:rPr>
          <w:color w:val="000000"/>
        </w:rPr>
        <w:lastRenderedPageBreak/>
        <w:t xml:space="preserve">Santos e Silva et al. </w:t>
      </w:r>
      <w:r w:rsidR="005359F8" w:rsidRPr="005A0574">
        <w:rPr>
          <w:color w:val="000000"/>
        </w:rPr>
        <w:t>(</w:t>
      </w:r>
      <w:r w:rsidRPr="005A0574">
        <w:rPr>
          <w:color w:val="000000"/>
        </w:rPr>
        <w:t>2009, 2012</w:t>
      </w:r>
      <w:r w:rsidR="005359F8" w:rsidRPr="005A0574">
        <w:rPr>
          <w:color w:val="000000"/>
        </w:rPr>
        <w:t>)</w:t>
      </w:r>
      <w:r w:rsidRPr="005A0574">
        <w:rPr>
          <w:color w:val="000000"/>
        </w:rPr>
        <w:t xml:space="preserve"> discussed in detail the diurnal cycle of precipitation over the Amazon Basin using the TRMM rainfall product (Huffman et al., 2007) and observational data from an S-band polarimetric radar (S-POL) and rain gauges obtained in a field experiment during the wet season of 1999. Their analysis indicated that the peak in rainfall is usually late in the afternoon (between 17:00 and 21:00 UTC), despite existent variations associated with wind regimes. In addition, over the Amazon, a secondary </w:t>
      </w:r>
      <w:r w:rsidR="00A124D6">
        <w:rPr>
          <w:color w:val="000000"/>
        </w:rPr>
        <w:t xml:space="preserve">period of </w:t>
      </w:r>
      <w:r w:rsidRPr="005A0574">
        <w:rPr>
          <w:color w:val="000000"/>
        </w:rPr>
        <w:t xml:space="preserve">convection activity is observed during the </w:t>
      </w:r>
      <w:r w:rsidR="00E06F81">
        <w:rPr>
          <w:color w:val="000000"/>
        </w:rPr>
        <w:t>night</w:t>
      </w:r>
      <w:r w:rsidRPr="005A0574">
        <w:rPr>
          <w:color w:val="000000"/>
        </w:rPr>
        <w:t xml:space="preserve"> as reported by Yang et al. (2008) and Santos e Silva et al. (2012)</w:t>
      </w:r>
      <w:r w:rsidR="00E06F81">
        <w:rPr>
          <w:color w:val="000000"/>
        </w:rPr>
        <w:t>.</w:t>
      </w:r>
      <w:r w:rsidRPr="005A0574">
        <w:rPr>
          <w:color w:val="000000"/>
        </w:rPr>
        <w:t xml:space="preserve"> </w:t>
      </w:r>
      <w:r w:rsidR="00E06F81">
        <w:rPr>
          <w:color w:val="000000"/>
        </w:rPr>
        <w:t>I</w:t>
      </w:r>
      <w:r w:rsidRPr="005A0574">
        <w:rPr>
          <w:color w:val="000000"/>
        </w:rPr>
        <w:t xml:space="preserve">n general, this is associated </w:t>
      </w:r>
      <w:r w:rsidR="00E06F81">
        <w:rPr>
          <w:color w:val="000000"/>
        </w:rPr>
        <w:t>with</w:t>
      </w:r>
      <w:r w:rsidRPr="005A0574">
        <w:rPr>
          <w:color w:val="000000"/>
        </w:rPr>
        <w:t xml:space="preserve"> squall line propagation in the Amazon basin (Cohen et al., 1995; Alcantara et al., 2011). This bimodal pattern of convective activity can be identified with observational analysis of vertical profiles of moistening and heating (Schumacher et al., 2007).</w:t>
      </w:r>
    </w:p>
    <w:p w14:paraId="40D0290D" w14:textId="5EE6C72E" w:rsidR="00A82919" w:rsidRPr="005A0574" w:rsidRDefault="009F765A" w:rsidP="005557F9">
      <w:pPr>
        <w:widowControl w:val="0"/>
        <w:autoSpaceDE w:val="0"/>
        <w:autoSpaceDN w:val="0"/>
        <w:adjustRightInd w:val="0"/>
        <w:spacing w:after="240"/>
      </w:pPr>
      <w:r w:rsidRPr="005A0574">
        <w:rPr>
          <w:color w:val="000000"/>
        </w:rPr>
        <w:t xml:space="preserve">Here we evaluate the GF scheme with the B2014 closure, applying it </w:t>
      </w:r>
      <w:r w:rsidR="00E06F81">
        <w:rPr>
          <w:color w:val="000000"/>
        </w:rPr>
        <w:t>in</w:t>
      </w:r>
      <w:r w:rsidRPr="005A0574">
        <w:rPr>
          <w:color w:val="000000"/>
        </w:rPr>
        <w:t xml:space="preserve"> the NASA GEOS GCM configured as a single column model (SCM).</w:t>
      </w:r>
      <w:r w:rsidR="001E347E" w:rsidRPr="005A0574">
        <w:rPr>
          <w:color w:val="000000"/>
        </w:rPr>
        <w:t xml:space="preserve"> </w:t>
      </w:r>
      <w:r w:rsidR="00A82919" w:rsidRPr="005A0574">
        <w:rPr>
          <w:color w:val="000000"/>
        </w:rPr>
        <w:t>The GEOS</w:t>
      </w:r>
      <w:r w:rsidR="00E06F81">
        <w:rPr>
          <w:color w:val="000000"/>
        </w:rPr>
        <w:t xml:space="preserve"> SCM</w:t>
      </w:r>
      <w:r w:rsidR="00A82919" w:rsidRPr="005A0574">
        <w:rPr>
          <w:color w:val="000000"/>
        </w:rPr>
        <w:t xml:space="preserve"> with GF was run from 24 January to 25 February 1999 using the initial condition</w:t>
      </w:r>
      <w:r w:rsidR="00E06F81">
        <w:rPr>
          <w:color w:val="000000"/>
        </w:rPr>
        <w:t>s</w:t>
      </w:r>
      <w:r w:rsidR="00A82919" w:rsidRPr="005A0574">
        <w:rPr>
          <w:color w:val="000000"/>
        </w:rPr>
        <w:t xml:space="preserve"> and advective forcing from the TRMM_LBA field campaign data. The simulation started on 00Z 24 January 1999 with 1 month time integration. Model results were averaged in time to express the mean diurnal cycle. An initial glance at the three convection modes in the GF scheme is given by Figure </w:t>
      </w:r>
      <w:r w:rsidR="005359F8" w:rsidRPr="005A0574">
        <w:rPr>
          <w:color w:val="000000"/>
        </w:rPr>
        <w:t>8</w:t>
      </w:r>
      <w:r w:rsidR="00A82919" w:rsidRPr="005A0574">
        <w:rPr>
          <w:color w:val="000000"/>
        </w:rPr>
        <w:t>, where t</w:t>
      </w:r>
      <w:r w:rsidR="00A82919" w:rsidRPr="005A0574">
        <w:t>he time</w:t>
      </w:r>
      <w:r w:rsidR="00B620AE">
        <w:t>-</w:t>
      </w:r>
      <w:r w:rsidR="00A82919" w:rsidRPr="005A0574">
        <w:t xml:space="preserve"> averaged mass fluxes (10</w:t>
      </w:r>
      <w:r w:rsidR="00A82919" w:rsidRPr="005A0574">
        <w:rPr>
          <w:vertAlign w:val="superscript"/>
        </w:rPr>
        <w:t>-3</w:t>
      </w:r>
      <w:r w:rsidR="00A82919" w:rsidRPr="005A0574">
        <w:t xml:space="preserve"> kg m</w:t>
      </w:r>
      <w:r w:rsidR="00A82919" w:rsidRPr="005A0574">
        <w:rPr>
          <w:vertAlign w:val="superscript"/>
        </w:rPr>
        <w:t>-2</w:t>
      </w:r>
      <w:r w:rsidR="00A82919" w:rsidRPr="005A0574">
        <w:t xml:space="preserve"> s</w:t>
      </w:r>
      <w:r w:rsidR="00A82919" w:rsidRPr="005A0574">
        <w:rPr>
          <w:vertAlign w:val="superscript"/>
        </w:rPr>
        <w:t>-1</w:t>
      </w:r>
      <w:r w:rsidR="00A82919" w:rsidRPr="005A0574">
        <w:t>) of each mode are introduced. The contour lines in black represent the vertical diffusivity coefficient for heat (m</w:t>
      </w:r>
      <w:r w:rsidR="00A82919" w:rsidRPr="005A0574">
        <w:rPr>
          <w:vertAlign w:val="superscript"/>
        </w:rPr>
        <w:t>2</w:t>
      </w:r>
      <w:r w:rsidR="00A82919" w:rsidRPr="005A0574">
        <w:t xml:space="preserve"> s</w:t>
      </w:r>
      <w:r w:rsidR="00A82919" w:rsidRPr="005A0574">
        <w:rPr>
          <w:vertAlign w:val="superscript"/>
        </w:rPr>
        <w:t>-1</w:t>
      </w:r>
      <w:r w:rsidR="00A82919" w:rsidRPr="005A0574">
        <w:t>), describing the diurnal development of the planetary boundary layer (PBL) over the Amazon forest. The PBL development seems to be well represented with a fast evolution in the first hours after sunrise and stabilizing around noon with a realistic vertical depth between 1 and 1.5 km. Both shallow (Fig</w:t>
      </w:r>
      <w:r w:rsidR="005359F8" w:rsidRPr="005A0574">
        <w:t>.</w:t>
      </w:r>
      <w:r w:rsidR="00A82919" w:rsidRPr="005A0574">
        <w:t xml:space="preserve"> </w:t>
      </w:r>
      <w:r w:rsidR="005359F8" w:rsidRPr="005A0574">
        <w:t>8</w:t>
      </w:r>
      <w:r w:rsidR="00A82919" w:rsidRPr="005A0574">
        <w:t>A) and congestus (Fig</w:t>
      </w:r>
      <w:r w:rsidR="005359F8" w:rsidRPr="005A0574">
        <w:t>.</w:t>
      </w:r>
      <w:r w:rsidR="00A82919" w:rsidRPr="005A0574">
        <w:t xml:space="preserve"> </w:t>
      </w:r>
      <w:r w:rsidR="005359F8" w:rsidRPr="005A0574">
        <w:t>8</w:t>
      </w:r>
      <w:r w:rsidR="00A82919" w:rsidRPr="005A0574">
        <w:t xml:space="preserve">B) modes start </w:t>
      </w:r>
      <w:r w:rsidR="00B620AE">
        <w:t xml:space="preserve">a </w:t>
      </w:r>
      <w:r w:rsidR="00A82919" w:rsidRPr="005A0574">
        <w:t xml:space="preserve">few hours after sunrise with cloud base around the PBL </w:t>
      </w:r>
      <w:r w:rsidR="00E06F81">
        <w:t>top</w:t>
      </w:r>
      <w:r w:rsidR="00A82919" w:rsidRPr="005A0574">
        <w:t xml:space="preserve"> and cloud tops below ~ 700 and 550 hPa, respectively. Those two modes precede the deep convection </w:t>
      </w:r>
      <w:r w:rsidR="003B4B33" w:rsidRPr="005A0574">
        <w:t>(</w:t>
      </w:r>
      <w:r w:rsidR="005359F8" w:rsidRPr="005A0574">
        <w:t>Fig. 8</w:t>
      </w:r>
      <w:r w:rsidR="003B4B33" w:rsidRPr="005A0574">
        <w:t xml:space="preserve">C) </w:t>
      </w:r>
      <w:r w:rsidR="00A82919" w:rsidRPr="005A0574">
        <w:t>development during the late afternoon (local time is UTC – 4 hours) with cloud tops reaching 200 hPa.</w:t>
      </w:r>
    </w:p>
    <w:p w14:paraId="19494501" w14:textId="6923240F" w:rsidR="005557F9" w:rsidRPr="005A0574" w:rsidRDefault="005557F9" w:rsidP="005557F9">
      <w:pPr>
        <w:widowControl w:val="0"/>
        <w:autoSpaceDE w:val="0"/>
        <w:autoSpaceDN w:val="0"/>
        <w:adjustRightInd w:val="0"/>
        <w:spacing w:after="240"/>
        <w:rPr>
          <w:color w:val="000000"/>
        </w:rPr>
      </w:pPr>
      <w:r w:rsidRPr="005A0574">
        <w:t xml:space="preserve">Figure 9 shows </w:t>
      </w:r>
      <w:r w:rsidRPr="005A0574">
        <w:rPr>
          <w:color w:val="000000"/>
        </w:rPr>
        <w:t>the mean diurnal cycle of the net vertical mass flux (the sum of shallow, congestus and deep modes) as well as the total and convective precipitation. The chosen closures for the mass flux at cloud base were the BLQE for shallow and the</w:t>
      </w:r>
      <w:r w:rsidR="00C8286C" w:rsidRPr="005A0574">
        <w:rPr>
          <w:color w:val="000000"/>
        </w:rPr>
        <w:t xml:space="preserve"> adaptation</w:t>
      </w:r>
      <w:r w:rsidRPr="005A0574">
        <w:rPr>
          <w:color w:val="000000"/>
        </w:rPr>
        <w:t xml:space="preserve"> </w:t>
      </w:r>
      <w:r w:rsidR="0004741B" w:rsidRPr="005A0574">
        <w:rPr>
          <w:color w:val="000000"/>
        </w:rPr>
        <w:t xml:space="preserve">of </w:t>
      </w:r>
      <w:r w:rsidRPr="005A0574">
        <w:rPr>
          <w:color w:val="000000"/>
        </w:rPr>
        <w:t xml:space="preserve">B2014 for congestus and deep </w:t>
      </w:r>
      <w:r w:rsidR="0004741B" w:rsidRPr="005A0574">
        <w:rPr>
          <w:color w:val="000000"/>
        </w:rPr>
        <w:t>modes,</w:t>
      </w:r>
      <w:r w:rsidR="00C8286C" w:rsidRPr="005A0574">
        <w:rPr>
          <w:color w:val="000000"/>
        </w:rPr>
        <w:t xml:space="preserve"> as described at the end of Section 2.3</w:t>
      </w:r>
      <w:r w:rsidRPr="005A0574">
        <w:rPr>
          <w:color w:val="000000"/>
        </w:rPr>
        <w:t xml:space="preserve">. For congestus, we only retained the first term of </w:t>
      </w:r>
      <w:r w:rsidR="006E7088" w:rsidRPr="005A0574">
        <w:rPr>
          <w:color w:val="000000"/>
        </w:rPr>
        <w:t>Equation</w:t>
      </w:r>
      <w:r w:rsidRPr="005A0574">
        <w:rPr>
          <w:color w:val="000000"/>
        </w:rPr>
        <w:t xml:space="preserve"> </w:t>
      </w:r>
      <w:r w:rsidR="00C8286C" w:rsidRPr="005A0574">
        <w:rPr>
          <w:color w:val="000000"/>
        </w:rPr>
        <w:t>1</w:t>
      </w:r>
      <w:r w:rsidR="006876C2" w:rsidRPr="005A0574">
        <w:rPr>
          <w:color w:val="000000"/>
        </w:rPr>
        <w:t>7</w:t>
      </w:r>
      <w:r w:rsidRPr="005A0574">
        <w:rPr>
          <w:color w:val="000000"/>
        </w:rPr>
        <w:t xml:space="preserve">; for deep, the simulations were performed without and with the second term of </w:t>
      </w:r>
      <w:r w:rsidRPr="005A0574">
        <w:rPr>
          <w:color w:val="000000" w:themeColor="text1"/>
        </w:rPr>
        <w:t>Eq</w:t>
      </w:r>
      <w:r w:rsidR="006E7088" w:rsidRPr="005A0574">
        <w:rPr>
          <w:color w:val="000000" w:themeColor="text1"/>
        </w:rPr>
        <w:t>uation</w:t>
      </w:r>
      <w:r w:rsidRPr="005A0574">
        <w:rPr>
          <w:color w:val="000000" w:themeColor="text1"/>
        </w:rPr>
        <w:t xml:space="preserve"> </w:t>
      </w:r>
      <w:r w:rsidR="00C8286C" w:rsidRPr="005A0574">
        <w:rPr>
          <w:color w:val="000000" w:themeColor="text1"/>
        </w:rPr>
        <w:t>1</w:t>
      </w:r>
      <w:r w:rsidR="006876C2" w:rsidRPr="005A0574">
        <w:rPr>
          <w:color w:val="000000" w:themeColor="text1"/>
        </w:rPr>
        <w:t>7</w:t>
      </w:r>
      <w:r w:rsidRPr="005A0574">
        <w:rPr>
          <w:color w:val="000000" w:themeColor="text1"/>
        </w:rPr>
        <w:t xml:space="preserve">. This allowed </w:t>
      </w:r>
      <w:r w:rsidRPr="005A0574">
        <w:rPr>
          <w:color w:val="000000"/>
        </w:rPr>
        <w:t xml:space="preserve">us to evaluate its role on defining the phase of the diurnal march of the </w:t>
      </w:r>
      <w:r w:rsidRPr="005A0574">
        <w:rPr>
          <w:color w:val="000000"/>
        </w:rPr>
        <w:lastRenderedPageBreak/>
        <w:t>precipitation.</w:t>
      </w:r>
    </w:p>
    <w:p w14:paraId="5BFBB6DA" w14:textId="3D966CC6" w:rsidR="000F60A0" w:rsidRPr="005A0574" w:rsidRDefault="001B4664" w:rsidP="00B33ADA">
      <w:pPr>
        <w:widowControl w:val="0"/>
        <w:autoSpaceDE w:val="0"/>
        <w:autoSpaceDN w:val="0"/>
        <w:adjustRightInd w:val="0"/>
        <w:spacing w:after="240"/>
        <w:rPr>
          <w:b/>
        </w:rPr>
      </w:pPr>
      <w:r w:rsidRPr="005A0574">
        <w:rPr>
          <w:color w:val="000000"/>
        </w:rPr>
        <w:t>Figure 9</w:t>
      </w:r>
      <w:r w:rsidR="006E7088" w:rsidRPr="005A0574">
        <w:rPr>
          <w:color w:val="000000"/>
        </w:rPr>
        <w:t>A</w:t>
      </w:r>
      <w:r w:rsidRPr="005A0574">
        <w:rPr>
          <w:color w:val="000000"/>
        </w:rPr>
        <w:t xml:space="preserve"> shows the model results without applying the diurnal cycle closure (i.e. retaining only the first term of Eq. 1</w:t>
      </w:r>
      <w:r w:rsidR="006876C2" w:rsidRPr="005A0574">
        <w:rPr>
          <w:color w:val="000000"/>
        </w:rPr>
        <w:t>7</w:t>
      </w:r>
      <w:r w:rsidRPr="005A0574">
        <w:rPr>
          <w:color w:val="000000"/>
        </w:rPr>
        <w:t>) for deep convection. In this case, the three convective modes coexist, triggered just a few hours after sunrise (</w:t>
      </w:r>
      <w:r w:rsidRPr="005A0574">
        <w:rPr>
          <w:rFonts w:ascii="Cambria Math" w:hAnsi="Cambria Math" w:cs="Cambria Math"/>
          <w:color w:val="000000"/>
        </w:rPr>
        <w:t>∼</w:t>
      </w:r>
      <w:r w:rsidRPr="005A0574">
        <w:rPr>
          <w:color w:val="000000"/>
        </w:rPr>
        <w:t xml:space="preserve">11 UTC), with the deep convection occurring too early and producing a maximum precipitation </w:t>
      </w:r>
      <w:r w:rsidR="00B620AE">
        <w:rPr>
          <w:color w:val="000000"/>
        </w:rPr>
        <w:t>at</w:t>
      </w:r>
      <w:r w:rsidRPr="005A0574">
        <w:rPr>
          <w:color w:val="000000"/>
        </w:rPr>
        <w:t xml:space="preserve"> about 15 UTC (</w:t>
      </w:r>
      <w:r w:rsidRPr="005A0574">
        <w:rPr>
          <w:rFonts w:ascii="Cambria Math" w:hAnsi="Cambria Math" w:cs="Cambria Math"/>
          <w:color w:val="000000"/>
        </w:rPr>
        <w:t>∼</w:t>
      </w:r>
      <w:r w:rsidRPr="005A0574">
        <w:rPr>
          <w:color w:val="000000"/>
        </w:rPr>
        <w:t>11 Local Time). Conversely, we observed a clear separation between the convective modes when applying the full equation of the diurnal cycle closure (</w:t>
      </w:r>
      <w:r w:rsidR="006E7088" w:rsidRPr="005A0574">
        <w:rPr>
          <w:color w:val="000000"/>
        </w:rPr>
        <w:t>Fig. 9</w:t>
      </w:r>
      <w:r w:rsidRPr="005A0574">
        <w:rPr>
          <w:color w:val="000000"/>
        </w:rPr>
        <w:t>B), reducing the amount of potential instability available for the deep convection. In this case, there is a delay of the precipitation from the deep penetrative convection with the maximum rate taking place between 18 and 21 UTC, more consistent with observations of the diurnal cycle over the Amazon region.</w:t>
      </w:r>
      <w:r w:rsidRPr="005A0574">
        <w:rPr>
          <w:b/>
        </w:rPr>
        <w:t xml:space="preserve"> </w:t>
      </w:r>
    </w:p>
    <w:p w14:paraId="131C6491" w14:textId="3AFCD27F" w:rsidR="000F60A0" w:rsidRPr="005A0574" w:rsidRDefault="000F60A0" w:rsidP="00B33ADA">
      <w:pPr>
        <w:widowControl w:val="0"/>
        <w:autoSpaceDE w:val="0"/>
        <w:autoSpaceDN w:val="0"/>
        <w:adjustRightInd w:val="0"/>
        <w:spacing w:after="240"/>
      </w:pPr>
      <w:r w:rsidRPr="005A0574">
        <w:t xml:space="preserve">Figure 10 introduces the grid-scale vertical moistening and heating tendencies associated with the three convective modes for the simulations without and with the diurnal cycle closure. The net effect (moistening minus drying) of the three convective modes, not including the diurnal cycle closure for the deep mode, appears in the </w:t>
      </w:r>
      <w:r w:rsidR="00AD5C3C" w:rsidRPr="005A0574">
        <w:t>Figure 10</w:t>
      </w:r>
      <w:r w:rsidRPr="005A0574">
        <w:t>A. As the three modes co-exist most of the time and as the drying associated with the deep precipitating plumes dominates, water vapor is drained from the troposphere, with a shallow lower-level layer of moistening associated with the precipitation evaporation driven by the downdrafts. However, by including the full formulation of the diurnal cycle closure (</w:t>
      </w:r>
      <w:r w:rsidR="00AD5C3C" w:rsidRPr="005A0574">
        <w:t>Fig. 10</w:t>
      </w:r>
      <w:r w:rsidRPr="005A0574">
        <w:t xml:space="preserve">B), a much smoother transition is simulated with a late morning and early afternoon low/mid-tropospheric moistening by shallow and congestus convection, followed by a late afternoon and early evening tropospheric drying by the rainfall from the deep cumulus. Associated with the delay of precipitation, the peak of downdrafts occurrence is correspondingly displaced. On the right, </w:t>
      </w:r>
      <w:r w:rsidR="00AD5C3C" w:rsidRPr="005A0574">
        <w:t>Figure</w:t>
      </w:r>
      <w:r w:rsidR="002C5608">
        <w:t>s</w:t>
      </w:r>
      <w:r w:rsidRPr="005A0574">
        <w:t xml:space="preserve"> </w:t>
      </w:r>
      <w:r w:rsidR="00AD5C3C" w:rsidRPr="005A0574">
        <w:t>10</w:t>
      </w:r>
      <w:r w:rsidRPr="005A0574">
        <w:t xml:space="preserve">C and </w:t>
      </w:r>
      <w:r w:rsidR="00AD5C3C" w:rsidRPr="005A0574">
        <w:t>10</w:t>
      </w:r>
      <w:r w:rsidRPr="005A0574">
        <w:t>D introduce the results for the heating tendencies. A similar discussion applies to these tendencies, with the peak of the atmospheric heating delayed by a few hours, when the diurnal cycle closure is applied (</w:t>
      </w:r>
      <w:r w:rsidR="00AD5C3C" w:rsidRPr="005A0574">
        <w:t>Fig. 10</w:t>
      </w:r>
      <w:r w:rsidRPr="005A0574">
        <w:t>D). Note, the warming from the congestus plumes somewhat offsets the low-troposphere cooling associated with the shallow plumes.</w:t>
      </w:r>
    </w:p>
    <w:p w14:paraId="57A613DB" w14:textId="532B905C" w:rsidR="00B4737A" w:rsidRPr="005A0574" w:rsidRDefault="00B4737A" w:rsidP="00B4737A">
      <w:pPr>
        <w:pStyle w:val="Heading2"/>
        <w:numPr>
          <w:ilvl w:val="0"/>
          <w:numId w:val="0"/>
        </w:numPr>
        <w:spacing w:before="120"/>
        <w:rPr>
          <w:lang w:val="en-US"/>
        </w:rPr>
      </w:pPr>
      <w:r w:rsidRPr="005A0574">
        <w:rPr>
          <w:lang w:val="en-US"/>
        </w:rPr>
        <w:t xml:space="preserve">3.3 Global </w:t>
      </w:r>
      <w:r w:rsidR="002C5608">
        <w:rPr>
          <w:lang w:val="en-US"/>
        </w:rPr>
        <w:t>s</w:t>
      </w:r>
      <w:r w:rsidRPr="005A0574">
        <w:rPr>
          <w:lang w:val="en-US"/>
        </w:rPr>
        <w:t xml:space="preserve">cale </w:t>
      </w:r>
      <w:r w:rsidR="006E3B16" w:rsidRPr="005A0574">
        <w:t xml:space="preserve">3-dimensional </w:t>
      </w:r>
      <w:proofErr w:type="spellStart"/>
      <w:r w:rsidR="002C5608">
        <w:t>m</w:t>
      </w:r>
      <w:r w:rsidR="006E3B16" w:rsidRPr="005A0574">
        <w:t>odeling</w:t>
      </w:r>
      <w:proofErr w:type="spellEnd"/>
    </w:p>
    <w:p w14:paraId="19549519" w14:textId="782C02C4" w:rsidR="00B4737A" w:rsidRPr="005A0574" w:rsidRDefault="00B4737A" w:rsidP="00B4737A">
      <w:r w:rsidRPr="005A0574">
        <w:rPr>
          <w:lang w:eastAsia="de-DE"/>
        </w:rPr>
        <w:t xml:space="preserve">A global scale evaluation of the diurnal cycle closure is shown in this section applying GF within the </w:t>
      </w:r>
      <w:r w:rsidRPr="005A0574">
        <w:rPr>
          <w:noProof/>
        </w:rPr>
        <w:t>NASA GEOS GCM model (Molod  et al., 2015).</w:t>
      </w:r>
      <w:r w:rsidRPr="005A0574">
        <w:t xml:space="preserve"> The GEOS GCM was configured with c360 </w:t>
      </w:r>
      <w:r w:rsidRPr="005A0574">
        <w:lastRenderedPageBreak/>
        <w:t xml:space="preserve">spatial resolution (~ 25km) and was run in free forecast mode for all of January 2016. Each forecast day covered a 120-h time integration, with output available every hour. Atmospheric initial conditions were provided by the Modern–Era Retrospective Analysis for Research and Applications, Version 2 (MERRA–2, </w:t>
      </w:r>
      <w:proofErr w:type="spellStart"/>
      <w:r w:rsidRPr="005A0574">
        <w:t>Gelaro</w:t>
      </w:r>
      <w:proofErr w:type="spellEnd"/>
      <w:r w:rsidRPr="005A0574">
        <w:t xml:space="preserve"> et al., 2017). The </w:t>
      </w:r>
      <w:r w:rsidRPr="005A0574">
        <w:rPr>
          <w:lang w:eastAsia="de-DE"/>
        </w:rPr>
        <w:t xml:space="preserve">simulations applied the </w:t>
      </w:r>
      <w:r w:rsidR="00FF2960" w:rsidRPr="005A0574">
        <w:rPr>
          <w:lang w:eastAsia="de-DE"/>
        </w:rPr>
        <w:t xml:space="preserve">FV3 </w:t>
      </w:r>
      <w:r w:rsidRPr="005A0574">
        <w:rPr>
          <w:lang w:eastAsia="de-DE"/>
        </w:rPr>
        <w:t xml:space="preserve">non-hydrostatic dynamical core </w:t>
      </w:r>
      <w:r w:rsidR="00FF2960" w:rsidRPr="005A0574">
        <w:rPr>
          <w:lang w:eastAsia="de-DE"/>
        </w:rPr>
        <w:t xml:space="preserve">on a cubed-sphere grid </w:t>
      </w:r>
      <w:r w:rsidRPr="005A0574">
        <w:rPr>
          <w:lang w:eastAsia="de-DE"/>
        </w:rPr>
        <w:t xml:space="preserve">(Putman </w:t>
      </w:r>
      <w:r w:rsidR="00FF2960" w:rsidRPr="005A0574">
        <w:rPr>
          <w:lang w:eastAsia="de-DE"/>
        </w:rPr>
        <w:t>and Lin</w:t>
      </w:r>
      <w:r w:rsidRPr="005A0574">
        <w:rPr>
          <w:lang w:eastAsia="de-DE"/>
        </w:rPr>
        <w:t>, 2007)</w:t>
      </w:r>
      <w:r w:rsidR="00807624" w:rsidRPr="005A0574">
        <w:rPr>
          <w:lang w:eastAsia="de-DE"/>
        </w:rPr>
        <w:t xml:space="preserve">. </w:t>
      </w:r>
      <w:r w:rsidR="00807624" w:rsidRPr="005A0574">
        <w:t>Resolved grid-scale cloud microphysics applies a single-moment formulation for rain, liquid and ice condensates</w:t>
      </w:r>
      <w:r w:rsidRPr="005A0574">
        <w:rPr>
          <w:rFonts w:ascii="Times" w:hAnsi="Times" w:cs="Times"/>
          <w:color w:val="000000"/>
          <w:sz w:val="26"/>
          <w:szCs w:val="26"/>
        </w:rPr>
        <w:t xml:space="preserve"> (</w:t>
      </w:r>
      <w:proofErr w:type="spellStart"/>
      <w:r w:rsidRPr="005A0574">
        <w:rPr>
          <w:lang w:eastAsia="de-DE"/>
        </w:rPr>
        <w:t>Bacmeister</w:t>
      </w:r>
      <w:proofErr w:type="spellEnd"/>
      <w:r w:rsidRPr="005A0574">
        <w:rPr>
          <w:lang w:eastAsia="de-DE"/>
        </w:rPr>
        <w:t xml:space="preserve"> et al., 2006). The longwave radiative processes are represented following Chou and Suarez (1994), and the shortwave radiative processes are from Chou and Suarez (1999). The turbulence parameterization is a non-local scheme primarily based on Lock et al. (2000), acting together with the local first order scheme of Louis and </w:t>
      </w:r>
      <w:proofErr w:type="spellStart"/>
      <w:r w:rsidRPr="005A0574">
        <w:rPr>
          <w:lang w:eastAsia="de-DE"/>
        </w:rPr>
        <w:t>Geleyn</w:t>
      </w:r>
      <w:proofErr w:type="spellEnd"/>
      <w:r w:rsidRPr="005A0574">
        <w:rPr>
          <w:lang w:eastAsia="de-DE"/>
        </w:rPr>
        <w:t xml:space="preserve"> (1982). The sea surface temperature is prescribed following Reynolds et al. (2002). </w:t>
      </w:r>
    </w:p>
    <w:p w14:paraId="72D61BCA" w14:textId="494DF0B7" w:rsidR="000A2764" w:rsidRPr="005A0574" w:rsidRDefault="000A2764" w:rsidP="000A2764">
      <w:pPr>
        <w:rPr>
          <w:lang w:eastAsia="de-DE"/>
        </w:rPr>
      </w:pPr>
      <w:r w:rsidRPr="005A0574">
        <w:rPr>
          <w:lang w:eastAsia="de-DE"/>
        </w:rPr>
        <w:t>We first demonstrate the impact of the boundary layer production on the cloud work function (CWF) available for the deep convection overturning. Figure 11 shows the monthly mean of the diurnal variation of the three quantities given by Eq</w:t>
      </w:r>
      <w:r w:rsidR="00ED26A7" w:rsidRPr="005A0574">
        <w:rPr>
          <w:lang w:eastAsia="de-DE"/>
        </w:rPr>
        <w:t>uations</w:t>
      </w:r>
      <w:r w:rsidRPr="005A0574">
        <w:rPr>
          <w:lang w:eastAsia="de-DE"/>
        </w:rPr>
        <w:t xml:space="preserve"> 10, 11 and 12. The figure represents the monthly mean (January 2016) of the diurnal variation of the total cloud work function, boundary layer production, and the available cloud work function</w:t>
      </w:r>
      <w:r w:rsidR="002C5608">
        <w:rPr>
          <w:lang w:eastAsia="de-DE"/>
        </w:rPr>
        <w:t>,</w:t>
      </w:r>
      <w:r w:rsidRPr="005A0574">
        <w:rPr>
          <w:lang w:eastAsia="de-DE"/>
        </w:rPr>
        <w:t xml:space="preserve"> all area-averaged over the Amazon Basin.</w:t>
      </w:r>
    </w:p>
    <w:p w14:paraId="17EE1A40" w14:textId="465B42DA" w:rsidR="000A2764" w:rsidRPr="005A0574" w:rsidRDefault="000A2764" w:rsidP="000A2764">
      <w:pPr>
        <w:rPr>
          <w:lang w:eastAsia="de-DE"/>
        </w:rPr>
      </w:pPr>
      <w:r w:rsidRPr="005A0574">
        <w:rPr>
          <w:lang w:eastAsia="de-DE"/>
        </w:rPr>
        <w:t>The total CWF tightly follows the surface fluxes as the air parcels that form the convective updrafts originate close to the surface in the PBL. The boundary layer production presents similar behavior, peaking at noon and developing negative values during the nights. The combination of the two terms following the Eq</w:t>
      </w:r>
      <w:r w:rsidR="00ED26A7" w:rsidRPr="005A0574">
        <w:rPr>
          <w:lang w:eastAsia="de-DE"/>
        </w:rPr>
        <w:t xml:space="preserve">uation </w:t>
      </w:r>
      <w:r w:rsidRPr="005A0574">
        <w:rPr>
          <w:lang w:eastAsia="de-DE"/>
        </w:rPr>
        <w:t>1</w:t>
      </w:r>
      <w:r w:rsidR="006876C2" w:rsidRPr="005A0574">
        <w:rPr>
          <w:lang w:eastAsia="de-DE"/>
        </w:rPr>
        <w:t>7</w:t>
      </w:r>
      <w:r w:rsidRPr="005A0574">
        <w:rPr>
          <w:lang w:eastAsia="de-DE"/>
        </w:rPr>
        <w:t xml:space="preserve"> defines the available CWF for convection overturning. </w:t>
      </w:r>
      <w:r w:rsidR="00676CF5">
        <w:rPr>
          <w:lang w:eastAsia="de-DE"/>
        </w:rPr>
        <w:t>A</w:t>
      </w:r>
      <w:r w:rsidRPr="005A0574">
        <w:rPr>
          <w:lang w:eastAsia="de-DE"/>
        </w:rPr>
        <w:t xml:space="preserve"> negative range of the available CWF</w:t>
      </w:r>
      <w:r w:rsidR="00676CF5">
        <w:rPr>
          <w:lang w:eastAsia="de-DE"/>
        </w:rPr>
        <w:t xml:space="preserve">, </w:t>
      </w:r>
      <w:r w:rsidR="00B64C83">
        <w:rPr>
          <w:lang w:eastAsia="de-DE"/>
        </w:rPr>
        <w:t xml:space="preserve">associated with </w:t>
      </w:r>
      <w:r w:rsidR="00B64C83" w:rsidRPr="004B7527">
        <w:rPr>
          <w:lang w:eastAsia="de-DE"/>
        </w:rPr>
        <w:t>the negative buoyancy contribution below the level of free convection</w:t>
      </w:r>
      <w:r w:rsidR="00676CF5" w:rsidRPr="004B7527">
        <w:rPr>
          <w:lang w:eastAsia="de-DE"/>
        </w:rPr>
        <w:t>,</w:t>
      </w:r>
      <w:r w:rsidRPr="005A0574">
        <w:rPr>
          <w:lang w:eastAsia="de-DE"/>
        </w:rPr>
        <w:t xml:space="preserve"> in the early mornings to approximately noon prevents the model from developing convective precipitation in that period and shifting the maximum CWF to late afternoon, much closer to the observed diurnal cycle of precipitation over the Amazon region. </w:t>
      </w:r>
    </w:p>
    <w:p w14:paraId="68B74753" w14:textId="4FD1D784" w:rsidR="00865F7D" w:rsidRPr="005A0574" w:rsidRDefault="00F0386A" w:rsidP="00865F7D">
      <w:pPr>
        <w:rPr>
          <w:lang w:eastAsia="de-DE"/>
        </w:rPr>
      </w:pPr>
      <w:r w:rsidRPr="005A0574">
        <w:rPr>
          <w:lang w:eastAsia="de-DE"/>
        </w:rPr>
        <w:t>A global perspective of these three quantities is shown in Figure 12. As before, the curves represent the monthly mean (January 2016) of the diurnal variation of the total cloud work function, boundary layer production, and the available cloud work function. Here the averaged area corresponds to the global domain (</w:t>
      </w:r>
      <w:r w:rsidR="00ED26A7" w:rsidRPr="005A0574">
        <w:rPr>
          <w:lang w:eastAsia="de-DE"/>
        </w:rPr>
        <w:t>Fig. 12</w:t>
      </w:r>
      <w:r w:rsidRPr="005A0574">
        <w:rPr>
          <w:lang w:eastAsia="de-DE"/>
        </w:rPr>
        <w:t>A), only the land regions (</w:t>
      </w:r>
      <w:r w:rsidR="00ED26A7" w:rsidRPr="005A0574">
        <w:rPr>
          <w:lang w:eastAsia="de-DE"/>
        </w:rPr>
        <w:t>Fig.</w:t>
      </w:r>
      <w:r w:rsidRPr="005A0574">
        <w:rPr>
          <w:lang w:eastAsia="de-DE"/>
        </w:rPr>
        <w:t xml:space="preserve"> </w:t>
      </w:r>
      <w:r w:rsidR="00ED26A7" w:rsidRPr="005A0574">
        <w:rPr>
          <w:lang w:eastAsia="de-DE"/>
        </w:rPr>
        <w:t>12</w:t>
      </w:r>
      <w:r w:rsidRPr="005A0574">
        <w:rPr>
          <w:lang w:eastAsia="de-DE"/>
        </w:rPr>
        <w:t>B) and only the oceans (</w:t>
      </w:r>
      <w:r w:rsidR="00ED26A7" w:rsidRPr="005A0574">
        <w:rPr>
          <w:lang w:eastAsia="de-DE"/>
        </w:rPr>
        <w:t>Fig.</w:t>
      </w:r>
      <w:r w:rsidRPr="005A0574">
        <w:rPr>
          <w:lang w:eastAsia="de-DE"/>
        </w:rPr>
        <w:t xml:space="preserve"> </w:t>
      </w:r>
      <w:r w:rsidR="00ED26A7" w:rsidRPr="005A0574">
        <w:rPr>
          <w:lang w:eastAsia="de-DE"/>
        </w:rPr>
        <w:t>12</w:t>
      </w:r>
      <w:r w:rsidRPr="005A0574">
        <w:rPr>
          <w:lang w:eastAsia="de-DE"/>
        </w:rPr>
        <w:t>C). Over oceans, the boundary layer production is small in comparison with the total CWF; over land (</w:t>
      </w:r>
      <w:r w:rsidR="00ED26A7" w:rsidRPr="005A0574">
        <w:rPr>
          <w:lang w:eastAsia="de-DE"/>
        </w:rPr>
        <w:t>Fig.</w:t>
      </w:r>
      <w:r w:rsidRPr="005A0574">
        <w:rPr>
          <w:lang w:eastAsia="de-DE"/>
        </w:rPr>
        <w:t xml:space="preserve"> </w:t>
      </w:r>
      <w:r w:rsidR="00ED26A7" w:rsidRPr="005A0574">
        <w:rPr>
          <w:lang w:eastAsia="de-DE"/>
        </w:rPr>
        <w:t>12</w:t>
      </w:r>
      <w:r w:rsidRPr="005A0574">
        <w:rPr>
          <w:lang w:eastAsia="de-DE"/>
        </w:rPr>
        <w:t xml:space="preserve">B), it is comparable in magnitude with the total CWF, pushing the available </w:t>
      </w:r>
      <w:r w:rsidRPr="005A0574">
        <w:rPr>
          <w:lang w:eastAsia="de-DE"/>
        </w:rPr>
        <w:lastRenderedPageBreak/>
        <w:t>CWF to peaks closer to the late afternoons and early evenings. On global average (</w:t>
      </w:r>
      <w:r w:rsidR="00ED26A7" w:rsidRPr="005A0574">
        <w:rPr>
          <w:lang w:eastAsia="de-DE"/>
        </w:rPr>
        <w:t>Fig.</w:t>
      </w:r>
      <w:r w:rsidRPr="005A0574">
        <w:rPr>
          <w:lang w:eastAsia="de-DE"/>
        </w:rPr>
        <w:t xml:space="preserve"> </w:t>
      </w:r>
      <w:r w:rsidR="00ED26A7" w:rsidRPr="005A0574">
        <w:rPr>
          <w:lang w:eastAsia="de-DE"/>
        </w:rPr>
        <w:t>12</w:t>
      </w:r>
      <w:r w:rsidRPr="005A0574">
        <w:rPr>
          <w:lang w:eastAsia="de-DE"/>
        </w:rPr>
        <w:t>A), the boundary layer production still plays a substantial role with a clear effect in the timing of the maximum available CWF.</w:t>
      </w:r>
    </w:p>
    <w:p w14:paraId="6F7F9C63" w14:textId="4F8DBC3A" w:rsidR="00F0386A" w:rsidRPr="005A0574" w:rsidRDefault="00E55A0E" w:rsidP="00D90013">
      <w:r w:rsidRPr="005A0574">
        <w:t>A perspective of the precipitation simulation with GEOS</w:t>
      </w:r>
      <w:r w:rsidR="00EF5885" w:rsidRPr="005A0574">
        <w:t xml:space="preserve">-5 </w:t>
      </w:r>
      <w:r w:rsidRPr="005A0574">
        <w:t xml:space="preserve">GCM with the GF scheme and the impact of the diurnal cycle closure is provided by Figure 13. Here, the January 2016 average of the diurnal cycle of the precipitation (left column) and the July 2015 (right column) are depicted. </w:t>
      </w:r>
      <w:r w:rsidR="00EF5885" w:rsidRPr="005A0574">
        <w:t>Figure 13</w:t>
      </w:r>
      <w:r w:rsidRPr="005A0574">
        <w:t xml:space="preserve"> A and D show </w:t>
      </w:r>
      <w:r w:rsidR="00D25B85" w:rsidRPr="005A0574">
        <w:t xml:space="preserve">the rainfall </w:t>
      </w:r>
      <w:r w:rsidRPr="005A0574">
        <w:t>estimation by the TRMM Multi-satellite Precipitation Analysis (TMPA version 3B42, Huffman et al., 2007)</w:t>
      </w:r>
      <w:r w:rsidR="00D25B85" w:rsidRPr="005A0574">
        <w:t xml:space="preserve">. </w:t>
      </w:r>
      <w:r w:rsidR="00865F7D" w:rsidRPr="005A0574">
        <w:t>Also,</w:t>
      </w:r>
      <w:r w:rsidR="00D25B85" w:rsidRPr="005A0574">
        <w:t xml:space="preserve"> the </w:t>
      </w:r>
      <w:r w:rsidR="006656E4">
        <w:t xml:space="preserve">precipitation </w:t>
      </w:r>
      <w:r w:rsidR="00D25B85" w:rsidRPr="005A0574">
        <w:t>simulated by the GEOS-GF, including</w:t>
      </w:r>
      <w:r w:rsidR="006656E4" w:rsidRPr="006656E4">
        <w:t xml:space="preserve"> </w:t>
      </w:r>
      <w:r w:rsidR="006656E4" w:rsidRPr="005A0574">
        <w:t>the diurnal cycle closure</w:t>
      </w:r>
      <w:r w:rsidR="006656E4">
        <w:t xml:space="preserve"> </w:t>
      </w:r>
      <w:r w:rsidR="00D25B85" w:rsidRPr="005A0574">
        <w:t xml:space="preserve">(at middle, </w:t>
      </w:r>
      <w:r w:rsidR="00EF5885" w:rsidRPr="005A0574">
        <w:t>Fig. 13</w:t>
      </w:r>
      <w:r w:rsidR="00D25B85" w:rsidRPr="005A0574">
        <w:t xml:space="preserve"> C and E) or not (lower panels, </w:t>
      </w:r>
      <w:r w:rsidR="00EF5885" w:rsidRPr="005A0574">
        <w:t xml:space="preserve">Fig 13. </w:t>
      </w:r>
      <w:r w:rsidR="00D25B85" w:rsidRPr="005A0574">
        <w:t>D and F) are depicted. The precipitation fields were averaged over the latitudes</w:t>
      </w:r>
      <w:r w:rsidR="00865F7D" w:rsidRPr="005A0574">
        <w:t xml:space="preserve"> between</w:t>
      </w:r>
      <w:r w:rsidR="00D25B85" w:rsidRPr="005A0574">
        <w:t xml:space="preserve"> 40 S and 40 N</w:t>
      </w:r>
      <w:r w:rsidR="00865F7D" w:rsidRPr="005A0574">
        <w:t xml:space="preserve"> taking into account only the land regions. T</w:t>
      </w:r>
      <w:r w:rsidR="00D25B85" w:rsidRPr="005A0574">
        <w:t>he vertical axis represents the local time.</w:t>
      </w:r>
    </w:p>
    <w:p w14:paraId="37BB1E19" w14:textId="532EED11" w:rsidR="000E48C1" w:rsidRPr="005A0574" w:rsidRDefault="00CD38CD" w:rsidP="00B33ADA">
      <w:r w:rsidRPr="005A0574">
        <w:t xml:space="preserve">The TRMM estimation </w:t>
      </w:r>
      <w:proofErr w:type="gramStart"/>
      <w:r w:rsidRPr="005A0574">
        <w:t>evidences</w:t>
      </w:r>
      <w:proofErr w:type="gramEnd"/>
      <w:r w:rsidRPr="005A0574">
        <w:t xml:space="preserve"> two peaks of precipitation rate: a nocturnal </w:t>
      </w:r>
      <w:r w:rsidR="006656E4">
        <w:t>peak</w:t>
      </w:r>
      <w:r w:rsidRPr="005A0574">
        <w:t xml:space="preserve"> around 3 AM over oceans (not shown) and another one in late afternoon (3 to 6 PM) over land. A significant gap of rainfall </w:t>
      </w:r>
      <w:r w:rsidR="00363E50" w:rsidRPr="005A0574">
        <w:t>in the mornings</w:t>
      </w:r>
      <w:r w:rsidRPr="005A0574">
        <w:t xml:space="preserve"> is also seen</w:t>
      </w:r>
      <w:r w:rsidR="00EC711F" w:rsidRPr="005A0574">
        <w:t xml:space="preserve"> in both months. We found a somewhat overestimation of the precipitation in comparison with the estimates produced by the TRMM retrieval technique (</w:t>
      </w:r>
      <w:r w:rsidR="00EF5885" w:rsidRPr="005A0574">
        <w:t>Fig. 13</w:t>
      </w:r>
      <w:r w:rsidR="00EC711F" w:rsidRPr="005A0574">
        <w:t xml:space="preserve"> A and D). However, the simulations that appl</w:t>
      </w:r>
      <w:r w:rsidR="003C403A">
        <w:t>y</w:t>
      </w:r>
      <w:r w:rsidR="00EC711F" w:rsidRPr="005A0574">
        <w:t xml:space="preserve"> the diurnal cycle closure (</w:t>
      </w:r>
      <w:r w:rsidR="00EF5885" w:rsidRPr="005A0574">
        <w:t>Fig. 13</w:t>
      </w:r>
      <w:r w:rsidR="00EC711F" w:rsidRPr="005A0574">
        <w:t xml:space="preserve"> C and F) are superior regarding the phase in comparison with the simulation</w:t>
      </w:r>
      <w:r w:rsidR="003C403A">
        <w:t>s</w:t>
      </w:r>
      <w:r w:rsidR="00EC711F" w:rsidRPr="005A0574">
        <w:t xml:space="preserve"> which appl</w:t>
      </w:r>
      <w:r w:rsidR="003C403A">
        <w:t>y</w:t>
      </w:r>
      <w:r w:rsidR="00EC711F" w:rsidRPr="005A0574">
        <w:t xml:space="preserve"> the total CWF (</w:t>
      </w:r>
      <w:r w:rsidR="00EF5885" w:rsidRPr="005A0574">
        <w:t>Fig. 13</w:t>
      </w:r>
      <w:r w:rsidR="00EC711F" w:rsidRPr="005A0574">
        <w:t xml:space="preserve"> B and E) for the closure. As shown in </w:t>
      </w:r>
      <w:r w:rsidR="00EF5885" w:rsidRPr="005A0574">
        <w:t>Figure 13</w:t>
      </w:r>
      <w:r w:rsidR="00EC711F" w:rsidRPr="005A0574">
        <w:t xml:space="preserve">C and </w:t>
      </w:r>
      <w:r w:rsidR="00C50D3A" w:rsidRPr="005A0574">
        <w:t>13</w:t>
      </w:r>
      <w:r w:rsidR="00EC711F" w:rsidRPr="005A0574">
        <w:t xml:space="preserve">F, the diurnal cycle closure adapted from B2014 used in these simulations show a much better representation of the morning to early afternoon gap of the precipitation, which peaks much closer to the time of TRMM </w:t>
      </w:r>
      <w:r w:rsidR="006C741B" w:rsidRPr="005A0574">
        <w:t>retrieval</w:t>
      </w:r>
      <w:r w:rsidR="00EC711F" w:rsidRPr="005A0574">
        <w:t>. In particular, model improvements are noticeable over the Amazon region (denoted by "</w:t>
      </w:r>
      <w:r w:rsidR="006C741B" w:rsidRPr="005A0574">
        <w:t>South America</w:t>
      </w:r>
      <w:r w:rsidR="00EC711F" w:rsidRPr="005A0574">
        <w:t>"). Similar improvements are also evident over Africa and Australia.</w:t>
      </w:r>
    </w:p>
    <w:p w14:paraId="0C678455" w14:textId="06685A6D" w:rsidR="00207B84" w:rsidRPr="005A0574" w:rsidRDefault="002016CA" w:rsidP="00D90013">
      <w:r w:rsidRPr="005A0574">
        <w:rPr>
          <w:lang w:eastAsia="de-DE"/>
        </w:rPr>
        <w:t>For</w:t>
      </w:r>
      <w:r w:rsidR="002510D5" w:rsidRPr="005A0574">
        <w:rPr>
          <w:lang w:eastAsia="de-DE"/>
        </w:rPr>
        <w:t xml:space="preserve"> more detail</w:t>
      </w:r>
      <w:r w:rsidRPr="005A0574">
        <w:rPr>
          <w:lang w:eastAsia="de-DE"/>
        </w:rPr>
        <w:t>ed analysis of</w:t>
      </w:r>
      <w:r w:rsidR="002510D5" w:rsidRPr="005A0574">
        <w:rPr>
          <w:lang w:eastAsia="de-DE"/>
        </w:rPr>
        <w:t xml:space="preserve"> the diurnal cycle of the precipitation </w:t>
      </w:r>
      <w:r w:rsidR="003C5F3E" w:rsidRPr="005A0574">
        <w:rPr>
          <w:lang w:eastAsia="de-DE"/>
        </w:rPr>
        <w:t>we</w:t>
      </w:r>
      <w:r w:rsidR="002510D5" w:rsidRPr="005A0574">
        <w:rPr>
          <w:lang w:eastAsia="de-DE"/>
        </w:rPr>
        <w:t xml:space="preserve"> use</w:t>
      </w:r>
      <w:r w:rsidR="003C5F3E" w:rsidRPr="005A0574">
        <w:rPr>
          <w:lang w:eastAsia="de-DE"/>
        </w:rPr>
        <w:t xml:space="preserve"> higher </w:t>
      </w:r>
      <w:r w:rsidR="00DB3A04" w:rsidRPr="005A0574">
        <w:rPr>
          <w:lang w:eastAsia="de-DE"/>
        </w:rPr>
        <w:t xml:space="preserve">spatial and </w:t>
      </w:r>
      <w:r w:rsidR="003C5F3E" w:rsidRPr="005A0574">
        <w:rPr>
          <w:lang w:eastAsia="de-DE"/>
        </w:rPr>
        <w:t xml:space="preserve">temporal resolution </w:t>
      </w:r>
      <w:r w:rsidR="002510D5" w:rsidRPr="005A0574">
        <w:rPr>
          <w:lang w:eastAsia="de-DE"/>
        </w:rPr>
        <w:t xml:space="preserve">retrievals from the </w:t>
      </w:r>
      <w:r w:rsidR="002510D5" w:rsidRPr="005A0574">
        <w:t>Global Precipitation Measurement (GPM) with the Integrated Multi-</w:t>
      </w:r>
      <w:proofErr w:type="spellStart"/>
      <w:r w:rsidR="002510D5" w:rsidRPr="005A0574">
        <w:t>satellitE</w:t>
      </w:r>
      <w:proofErr w:type="spellEnd"/>
      <w:r w:rsidR="002510D5" w:rsidRPr="005A0574">
        <w:t xml:space="preserve"> Retrievals for GPM (IMERG, version 6</w:t>
      </w:r>
      <w:r w:rsidRPr="005A0574">
        <w:t xml:space="preserve">, </w:t>
      </w:r>
      <w:r w:rsidR="002510D5" w:rsidRPr="005A0574">
        <w:rPr>
          <w:i/>
          <w:iCs/>
          <w:color w:val="0E101A"/>
        </w:rPr>
        <w:t>Huffman et al.,</w:t>
      </w:r>
      <w:r w:rsidR="002510D5" w:rsidRPr="005A0574">
        <w:t> 2019</w:t>
      </w:r>
      <w:r w:rsidRPr="005A0574">
        <w:t>)</w:t>
      </w:r>
      <w:r w:rsidR="002510D5" w:rsidRPr="005A0574">
        <w:t xml:space="preserve">. The </w:t>
      </w:r>
      <w:r w:rsidR="004E63B0" w:rsidRPr="005A0574">
        <w:t>IMERG</w:t>
      </w:r>
      <w:r w:rsidR="002510D5" w:rsidRPr="005A0574">
        <w:t xml:space="preserve"> has 0.1-degree spatial and ½ -hour temporal resolutions.</w:t>
      </w:r>
      <w:r w:rsidR="004E63B0" w:rsidRPr="005A0574">
        <w:t xml:space="preserve"> </w:t>
      </w:r>
      <w:r w:rsidR="00DB3A04" w:rsidRPr="005A0574">
        <w:t xml:space="preserve">Also, we adopt the technique of calculating the diurnal harmonics using a Fourier transform and focus on the phase and amplitude of the first harmonic. The GPM IMERG retrievals were first interpolated to the GEOS-5 grid spatial resolution (~ 25 km) </w:t>
      </w:r>
      <w:r w:rsidR="003C403A">
        <w:t>and</w:t>
      </w:r>
      <w:r w:rsidR="00DB3A04" w:rsidRPr="005A0574">
        <w:t xml:space="preserve"> temporal accumulation (1-hour).</w:t>
      </w:r>
      <w:r w:rsidR="00C95485" w:rsidRPr="005A0574">
        <w:t xml:space="preserve"> Figure 14 shows the mean precipitation</w:t>
      </w:r>
      <w:r w:rsidR="000A299E" w:rsidRPr="005A0574">
        <w:t>,</w:t>
      </w:r>
      <w:r w:rsidR="00C95485" w:rsidRPr="005A0574">
        <w:t xml:space="preserve"> and </w:t>
      </w:r>
      <w:r w:rsidR="000A299E" w:rsidRPr="005A0574">
        <w:t xml:space="preserve">the mean </w:t>
      </w:r>
      <w:r w:rsidR="00C95485" w:rsidRPr="005A0574">
        <w:t xml:space="preserve">amplitude and phase </w:t>
      </w:r>
      <w:r w:rsidR="000A299E" w:rsidRPr="005A0574">
        <w:t xml:space="preserve">of the first harmonic </w:t>
      </w:r>
      <w:r w:rsidR="00C95485" w:rsidRPr="005A0574">
        <w:t xml:space="preserve">over the Amazon Basin. </w:t>
      </w:r>
      <w:r w:rsidR="00B7202A" w:rsidRPr="005A0574">
        <w:t>The diurnal phase was shifted to the local solar time</w:t>
      </w:r>
      <w:r w:rsidR="000A299E" w:rsidRPr="005A0574">
        <w:t xml:space="preserve"> (LST)</w:t>
      </w:r>
      <w:r w:rsidR="00B7202A" w:rsidRPr="005A0574">
        <w:t xml:space="preserve"> and</w:t>
      </w:r>
      <w:r w:rsidR="000A299E" w:rsidRPr="005A0574">
        <w:t xml:space="preserve"> 12 LST</w:t>
      </w:r>
      <w:r w:rsidR="00B7202A" w:rsidRPr="005A0574">
        <w:t xml:space="preserve"> is associated with</w:t>
      </w:r>
      <w:r w:rsidR="000A299E" w:rsidRPr="005A0574">
        <w:t xml:space="preserve"> the</w:t>
      </w:r>
      <w:r w:rsidR="00B7202A" w:rsidRPr="005A0574">
        <w:t xml:space="preserve"> </w:t>
      </w:r>
      <w:r w:rsidR="007D7227" w:rsidRPr="005A0574">
        <w:t xml:space="preserve">time of </w:t>
      </w:r>
      <w:r w:rsidR="00B7202A" w:rsidRPr="005A0574">
        <w:lastRenderedPageBreak/>
        <w:t>maximum insolation in a cloud free sky condition.</w:t>
      </w:r>
      <w:r w:rsidR="00C329EB" w:rsidRPr="005A0574">
        <w:t xml:space="preserve"> The IMERG mean precipitation </w:t>
      </w:r>
      <w:r w:rsidR="00754D47" w:rsidRPr="005A0574">
        <w:t xml:space="preserve">(Fig. 14A) </w:t>
      </w:r>
      <w:r w:rsidR="00C329EB" w:rsidRPr="005A0574">
        <w:t xml:space="preserve">shows the typical summer pattern over the Amazon Basin with </w:t>
      </w:r>
      <w:r w:rsidR="00754D47" w:rsidRPr="005A0574">
        <w:t xml:space="preserve">the </w:t>
      </w:r>
      <w:r w:rsidR="00C329EB" w:rsidRPr="005A0574">
        <w:t xml:space="preserve">maximum </w:t>
      </w:r>
      <w:r w:rsidR="00754D47" w:rsidRPr="005A0574">
        <w:t xml:space="preserve">accumulated </w:t>
      </w:r>
      <w:r w:rsidR="00C329EB" w:rsidRPr="005A0574">
        <w:t xml:space="preserve">precipitation occurring </w:t>
      </w:r>
      <w:r w:rsidR="003C403A">
        <w:t>s</w:t>
      </w:r>
      <w:r w:rsidR="00C329EB" w:rsidRPr="005A0574">
        <w:t xml:space="preserve">outh of </w:t>
      </w:r>
      <w:r w:rsidR="003C403A">
        <w:t xml:space="preserve">the </w:t>
      </w:r>
      <w:r w:rsidR="00C329EB" w:rsidRPr="005A0574">
        <w:t xml:space="preserve">Equator following the </w:t>
      </w:r>
      <w:r w:rsidR="007D7227" w:rsidRPr="005A0574">
        <w:t>annual</w:t>
      </w:r>
      <w:r w:rsidR="00C329EB" w:rsidRPr="005A0574">
        <w:t xml:space="preserve"> southward shift of the </w:t>
      </w:r>
      <w:r w:rsidR="00754D47" w:rsidRPr="005A0574">
        <w:t>Inter Tropical Convergence Zone</w:t>
      </w:r>
      <w:r w:rsidR="00C329EB" w:rsidRPr="005A0574">
        <w:t xml:space="preserve"> (ITCZ)</w:t>
      </w:r>
      <w:r w:rsidR="00754D47" w:rsidRPr="005A0574">
        <w:t xml:space="preserve">. </w:t>
      </w:r>
      <w:r w:rsidR="007167D1" w:rsidRPr="005A0574">
        <w:t>The domain average precipitation estimated by IMERG was 5.62 mm day</w:t>
      </w:r>
      <w:r w:rsidR="007167D1" w:rsidRPr="005A0574">
        <w:rPr>
          <w:vertAlign w:val="superscript"/>
        </w:rPr>
        <w:t>-1</w:t>
      </w:r>
      <w:r w:rsidR="007167D1" w:rsidRPr="005A0574">
        <w:t xml:space="preserve">. The correspondent field as simulated by the GEOS-5 </w:t>
      </w:r>
      <w:r w:rsidR="00175FF3" w:rsidRPr="005A0574">
        <w:t>is</w:t>
      </w:r>
      <w:r w:rsidR="007167D1" w:rsidRPr="005A0574">
        <w:t xml:space="preserve"> shown </w:t>
      </w:r>
      <w:r w:rsidR="00104413" w:rsidRPr="005A0574">
        <w:t xml:space="preserve">in </w:t>
      </w:r>
      <w:r w:rsidR="00B63E48" w:rsidRPr="005A0574">
        <w:t>Fig 14</w:t>
      </w:r>
      <w:r w:rsidR="00104413" w:rsidRPr="005A0574">
        <w:t xml:space="preserve">D and G without (DC OFF) and with (DC ON) the adaptation of B2014 diurnal cycle closure, respectively. </w:t>
      </w:r>
      <w:r w:rsidR="00B20F55" w:rsidRPr="005A0574">
        <w:t xml:space="preserve">Both simulations show </w:t>
      </w:r>
      <w:r w:rsidR="00175FF3" w:rsidRPr="005A0574">
        <w:t xml:space="preserve">a </w:t>
      </w:r>
      <w:r w:rsidR="00B20F55" w:rsidRPr="005A0574">
        <w:t xml:space="preserve">very similar pattern, and they are also reasonably comparable with the IMERG in the inner part of the continent. However, </w:t>
      </w:r>
      <w:r w:rsidR="003B7AF2" w:rsidRPr="005A0574">
        <w:t>the</w:t>
      </w:r>
      <w:r w:rsidR="00B20F55" w:rsidRPr="005A0574">
        <w:t xml:space="preserve"> simulations suffer </w:t>
      </w:r>
      <w:r w:rsidR="00175FF3" w:rsidRPr="005A0574">
        <w:t>from</w:t>
      </w:r>
      <w:r w:rsidR="00B20F55" w:rsidRPr="005A0574">
        <w:t xml:space="preserve"> spurious precipitation along the Andes mountains </w:t>
      </w:r>
      <w:r w:rsidR="00175FF3" w:rsidRPr="005A0574">
        <w:t>triggered by numerical noise associated with the steep terrain and the use of a sigma-type vertical coordinate.</w:t>
      </w:r>
      <w:r w:rsidR="00266218" w:rsidRPr="005A0574">
        <w:t xml:space="preserve"> The simulated </w:t>
      </w:r>
      <w:r w:rsidR="00431B95" w:rsidRPr="005A0574">
        <w:t>domain average</w:t>
      </w:r>
      <w:r w:rsidR="00266218" w:rsidRPr="005A0574">
        <w:t xml:space="preserve"> precipitation </w:t>
      </w:r>
      <w:r w:rsidR="00F00414" w:rsidRPr="005A0574">
        <w:t>was</w:t>
      </w:r>
      <w:r w:rsidR="00266218" w:rsidRPr="005A0574">
        <w:t xml:space="preserve"> 6.69 (6.59) mm day</w:t>
      </w:r>
      <w:r w:rsidR="00266218" w:rsidRPr="005A0574">
        <w:rPr>
          <w:vertAlign w:val="superscript"/>
        </w:rPr>
        <w:t>-1</w:t>
      </w:r>
      <w:r w:rsidR="00266218" w:rsidRPr="005A0574">
        <w:t xml:space="preserve"> for the case DC OFF (</w:t>
      </w:r>
      <w:r w:rsidR="00A77354" w:rsidRPr="005A0574">
        <w:t>ON)</w:t>
      </w:r>
      <w:r w:rsidR="00F00414" w:rsidRPr="005A0574">
        <w:t>,</w:t>
      </w:r>
      <w:r w:rsidR="00A77354" w:rsidRPr="005A0574">
        <w:t xml:space="preserve"> </w:t>
      </w:r>
      <w:r w:rsidR="00266218" w:rsidRPr="005A0574">
        <w:t xml:space="preserve">roughly 18% larger than IMERG. It </w:t>
      </w:r>
      <w:r w:rsidR="00A77354" w:rsidRPr="005A0574">
        <w:t xml:space="preserve">seems </w:t>
      </w:r>
      <w:r w:rsidR="00F00414" w:rsidRPr="005A0574">
        <w:t>plausible</w:t>
      </w:r>
      <w:r w:rsidR="00A77354" w:rsidRPr="005A0574">
        <w:t xml:space="preserve"> that </w:t>
      </w:r>
      <w:r w:rsidR="003C403A">
        <w:t xml:space="preserve">the </w:t>
      </w:r>
      <w:r w:rsidR="00A77354" w:rsidRPr="005A0574">
        <w:t xml:space="preserve">precipitation </w:t>
      </w:r>
      <w:r w:rsidR="009A6BBF" w:rsidRPr="005A0574">
        <w:t xml:space="preserve">excess </w:t>
      </w:r>
      <w:r w:rsidR="00A77354" w:rsidRPr="005A0574">
        <w:t>is mostly associated</w:t>
      </w:r>
      <w:r w:rsidR="009A6BBF" w:rsidRPr="005A0574">
        <w:t xml:space="preserve"> with</w:t>
      </w:r>
      <w:r w:rsidR="00A77354" w:rsidRPr="005A0574">
        <w:t xml:space="preserve"> the spurious </w:t>
      </w:r>
      <w:r w:rsidR="00F00414" w:rsidRPr="005A0574">
        <w:t>generation</w:t>
      </w:r>
      <w:r w:rsidR="00A77354" w:rsidRPr="005A0574">
        <w:t xml:space="preserve"> along the steep terrain.  </w:t>
      </w:r>
      <w:r w:rsidR="008456B1" w:rsidRPr="005A0574">
        <w:t xml:space="preserve">The central column of Figure 14 shows the </w:t>
      </w:r>
      <w:r w:rsidR="003B7AF2" w:rsidRPr="005A0574">
        <w:t xml:space="preserve">January 2016 </w:t>
      </w:r>
      <w:r w:rsidR="008456B1" w:rsidRPr="005A0574">
        <w:t xml:space="preserve">mean amplitude of IMERG (panel B) and model simulations (panels E and H). The </w:t>
      </w:r>
      <w:r w:rsidR="00431B95" w:rsidRPr="005A0574">
        <w:t>domain average</w:t>
      </w:r>
      <w:r w:rsidR="008456B1" w:rsidRPr="005A0574">
        <w:t xml:space="preserve"> amplitude corresponds to 61, 51 and 62% of the precipitation of IMERG, model DC OFF and DC ON, respectively.  </w:t>
      </w:r>
      <w:r w:rsidR="00A8039F" w:rsidRPr="005A0574">
        <w:t xml:space="preserve">The </w:t>
      </w:r>
      <w:r w:rsidR="003C403A">
        <w:t xml:space="preserve">right </w:t>
      </w:r>
      <w:r w:rsidR="00A8039F" w:rsidRPr="005A0574">
        <w:t xml:space="preserve">column of Figure 14 shows the diurnal phase of the three data sets. Following </w:t>
      </w:r>
      <w:proofErr w:type="spellStart"/>
      <w:r w:rsidR="00A8039F" w:rsidRPr="005A0574">
        <w:t>Kousky</w:t>
      </w:r>
      <w:proofErr w:type="spellEnd"/>
      <w:r w:rsidR="00A8039F" w:rsidRPr="005A0574">
        <w:t xml:space="preserve"> (1980) the maximum precipitation which forms just inland along the coast </w:t>
      </w:r>
      <w:r w:rsidR="001F6F51">
        <w:t>in</w:t>
      </w:r>
      <w:r w:rsidR="00A8039F" w:rsidRPr="005A0574">
        <w:t xml:space="preserve"> late afternoon is associated with the development of the sea breeze front. With the sea breeze </w:t>
      </w:r>
      <w:r w:rsidR="001F6F51">
        <w:t xml:space="preserve">penetrating </w:t>
      </w:r>
      <w:r w:rsidR="00A8039F" w:rsidRPr="005A0574">
        <w:t xml:space="preserve">further inland, </w:t>
      </w:r>
      <w:r w:rsidR="001F6F51">
        <w:t>an</w:t>
      </w:r>
      <w:r w:rsidR="00A8039F" w:rsidRPr="005A0574">
        <w:t xml:space="preserve">other maximum occurs during the nighttime </w:t>
      </w:r>
      <w:r w:rsidR="001F6F51">
        <w:t>due to</w:t>
      </w:r>
      <w:r w:rsidR="00A8039F" w:rsidRPr="005A0574">
        <w:t xml:space="preserve"> the convergence formed with the onshore flow.  </w:t>
      </w:r>
      <w:r w:rsidR="00904879" w:rsidRPr="005A0574">
        <w:t>Both features are present in the simulations (</w:t>
      </w:r>
      <w:r w:rsidR="00B63E48" w:rsidRPr="005A0574">
        <w:t>Fig. 14</w:t>
      </w:r>
      <w:r w:rsidR="00904879" w:rsidRPr="005A0574">
        <w:t xml:space="preserve"> F and I), but the case DC ON better simulates the timing, being closer to the IMERG. As for the Amazon Basin interior, the IMERG shows a nighttime maximum associated with the squall lines that form along the northern coast of Brazil and propagate for long distances across the basin (</w:t>
      </w:r>
      <w:proofErr w:type="spellStart"/>
      <w:r w:rsidR="00904879" w:rsidRPr="005A0574">
        <w:t>Alcântara</w:t>
      </w:r>
      <w:proofErr w:type="spellEnd"/>
      <w:r w:rsidR="00904879" w:rsidRPr="005A0574">
        <w:t xml:space="preserve"> et al., 2011). Both simulations were </w:t>
      </w:r>
      <w:r w:rsidR="00CB3945">
        <w:t>unable</w:t>
      </w:r>
      <w:r w:rsidR="00904879" w:rsidRPr="005A0574">
        <w:t xml:space="preserve"> to capture the propagation of these convective lines. However, it is clear that the case DC OFF (</w:t>
      </w:r>
      <w:r w:rsidR="00B63E48" w:rsidRPr="005A0574">
        <w:t>Fig.</w:t>
      </w:r>
      <w:r w:rsidR="00904879" w:rsidRPr="005A0574">
        <w:t xml:space="preserve"> </w:t>
      </w:r>
      <w:r w:rsidR="00B63E48" w:rsidRPr="005A0574">
        <w:t>14</w:t>
      </w:r>
      <w:r w:rsidR="00904879" w:rsidRPr="005A0574">
        <w:t>F) simulates a maximum of amplitude too early, between 10 and 14 LT, whereas the case with the diurnal cycle ON (</w:t>
      </w:r>
      <w:r w:rsidR="00B63E48" w:rsidRPr="005A0574">
        <w:t>Fig. 14</w:t>
      </w:r>
      <w:r w:rsidR="00904879" w:rsidRPr="005A0574">
        <w:t>I) is closer to the timing of the IMERG (</w:t>
      </w:r>
      <w:r w:rsidR="00B63E48" w:rsidRPr="005A0574">
        <w:t>Fig. 14</w:t>
      </w:r>
      <w:r w:rsidR="00904879" w:rsidRPr="005A0574">
        <w:t>C), with the peak</w:t>
      </w:r>
      <w:r w:rsidR="00C26EBF" w:rsidRPr="005A0574">
        <w:t>s occurring between 14 and 18 LT.</w:t>
      </w:r>
    </w:p>
    <w:p w14:paraId="576F2601" w14:textId="45FBD131" w:rsidR="00537629" w:rsidRPr="005A0574" w:rsidRDefault="00207B84" w:rsidP="007F26F2">
      <w:r w:rsidRPr="005A0574">
        <w:t>Correspondent</w:t>
      </w:r>
      <w:r w:rsidR="00C26EBF" w:rsidRPr="005A0574">
        <w:t xml:space="preserve"> analysis over </w:t>
      </w:r>
      <w:r w:rsidR="006B49C2">
        <w:t xml:space="preserve">the tropical </w:t>
      </w:r>
      <w:r w:rsidR="00C26EBF" w:rsidRPr="005A0574">
        <w:t xml:space="preserve">Pacific Ocean </w:t>
      </w:r>
      <w:r w:rsidR="006B49C2">
        <w:t xml:space="preserve">for January 2016 </w:t>
      </w:r>
      <w:r w:rsidR="00C26EBF" w:rsidRPr="005A0574">
        <w:t>is</w:t>
      </w:r>
      <w:r w:rsidR="00CC08D4">
        <w:t xml:space="preserve"> </w:t>
      </w:r>
      <w:r w:rsidR="006B49C2">
        <w:t>included in</w:t>
      </w:r>
      <w:r w:rsidR="00C26EBF" w:rsidRPr="005A0574">
        <w:t xml:space="preserve"> Figure 15</w:t>
      </w:r>
      <w:r w:rsidR="006B49C2">
        <w:t>, which</w:t>
      </w:r>
      <w:r w:rsidR="00760248" w:rsidRPr="005A0574">
        <w:t xml:space="preserve"> </w:t>
      </w:r>
      <w:r w:rsidR="005E71FD">
        <w:t>t</w:t>
      </w:r>
      <w:r w:rsidR="00760248" w:rsidRPr="005A0574">
        <w:t xml:space="preserve">he domain average precipitation estimated by IMERG </w:t>
      </w:r>
      <w:r w:rsidR="00D922E1" w:rsidRPr="005A0574">
        <w:t>was 4.53 mm day</w:t>
      </w:r>
      <w:r w:rsidR="00D922E1" w:rsidRPr="005A0574">
        <w:rPr>
          <w:vertAlign w:val="superscript"/>
        </w:rPr>
        <w:t>-1</w:t>
      </w:r>
      <w:r w:rsidR="00D922E1" w:rsidRPr="005A0574">
        <w:t>, whereas</w:t>
      </w:r>
      <w:r w:rsidR="00760248" w:rsidRPr="005A0574">
        <w:t xml:space="preserve"> GEOS-5 with DC OFF and DC ON </w:t>
      </w:r>
      <w:r w:rsidR="00D922E1" w:rsidRPr="005A0574">
        <w:t>simulated</w:t>
      </w:r>
      <w:r w:rsidR="00760248" w:rsidRPr="005A0574">
        <w:t xml:space="preserve"> </w:t>
      </w:r>
      <w:r w:rsidR="00955512" w:rsidRPr="005A0574">
        <w:t xml:space="preserve">~ </w:t>
      </w:r>
      <w:r w:rsidR="00760248" w:rsidRPr="005A0574">
        <w:t>4.</w:t>
      </w:r>
      <w:r w:rsidR="00D922E1" w:rsidRPr="005A0574">
        <w:t>21</w:t>
      </w:r>
      <w:r w:rsidR="00760248" w:rsidRPr="005A0574">
        <w:t xml:space="preserve"> mm day</w:t>
      </w:r>
      <w:r w:rsidR="00760248" w:rsidRPr="005A0574">
        <w:rPr>
          <w:vertAlign w:val="superscript"/>
        </w:rPr>
        <w:t>-1</w:t>
      </w:r>
      <w:r w:rsidR="00D922E1" w:rsidRPr="005A0574">
        <w:t xml:space="preserve"> in both configurations. For the amplitudes</w:t>
      </w:r>
      <w:r w:rsidR="004F4672" w:rsidRPr="005A0574">
        <w:t>,</w:t>
      </w:r>
      <w:r w:rsidR="00D922E1" w:rsidRPr="005A0574">
        <w:t xml:space="preserve"> the </w:t>
      </w:r>
      <w:r w:rsidR="004F4672" w:rsidRPr="005A0574">
        <w:t>amounts were</w:t>
      </w:r>
      <w:r w:rsidR="00D922E1" w:rsidRPr="005A0574">
        <w:t xml:space="preserve"> 2.16, 1.4</w:t>
      </w:r>
      <w:r w:rsidR="004F4672" w:rsidRPr="005A0574">
        <w:t>7</w:t>
      </w:r>
      <w:r w:rsidR="00955512" w:rsidRPr="005A0574">
        <w:t>,</w:t>
      </w:r>
      <w:r w:rsidR="00D922E1" w:rsidRPr="005A0574">
        <w:t xml:space="preserve"> and 1.4</w:t>
      </w:r>
      <w:r w:rsidR="004F4672" w:rsidRPr="005A0574">
        <w:t>5</w:t>
      </w:r>
      <w:r w:rsidR="00D922E1" w:rsidRPr="005A0574">
        <w:t xml:space="preserve"> mm day</w:t>
      </w:r>
      <w:r w:rsidR="00D922E1" w:rsidRPr="005A0574">
        <w:rPr>
          <w:vertAlign w:val="superscript"/>
        </w:rPr>
        <w:t>-1</w:t>
      </w:r>
      <w:r w:rsidR="00D922E1" w:rsidRPr="005A0574">
        <w:t>, respectively.</w:t>
      </w:r>
      <w:r w:rsidR="004F4672" w:rsidRPr="005A0574">
        <w:t xml:space="preserve"> </w:t>
      </w:r>
      <w:r w:rsidR="00A00515" w:rsidRPr="005A0574">
        <w:t xml:space="preserve">The </w:t>
      </w:r>
      <w:r w:rsidR="006B49C2">
        <w:t xml:space="preserve">left </w:t>
      </w:r>
      <w:r w:rsidR="00A00515" w:rsidRPr="005A0574">
        <w:t xml:space="preserve">column of Figure 15 shows </w:t>
      </w:r>
      <w:r w:rsidR="00A00515" w:rsidRPr="005A0574">
        <w:lastRenderedPageBreak/>
        <w:t>that the spatial distribution of the precipitation simulated by GEOS-5 (Panels D and G) remarkably resembles the IMERG retrieval (Panel A), although the domain</w:t>
      </w:r>
      <w:r w:rsidR="00256AF3">
        <w:t xml:space="preserve"> </w:t>
      </w:r>
      <w:r w:rsidR="00A00515" w:rsidRPr="005A0574">
        <w:t xml:space="preserve">average precipitations are underestimated by about ~ 10%. The former discussion also applies to the amplitudes, as shown in the central column of Figure 15. For the phase, most of the precipitation peaks occur through the nighttime (Panel C), and the simulations </w:t>
      </w:r>
      <w:r w:rsidR="003F5B93" w:rsidRPr="005A0574">
        <w:t>with</w:t>
      </w:r>
      <w:r w:rsidR="00A00515" w:rsidRPr="005A0574">
        <w:t xml:space="preserve"> GEOS-5 have a similar pattern.</w:t>
      </w:r>
      <w:r w:rsidR="00AB5056" w:rsidRPr="005A0574">
        <w:t xml:space="preserve"> The fact that both simulations are nearly the same in terms of the precipitation amounts and its diurnal cycle</w:t>
      </w:r>
      <w:r w:rsidR="00CB003A" w:rsidRPr="005A0574">
        <w:t xml:space="preserve"> over the ocean</w:t>
      </w:r>
      <w:r w:rsidR="00AB5056" w:rsidRPr="005A0574">
        <w:t xml:space="preserve"> is explained by Figure 12C.</w:t>
      </w:r>
      <w:r w:rsidR="00467CE8" w:rsidRPr="005A0574">
        <w:rPr>
          <w:rFonts w:ascii="Calibri" w:hAnsi="Calibri" w:cs="Calibri"/>
          <w:color w:val="000000"/>
          <w:sz w:val="26"/>
          <w:szCs w:val="26"/>
        </w:rPr>
        <w:t> </w:t>
      </w:r>
    </w:p>
    <w:p w14:paraId="3C3A9A26" w14:textId="575FDC60" w:rsidR="00BE6781" w:rsidRPr="005A0574" w:rsidRDefault="00A60E7D" w:rsidP="00D90013">
      <w:r w:rsidRPr="005A0574">
        <w:t xml:space="preserve">The diurnal cycle of precipitation </w:t>
      </w:r>
      <w:r w:rsidR="00CB75B2" w:rsidRPr="005A0574">
        <w:t>of</w:t>
      </w:r>
      <w:r w:rsidRPr="005A0574">
        <w:t xml:space="preserve"> the north equatorial portion of Africa for July 2015 is discussed based on the results shown in Figure 16. </w:t>
      </w:r>
      <w:r w:rsidR="00B23348" w:rsidRPr="005A0574">
        <w:t>The domain</w:t>
      </w:r>
      <w:r w:rsidR="006B49C2">
        <w:t>-</w:t>
      </w:r>
      <w:r w:rsidR="00B23348" w:rsidRPr="005A0574">
        <w:t>average precipitation</w:t>
      </w:r>
      <w:r w:rsidR="00565783" w:rsidRPr="005A0574">
        <w:t xml:space="preserve"> (amplitude)</w:t>
      </w:r>
      <w:r w:rsidR="00B23348" w:rsidRPr="005A0574">
        <w:t xml:space="preserve"> </w:t>
      </w:r>
      <w:r w:rsidR="00171260" w:rsidRPr="005A0574">
        <w:t>is</w:t>
      </w:r>
      <w:r w:rsidR="00E27F1B" w:rsidRPr="005A0574">
        <w:t xml:space="preserve"> </w:t>
      </w:r>
      <w:r w:rsidR="00B23348" w:rsidRPr="005A0574">
        <w:t>2.51</w:t>
      </w:r>
      <w:r w:rsidR="00565783" w:rsidRPr="005A0574">
        <w:t xml:space="preserve"> (2.12)</w:t>
      </w:r>
      <w:r w:rsidR="00B23348" w:rsidRPr="005A0574">
        <w:t>, 2.79</w:t>
      </w:r>
      <w:r w:rsidR="00565783" w:rsidRPr="005A0574">
        <w:t xml:space="preserve"> (1.45)</w:t>
      </w:r>
      <w:r w:rsidR="00171260" w:rsidRPr="005A0574">
        <w:t>,</w:t>
      </w:r>
      <w:r w:rsidR="00B23348" w:rsidRPr="005A0574">
        <w:t xml:space="preserve"> and 2.8</w:t>
      </w:r>
      <w:r w:rsidR="00565783" w:rsidRPr="005A0574">
        <w:t xml:space="preserve"> (1.8)</w:t>
      </w:r>
      <w:r w:rsidR="00B23348" w:rsidRPr="005A0574">
        <w:t xml:space="preserve"> mm day</w:t>
      </w:r>
      <w:r w:rsidR="00B23348" w:rsidRPr="005A0574">
        <w:rPr>
          <w:vertAlign w:val="superscript"/>
        </w:rPr>
        <w:t>-1</w:t>
      </w:r>
      <w:r w:rsidR="00B23348" w:rsidRPr="005A0574">
        <w:t xml:space="preserve"> for the panels A</w:t>
      </w:r>
      <w:r w:rsidR="00C2109A" w:rsidRPr="005A0574">
        <w:t xml:space="preserve"> (B)</w:t>
      </w:r>
      <w:r w:rsidR="00B23348" w:rsidRPr="005A0574">
        <w:t>, D</w:t>
      </w:r>
      <w:r w:rsidR="00C2109A" w:rsidRPr="005A0574">
        <w:t xml:space="preserve"> (E)</w:t>
      </w:r>
      <w:r w:rsidR="00171260" w:rsidRPr="005A0574">
        <w:t>,</w:t>
      </w:r>
      <w:r w:rsidR="00B23348" w:rsidRPr="005A0574">
        <w:t xml:space="preserve"> and G</w:t>
      </w:r>
      <w:r w:rsidR="00C2109A" w:rsidRPr="005A0574">
        <w:t xml:space="preserve"> (H)</w:t>
      </w:r>
      <w:r w:rsidR="00B23348" w:rsidRPr="005A0574">
        <w:t>, respectively.</w:t>
      </w:r>
      <w:r w:rsidR="00C2109A" w:rsidRPr="005A0574">
        <w:t xml:space="preserve"> </w:t>
      </w:r>
      <w:r w:rsidR="00835D5F" w:rsidRPr="005A0574">
        <w:t xml:space="preserve">Note that the </w:t>
      </w:r>
      <w:r w:rsidR="00FB6B82" w:rsidRPr="005A0574">
        <w:t>simulated</w:t>
      </w:r>
      <w:r w:rsidR="00835D5F" w:rsidRPr="005A0574">
        <w:t xml:space="preserve"> mean precipitation</w:t>
      </w:r>
      <w:r w:rsidR="00FB6B82" w:rsidRPr="005A0574">
        <w:t>s</w:t>
      </w:r>
      <w:r w:rsidR="00835D5F" w:rsidRPr="005A0574">
        <w:t xml:space="preserve"> </w:t>
      </w:r>
      <w:r w:rsidR="00171260" w:rsidRPr="005A0574">
        <w:t>are</w:t>
      </w:r>
      <w:r w:rsidR="00835D5F" w:rsidRPr="005A0574">
        <w:t xml:space="preserve"> about 11% larger than the IMERG estimation. </w:t>
      </w:r>
      <w:r w:rsidR="00FB6B82" w:rsidRPr="005A0574">
        <w:t>F</w:t>
      </w:r>
      <w:r w:rsidR="00835D5F" w:rsidRPr="005A0574">
        <w:t>or the diurnal phase</w:t>
      </w:r>
      <w:r w:rsidR="00FB6B82" w:rsidRPr="005A0574">
        <w:t xml:space="preserve"> (Fig</w:t>
      </w:r>
      <w:r w:rsidR="00C547ED" w:rsidRPr="005A0574">
        <w:t>.</w:t>
      </w:r>
      <w:r w:rsidR="00FB6B82" w:rsidRPr="005A0574">
        <w:t xml:space="preserve"> 16C)</w:t>
      </w:r>
      <w:r w:rsidR="00835D5F" w:rsidRPr="005A0574">
        <w:t xml:space="preserve">, the IMERG retrieval shows a mix of late-afternoon (16 – 20 LT) and </w:t>
      </w:r>
      <w:r w:rsidR="00171260" w:rsidRPr="005A0574">
        <w:t xml:space="preserve">nighttime (00 – 04 LT) maximum amplitudes. </w:t>
      </w:r>
      <w:r w:rsidR="00FB6B82" w:rsidRPr="005A0574">
        <w:t xml:space="preserve">As before, the simulations show </w:t>
      </w:r>
      <w:r w:rsidR="00C547ED" w:rsidRPr="005A0574">
        <w:t xml:space="preserve">contrasting results for the timing of precipitation. </w:t>
      </w:r>
      <w:r w:rsidR="00EA2BEA">
        <w:t xml:space="preserve">Without </w:t>
      </w:r>
      <w:r w:rsidR="00827D12" w:rsidRPr="005A0574">
        <w:t>the diurnal cycle closure, the precipitation peaks occur too early (mostly 10 – 14 LT, Fig. 16F), whereas with that closure, those peaks take place mainly after 14 - 16 LT (Fig</w:t>
      </w:r>
      <w:r w:rsidR="00C50D3A" w:rsidRPr="005A0574">
        <w:t>.</w:t>
      </w:r>
      <w:r w:rsidR="00827D12" w:rsidRPr="005A0574">
        <w:t xml:space="preserve"> 16I).</w:t>
      </w:r>
    </w:p>
    <w:p w14:paraId="6D08A915" w14:textId="6E8FD70A" w:rsidR="004269B1" w:rsidRPr="005A0574" w:rsidRDefault="00091837" w:rsidP="00D90013">
      <w:r w:rsidRPr="005A0574">
        <w:t xml:space="preserve">Figure 17 displays the results for July 2015 over the contiguous United States and part of the </w:t>
      </w:r>
      <w:r w:rsidR="00B411C3" w:rsidRPr="005A0574">
        <w:t>neighbor</w:t>
      </w:r>
      <w:r w:rsidR="00EA2BEA">
        <w:t>ing</w:t>
      </w:r>
      <w:r w:rsidRPr="005A0574">
        <w:t xml:space="preserve"> countries. The domain</w:t>
      </w:r>
      <w:r w:rsidR="00EA2BEA">
        <w:t>-</w:t>
      </w:r>
      <w:r w:rsidRPr="005A0574">
        <w:t>average precipitation (amplitude) is 2.</w:t>
      </w:r>
      <w:r w:rsidR="00B411C3" w:rsidRPr="005A0574">
        <w:t>60</w:t>
      </w:r>
      <w:r w:rsidRPr="005A0574">
        <w:t xml:space="preserve"> (2.</w:t>
      </w:r>
      <w:r w:rsidR="00B411C3" w:rsidRPr="005A0574">
        <w:t>37</w:t>
      </w:r>
      <w:r w:rsidRPr="005A0574">
        <w:t>), 2.</w:t>
      </w:r>
      <w:r w:rsidR="00B411C3" w:rsidRPr="005A0574">
        <w:t>52</w:t>
      </w:r>
      <w:r w:rsidRPr="005A0574">
        <w:t xml:space="preserve"> (1.</w:t>
      </w:r>
      <w:r w:rsidR="00B411C3" w:rsidRPr="005A0574">
        <w:t>59</w:t>
      </w:r>
      <w:r w:rsidRPr="005A0574">
        <w:t>), and 2.</w:t>
      </w:r>
      <w:r w:rsidR="00B411C3" w:rsidRPr="005A0574">
        <w:t>42</w:t>
      </w:r>
      <w:r w:rsidRPr="005A0574">
        <w:t xml:space="preserve"> (1.8) mm day</w:t>
      </w:r>
      <w:r w:rsidRPr="005A0574">
        <w:rPr>
          <w:vertAlign w:val="superscript"/>
        </w:rPr>
        <w:t>-1</w:t>
      </w:r>
      <w:r w:rsidRPr="005A0574">
        <w:t xml:space="preserve"> for panels A (B), D (E), and G (H), respectively.</w:t>
      </w:r>
      <w:r w:rsidR="009E2619" w:rsidRPr="005A0574">
        <w:t xml:space="preserve"> </w:t>
      </w:r>
      <w:r w:rsidR="006538DC" w:rsidRPr="005A0574">
        <w:t xml:space="preserve">Model simulations underestimate the mean precipitation by about 5 – 10%. As </w:t>
      </w:r>
      <w:r w:rsidR="00EA2BEA">
        <w:t>in</w:t>
      </w:r>
      <w:r w:rsidR="006538DC" w:rsidRPr="005A0574">
        <w:t xml:space="preserve"> the other regions, the </w:t>
      </w:r>
      <w:r w:rsidR="006257A5" w:rsidRPr="005A0574">
        <w:t>model</w:t>
      </w:r>
      <w:r w:rsidR="00820F58" w:rsidRPr="005A0574">
        <w:t>’s</w:t>
      </w:r>
      <w:r w:rsidR="006257A5" w:rsidRPr="005A0574">
        <w:t xml:space="preserve"> monthly mean </w:t>
      </w:r>
      <w:r w:rsidR="006538DC" w:rsidRPr="005A0574">
        <w:t>spatial distribution</w:t>
      </w:r>
      <w:r w:rsidR="006257A5" w:rsidRPr="005A0574">
        <w:t xml:space="preserve"> of the precipitation</w:t>
      </w:r>
      <w:r w:rsidR="006538DC" w:rsidRPr="005A0574">
        <w:t xml:space="preserve"> looks realistic</w:t>
      </w:r>
      <w:r w:rsidR="00EA2BEA">
        <w:t>, although</w:t>
      </w:r>
      <w:r w:rsidR="00820F58" w:rsidRPr="005A0574">
        <w:t xml:space="preserve"> it underestimates the </w:t>
      </w:r>
      <w:r w:rsidR="00EA2BEA">
        <w:t xml:space="preserve">amount in the </w:t>
      </w:r>
      <w:r w:rsidR="00820F58" w:rsidRPr="005A0574">
        <w:t>southe</w:t>
      </w:r>
      <w:r w:rsidR="00EA2BEA">
        <w:t>ast,</w:t>
      </w:r>
      <w:r w:rsidR="00820F58" w:rsidRPr="005A0574">
        <w:t xml:space="preserve"> and overestimates</w:t>
      </w:r>
      <w:r w:rsidR="00A74D60">
        <w:t xml:space="preserve"> the rainfall</w:t>
      </w:r>
      <w:r w:rsidR="00820F58" w:rsidRPr="005A0574">
        <w:t xml:space="preserve"> over the east part of</w:t>
      </w:r>
      <w:r w:rsidR="004D1C18" w:rsidRPr="005A0574">
        <w:t xml:space="preserve"> Gulf </w:t>
      </w:r>
      <w:r w:rsidR="00A865A3" w:rsidRPr="005A0574">
        <w:t>of California</w:t>
      </w:r>
      <w:r w:rsidR="004D1C18" w:rsidRPr="005A0574">
        <w:t xml:space="preserve">. </w:t>
      </w:r>
      <w:r w:rsidR="0053513A" w:rsidRPr="005A0574">
        <w:t xml:space="preserve">According </w:t>
      </w:r>
      <w:r w:rsidR="00A74D60">
        <w:t>to</w:t>
      </w:r>
      <w:r w:rsidR="0053513A" w:rsidRPr="005A0574">
        <w:t xml:space="preserve"> IMERG, t</w:t>
      </w:r>
      <w:r w:rsidR="005E02A9" w:rsidRPr="005A0574">
        <w:t>he peaks of precipitation occur in the late afternoon over the southeast and central-west part of the region</w:t>
      </w:r>
      <w:r w:rsidR="00A74D60">
        <w:t>, a</w:t>
      </w:r>
      <w:r w:rsidR="005E02A9" w:rsidRPr="005A0574">
        <w:t>nd in the nighttime over the central-east part of the domain (Fig. 17C).</w:t>
      </w:r>
      <w:r w:rsidR="004269B1" w:rsidRPr="005A0574">
        <w:t xml:space="preserve"> </w:t>
      </w:r>
      <w:r w:rsidR="00866EF4" w:rsidRPr="005A0574">
        <w:t>Over the central part of the U.S., both simulations did not capture the nighttime precipitation well. However, the simulation DC ON (Fig. 17I) seems to be closer to IMERG over the central-west portion.</w:t>
      </w:r>
    </w:p>
    <w:p w14:paraId="11D9525E" w14:textId="3E85E337" w:rsidR="009A72C3" w:rsidRPr="005A0574" w:rsidRDefault="00EF4658" w:rsidP="00EF4658">
      <w:pPr>
        <w:pStyle w:val="Heading2"/>
        <w:numPr>
          <w:ilvl w:val="0"/>
          <w:numId w:val="0"/>
        </w:numPr>
        <w:spacing w:before="120"/>
        <w:rPr>
          <w:lang w:val="en-US"/>
        </w:rPr>
      </w:pPr>
      <w:r w:rsidRPr="005A0574">
        <w:rPr>
          <w:lang w:val="en-US"/>
        </w:rPr>
        <w:lastRenderedPageBreak/>
        <w:t xml:space="preserve">4 Conclusions </w:t>
      </w:r>
    </w:p>
    <w:p w14:paraId="59399652" w14:textId="59B3F32D" w:rsidR="009A72C3" w:rsidRPr="005A0574" w:rsidRDefault="009A72C3" w:rsidP="009A72C3">
      <w:pPr>
        <w:pStyle w:val="Heading1"/>
        <w:numPr>
          <w:ilvl w:val="0"/>
          <w:numId w:val="0"/>
        </w:numPr>
        <w:spacing w:after="120"/>
        <w:ind w:left="431"/>
        <w:rPr>
          <w:b w:val="0"/>
          <w:bCs w:val="0"/>
          <w:kern w:val="0"/>
          <w:lang w:eastAsia="en-US"/>
        </w:rPr>
      </w:pPr>
      <w:r w:rsidRPr="005A0574">
        <w:rPr>
          <w:b w:val="0"/>
          <w:bCs w:val="0"/>
          <w:kern w:val="0"/>
          <w:lang w:eastAsia="en-US"/>
        </w:rPr>
        <w:t>We describe a set of new features recently implemented in the GF convection parameterization. The main new aspects are as follows</w:t>
      </w:r>
      <w:r w:rsidR="008A5510" w:rsidRPr="005A0574">
        <w:rPr>
          <w:b w:val="0"/>
          <w:bCs w:val="0"/>
          <w:kern w:val="0"/>
          <w:lang w:eastAsia="en-US"/>
        </w:rPr>
        <w:t>:</w:t>
      </w:r>
    </w:p>
    <w:p w14:paraId="1148BC83" w14:textId="77777777" w:rsidR="009A72C3" w:rsidRPr="005A0574" w:rsidRDefault="009A72C3" w:rsidP="009A72C3">
      <w:pPr>
        <w:pStyle w:val="Heading1"/>
        <w:numPr>
          <w:ilvl w:val="0"/>
          <w:numId w:val="5"/>
        </w:numPr>
        <w:rPr>
          <w:b w:val="0"/>
          <w:bCs w:val="0"/>
          <w:kern w:val="0"/>
          <w:lang w:eastAsia="en-US"/>
        </w:rPr>
      </w:pPr>
      <w:r w:rsidRPr="005A0574">
        <w:rPr>
          <w:b w:val="0"/>
          <w:bCs w:val="0"/>
          <w:kern w:val="0"/>
          <w:lang w:eastAsia="en-US"/>
        </w:rPr>
        <w:t xml:space="preserve">The unimodal approach has been replaced by a trimodal formulation representing the three modes: shallow, congestus, and deep convection. Each mode has a distinct initial gross entrainment and a set of closure formulations for the mass flux at the cloud base. </w:t>
      </w:r>
    </w:p>
    <w:p w14:paraId="6DA1527A" w14:textId="4342F436" w:rsidR="00817AC6" w:rsidRPr="005A0574" w:rsidRDefault="00817AC6" w:rsidP="00817AC6">
      <w:pPr>
        <w:pStyle w:val="Heading1"/>
        <w:numPr>
          <w:ilvl w:val="0"/>
          <w:numId w:val="5"/>
        </w:numPr>
        <w:rPr>
          <w:b w:val="0"/>
          <w:bCs w:val="0"/>
          <w:kern w:val="0"/>
          <w:lang w:eastAsia="en-US"/>
        </w:rPr>
      </w:pPr>
      <w:r w:rsidRPr="005A0574">
        <w:rPr>
          <w:b w:val="0"/>
          <w:bCs w:val="0"/>
          <w:kern w:val="0"/>
          <w:lang w:eastAsia="en-US"/>
        </w:rPr>
        <w:t xml:space="preserve">The normalized mass flux profiles are now prescribed following a continuous and smooth </w:t>
      </w:r>
      <w:r w:rsidR="00DF1FF6">
        <w:rPr>
          <w:b w:val="0"/>
          <w:bCs w:val="0"/>
          <w:kern w:val="0"/>
          <w:lang w:eastAsia="en-US"/>
        </w:rPr>
        <w:t>beta</w:t>
      </w:r>
      <w:r w:rsidRPr="005A0574">
        <w:rPr>
          <w:b w:val="0"/>
          <w:bCs w:val="0"/>
          <w:kern w:val="0"/>
          <w:lang w:eastAsia="en-US"/>
        </w:rPr>
        <w:t xml:space="preserve"> function. From the cloud base, cloud top, and a free parameter which shapes the </w:t>
      </w:r>
      <w:r w:rsidR="00DF1FF6">
        <w:rPr>
          <w:b w:val="0"/>
          <w:bCs w:val="0"/>
          <w:kern w:val="0"/>
          <w:lang w:eastAsia="en-US"/>
        </w:rPr>
        <w:t>B</w:t>
      </w:r>
      <w:r w:rsidRPr="005A0574">
        <w:rPr>
          <w:b w:val="0"/>
          <w:bCs w:val="0"/>
          <w:kern w:val="0"/>
          <w:lang w:eastAsia="en-US"/>
        </w:rPr>
        <w:t>F, the normalized mass flux profile</w:t>
      </w:r>
      <w:r w:rsidR="00A74D60">
        <w:rPr>
          <w:b w:val="0"/>
          <w:bCs w:val="0"/>
          <w:kern w:val="0"/>
          <w:lang w:eastAsia="en-US"/>
        </w:rPr>
        <w:t xml:space="preserve"> </w:t>
      </w:r>
      <w:r w:rsidR="005E71FD">
        <w:rPr>
          <w:b w:val="0"/>
          <w:bCs w:val="0"/>
          <w:kern w:val="0"/>
          <w:lang w:eastAsia="en-US"/>
        </w:rPr>
        <w:t xml:space="preserve">and </w:t>
      </w:r>
      <w:r w:rsidR="005E71FD" w:rsidRPr="005A0574">
        <w:rPr>
          <w:b w:val="0"/>
          <w:bCs w:val="0"/>
          <w:kern w:val="0"/>
          <w:lang w:eastAsia="en-US"/>
        </w:rPr>
        <w:t>the</w:t>
      </w:r>
      <w:r w:rsidRPr="005A0574">
        <w:rPr>
          <w:b w:val="0"/>
          <w:bCs w:val="0"/>
          <w:kern w:val="0"/>
          <w:lang w:eastAsia="en-US"/>
        </w:rPr>
        <w:t xml:space="preserve"> entrainment and detrainment rates are determined. Together with the mass flux at the cloud base defined by the selected closure, the</w:t>
      </w:r>
      <w:r w:rsidR="00A74D60">
        <w:rPr>
          <w:b w:val="0"/>
          <w:bCs w:val="0"/>
          <w:kern w:val="0"/>
          <w:lang w:eastAsia="en-US"/>
        </w:rPr>
        <w:t>se parameters</w:t>
      </w:r>
      <w:r w:rsidRPr="005A0574">
        <w:rPr>
          <w:b w:val="0"/>
          <w:bCs w:val="0"/>
          <w:kern w:val="0"/>
          <w:lang w:eastAsia="en-US"/>
        </w:rPr>
        <w:t xml:space="preserve"> also determine, e.g., the vertical drying and heating tendencies associated with the </w:t>
      </w:r>
      <w:proofErr w:type="spellStart"/>
      <w:r w:rsidRPr="005A0574">
        <w:rPr>
          <w:b w:val="0"/>
          <w:bCs w:val="0"/>
          <w:kern w:val="0"/>
          <w:lang w:eastAsia="en-US"/>
        </w:rPr>
        <w:t>subgrid</w:t>
      </w:r>
      <w:proofErr w:type="spellEnd"/>
      <w:r w:rsidRPr="005A0574">
        <w:rPr>
          <w:b w:val="0"/>
          <w:bCs w:val="0"/>
          <w:kern w:val="0"/>
          <w:lang w:eastAsia="en-US"/>
        </w:rPr>
        <w:t xml:space="preserve">-scale convection. Using a </w:t>
      </w:r>
      <w:r w:rsidR="00DF1FF6">
        <w:rPr>
          <w:b w:val="0"/>
          <w:bCs w:val="0"/>
          <w:kern w:val="0"/>
          <w:lang w:eastAsia="en-US"/>
        </w:rPr>
        <w:t>B</w:t>
      </w:r>
      <w:r w:rsidRPr="005A0574">
        <w:rPr>
          <w:b w:val="0"/>
          <w:bCs w:val="0"/>
          <w:kern w:val="0"/>
          <w:lang w:eastAsia="en-US"/>
        </w:rPr>
        <w:t xml:space="preserve">F to describe the statistical average of a characteristic convection type means that the </w:t>
      </w:r>
      <w:r w:rsidR="00DF1FF6">
        <w:rPr>
          <w:b w:val="0"/>
          <w:bCs w:val="0"/>
          <w:kern w:val="0"/>
          <w:lang w:eastAsia="en-US"/>
        </w:rPr>
        <w:t>B</w:t>
      </w:r>
      <w:r w:rsidRPr="005A0574">
        <w:rPr>
          <w:b w:val="0"/>
          <w:bCs w:val="0"/>
          <w:kern w:val="0"/>
          <w:lang w:eastAsia="en-US"/>
        </w:rPr>
        <w:t>F may in fact represent several plumes in the grid box</w:t>
      </w:r>
      <w:r w:rsidRPr="005A0574">
        <w:t>.</w:t>
      </w:r>
      <w:r w:rsidR="00A74D60">
        <w:t xml:space="preserve">  </w:t>
      </w:r>
      <w:r w:rsidRPr="005A0574">
        <w:rPr>
          <w:b w:val="0"/>
          <w:bCs w:val="0"/>
        </w:rPr>
        <w:t>Additionally,</w:t>
      </w:r>
      <w:r w:rsidRPr="005A0574">
        <w:t xml:space="preserve"> t</w:t>
      </w:r>
      <w:r w:rsidRPr="005A0574">
        <w:rPr>
          <w:b w:val="0"/>
          <w:bCs w:val="0"/>
          <w:kern w:val="0"/>
          <w:lang w:eastAsia="en-US"/>
        </w:rPr>
        <w:t xml:space="preserve">his approach  may be used to implement </w:t>
      </w:r>
      <w:proofErr w:type="spellStart"/>
      <w:r w:rsidRPr="005A0574">
        <w:rPr>
          <w:b w:val="0"/>
          <w:bCs w:val="0"/>
          <w:kern w:val="0"/>
          <w:lang w:eastAsia="en-US"/>
        </w:rPr>
        <w:t>stochasticism</w:t>
      </w:r>
      <w:proofErr w:type="spellEnd"/>
      <w:r w:rsidRPr="005A0574">
        <w:rPr>
          <w:b w:val="0"/>
          <w:bCs w:val="0"/>
          <w:kern w:val="0"/>
          <w:lang w:eastAsia="en-US"/>
        </w:rPr>
        <w:t xml:space="preserve"> with temporal and spatial correlations and memory dependence that lead to significant changes in the vertical distribution of heating and drying without disturbing mass conservation. Future work will address this possibility. Finally, the use of the </w:t>
      </w:r>
      <w:r w:rsidR="00DF1FF6">
        <w:rPr>
          <w:b w:val="0"/>
          <w:bCs w:val="0"/>
          <w:kern w:val="0"/>
          <w:lang w:eastAsia="en-US"/>
        </w:rPr>
        <w:t>B</w:t>
      </w:r>
      <w:r w:rsidRPr="005A0574">
        <w:rPr>
          <w:b w:val="0"/>
          <w:bCs w:val="0"/>
          <w:kern w:val="0"/>
          <w:lang w:eastAsia="en-US"/>
        </w:rPr>
        <w:t>Fs may help fine-tuning the model skill by removing water vapor and temperature biases.</w:t>
      </w:r>
    </w:p>
    <w:p w14:paraId="4C7BED87" w14:textId="5A9A7235" w:rsidR="009A72C3" w:rsidRPr="005A0574" w:rsidRDefault="009A72C3" w:rsidP="009A72C3">
      <w:pPr>
        <w:pStyle w:val="Heading1"/>
        <w:numPr>
          <w:ilvl w:val="0"/>
          <w:numId w:val="5"/>
        </w:numPr>
        <w:rPr>
          <w:b w:val="0"/>
          <w:bCs w:val="0"/>
          <w:kern w:val="0"/>
          <w:lang w:eastAsia="en-US"/>
        </w:rPr>
      </w:pPr>
      <w:r w:rsidRPr="005A0574">
        <w:rPr>
          <w:b w:val="0"/>
          <w:bCs w:val="0"/>
          <w:kern w:val="0"/>
          <w:lang w:eastAsia="en-US"/>
        </w:rPr>
        <w:t xml:space="preserve">An optional closure for non-equilibrium convection </w:t>
      </w:r>
      <w:r w:rsidR="008A5510" w:rsidRPr="005A0574">
        <w:rPr>
          <w:b w:val="0"/>
          <w:bCs w:val="0"/>
          <w:kern w:val="0"/>
          <w:lang w:eastAsia="en-US"/>
        </w:rPr>
        <w:t xml:space="preserve">updated from </w:t>
      </w:r>
      <w:r w:rsidRPr="005A0574">
        <w:rPr>
          <w:b w:val="0"/>
          <w:bCs w:val="0"/>
          <w:kern w:val="0"/>
          <w:lang w:eastAsia="en-US"/>
        </w:rPr>
        <w:t>Bechtold et al.</w:t>
      </w:r>
      <w:r w:rsidR="008A5510" w:rsidRPr="005A0574">
        <w:rPr>
          <w:b w:val="0"/>
          <w:bCs w:val="0"/>
          <w:kern w:val="0"/>
          <w:lang w:eastAsia="en-US"/>
        </w:rPr>
        <w:t xml:space="preserve"> (</w:t>
      </w:r>
      <w:r w:rsidRPr="005A0574">
        <w:rPr>
          <w:b w:val="0"/>
          <w:bCs w:val="0"/>
          <w:kern w:val="0"/>
          <w:lang w:eastAsia="en-US"/>
        </w:rPr>
        <w:t>2014) is available. This closure has significant</w:t>
      </w:r>
      <w:r w:rsidR="00A74D60">
        <w:rPr>
          <w:b w:val="0"/>
          <w:bCs w:val="0"/>
          <w:kern w:val="0"/>
          <w:lang w:eastAsia="en-US"/>
        </w:rPr>
        <w:t>ly improved</w:t>
      </w:r>
      <w:r w:rsidRPr="005A0574">
        <w:rPr>
          <w:b w:val="0"/>
          <w:bCs w:val="0"/>
          <w:kern w:val="0"/>
          <w:lang w:eastAsia="en-US"/>
        </w:rPr>
        <w:t xml:space="preserve"> the GF scheme’s ability in NASA GEOS GCM </w:t>
      </w:r>
      <w:r w:rsidR="00A74D60">
        <w:rPr>
          <w:b w:val="0"/>
          <w:bCs w:val="0"/>
          <w:kern w:val="0"/>
          <w:lang w:eastAsia="en-US"/>
        </w:rPr>
        <w:t>to</w:t>
      </w:r>
      <w:r w:rsidRPr="005A0574">
        <w:rPr>
          <w:b w:val="0"/>
          <w:bCs w:val="0"/>
          <w:kern w:val="0"/>
          <w:lang w:eastAsia="en-US"/>
        </w:rPr>
        <w:t xml:space="preserve"> represent the diurnal cycle of convection over land, with </w:t>
      </w:r>
      <w:r w:rsidR="008A5510" w:rsidRPr="005A0574">
        <w:rPr>
          <w:b w:val="0"/>
          <w:bCs w:val="0"/>
          <w:kern w:val="0"/>
          <w:lang w:eastAsia="en-US"/>
        </w:rPr>
        <w:t xml:space="preserve">potential beneficial </w:t>
      </w:r>
      <w:r w:rsidRPr="005A0574">
        <w:rPr>
          <w:b w:val="0"/>
          <w:bCs w:val="0"/>
          <w:kern w:val="0"/>
          <w:lang w:eastAsia="en-US"/>
        </w:rPr>
        <w:t>impacts also in data assimilation and tracer transport.</w:t>
      </w:r>
    </w:p>
    <w:p w14:paraId="49542AF6" w14:textId="3F336B22" w:rsidR="009A72C3" w:rsidRPr="005A0574" w:rsidRDefault="00A74D60" w:rsidP="009A72C3">
      <w:pPr>
        <w:pStyle w:val="Heading1"/>
        <w:numPr>
          <w:ilvl w:val="0"/>
          <w:numId w:val="0"/>
        </w:numPr>
        <w:ind w:left="431"/>
        <w:rPr>
          <w:b w:val="0"/>
          <w:bCs w:val="0"/>
          <w:kern w:val="0"/>
          <w:lang w:eastAsia="en-US"/>
        </w:rPr>
      </w:pPr>
      <w:r>
        <w:rPr>
          <w:b w:val="0"/>
          <w:bCs w:val="0"/>
          <w:kern w:val="0"/>
          <w:lang w:eastAsia="en-US"/>
        </w:rPr>
        <w:t xml:space="preserve">The new features of the GF scheme, as </w:t>
      </w:r>
      <w:r w:rsidR="009A72C3" w:rsidRPr="005A0574">
        <w:rPr>
          <w:b w:val="0"/>
          <w:bCs w:val="0"/>
          <w:kern w:val="0"/>
          <w:lang w:eastAsia="en-US"/>
        </w:rPr>
        <w:t xml:space="preserve">described in this paper, further extend the capabilities of this convection parameterization to be applied in a wide range of spatial scales and environmental problems.  </w:t>
      </w:r>
    </w:p>
    <w:p w14:paraId="5FAC294F" w14:textId="77777777" w:rsidR="008779FA" w:rsidRPr="005A0574" w:rsidRDefault="008779FA" w:rsidP="008779FA">
      <w:pPr>
        <w:pStyle w:val="Heading1"/>
        <w:numPr>
          <w:ilvl w:val="0"/>
          <w:numId w:val="0"/>
        </w:numPr>
        <w:spacing w:after="120"/>
      </w:pPr>
      <w:r w:rsidRPr="005A0574">
        <w:t>Code availability</w:t>
      </w:r>
    </w:p>
    <w:p w14:paraId="6AB99F21" w14:textId="32A1C880" w:rsidR="008779FA" w:rsidRPr="005A0574" w:rsidRDefault="008779FA" w:rsidP="008779FA">
      <w:pPr>
        <w:spacing w:before="120" w:after="120"/>
        <w:rPr>
          <w:bCs/>
        </w:rPr>
      </w:pPr>
      <w:r w:rsidRPr="005A0574">
        <w:rPr>
          <w:bCs/>
        </w:rPr>
        <w:t xml:space="preserve">The GF convection scheme within the Global Model Test Bed (GMTB) Single Column Model is available at the GMD-paper branch of </w:t>
      </w:r>
      <w:hyperlink r:id="rId9" w:history="1">
        <w:r w:rsidR="00FB4FA9" w:rsidRPr="005A0574">
          <w:rPr>
            <w:rStyle w:val="Hyperlink"/>
            <w:bCs/>
          </w:rPr>
          <w:t>https://github.com/GF-GMD/gmtb-scm</w:t>
        </w:r>
      </w:hyperlink>
      <w:r w:rsidRPr="005A0574">
        <w:rPr>
          <w:bCs/>
        </w:rPr>
        <w:t>.</w:t>
      </w:r>
      <w:r w:rsidR="00FB4FA9" w:rsidRPr="005A0574">
        <w:rPr>
          <w:bCs/>
        </w:rPr>
        <w:t xml:space="preserve"> </w:t>
      </w:r>
      <w:r w:rsidRPr="005A0574">
        <w:rPr>
          <w:bCs/>
        </w:rPr>
        <w:t xml:space="preserve">Public access to </w:t>
      </w:r>
      <w:r w:rsidRPr="005A0574">
        <w:rPr>
          <w:bCs/>
        </w:rPr>
        <w:lastRenderedPageBreak/>
        <w:t>the NASA GEOS GCM source code is available at github.com/GEOS- ESM/</w:t>
      </w:r>
      <w:proofErr w:type="spellStart"/>
      <w:r w:rsidRPr="005A0574">
        <w:rPr>
          <w:bCs/>
        </w:rPr>
        <w:t>GEOSgcm</w:t>
      </w:r>
      <w:proofErr w:type="spellEnd"/>
      <w:r w:rsidRPr="005A0574">
        <w:rPr>
          <w:bCs/>
        </w:rPr>
        <w:t xml:space="preserve"> on tag Jason-3</w:t>
      </w:r>
      <w:r w:rsidR="00FB4FA9" w:rsidRPr="005A0574">
        <w:rPr>
          <w:bCs/>
        </w:rPr>
        <w:t>.</w:t>
      </w:r>
      <w:r w:rsidRPr="005A0574">
        <w:rPr>
          <w:bCs/>
        </w:rPr>
        <w:t xml:space="preserve">0. </w:t>
      </w:r>
      <w:r w:rsidR="00FB4FA9" w:rsidRPr="005A0574">
        <w:rPr>
          <w:bCs/>
        </w:rPr>
        <w:t>The authors are available for recommendations o</w:t>
      </w:r>
      <w:r w:rsidR="00A74D60">
        <w:rPr>
          <w:bCs/>
        </w:rPr>
        <w:t>n</w:t>
      </w:r>
      <w:r w:rsidR="00FB4FA9" w:rsidRPr="005A0574">
        <w:rPr>
          <w:bCs/>
        </w:rPr>
        <w:t xml:space="preserve"> applying the several options present in the GF scheme, as well as for instructions for its implementation in other modeling systems.</w:t>
      </w:r>
    </w:p>
    <w:p w14:paraId="26D4632F" w14:textId="77777777" w:rsidR="008C08DA" w:rsidRPr="005A0574" w:rsidRDefault="008C08DA" w:rsidP="008C08DA">
      <w:pPr>
        <w:pStyle w:val="Heading1"/>
        <w:numPr>
          <w:ilvl w:val="0"/>
          <w:numId w:val="0"/>
        </w:numPr>
        <w:spacing w:after="120"/>
        <w:ind w:left="431" w:hanging="431"/>
      </w:pPr>
      <w:r w:rsidRPr="005A0574">
        <w:t>Competing interests</w:t>
      </w:r>
    </w:p>
    <w:p w14:paraId="3CEDD2EC" w14:textId="77777777" w:rsidR="008C08DA" w:rsidRPr="005A0574" w:rsidRDefault="008C08DA" w:rsidP="008C08DA">
      <w:pPr>
        <w:spacing w:before="120" w:after="100" w:afterAutospacing="1"/>
        <w:jc w:val="left"/>
        <w:rPr>
          <w:szCs w:val="20"/>
        </w:rPr>
      </w:pPr>
      <w:r w:rsidRPr="005A0574">
        <w:rPr>
          <w:szCs w:val="20"/>
        </w:rPr>
        <w:t xml:space="preserve">The authors declare that they have no conflict of interest. </w:t>
      </w:r>
    </w:p>
    <w:p w14:paraId="0AC18134" w14:textId="77777777" w:rsidR="008C08DA" w:rsidRPr="005A0574" w:rsidRDefault="008C08DA" w:rsidP="008C08DA">
      <w:pPr>
        <w:spacing w:line="240" w:lineRule="auto"/>
        <w:jc w:val="left"/>
        <w:rPr>
          <w:b/>
          <w:bCs/>
          <w:kern w:val="32"/>
          <w:szCs w:val="20"/>
          <w:lang w:eastAsia="de-DE"/>
        </w:rPr>
      </w:pPr>
      <w:r w:rsidRPr="005A0574">
        <w:rPr>
          <w:b/>
          <w:bCs/>
          <w:kern w:val="32"/>
          <w:szCs w:val="20"/>
          <w:lang w:eastAsia="de-DE"/>
        </w:rPr>
        <w:t>Author contribution</w:t>
      </w:r>
    </w:p>
    <w:p w14:paraId="3C8656B9" w14:textId="77777777" w:rsidR="008C08DA" w:rsidRPr="005A0574" w:rsidRDefault="008C08DA" w:rsidP="008C08DA">
      <w:pPr>
        <w:spacing w:line="240" w:lineRule="auto"/>
        <w:jc w:val="left"/>
        <w:rPr>
          <w:b/>
          <w:bCs/>
          <w:kern w:val="32"/>
          <w:szCs w:val="20"/>
          <w:lang w:eastAsia="de-DE"/>
        </w:rPr>
      </w:pPr>
    </w:p>
    <w:p w14:paraId="08B9BED8" w14:textId="1B207F14" w:rsidR="008C08DA" w:rsidRPr="005A0574" w:rsidRDefault="008C08DA" w:rsidP="008C08DA">
      <w:pPr>
        <w:jc w:val="left"/>
        <w:rPr>
          <w:bCs/>
        </w:rPr>
      </w:pPr>
      <w:r w:rsidRPr="005A0574">
        <w:rPr>
          <w:bCs/>
        </w:rPr>
        <w:t>SRF and GAG developed the model code and performed the simulations. HL conduc</w:t>
      </w:r>
      <w:r w:rsidR="00A74D60">
        <w:rPr>
          <w:bCs/>
        </w:rPr>
        <w:t>t</w:t>
      </w:r>
      <w:r w:rsidRPr="005A0574">
        <w:rPr>
          <w:bCs/>
        </w:rPr>
        <w:t>ed the simulations</w:t>
      </w:r>
      <w:r w:rsidR="00CB75B2" w:rsidRPr="005A0574">
        <w:rPr>
          <w:bCs/>
        </w:rPr>
        <w:t xml:space="preserve"> and produced the results</w:t>
      </w:r>
      <w:r w:rsidRPr="005A0574">
        <w:rPr>
          <w:bCs/>
        </w:rPr>
        <w:t xml:space="preserve"> shown in Section 3.1. All authors prepared the manuscript.</w:t>
      </w:r>
    </w:p>
    <w:p w14:paraId="58DB0A75" w14:textId="77777777" w:rsidR="008C08DA" w:rsidRPr="005A0574" w:rsidRDefault="008C08DA" w:rsidP="008C08DA">
      <w:pPr>
        <w:spacing w:before="120" w:after="120"/>
        <w:rPr>
          <w:b/>
        </w:rPr>
      </w:pPr>
      <w:r w:rsidRPr="005A0574">
        <w:rPr>
          <w:b/>
        </w:rPr>
        <w:t>Acknowledgements</w:t>
      </w:r>
    </w:p>
    <w:p w14:paraId="662D07DD" w14:textId="77777777" w:rsidR="008C08DA" w:rsidRPr="005A0574" w:rsidRDefault="008C08DA" w:rsidP="008C08DA">
      <w:pPr>
        <w:rPr>
          <w:bCs/>
        </w:rPr>
      </w:pPr>
      <w:r w:rsidRPr="005A0574">
        <w:rPr>
          <w:bCs/>
        </w:rPr>
        <w:t xml:space="preserve">The first author acknowledges the support of NASA/GFSC - USRA/GESTAR grant # NNG11HP16A. This work was also supported by the NASA Modeling, Analysis and Prediction (MAP) program. Computing was provided by the NASA Center for Climate Simulation (NCCS). </w:t>
      </w:r>
    </w:p>
    <w:p w14:paraId="68938F8F" w14:textId="4DC41500" w:rsidR="008C08DA" w:rsidRPr="005A0574" w:rsidRDefault="008C08DA" w:rsidP="008C08DA">
      <w:pPr>
        <w:spacing w:before="120" w:after="120"/>
        <w:rPr>
          <w:b/>
        </w:rPr>
      </w:pPr>
      <w:r w:rsidRPr="005A0574">
        <w:rPr>
          <w:b/>
        </w:rPr>
        <w:t>References</w:t>
      </w:r>
    </w:p>
    <w:p w14:paraId="766686F9" w14:textId="2AA43DE9" w:rsidR="008D4C7B" w:rsidRPr="005A0574" w:rsidRDefault="008D4C7B" w:rsidP="00AE721F">
      <w:pPr>
        <w:pStyle w:val="NormalWeb"/>
        <w:spacing w:before="0" w:beforeAutospacing="0" w:after="0" w:afterAutospacing="0"/>
        <w:ind w:left="284" w:hanging="284"/>
        <w:rPr>
          <w:szCs w:val="20"/>
          <w:lang w:val="en-US"/>
        </w:rPr>
      </w:pPr>
      <w:proofErr w:type="spellStart"/>
      <w:r w:rsidRPr="005A0574">
        <w:rPr>
          <w:szCs w:val="20"/>
          <w:lang w:val="en-US"/>
        </w:rPr>
        <w:t>Alcântara</w:t>
      </w:r>
      <w:proofErr w:type="spellEnd"/>
      <w:r w:rsidRPr="005A0574">
        <w:rPr>
          <w:szCs w:val="20"/>
          <w:lang w:val="en-US"/>
        </w:rPr>
        <w:t>, C. R.</w:t>
      </w:r>
      <w:r w:rsidR="00AE721F" w:rsidRPr="005A0574">
        <w:rPr>
          <w:szCs w:val="20"/>
          <w:lang w:val="en-US"/>
        </w:rPr>
        <w:t>,</w:t>
      </w:r>
      <w:r w:rsidRPr="005A0574">
        <w:rPr>
          <w:szCs w:val="20"/>
          <w:lang w:val="en-US"/>
        </w:rPr>
        <w:t xml:space="preserve"> S</w:t>
      </w:r>
      <w:r w:rsidR="00AE721F" w:rsidRPr="005A0574">
        <w:rPr>
          <w:szCs w:val="20"/>
          <w:lang w:val="en-US"/>
        </w:rPr>
        <w:t>ilva</w:t>
      </w:r>
      <w:r w:rsidRPr="005A0574">
        <w:rPr>
          <w:szCs w:val="20"/>
          <w:lang w:val="en-US"/>
        </w:rPr>
        <w:t xml:space="preserve"> D</w:t>
      </w:r>
      <w:r w:rsidR="00AE721F" w:rsidRPr="005A0574">
        <w:rPr>
          <w:szCs w:val="20"/>
          <w:lang w:val="en-US"/>
        </w:rPr>
        <w:t>ias</w:t>
      </w:r>
      <w:r w:rsidRPr="005A0574">
        <w:rPr>
          <w:szCs w:val="20"/>
          <w:lang w:val="en-US"/>
        </w:rPr>
        <w:t>, M. A. F.</w:t>
      </w:r>
      <w:r w:rsidR="00AE721F" w:rsidRPr="005A0574">
        <w:rPr>
          <w:szCs w:val="20"/>
          <w:lang w:val="en-US"/>
        </w:rPr>
        <w:t>,</w:t>
      </w:r>
      <w:r w:rsidRPr="005A0574">
        <w:rPr>
          <w:szCs w:val="20"/>
          <w:lang w:val="en-US"/>
        </w:rPr>
        <w:t xml:space="preserve"> Souza, </w:t>
      </w:r>
      <w:r w:rsidR="00AE721F" w:rsidRPr="005A0574">
        <w:rPr>
          <w:szCs w:val="20"/>
          <w:lang w:val="en-US"/>
        </w:rPr>
        <w:t>E.</w:t>
      </w:r>
      <w:r w:rsidRPr="005A0574">
        <w:rPr>
          <w:szCs w:val="20"/>
          <w:lang w:val="en-US"/>
        </w:rPr>
        <w:t xml:space="preserve"> P.</w:t>
      </w:r>
      <w:r w:rsidR="00AE721F" w:rsidRPr="005A0574">
        <w:rPr>
          <w:szCs w:val="20"/>
          <w:lang w:val="en-US"/>
        </w:rPr>
        <w:t>,</w:t>
      </w:r>
      <w:r w:rsidRPr="005A0574">
        <w:rPr>
          <w:szCs w:val="20"/>
          <w:lang w:val="en-US"/>
        </w:rPr>
        <w:t xml:space="preserve"> </w:t>
      </w:r>
      <w:r w:rsidR="00AE721F" w:rsidRPr="005A0574">
        <w:rPr>
          <w:szCs w:val="20"/>
          <w:lang w:val="en-US"/>
        </w:rPr>
        <w:t>Cohen</w:t>
      </w:r>
      <w:r w:rsidRPr="005A0574">
        <w:rPr>
          <w:szCs w:val="20"/>
          <w:lang w:val="en-US"/>
        </w:rPr>
        <w:t>, J. C. P.</w:t>
      </w:r>
      <w:r w:rsidR="00AE721F" w:rsidRPr="005A0574">
        <w:rPr>
          <w:szCs w:val="20"/>
          <w:lang w:val="en-US"/>
        </w:rPr>
        <w:t>:</w:t>
      </w:r>
      <w:r w:rsidRPr="005A0574">
        <w:rPr>
          <w:szCs w:val="20"/>
          <w:lang w:val="en-US"/>
        </w:rPr>
        <w:t xml:space="preserve"> Verification of the Role of the </w:t>
      </w:r>
      <w:proofErr w:type="gramStart"/>
      <w:r w:rsidRPr="005A0574">
        <w:rPr>
          <w:szCs w:val="20"/>
          <w:lang w:val="en-US"/>
        </w:rPr>
        <w:t>Low</w:t>
      </w:r>
      <w:r w:rsidR="0091153C" w:rsidRPr="005A0574">
        <w:rPr>
          <w:szCs w:val="20"/>
          <w:lang w:val="en-US"/>
        </w:rPr>
        <w:t xml:space="preserve"> </w:t>
      </w:r>
      <w:r w:rsidRPr="005A0574">
        <w:rPr>
          <w:szCs w:val="20"/>
          <w:lang w:val="en-US"/>
        </w:rPr>
        <w:t>Level</w:t>
      </w:r>
      <w:proofErr w:type="gramEnd"/>
      <w:r w:rsidRPr="005A0574">
        <w:rPr>
          <w:szCs w:val="20"/>
          <w:lang w:val="en-US"/>
        </w:rPr>
        <w:t xml:space="preserve"> Jets in Amazon Squall Lines</w:t>
      </w:r>
      <w:r w:rsidR="0091153C" w:rsidRPr="005A0574">
        <w:rPr>
          <w:szCs w:val="20"/>
          <w:lang w:val="en-US"/>
        </w:rPr>
        <w:t>,</w:t>
      </w:r>
      <w:r w:rsidRPr="005A0574">
        <w:rPr>
          <w:szCs w:val="20"/>
          <w:lang w:val="en-US"/>
        </w:rPr>
        <w:t xml:space="preserve"> Atmospheric Research, 100, 36-44, </w:t>
      </w:r>
      <w:proofErr w:type="spellStart"/>
      <w:r w:rsidR="0091153C" w:rsidRPr="005A0574">
        <w:rPr>
          <w:szCs w:val="20"/>
          <w:lang w:val="en-US"/>
        </w:rPr>
        <w:t>doi</w:t>
      </w:r>
      <w:proofErr w:type="spellEnd"/>
      <w:r w:rsidR="0091153C" w:rsidRPr="005A0574">
        <w:rPr>
          <w:szCs w:val="20"/>
          <w:lang w:val="en-US"/>
        </w:rPr>
        <w:t xml:space="preserve">: 10.1016/j.atmosres.2010.12.023, </w:t>
      </w:r>
      <w:r w:rsidRPr="005A0574">
        <w:rPr>
          <w:szCs w:val="20"/>
          <w:lang w:val="en-US"/>
        </w:rPr>
        <w:t>2011.</w:t>
      </w:r>
    </w:p>
    <w:p w14:paraId="7FF75ED3" w14:textId="77777777"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t>Arakawa, A., &amp; Schubert, W. H.: Interaction of a cumulus cloud ensemble with the large-scale environment, Part I. J. Atmos. Sci., 31, 674–701, doi:10.1175/1520- 0469, 1974.</w:t>
      </w:r>
    </w:p>
    <w:p w14:paraId="755F6BD4" w14:textId="77777777" w:rsidR="00567929" w:rsidRPr="005A0574" w:rsidRDefault="008C08DA" w:rsidP="00567929">
      <w:pPr>
        <w:pStyle w:val="NormalWeb"/>
        <w:spacing w:before="0" w:beforeAutospacing="0" w:after="0" w:afterAutospacing="0"/>
        <w:ind w:left="284" w:hanging="284"/>
        <w:rPr>
          <w:szCs w:val="20"/>
          <w:lang w:val="en-US"/>
        </w:rPr>
      </w:pPr>
      <w:r w:rsidRPr="005A0574">
        <w:rPr>
          <w:szCs w:val="20"/>
          <w:lang w:val="en-US"/>
        </w:rPr>
        <w:t>Arakawa, A., Jung, J.-H., &amp; Wu, C.-M.: Toward unification of the multiscale modeling of the atmosphere. Atmos. Chem. Phys., 11, 3731–3742, doi:10.5194/</w:t>
      </w:r>
      <w:proofErr w:type="spellStart"/>
      <w:r w:rsidRPr="005A0574">
        <w:rPr>
          <w:szCs w:val="20"/>
          <w:lang w:val="en-US"/>
        </w:rPr>
        <w:t>acp</w:t>
      </w:r>
      <w:proofErr w:type="spellEnd"/>
      <w:r w:rsidRPr="005A0574">
        <w:rPr>
          <w:szCs w:val="20"/>
          <w:lang w:val="en-US"/>
        </w:rPr>
        <w:t>- 11-3731-2011, 2011.</w:t>
      </w:r>
    </w:p>
    <w:p w14:paraId="72B254B3" w14:textId="23A97600" w:rsidR="00567929" w:rsidRPr="005A0574" w:rsidRDefault="00567929" w:rsidP="0034621C">
      <w:pPr>
        <w:pStyle w:val="NormalWeb"/>
        <w:spacing w:before="0" w:beforeAutospacing="0" w:after="0" w:afterAutospacing="0"/>
        <w:ind w:left="284" w:hanging="284"/>
        <w:rPr>
          <w:szCs w:val="20"/>
        </w:rPr>
      </w:pPr>
      <w:r w:rsidRPr="000D13B8">
        <w:rPr>
          <w:szCs w:val="20"/>
          <w:lang w:val="en-US"/>
        </w:rPr>
        <w:t>Baba, Y.: Spectral cumulus parameterization based on cloud-resolving model. </w:t>
      </w:r>
      <w:proofErr w:type="spellStart"/>
      <w:r w:rsidRPr="005A0574">
        <w:rPr>
          <w:szCs w:val="20"/>
        </w:rPr>
        <w:t>Clim</w:t>
      </w:r>
      <w:proofErr w:type="spellEnd"/>
      <w:r w:rsidRPr="005A0574">
        <w:rPr>
          <w:szCs w:val="20"/>
        </w:rPr>
        <w:t xml:space="preserve"> </w:t>
      </w:r>
      <w:proofErr w:type="spellStart"/>
      <w:r w:rsidRPr="005A0574">
        <w:rPr>
          <w:szCs w:val="20"/>
        </w:rPr>
        <w:t>Dyn</w:t>
      </w:r>
      <w:proofErr w:type="spellEnd"/>
      <w:r w:rsidRPr="005A0574">
        <w:rPr>
          <w:szCs w:val="20"/>
        </w:rPr>
        <w:t xml:space="preserve"> 52, 309–334, </w:t>
      </w:r>
      <w:r w:rsidRPr="005A0574">
        <w:rPr>
          <w:rStyle w:val="Hyperlink"/>
          <w:szCs w:val="20"/>
        </w:rPr>
        <w:t>https://doi.org/10.1007/s00382-018-4137-z</w:t>
      </w:r>
      <w:r w:rsidRPr="005A0574">
        <w:rPr>
          <w:szCs w:val="20"/>
        </w:rPr>
        <w:t>, 2019.</w:t>
      </w:r>
    </w:p>
    <w:p w14:paraId="1AD2C2F3" w14:textId="77777777" w:rsidR="008C08DA" w:rsidRPr="005A0574" w:rsidRDefault="008C08DA" w:rsidP="008C08DA">
      <w:pPr>
        <w:pStyle w:val="NormalWeb"/>
        <w:spacing w:before="0" w:beforeAutospacing="0" w:after="0" w:afterAutospacing="0"/>
        <w:ind w:left="284" w:hanging="284"/>
        <w:rPr>
          <w:szCs w:val="20"/>
          <w:lang w:val="en-US"/>
        </w:rPr>
      </w:pPr>
      <w:proofErr w:type="spellStart"/>
      <w:r w:rsidRPr="005A0574">
        <w:rPr>
          <w:szCs w:val="20"/>
          <w:lang w:val="en-US"/>
        </w:rPr>
        <w:t>Bacmeister</w:t>
      </w:r>
      <w:proofErr w:type="spellEnd"/>
      <w:r w:rsidRPr="005A0574">
        <w:rPr>
          <w:szCs w:val="20"/>
          <w:lang w:val="en-US"/>
        </w:rPr>
        <w:t xml:space="preserve">, J. T., Suarez, M. J., and Robertson, F. R.: Rain </w:t>
      </w:r>
      <w:proofErr w:type="spellStart"/>
      <w:r w:rsidRPr="005A0574">
        <w:rPr>
          <w:szCs w:val="20"/>
          <w:lang w:val="en-US"/>
        </w:rPr>
        <w:t>reevaporation</w:t>
      </w:r>
      <w:proofErr w:type="spellEnd"/>
      <w:r w:rsidRPr="005A0574">
        <w:rPr>
          <w:szCs w:val="20"/>
          <w:lang w:val="en-US"/>
        </w:rPr>
        <w:t xml:space="preserve">, boundary layer-convection interactions, and Pacific rainfall patterns in </w:t>
      </w:r>
      <w:proofErr w:type="gramStart"/>
      <w:r w:rsidRPr="005A0574">
        <w:rPr>
          <w:szCs w:val="20"/>
          <w:lang w:val="en-US"/>
        </w:rPr>
        <w:t>a</w:t>
      </w:r>
      <w:proofErr w:type="gramEnd"/>
      <w:r w:rsidRPr="005A0574">
        <w:rPr>
          <w:szCs w:val="20"/>
          <w:lang w:val="en-US"/>
        </w:rPr>
        <w:t xml:space="preserve"> AGCM, J. Atmos. Sci., 63, 3383–3403, 2006.</w:t>
      </w:r>
    </w:p>
    <w:p w14:paraId="228DA5FE" w14:textId="59A62031"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t xml:space="preserve">Bechtold, P., N. </w:t>
      </w:r>
      <w:proofErr w:type="spellStart"/>
      <w:r w:rsidRPr="005A0574">
        <w:rPr>
          <w:szCs w:val="20"/>
          <w:lang w:val="en-US"/>
        </w:rPr>
        <w:t>Semane</w:t>
      </w:r>
      <w:proofErr w:type="spellEnd"/>
      <w:r w:rsidRPr="005A0574">
        <w:rPr>
          <w:szCs w:val="20"/>
          <w:lang w:val="en-US"/>
        </w:rPr>
        <w:t xml:space="preserve">, P. Lopez, J. </w:t>
      </w:r>
      <w:proofErr w:type="spellStart"/>
      <w:r w:rsidRPr="005A0574">
        <w:rPr>
          <w:szCs w:val="20"/>
          <w:lang w:val="en-US"/>
        </w:rPr>
        <w:t>Chaboureau</w:t>
      </w:r>
      <w:proofErr w:type="spellEnd"/>
      <w:r w:rsidRPr="005A0574">
        <w:rPr>
          <w:szCs w:val="20"/>
          <w:lang w:val="en-US"/>
        </w:rPr>
        <w:t xml:space="preserve">, A. </w:t>
      </w:r>
      <w:proofErr w:type="spellStart"/>
      <w:r w:rsidRPr="005A0574">
        <w:rPr>
          <w:szCs w:val="20"/>
          <w:lang w:val="en-US"/>
        </w:rPr>
        <w:t>Beljaars</w:t>
      </w:r>
      <w:proofErr w:type="spellEnd"/>
      <w:r w:rsidRPr="005A0574">
        <w:rPr>
          <w:szCs w:val="20"/>
          <w:lang w:val="en-US"/>
        </w:rPr>
        <w:t xml:space="preserve">, and N. Bormann: Representing Equilibrium and Nonequilibrium Convection in Large-Scale Models. J. Atmos. Sci., 71, 734–753, </w:t>
      </w:r>
      <w:proofErr w:type="spellStart"/>
      <w:r w:rsidRPr="005A0574">
        <w:rPr>
          <w:szCs w:val="20"/>
          <w:lang w:val="en-US"/>
        </w:rPr>
        <w:t>doi</w:t>
      </w:r>
      <w:proofErr w:type="spellEnd"/>
      <w:r w:rsidRPr="005A0574">
        <w:rPr>
          <w:szCs w:val="20"/>
          <w:lang w:val="en-US"/>
        </w:rPr>
        <w:t>: 10.1175/JAS-D-13-0163.1, 2014.</w:t>
      </w:r>
    </w:p>
    <w:p w14:paraId="552DECB0" w14:textId="1BAFD4CE" w:rsidR="001926FC" w:rsidRPr="005A0574" w:rsidRDefault="001926FC" w:rsidP="008C08DA">
      <w:pPr>
        <w:pStyle w:val="NormalWeb"/>
        <w:spacing w:before="0" w:beforeAutospacing="0" w:after="0" w:afterAutospacing="0"/>
        <w:ind w:left="284" w:hanging="284"/>
        <w:rPr>
          <w:szCs w:val="20"/>
          <w:lang w:val="en-US"/>
        </w:rPr>
      </w:pPr>
      <w:r w:rsidRPr="005A0574">
        <w:rPr>
          <w:szCs w:val="20"/>
          <w:lang w:val="en-US"/>
        </w:rPr>
        <w:lastRenderedPageBreak/>
        <w:t>Benjamin, S. G., and Coauthors: A North American hourly assimilation and model forecast cycle: The Rapid Refresh. Mon. Wea. Rev., 144, 1669–1694, doi:10.1175/MWR-D-15-0242.1, 2016.</w:t>
      </w:r>
    </w:p>
    <w:p w14:paraId="00BED206" w14:textId="6F644474" w:rsidR="00D36246" w:rsidRPr="005A0574" w:rsidRDefault="00D36246" w:rsidP="008C08DA">
      <w:pPr>
        <w:pStyle w:val="NormalWeb"/>
        <w:spacing w:before="0" w:beforeAutospacing="0" w:after="0" w:afterAutospacing="0"/>
        <w:ind w:left="284" w:hanging="284"/>
        <w:rPr>
          <w:szCs w:val="20"/>
          <w:lang w:val="en-US"/>
        </w:rPr>
      </w:pPr>
      <w:r w:rsidRPr="005A0574">
        <w:rPr>
          <w:szCs w:val="20"/>
          <w:lang w:val="en-US"/>
        </w:rPr>
        <w:t xml:space="preserve">Betts, A. K., and C. Jakob: Study of diurnal cycle of convective precipitation over Amazonia using a single column model, J. </w:t>
      </w:r>
      <w:proofErr w:type="spellStart"/>
      <w:r w:rsidRPr="005A0574">
        <w:rPr>
          <w:szCs w:val="20"/>
          <w:lang w:val="en-US"/>
        </w:rPr>
        <w:t>Geophys</w:t>
      </w:r>
      <w:proofErr w:type="spellEnd"/>
      <w:r w:rsidRPr="005A0574">
        <w:rPr>
          <w:szCs w:val="20"/>
          <w:lang w:val="en-US"/>
        </w:rPr>
        <w:t>. Res., 107(D23), 4732, doi:10.1029/2002JD002264, 2002.</w:t>
      </w:r>
    </w:p>
    <w:p w14:paraId="2F25C037" w14:textId="77777777"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t>Chou, M.-D. and Suarez, M. J.: An efficient thermal infrared radiation parameterization for use in general circulation models. NASA Tech. Memorandum 104606 – Vol. 3, NASA, Goddard Space Flight Center, Greenbelt, MD, 1994.</w:t>
      </w:r>
    </w:p>
    <w:p w14:paraId="564BC7A2" w14:textId="77777777"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t xml:space="preserve">Chou, M.-D. and Suarez, M. J.: A Solar Radiation Parameterization for Atmospheric Studies. NASA Tech. Memorandum 104606 – Vol. 15, NASA, Goddard Space Flight Center, Greenbelt, MD, 1999. </w:t>
      </w:r>
    </w:p>
    <w:p w14:paraId="343680E5" w14:textId="2EFD0364"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t xml:space="preserve">Cohen, J. C. P., Silva Dias, M. A. F., &amp; </w:t>
      </w:r>
      <w:proofErr w:type="spellStart"/>
      <w:r w:rsidRPr="005A0574">
        <w:rPr>
          <w:szCs w:val="20"/>
          <w:lang w:val="en-US"/>
        </w:rPr>
        <w:t>Nobre</w:t>
      </w:r>
      <w:proofErr w:type="spellEnd"/>
      <w:r w:rsidRPr="005A0574">
        <w:rPr>
          <w:szCs w:val="20"/>
          <w:lang w:val="en-US"/>
        </w:rPr>
        <w:t>, C. A.: Environmental conditions associated with Amazonian squall lines: a case study. Monthly Weather Review, 123: 3163-3174, 1995.</w:t>
      </w:r>
    </w:p>
    <w:p w14:paraId="3B77DC89" w14:textId="5C9408E5" w:rsidR="007B7B65" w:rsidRPr="005A0574" w:rsidRDefault="007B7B65" w:rsidP="008C08DA">
      <w:pPr>
        <w:pStyle w:val="NormalWeb"/>
        <w:spacing w:before="0" w:beforeAutospacing="0" w:after="0" w:afterAutospacing="0"/>
        <w:ind w:left="284" w:hanging="284"/>
        <w:rPr>
          <w:szCs w:val="20"/>
          <w:lang w:val="en-US"/>
        </w:rPr>
      </w:pPr>
      <w:r w:rsidRPr="005A0574">
        <w:rPr>
          <w:szCs w:val="20"/>
          <w:lang w:val="en-US"/>
        </w:rPr>
        <w:t xml:space="preserve">Fowler, L. D., W. C. </w:t>
      </w:r>
      <w:proofErr w:type="spellStart"/>
      <w:r w:rsidRPr="005A0574">
        <w:rPr>
          <w:szCs w:val="20"/>
          <w:lang w:val="en-US"/>
        </w:rPr>
        <w:t>Skamarock</w:t>
      </w:r>
      <w:proofErr w:type="spellEnd"/>
      <w:r w:rsidRPr="005A0574">
        <w:rPr>
          <w:szCs w:val="20"/>
          <w:lang w:val="en-US"/>
        </w:rPr>
        <w:t xml:space="preserve">, G. A. Grell, S. R. Freitas, and M. G. </w:t>
      </w:r>
      <w:proofErr w:type="spellStart"/>
      <w:r w:rsidRPr="005A0574">
        <w:rPr>
          <w:szCs w:val="20"/>
          <w:lang w:val="en-US"/>
        </w:rPr>
        <w:t>Duda</w:t>
      </w:r>
      <w:proofErr w:type="spellEnd"/>
      <w:r w:rsidRPr="005A0574">
        <w:rPr>
          <w:szCs w:val="20"/>
          <w:lang w:val="en-US"/>
        </w:rPr>
        <w:t xml:space="preserve">: Analyzing the </w:t>
      </w:r>
      <w:proofErr w:type="spellStart"/>
      <w:r w:rsidRPr="005A0574">
        <w:rPr>
          <w:szCs w:val="20"/>
          <w:lang w:val="en-US"/>
        </w:rPr>
        <w:t>Grell</w:t>
      </w:r>
      <w:proofErr w:type="spellEnd"/>
      <w:r w:rsidRPr="005A0574">
        <w:rPr>
          <w:szCs w:val="20"/>
          <w:lang w:val="en-US"/>
        </w:rPr>
        <w:t xml:space="preserve">-Freitas convection scheme from hydrostatic to </w:t>
      </w:r>
      <w:proofErr w:type="spellStart"/>
      <w:r w:rsidRPr="005A0574">
        <w:rPr>
          <w:szCs w:val="20"/>
          <w:lang w:val="en-US"/>
        </w:rPr>
        <w:t>non hydrostatic</w:t>
      </w:r>
      <w:proofErr w:type="spellEnd"/>
      <w:r w:rsidRPr="005A0574">
        <w:rPr>
          <w:szCs w:val="20"/>
          <w:lang w:val="en-US"/>
        </w:rPr>
        <w:t xml:space="preserve"> scales within a global model. Monthly Weather Review, MWR-D-15-0311.1, 10.1175/mwr-d-15-0311.1, 2016.</w:t>
      </w:r>
    </w:p>
    <w:p w14:paraId="37F6D6E8" w14:textId="1C8E06EB"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t xml:space="preserve">Freitas, S. R., Grell, G. A., </w:t>
      </w:r>
      <w:proofErr w:type="spellStart"/>
      <w:r w:rsidRPr="005A0574">
        <w:rPr>
          <w:szCs w:val="20"/>
          <w:lang w:val="en-US"/>
        </w:rPr>
        <w:t>Molod</w:t>
      </w:r>
      <w:proofErr w:type="spellEnd"/>
      <w:r w:rsidRPr="005A0574">
        <w:rPr>
          <w:szCs w:val="20"/>
          <w:lang w:val="en-US"/>
        </w:rPr>
        <w:t xml:space="preserve">, A., Thompson, M. A., Putman, W. M., Santos e Silva, C. M., &amp; Souza, E. P.: Assessing the Grell‐Freitas convection parameterization in the NASA GEOS modeling system. Journal of Advances in Modeling Earth Systems, 10, 1266–1289. </w:t>
      </w:r>
      <w:hyperlink r:id="rId10" w:history="1">
        <w:r w:rsidRPr="005A0574">
          <w:rPr>
            <w:rStyle w:val="Hyperlink"/>
            <w:szCs w:val="20"/>
            <w:lang w:val="en-US"/>
          </w:rPr>
          <w:t>https://doi.org/10.1029/2017MS001251</w:t>
        </w:r>
      </w:hyperlink>
      <w:r w:rsidRPr="005A0574">
        <w:rPr>
          <w:szCs w:val="20"/>
          <w:lang w:val="en-US"/>
        </w:rPr>
        <w:t>, 2018.</w:t>
      </w:r>
    </w:p>
    <w:p w14:paraId="0FAC2B95" w14:textId="710BE20A" w:rsidR="007B7B65" w:rsidRPr="005A0574" w:rsidRDefault="007B7B65" w:rsidP="008C08DA">
      <w:pPr>
        <w:pStyle w:val="NormalWeb"/>
        <w:spacing w:before="0" w:beforeAutospacing="0" w:after="0" w:afterAutospacing="0"/>
        <w:ind w:left="284" w:hanging="284"/>
        <w:rPr>
          <w:szCs w:val="20"/>
          <w:lang w:val="en-US"/>
        </w:rPr>
      </w:pPr>
      <w:r w:rsidRPr="005A0574">
        <w:rPr>
          <w:szCs w:val="20"/>
          <w:lang w:val="en-US"/>
        </w:rPr>
        <w:t xml:space="preserve">Freitas, S. R., Putman, W. M., Arnold, N. P., Adams, D. K., Grell, G. A.: Cascading toward a kilometer‐scale GCM: Impacts of a scale‐aware convection parameterization in the Goddard Earth Observing System GCM. Geophysical Research Letters, 47, e2020GL087682. </w:t>
      </w:r>
      <w:hyperlink r:id="rId11" w:history="1">
        <w:r w:rsidRPr="005A0574">
          <w:rPr>
            <w:rStyle w:val="Hyperlink"/>
            <w:szCs w:val="20"/>
            <w:lang w:val="en-US"/>
          </w:rPr>
          <w:t>https://doi.org/10.1029/2020GL087682</w:t>
        </w:r>
      </w:hyperlink>
      <w:r w:rsidRPr="005A0574">
        <w:rPr>
          <w:szCs w:val="20"/>
          <w:lang w:val="en-US"/>
        </w:rPr>
        <w:t>, 2020.</w:t>
      </w:r>
    </w:p>
    <w:p w14:paraId="3D82EA81" w14:textId="77777777" w:rsidR="003C6B35" w:rsidRPr="005A0574" w:rsidRDefault="008C08DA" w:rsidP="003C6B35">
      <w:pPr>
        <w:pStyle w:val="NormalWeb"/>
        <w:spacing w:before="0" w:beforeAutospacing="0" w:after="0" w:afterAutospacing="0"/>
        <w:ind w:left="284" w:hanging="284"/>
        <w:rPr>
          <w:szCs w:val="20"/>
          <w:lang w:val="en-US"/>
        </w:rPr>
      </w:pPr>
      <w:proofErr w:type="spellStart"/>
      <w:r w:rsidRPr="005A0574">
        <w:rPr>
          <w:szCs w:val="20"/>
          <w:lang w:val="en-US"/>
        </w:rPr>
        <w:t>Gelaro</w:t>
      </w:r>
      <w:proofErr w:type="spellEnd"/>
      <w:r w:rsidRPr="005A0574">
        <w:rPr>
          <w:szCs w:val="20"/>
          <w:lang w:val="en-US"/>
        </w:rPr>
        <w:t xml:space="preserve">, R., W. McCarty, M.J. Suarez, R. </w:t>
      </w:r>
      <w:proofErr w:type="spellStart"/>
      <w:r w:rsidRPr="005A0574">
        <w:rPr>
          <w:szCs w:val="20"/>
          <w:lang w:val="en-US"/>
        </w:rPr>
        <w:t>Todling</w:t>
      </w:r>
      <w:proofErr w:type="spellEnd"/>
      <w:r w:rsidRPr="005A0574">
        <w:rPr>
          <w:szCs w:val="20"/>
          <w:lang w:val="en-US"/>
        </w:rPr>
        <w:t xml:space="preserve">, A. </w:t>
      </w:r>
      <w:proofErr w:type="spellStart"/>
      <w:r w:rsidRPr="005A0574">
        <w:rPr>
          <w:szCs w:val="20"/>
          <w:lang w:val="en-US"/>
        </w:rPr>
        <w:t>Molod</w:t>
      </w:r>
      <w:proofErr w:type="spellEnd"/>
      <w:r w:rsidRPr="005A0574">
        <w:rPr>
          <w:szCs w:val="20"/>
          <w:lang w:val="en-US"/>
        </w:rPr>
        <w:t xml:space="preserve">, L. Takacs, C.A. </w:t>
      </w:r>
      <w:proofErr w:type="spellStart"/>
      <w:r w:rsidRPr="005A0574">
        <w:rPr>
          <w:szCs w:val="20"/>
          <w:lang w:val="en-US"/>
        </w:rPr>
        <w:t>Randles</w:t>
      </w:r>
      <w:proofErr w:type="spellEnd"/>
      <w:r w:rsidRPr="005A0574">
        <w:rPr>
          <w:szCs w:val="20"/>
          <w:lang w:val="en-US"/>
        </w:rPr>
        <w:t xml:space="preserve">, A. </w:t>
      </w:r>
      <w:proofErr w:type="spellStart"/>
      <w:r w:rsidRPr="005A0574">
        <w:rPr>
          <w:szCs w:val="20"/>
          <w:lang w:val="en-US"/>
        </w:rPr>
        <w:t>Darmenov</w:t>
      </w:r>
      <w:proofErr w:type="spellEnd"/>
      <w:r w:rsidRPr="005A0574">
        <w:rPr>
          <w:szCs w:val="20"/>
          <w:lang w:val="en-US"/>
        </w:rPr>
        <w:t xml:space="preserve">, M.G. </w:t>
      </w:r>
      <w:proofErr w:type="spellStart"/>
      <w:r w:rsidRPr="005A0574">
        <w:rPr>
          <w:szCs w:val="20"/>
          <w:lang w:val="en-US"/>
        </w:rPr>
        <w:t>Bosilovich</w:t>
      </w:r>
      <w:proofErr w:type="spellEnd"/>
      <w:r w:rsidRPr="005A0574">
        <w:rPr>
          <w:szCs w:val="20"/>
          <w:lang w:val="en-US"/>
        </w:rPr>
        <w:t xml:space="preserve">, R. </w:t>
      </w:r>
      <w:proofErr w:type="spellStart"/>
      <w:r w:rsidRPr="005A0574">
        <w:rPr>
          <w:szCs w:val="20"/>
          <w:lang w:val="en-US"/>
        </w:rPr>
        <w:t>Reichle</w:t>
      </w:r>
      <w:proofErr w:type="spellEnd"/>
      <w:r w:rsidRPr="005A0574">
        <w:rPr>
          <w:szCs w:val="20"/>
          <w:lang w:val="en-US"/>
        </w:rPr>
        <w:t xml:space="preserve">, K. </w:t>
      </w:r>
      <w:proofErr w:type="spellStart"/>
      <w:r w:rsidRPr="005A0574">
        <w:rPr>
          <w:szCs w:val="20"/>
          <w:lang w:val="en-US"/>
        </w:rPr>
        <w:t>Wargan</w:t>
      </w:r>
      <w:proofErr w:type="spellEnd"/>
      <w:r w:rsidRPr="005A0574">
        <w:rPr>
          <w:szCs w:val="20"/>
          <w:lang w:val="en-US"/>
        </w:rPr>
        <w:t xml:space="preserve">, L. Coy, R. </w:t>
      </w:r>
      <w:proofErr w:type="spellStart"/>
      <w:r w:rsidRPr="005A0574">
        <w:rPr>
          <w:szCs w:val="20"/>
          <w:lang w:val="en-US"/>
        </w:rPr>
        <w:t>Cullather</w:t>
      </w:r>
      <w:proofErr w:type="spellEnd"/>
      <w:r w:rsidRPr="005A0574">
        <w:rPr>
          <w:szCs w:val="20"/>
          <w:lang w:val="en-US"/>
        </w:rPr>
        <w:t xml:space="preserve">, C. Draper, S. </w:t>
      </w:r>
      <w:proofErr w:type="spellStart"/>
      <w:r w:rsidRPr="005A0574">
        <w:rPr>
          <w:szCs w:val="20"/>
          <w:lang w:val="en-US"/>
        </w:rPr>
        <w:t>Akella</w:t>
      </w:r>
      <w:proofErr w:type="spellEnd"/>
      <w:r w:rsidRPr="005A0574">
        <w:rPr>
          <w:szCs w:val="20"/>
          <w:lang w:val="en-US"/>
        </w:rPr>
        <w:t xml:space="preserve">, V. </w:t>
      </w:r>
      <w:proofErr w:type="spellStart"/>
      <w:r w:rsidRPr="005A0574">
        <w:rPr>
          <w:szCs w:val="20"/>
          <w:lang w:val="en-US"/>
        </w:rPr>
        <w:t>Buchard</w:t>
      </w:r>
      <w:proofErr w:type="spellEnd"/>
      <w:r w:rsidRPr="005A0574">
        <w:rPr>
          <w:szCs w:val="20"/>
          <w:lang w:val="en-US"/>
        </w:rPr>
        <w:t xml:space="preserve">, A. </w:t>
      </w:r>
      <w:proofErr w:type="spellStart"/>
      <w:r w:rsidRPr="005A0574">
        <w:rPr>
          <w:szCs w:val="20"/>
          <w:lang w:val="en-US"/>
        </w:rPr>
        <w:t>Conaty</w:t>
      </w:r>
      <w:proofErr w:type="spellEnd"/>
      <w:r w:rsidRPr="005A0574">
        <w:rPr>
          <w:szCs w:val="20"/>
          <w:lang w:val="en-US"/>
        </w:rPr>
        <w:t xml:space="preserve">, A.M. da Silva, W. Gu, G. Kim, R. </w:t>
      </w:r>
      <w:proofErr w:type="spellStart"/>
      <w:r w:rsidRPr="005A0574">
        <w:rPr>
          <w:szCs w:val="20"/>
          <w:lang w:val="en-US"/>
        </w:rPr>
        <w:t>Koster</w:t>
      </w:r>
      <w:proofErr w:type="spellEnd"/>
      <w:r w:rsidRPr="005A0574">
        <w:rPr>
          <w:szCs w:val="20"/>
          <w:lang w:val="en-US"/>
        </w:rPr>
        <w:t xml:space="preserve">, R. </w:t>
      </w:r>
      <w:proofErr w:type="spellStart"/>
      <w:r w:rsidRPr="005A0574">
        <w:rPr>
          <w:szCs w:val="20"/>
          <w:lang w:val="en-US"/>
        </w:rPr>
        <w:t>Lucchesi</w:t>
      </w:r>
      <w:proofErr w:type="spellEnd"/>
      <w:r w:rsidRPr="005A0574">
        <w:rPr>
          <w:szCs w:val="20"/>
          <w:lang w:val="en-US"/>
        </w:rPr>
        <w:t xml:space="preserve">, D. </w:t>
      </w:r>
      <w:proofErr w:type="spellStart"/>
      <w:r w:rsidRPr="005A0574">
        <w:rPr>
          <w:szCs w:val="20"/>
          <w:lang w:val="en-US"/>
        </w:rPr>
        <w:t>Merkova</w:t>
      </w:r>
      <w:proofErr w:type="spellEnd"/>
      <w:r w:rsidRPr="005A0574">
        <w:rPr>
          <w:szCs w:val="20"/>
          <w:lang w:val="en-US"/>
        </w:rPr>
        <w:t xml:space="preserve">, J.E. Nielsen, G. </w:t>
      </w:r>
      <w:proofErr w:type="spellStart"/>
      <w:r w:rsidRPr="005A0574">
        <w:rPr>
          <w:szCs w:val="20"/>
          <w:lang w:val="en-US"/>
        </w:rPr>
        <w:t>Partyka</w:t>
      </w:r>
      <w:proofErr w:type="spellEnd"/>
      <w:r w:rsidRPr="005A0574">
        <w:rPr>
          <w:szCs w:val="20"/>
          <w:lang w:val="en-US"/>
        </w:rPr>
        <w:t xml:space="preserve">, S. Pawson, W. Putman, M. </w:t>
      </w:r>
      <w:proofErr w:type="spellStart"/>
      <w:r w:rsidRPr="005A0574">
        <w:rPr>
          <w:szCs w:val="20"/>
          <w:lang w:val="en-US"/>
        </w:rPr>
        <w:t>Rienecker</w:t>
      </w:r>
      <w:proofErr w:type="spellEnd"/>
      <w:r w:rsidRPr="005A0574">
        <w:rPr>
          <w:szCs w:val="20"/>
          <w:lang w:val="en-US"/>
        </w:rPr>
        <w:t xml:space="preserve">, S.D. Schubert, M. Sienkiewicz, and B. Zhao: The Modern–Era Retrospective Analysis for Research and Applications, Version 2 (MERRA–2). J. Climate, 30, 5419–5454, </w:t>
      </w:r>
      <w:hyperlink r:id="rId12" w:history="1">
        <w:r w:rsidRPr="005A0574">
          <w:rPr>
            <w:rStyle w:val="Hyperlink"/>
            <w:szCs w:val="20"/>
            <w:lang w:val="en-US"/>
          </w:rPr>
          <w:t>https://doi.org/10.1175/JCLI–D–16–0758.1</w:t>
        </w:r>
      </w:hyperlink>
      <w:r w:rsidRPr="005A0574">
        <w:rPr>
          <w:szCs w:val="20"/>
          <w:lang w:val="en-US"/>
        </w:rPr>
        <w:t>, 2017.</w:t>
      </w:r>
    </w:p>
    <w:p w14:paraId="4653922F" w14:textId="76A1F00C" w:rsidR="003C6B35" w:rsidRPr="005A0574" w:rsidRDefault="003C6B35" w:rsidP="003C6B35">
      <w:pPr>
        <w:pStyle w:val="NormalWeb"/>
        <w:spacing w:before="0" w:beforeAutospacing="0" w:after="0" w:afterAutospacing="0"/>
        <w:ind w:left="284" w:hanging="284"/>
        <w:rPr>
          <w:szCs w:val="20"/>
          <w:lang w:val="en-US"/>
        </w:rPr>
      </w:pPr>
      <w:r w:rsidRPr="005A0574">
        <w:rPr>
          <w:szCs w:val="20"/>
          <w:lang w:val="en-US"/>
        </w:rPr>
        <w:t xml:space="preserve">Grell, G. A., Y.-H. </w:t>
      </w:r>
      <w:proofErr w:type="spellStart"/>
      <w:r w:rsidRPr="005A0574">
        <w:rPr>
          <w:szCs w:val="20"/>
          <w:lang w:val="en-US"/>
        </w:rPr>
        <w:t>Kuo</w:t>
      </w:r>
      <w:proofErr w:type="spellEnd"/>
      <w:r w:rsidRPr="005A0574">
        <w:rPr>
          <w:szCs w:val="20"/>
          <w:lang w:val="en-US"/>
        </w:rPr>
        <w:t>, and R. Pasch: Semi-prognostic tests of cumulus parameterization schemes in the middle latitudes. Mon. Wea. Rev. ,119, 5-31, 1991.</w:t>
      </w:r>
    </w:p>
    <w:p w14:paraId="608486A0" w14:textId="6677264E"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lastRenderedPageBreak/>
        <w:t>Grell, G.</w:t>
      </w:r>
      <w:r w:rsidR="007B7B65" w:rsidRPr="005A0574">
        <w:rPr>
          <w:szCs w:val="20"/>
          <w:lang w:val="en-US"/>
        </w:rPr>
        <w:t>:</w:t>
      </w:r>
      <w:r w:rsidRPr="005A0574">
        <w:rPr>
          <w:szCs w:val="20"/>
          <w:lang w:val="en-US"/>
        </w:rPr>
        <w:t xml:space="preserve"> Prognostic evaluation of assumptions used by cumulus parameterizations, Mon. Wea. Rev., 121, 764– 787, 1993.</w:t>
      </w:r>
    </w:p>
    <w:p w14:paraId="572D9A64" w14:textId="77777777"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t xml:space="preserve">Grell, G. A. and </w:t>
      </w:r>
      <w:proofErr w:type="spellStart"/>
      <w:r w:rsidRPr="005A0574">
        <w:rPr>
          <w:szCs w:val="20"/>
          <w:lang w:val="en-US"/>
        </w:rPr>
        <w:t>Devenyi</w:t>
      </w:r>
      <w:proofErr w:type="spellEnd"/>
      <w:r w:rsidRPr="005A0574">
        <w:rPr>
          <w:szCs w:val="20"/>
          <w:lang w:val="en-US"/>
        </w:rPr>
        <w:t xml:space="preserve">, D.: A generalized approach to parameterizing convection combining ensemble and data assimilation techniques, </w:t>
      </w:r>
      <w:proofErr w:type="spellStart"/>
      <w:r w:rsidRPr="005A0574">
        <w:rPr>
          <w:szCs w:val="20"/>
          <w:lang w:val="en-US"/>
        </w:rPr>
        <w:t>Geoph</w:t>
      </w:r>
      <w:proofErr w:type="spellEnd"/>
      <w:r w:rsidRPr="005A0574">
        <w:rPr>
          <w:szCs w:val="20"/>
          <w:lang w:val="en-US"/>
        </w:rPr>
        <w:t xml:space="preserve">. Res. Let., 29, 38-1–38-4, doi:10.1029/2002GL015311, 2002. </w:t>
      </w:r>
    </w:p>
    <w:p w14:paraId="0B88C83F" w14:textId="77777777"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t>Grell, G. A. and Freitas, S. R.: A scale and aerosol aware stochastic convective parameterization for weather and air quality modeling, Atmos. Chem. Phys., 14, 5233-5250, doi:10.5194/acp-14-5233-2014, 2014.</w:t>
      </w:r>
    </w:p>
    <w:p w14:paraId="21A95DBA" w14:textId="77777777" w:rsidR="00A946E6" w:rsidRPr="005A0574" w:rsidRDefault="008C08DA" w:rsidP="00A946E6">
      <w:pPr>
        <w:pStyle w:val="NormalWeb"/>
        <w:spacing w:before="0" w:beforeAutospacing="0" w:after="0" w:afterAutospacing="0"/>
        <w:ind w:left="284" w:hanging="284"/>
        <w:rPr>
          <w:szCs w:val="20"/>
          <w:lang w:val="en-US"/>
        </w:rPr>
      </w:pPr>
      <w:r w:rsidRPr="005A0574">
        <w:rPr>
          <w:szCs w:val="20"/>
          <w:lang w:val="en-US"/>
        </w:rPr>
        <w:t xml:space="preserve">Huffman, G. J., Adler, R. F., </w:t>
      </w:r>
      <w:proofErr w:type="spellStart"/>
      <w:r w:rsidRPr="005A0574">
        <w:rPr>
          <w:szCs w:val="20"/>
          <w:lang w:val="en-US"/>
        </w:rPr>
        <w:t>Bolvin</w:t>
      </w:r>
      <w:proofErr w:type="spellEnd"/>
      <w:r w:rsidRPr="005A0574">
        <w:rPr>
          <w:szCs w:val="20"/>
          <w:lang w:val="en-US"/>
        </w:rPr>
        <w:t xml:space="preserve">, D. T., Gu, G. J., </w:t>
      </w:r>
      <w:proofErr w:type="spellStart"/>
      <w:r w:rsidRPr="005A0574">
        <w:rPr>
          <w:szCs w:val="20"/>
          <w:lang w:val="en-US"/>
        </w:rPr>
        <w:t>Nelkin</w:t>
      </w:r>
      <w:proofErr w:type="spellEnd"/>
      <w:r w:rsidRPr="005A0574">
        <w:rPr>
          <w:szCs w:val="20"/>
          <w:lang w:val="en-US"/>
        </w:rPr>
        <w:t xml:space="preserve">, E. J., Bowman, K. P., Hong, Y., Stocker, E. F., and Wolff, D. B.: The TRMM multi-satellite precipitation analysis (TMPA): Quasi-global, multiyear, combined-sensor precipitation estimates at fine scales. J. of </w:t>
      </w:r>
      <w:proofErr w:type="spellStart"/>
      <w:r w:rsidRPr="005A0574">
        <w:rPr>
          <w:szCs w:val="20"/>
          <w:lang w:val="en-US"/>
        </w:rPr>
        <w:t>Hydrometeo</w:t>
      </w:r>
      <w:proofErr w:type="spellEnd"/>
      <w:r w:rsidRPr="005A0574">
        <w:rPr>
          <w:szCs w:val="20"/>
          <w:lang w:val="en-US"/>
        </w:rPr>
        <w:t>., 8, 38-55. 2007.</w:t>
      </w:r>
    </w:p>
    <w:p w14:paraId="04C82756" w14:textId="605E6DDB" w:rsidR="00A946E6" w:rsidRPr="000D13B8" w:rsidRDefault="00A946E6" w:rsidP="00A946E6">
      <w:pPr>
        <w:pStyle w:val="NormalWeb"/>
        <w:spacing w:before="0" w:beforeAutospacing="0" w:after="0" w:afterAutospacing="0"/>
        <w:ind w:left="284" w:hanging="284"/>
        <w:rPr>
          <w:szCs w:val="20"/>
        </w:rPr>
      </w:pPr>
      <w:r w:rsidRPr="005A0574">
        <w:rPr>
          <w:bCs/>
          <w:lang w:val="en-US"/>
        </w:rPr>
        <w:t xml:space="preserve">Huffman, G.J., D.T. </w:t>
      </w:r>
      <w:proofErr w:type="spellStart"/>
      <w:r w:rsidRPr="005A0574">
        <w:rPr>
          <w:bCs/>
          <w:lang w:val="en-US"/>
        </w:rPr>
        <w:t>Bolvin</w:t>
      </w:r>
      <w:proofErr w:type="spellEnd"/>
      <w:r w:rsidRPr="005A0574">
        <w:rPr>
          <w:bCs/>
          <w:lang w:val="en-US"/>
        </w:rPr>
        <w:t xml:space="preserve">, D. Braithwaite, K. Hsu, R. Joyce, C. Kidd, E.J. </w:t>
      </w:r>
      <w:proofErr w:type="spellStart"/>
      <w:r w:rsidRPr="005A0574">
        <w:rPr>
          <w:bCs/>
          <w:lang w:val="en-US"/>
        </w:rPr>
        <w:t>Nelkin</w:t>
      </w:r>
      <w:proofErr w:type="spellEnd"/>
      <w:r w:rsidRPr="005A0574">
        <w:rPr>
          <w:bCs/>
          <w:lang w:val="en-US"/>
        </w:rPr>
        <w:t xml:space="preserve">, S. </w:t>
      </w:r>
      <w:proofErr w:type="spellStart"/>
      <w:r w:rsidRPr="005A0574">
        <w:rPr>
          <w:bCs/>
          <w:lang w:val="en-US"/>
        </w:rPr>
        <w:t>Sorooshian</w:t>
      </w:r>
      <w:proofErr w:type="spellEnd"/>
      <w:r w:rsidRPr="005A0574">
        <w:rPr>
          <w:bCs/>
          <w:lang w:val="en-US"/>
        </w:rPr>
        <w:t xml:space="preserve">, J. Tan, P. </w:t>
      </w:r>
      <w:proofErr w:type="spellStart"/>
      <w:r w:rsidRPr="005A0574">
        <w:rPr>
          <w:bCs/>
          <w:lang w:val="en-US"/>
        </w:rPr>
        <w:t>Xie</w:t>
      </w:r>
      <w:proofErr w:type="spellEnd"/>
      <w:r w:rsidRPr="005A0574">
        <w:rPr>
          <w:bCs/>
          <w:lang w:val="en-US"/>
        </w:rPr>
        <w:t xml:space="preserve"> (2019), Algorithm Theoretical Basis Document (ATBD) Version 5.2 for the NASA Global Precipitation Measurement (GPM) Integrated Multi-</w:t>
      </w:r>
      <w:proofErr w:type="spellStart"/>
      <w:r w:rsidRPr="005A0574">
        <w:rPr>
          <w:bCs/>
          <w:lang w:val="en-US"/>
        </w:rPr>
        <w:t>satellitE</w:t>
      </w:r>
      <w:proofErr w:type="spellEnd"/>
      <w:r w:rsidRPr="005A0574">
        <w:rPr>
          <w:bCs/>
          <w:lang w:val="en-US"/>
        </w:rPr>
        <w:t xml:space="preserve"> Retrievals for GPM (I-MERG), GPM Project, Greenbelt, MD, 38 pp. </w:t>
      </w:r>
      <w:hyperlink r:id="rId13">
        <w:r w:rsidRPr="000D13B8">
          <w:rPr>
            <w:rStyle w:val="InternetLink"/>
          </w:rPr>
          <w:t>https://pmm.nasa.gov/sites/default/files/document_files/IMERG_ATBD_V6.pdf</w:t>
        </w:r>
      </w:hyperlink>
    </w:p>
    <w:p w14:paraId="7D5CDF86" w14:textId="77777777"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t xml:space="preserve">Johnson, R.H., T.M. </w:t>
      </w:r>
      <w:proofErr w:type="spellStart"/>
      <w:r w:rsidRPr="005A0574">
        <w:rPr>
          <w:szCs w:val="20"/>
          <w:lang w:val="en-US"/>
        </w:rPr>
        <w:t>Rickenbach</w:t>
      </w:r>
      <w:proofErr w:type="spellEnd"/>
      <w:r w:rsidRPr="005A0574">
        <w:rPr>
          <w:szCs w:val="20"/>
          <w:lang w:val="en-US"/>
        </w:rPr>
        <w:t xml:space="preserve">, S.A. Rutledge, P.E. Ciesielski, and W.H. Schubert: Trimodal Characteristics of Tropical Convection. J. Climate, 12, 2397–2418, </w:t>
      </w:r>
      <w:proofErr w:type="spellStart"/>
      <w:r w:rsidRPr="005A0574">
        <w:rPr>
          <w:szCs w:val="20"/>
          <w:lang w:val="en-US"/>
        </w:rPr>
        <w:t>doi</w:t>
      </w:r>
      <w:proofErr w:type="spellEnd"/>
      <w:r w:rsidRPr="005A0574">
        <w:rPr>
          <w:szCs w:val="20"/>
          <w:lang w:val="en-US"/>
        </w:rPr>
        <w:t>: 10.1175/1520-0442, 1999.</w:t>
      </w:r>
    </w:p>
    <w:p w14:paraId="6EF80CA4" w14:textId="77777777"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t xml:space="preserve">Kumar, V. V., A. </w:t>
      </w:r>
      <w:proofErr w:type="spellStart"/>
      <w:r w:rsidRPr="005A0574">
        <w:rPr>
          <w:szCs w:val="20"/>
          <w:lang w:val="en-US"/>
        </w:rPr>
        <w:t>Protat</w:t>
      </w:r>
      <w:proofErr w:type="spellEnd"/>
      <w:r w:rsidRPr="005A0574">
        <w:rPr>
          <w:szCs w:val="20"/>
          <w:lang w:val="en-US"/>
        </w:rPr>
        <w:t xml:space="preserve">, C. Jakob, C. R. Williams, S. </w:t>
      </w:r>
      <w:proofErr w:type="spellStart"/>
      <w:r w:rsidRPr="005A0574">
        <w:rPr>
          <w:szCs w:val="20"/>
          <w:lang w:val="en-US"/>
        </w:rPr>
        <w:t>Rauniyar</w:t>
      </w:r>
      <w:proofErr w:type="spellEnd"/>
      <w:r w:rsidRPr="005A0574">
        <w:rPr>
          <w:szCs w:val="20"/>
          <w:lang w:val="en-US"/>
        </w:rPr>
        <w:t xml:space="preserve">, G. L. Stephens, and P. T. May: The Estimation of Convective Mass Flux from Radar </w:t>
      </w:r>
      <w:proofErr w:type="spellStart"/>
      <w:r w:rsidRPr="005A0574">
        <w:rPr>
          <w:szCs w:val="20"/>
          <w:lang w:val="en-US"/>
        </w:rPr>
        <w:t>Reflectivities</w:t>
      </w:r>
      <w:proofErr w:type="spellEnd"/>
      <w:r w:rsidRPr="005A0574">
        <w:rPr>
          <w:szCs w:val="20"/>
          <w:lang w:val="en-US"/>
        </w:rPr>
        <w:t xml:space="preserve">. J. Appl. Meteor. </w:t>
      </w:r>
      <w:proofErr w:type="spellStart"/>
      <w:r w:rsidRPr="005A0574">
        <w:rPr>
          <w:szCs w:val="20"/>
          <w:lang w:val="en-US"/>
        </w:rPr>
        <w:t>Climatol</w:t>
      </w:r>
      <w:proofErr w:type="spellEnd"/>
      <w:r w:rsidRPr="005A0574">
        <w:rPr>
          <w:szCs w:val="20"/>
          <w:lang w:val="en-US"/>
        </w:rPr>
        <w:t>., 55, 1239-1257, 2016.</w:t>
      </w:r>
    </w:p>
    <w:p w14:paraId="3D09DE3F" w14:textId="77777777"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t xml:space="preserve">Kwon, Y. C., &amp; Hong, S.‐Y.: A Mass‐Flux cumulus parameterization scheme across gray‐zone resolutions. Monthly Weather Review, 145, 583–598. </w:t>
      </w:r>
      <w:hyperlink r:id="rId14" w:history="1">
        <w:r w:rsidRPr="005A0574">
          <w:rPr>
            <w:rStyle w:val="Hyperlink"/>
            <w:szCs w:val="20"/>
            <w:lang w:val="en-US"/>
          </w:rPr>
          <w:t>https://doi.org/10.1175/MWR-D-16-0034.1</w:t>
        </w:r>
      </w:hyperlink>
      <w:r w:rsidRPr="005A0574">
        <w:rPr>
          <w:szCs w:val="20"/>
          <w:lang w:val="en-US"/>
        </w:rPr>
        <w:t>, 2017.</w:t>
      </w:r>
    </w:p>
    <w:p w14:paraId="3E9FFBAA" w14:textId="77777777"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t>Lock, A. P., Brown, A. R., Bush, M. R., Martin, G. M., and Smith, R. N. B.: A new boundary layer mixing scheme. Part I: Scheme description and single-column model tests, Mon. Weather Rev., 138, 3187–3199, 2000.</w:t>
      </w:r>
    </w:p>
    <w:p w14:paraId="1A868E5D" w14:textId="77777777"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lastRenderedPageBreak/>
        <w:t xml:space="preserve">Louis, J. &amp; </w:t>
      </w:r>
      <w:proofErr w:type="spellStart"/>
      <w:r w:rsidRPr="005A0574">
        <w:rPr>
          <w:szCs w:val="20"/>
          <w:lang w:val="en-US"/>
        </w:rPr>
        <w:t>Geleyn</w:t>
      </w:r>
      <w:proofErr w:type="spellEnd"/>
      <w:r w:rsidRPr="005A0574">
        <w:rPr>
          <w:szCs w:val="20"/>
          <w:lang w:val="en-US"/>
        </w:rPr>
        <w:t>, J.: A short history of the PBL parameterization at ECMWF. Proc. ECMWF Workshop on Planetary Boundary Layer Parameterization, Reading, United Kingdom, ECMWF, 5980, 1982.</w:t>
      </w:r>
    </w:p>
    <w:p w14:paraId="371044F3" w14:textId="77777777"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t xml:space="preserve">May, T. P., J. H. Mather, G. Vaughan, C. Jakob, G. M. </w:t>
      </w:r>
      <w:proofErr w:type="spellStart"/>
      <w:r w:rsidRPr="005A0574">
        <w:rPr>
          <w:szCs w:val="20"/>
          <w:lang w:val="en-US"/>
        </w:rPr>
        <w:t>McFarquhar</w:t>
      </w:r>
      <w:proofErr w:type="spellEnd"/>
      <w:r w:rsidRPr="005A0574">
        <w:rPr>
          <w:szCs w:val="20"/>
          <w:lang w:val="en-US"/>
        </w:rPr>
        <w:t>, K. N. Bower, and G. G. Mage: The Tropical Warm Pool International Cloud Experiment. Bull. Amer. Meteor. Soc., 89, 629-645, 2008.</w:t>
      </w:r>
    </w:p>
    <w:p w14:paraId="296E7694" w14:textId="6930115B" w:rsidR="00096B9B" w:rsidRPr="005A0574" w:rsidRDefault="008C08DA" w:rsidP="00096B9B">
      <w:pPr>
        <w:pStyle w:val="NormalWeb"/>
        <w:spacing w:before="0" w:beforeAutospacing="0" w:after="0" w:afterAutospacing="0"/>
        <w:ind w:left="284" w:hanging="284"/>
        <w:rPr>
          <w:szCs w:val="20"/>
          <w:lang w:val="en-US"/>
        </w:rPr>
      </w:pPr>
      <w:proofErr w:type="spellStart"/>
      <w:r w:rsidRPr="005A0574">
        <w:rPr>
          <w:szCs w:val="20"/>
          <w:lang w:val="en-US"/>
        </w:rPr>
        <w:t>Molod</w:t>
      </w:r>
      <w:proofErr w:type="spellEnd"/>
      <w:r w:rsidRPr="005A0574">
        <w:rPr>
          <w:szCs w:val="20"/>
          <w:lang w:val="en-US"/>
        </w:rPr>
        <w:t xml:space="preserve">, A., Takacs, L., Suarez, M., and </w:t>
      </w:r>
      <w:proofErr w:type="spellStart"/>
      <w:r w:rsidRPr="005A0574">
        <w:rPr>
          <w:szCs w:val="20"/>
          <w:lang w:val="en-US"/>
        </w:rPr>
        <w:t>Bacmeister</w:t>
      </w:r>
      <w:proofErr w:type="spellEnd"/>
      <w:r w:rsidRPr="005A0574">
        <w:rPr>
          <w:szCs w:val="20"/>
          <w:lang w:val="en-US"/>
        </w:rPr>
        <w:t xml:space="preserve">, J.: Development of the GEOS-5 atmospheric general circulation model: evolution from MERRA to MERRA2, </w:t>
      </w:r>
      <w:proofErr w:type="spellStart"/>
      <w:r w:rsidRPr="005A0574">
        <w:rPr>
          <w:szCs w:val="20"/>
          <w:lang w:val="en-US"/>
        </w:rPr>
        <w:t>Geosci</w:t>
      </w:r>
      <w:proofErr w:type="spellEnd"/>
      <w:r w:rsidRPr="005A0574">
        <w:rPr>
          <w:szCs w:val="20"/>
          <w:lang w:val="en-US"/>
        </w:rPr>
        <w:t>. Model Dev., 8, 1339-1356, doi:10.5194/gmd-8-1339-2015, 2015.</w:t>
      </w:r>
    </w:p>
    <w:p w14:paraId="7416B5A9" w14:textId="2802AFD0" w:rsidR="0034621C" w:rsidRPr="000D13B8" w:rsidRDefault="0034621C" w:rsidP="0034621C">
      <w:pPr>
        <w:pStyle w:val="NormalWeb"/>
        <w:spacing w:before="0" w:beforeAutospacing="0" w:after="0" w:afterAutospacing="0"/>
        <w:ind w:left="284" w:hanging="284"/>
        <w:rPr>
          <w:szCs w:val="20"/>
          <w:lang w:val="en-US"/>
        </w:rPr>
      </w:pPr>
      <w:proofErr w:type="spellStart"/>
      <w:r w:rsidRPr="000D13B8">
        <w:rPr>
          <w:szCs w:val="20"/>
          <w:lang w:val="en-US"/>
        </w:rPr>
        <w:t>Moorthi</w:t>
      </w:r>
      <w:proofErr w:type="spellEnd"/>
      <w:r w:rsidRPr="000D13B8">
        <w:rPr>
          <w:szCs w:val="20"/>
          <w:lang w:val="en-US"/>
        </w:rPr>
        <w:t>, S., &amp; Suarez, M. J.: Relaxed Arakawa Schubert: A parameterization of moist convection for general circulation models. Monthly Weather Review, 120, 978–1002, 1992.</w:t>
      </w:r>
    </w:p>
    <w:p w14:paraId="46BD806C" w14:textId="77777777"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t xml:space="preserve">Putman, W. and Lin, S.-J.: Finite Volume Transport on Various Cubed Sphere Grids. J. </w:t>
      </w:r>
      <w:proofErr w:type="spellStart"/>
      <w:r w:rsidRPr="005A0574">
        <w:rPr>
          <w:szCs w:val="20"/>
          <w:lang w:val="en-US"/>
        </w:rPr>
        <w:t>Comput</w:t>
      </w:r>
      <w:proofErr w:type="spellEnd"/>
      <w:r w:rsidRPr="005A0574">
        <w:rPr>
          <w:szCs w:val="20"/>
          <w:lang w:val="en-US"/>
        </w:rPr>
        <w:t xml:space="preserve">. Phys., 227, 55–78. </w:t>
      </w:r>
      <w:proofErr w:type="gramStart"/>
      <w:r w:rsidRPr="005A0574">
        <w:rPr>
          <w:szCs w:val="20"/>
          <w:lang w:val="en-US"/>
        </w:rPr>
        <w:t>doi:10.1016/j.jcp</w:t>
      </w:r>
      <w:proofErr w:type="gramEnd"/>
      <w:r w:rsidRPr="005A0574">
        <w:rPr>
          <w:szCs w:val="20"/>
          <w:lang w:val="en-US"/>
        </w:rPr>
        <w:t>.2007.07.022, 2007.</w:t>
      </w:r>
    </w:p>
    <w:p w14:paraId="6EF4918A" w14:textId="77777777"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t>Raymond, D. J.: Regulation of moist convection over the west pacific warm pool. J. Atmos. Sci., 52, 3945–3959, 1995.</w:t>
      </w:r>
    </w:p>
    <w:p w14:paraId="378040F6" w14:textId="77777777" w:rsidR="008C08DA" w:rsidRPr="005A0574" w:rsidRDefault="008C08DA" w:rsidP="008C08DA">
      <w:pPr>
        <w:pStyle w:val="NormalWeb"/>
        <w:spacing w:before="0" w:beforeAutospacing="0" w:after="0" w:afterAutospacing="0"/>
        <w:ind w:left="284" w:hanging="284"/>
        <w:rPr>
          <w:szCs w:val="20"/>
          <w:lang w:val="en-US"/>
        </w:rPr>
      </w:pPr>
      <w:proofErr w:type="spellStart"/>
      <w:r w:rsidRPr="005A0574">
        <w:rPr>
          <w:szCs w:val="20"/>
          <w:lang w:val="en-US"/>
        </w:rPr>
        <w:t>Rennó</w:t>
      </w:r>
      <w:proofErr w:type="spellEnd"/>
      <w:r w:rsidRPr="005A0574">
        <w:rPr>
          <w:szCs w:val="20"/>
          <w:lang w:val="en-US"/>
        </w:rPr>
        <w:t>, N. and A. P. Ingersoll: Natural convection as a heat engine: A theory for CAPE.J. Atmos. Sci., 53, 572–585, 1996.</w:t>
      </w:r>
    </w:p>
    <w:p w14:paraId="4E48F183" w14:textId="77777777"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t>Reynolds, R. W., Rayner, N. A., Smith, T. M., Stokes, D. C., and Wang, W.: An improved in situ and satellite SST analysis for climate, J. Climate, 15, 1609–1625, 2002.</w:t>
      </w:r>
    </w:p>
    <w:p w14:paraId="5F6607C1" w14:textId="77777777"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t xml:space="preserve">Santos e Silva, C. M., </w:t>
      </w:r>
      <w:proofErr w:type="spellStart"/>
      <w:r w:rsidRPr="005A0574">
        <w:rPr>
          <w:szCs w:val="20"/>
          <w:lang w:val="en-US"/>
        </w:rPr>
        <w:t>Gielow</w:t>
      </w:r>
      <w:proofErr w:type="spellEnd"/>
      <w:r w:rsidRPr="005A0574">
        <w:rPr>
          <w:szCs w:val="20"/>
          <w:lang w:val="en-US"/>
        </w:rPr>
        <w:t xml:space="preserve">, R. and Freitas, S. R.: Diurnal and semidiurnal rainfall cycles during the </w:t>
      </w:r>
      <w:proofErr w:type="spellStart"/>
      <w:r w:rsidRPr="005A0574">
        <w:rPr>
          <w:szCs w:val="20"/>
          <w:lang w:val="en-US"/>
        </w:rPr>
        <w:t>rain</w:t>
      </w:r>
      <w:proofErr w:type="spellEnd"/>
      <w:r w:rsidRPr="005A0574">
        <w:rPr>
          <w:szCs w:val="20"/>
          <w:lang w:val="en-US"/>
        </w:rPr>
        <w:t xml:space="preserve"> season in SW Amazonia, observed via rain gauges and estimated using S-band radar. </w:t>
      </w:r>
      <w:proofErr w:type="spellStart"/>
      <w:r w:rsidRPr="005A0574">
        <w:rPr>
          <w:szCs w:val="20"/>
          <w:lang w:val="en-US"/>
        </w:rPr>
        <w:t>Atmosph</w:t>
      </w:r>
      <w:proofErr w:type="spellEnd"/>
      <w:r w:rsidRPr="005A0574">
        <w:rPr>
          <w:szCs w:val="20"/>
          <w:lang w:val="en-US"/>
        </w:rPr>
        <w:t xml:space="preserve">. Sci. Lett., 10: 87–93. </w:t>
      </w:r>
      <w:proofErr w:type="spellStart"/>
      <w:r w:rsidRPr="005A0574">
        <w:rPr>
          <w:szCs w:val="20"/>
          <w:lang w:val="en-US"/>
        </w:rPr>
        <w:t>doi</w:t>
      </w:r>
      <w:proofErr w:type="spellEnd"/>
      <w:r w:rsidRPr="005A0574">
        <w:rPr>
          <w:szCs w:val="20"/>
          <w:lang w:val="en-US"/>
        </w:rPr>
        <w:t>: 10.1002/asl.214, 2009.</w:t>
      </w:r>
    </w:p>
    <w:p w14:paraId="684456CB" w14:textId="77777777"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t xml:space="preserve">Santos e Silva, C. M., Freitas, S. R., </w:t>
      </w:r>
      <w:proofErr w:type="spellStart"/>
      <w:r w:rsidRPr="005A0574">
        <w:rPr>
          <w:szCs w:val="20"/>
          <w:lang w:val="en-US"/>
        </w:rPr>
        <w:t>Gielow</w:t>
      </w:r>
      <w:proofErr w:type="spellEnd"/>
      <w:r w:rsidRPr="005A0574">
        <w:rPr>
          <w:szCs w:val="20"/>
          <w:lang w:val="en-US"/>
        </w:rPr>
        <w:t>, R.: Numerical simulation of the diurnal cycle of rainfall in SW Amazon basin during the 1999 rainy season: the role of convective trigger function. Theoretical and Applied Climatology, 109, 473-483, 2012.</w:t>
      </w:r>
    </w:p>
    <w:p w14:paraId="20C2A83A" w14:textId="77777777" w:rsidR="008C08DA" w:rsidRPr="000D13B8" w:rsidRDefault="008C08DA" w:rsidP="008C08DA">
      <w:pPr>
        <w:pStyle w:val="NormalWeb"/>
        <w:spacing w:before="0" w:beforeAutospacing="0" w:after="0" w:afterAutospacing="0"/>
        <w:ind w:left="284" w:hanging="284"/>
        <w:rPr>
          <w:szCs w:val="20"/>
        </w:rPr>
      </w:pPr>
      <w:r w:rsidRPr="005A0574">
        <w:rPr>
          <w:szCs w:val="20"/>
          <w:lang w:val="en-US"/>
        </w:rPr>
        <w:t xml:space="preserve">Schumacher, C., Zhang, M. H., &amp; Ciesielski, P.E.: Heating Structures of the TRMM Field Campaigns. </w:t>
      </w:r>
      <w:r w:rsidRPr="000D13B8">
        <w:rPr>
          <w:szCs w:val="20"/>
        </w:rPr>
        <w:t xml:space="preserve">J. </w:t>
      </w:r>
      <w:proofErr w:type="spellStart"/>
      <w:r w:rsidRPr="000D13B8">
        <w:rPr>
          <w:szCs w:val="20"/>
        </w:rPr>
        <w:t>Atmos</w:t>
      </w:r>
      <w:proofErr w:type="spellEnd"/>
      <w:r w:rsidRPr="000D13B8">
        <w:rPr>
          <w:szCs w:val="20"/>
        </w:rPr>
        <w:t xml:space="preserve">. </w:t>
      </w:r>
      <w:proofErr w:type="spellStart"/>
      <w:r w:rsidRPr="000D13B8">
        <w:rPr>
          <w:szCs w:val="20"/>
        </w:rPr>
        <w:t>Sci</w:t>
      </w:r>
      <w:proofErr w:type="spellEnd"/>
      <w:r w:rsidRPr="000D13B8">
        <w:rPr>
          <w:szCs w:val="20"/>
        </w:rPr>
        <w:t>., 64: 2593–2610. DOI: 10.1175/JAS3938.1, 2007.</w:t>
      </w:r>
    </w:p>
    <w:p w14:paraId="691DE02E" w14:textId="252F0F6C" w:rsidR="008C08DA" w:rsidRPr="000D13B8" w:rsidRDefault="008C08DA" w:rsidP="008C08DA">
      <w:pPr>
        <w:pStyle w:val="NormalWeb"/>
        <w:spacing w:before="0" w:beforeAutospacing="0" w:after="0" w:afterAutospacing="0"/>
        <w:ind w:left="284" w:hanging="284"/>
        <w:rPr>
          <w:szCs w:val="20"/>
        </w:rPr>
      </w:pPr>
      <w:r w:rsidRPr="000D13B8">
        <w:rPr>
          <w:szCs w:val="20"/>
        </w:rPr>
        <w:t xml:space="preserve">Souza, E. P.: Estudo Teórico e Numérico da Relação entre Convecção e Superfícies Heterogêneas na Região Amazônica, Ph.D. </w:t>
      </w:r>
      <w:proofErr w:type="spellStart"/>
      <w:r w:rsidRPr="000D13B8">
        <w:rPr>
          <w:szCs w:val="20"/>
        </w:rPr>
        <w:t>thesis</w:t>
      </w:r>
      <w:proofErr w:type="spellEnd"/>
      <w:r w:rsidRPr="000D13B8">
        <w:rPr>
          <w:szCs w:val="20"/>
        </w:rPr>
        <w:t xml:space="preserve">, São Paulo </w:t>
      </w:r>
      <w:proofErr w:type="spellStart"/>
      <w:r w:rsidRPr="000D13B8">
        <w:rPr>
          <w:szCs w:val="20"/>
        </w:rPr>
        <w:t>University</w:t>
      </w:r>
      <w:proofErr w:type="spellEnd"/>
      <w:r w:rsidRPr="000D13B8">
        <w:rPr>
          <w:szCs w:val="20"/>
        </w:rPr>
        <w:t xml:space="preserve">, São Paulo, SP, </w:t>
      </w:r>
      <w:proofErr w:type="spellStart"/>
      <w:r w:rsidRPr="000D13B8">
        <w:rPr>
          <w:szCs w:val="20"/>
        </w:rPr>
        <w:t>Brazil</w:t>
      </w:r>
      <w:proofErr w:type="spellEnd"/>
      <w:r w:rsidRPr="000D13B8">
        <w:rPr>
          <w:szCs w:val="20"/>
        </w:rPr>
        <w:t xml:space="preserve">, 1999 (in </w:t>
      </w:r>
      <w:proofErr w:type="spellStart"/>
      <w:r w:rsidRPr="000D13B8">
        <w:rPr>
          <w:szCs w:val="20"/>
        </w:rPr>
        <w:t>Portuguese</w:t>
      </w:r>
      <w:proofErr w:type="spellEnd"/>
      <w:r w:rsidRPr="000D13B8">
        <w:rPr>
          <w:szCs w:val="20"/>
        </w:rPr>
        <w:t>).</w:t>
      </w:r>
    </w:p>
    <w:p w14:paraId="1C6D2419" w14:textId="22550E27" w:rsidR="00FC6AA2" w:rsidRPr="000D13B8" w:rsidRDefault="00FC6AA2" w:rsidP="00DE60BF">
      <w:pPr>
        <w:pStyle w:val="NormalWeb"/>
        <w:spacing w:before="0" w:beforeAutospacing="0" w:after="0" w:afterAutospacing="0"/>
        <w:ind w:left="284" w:hanging="284"/>
        <w:rPr>
          <w:szCs w:val="20"/>
        </w:rPr>
      </w:pPr>
      <w:proofErr w:type="spellStart"/>
      <w:r w:rsidRPr="005A0574">
        <w:rPr>
          <w:szCs w:val="20"/>
          <w:lang w:val="en-US"/>
        </w:rPr>
        <w:lastRenderedPageBreak/>
        <w:t>Kousky</w:t>
      </w:r>
      <w:proofErr w:type="spellEnd"/>
      <w:r w:rsidRPr="005A0574">
        <w:rPr>
          <w:szCs w:val="20"/>
          <w:lang w:val="en-US"/>
        </w:rPr>
        <w:t>, V. E.: Diurnal Rainfall Variation in Northeast Brazil, Monthly Weather Review, 108(4), 488-498.</w:t>
      </w:r>
      <w:hyperlink r:id="rId15" w:history="1">
        <w:r w:rsidRPr="000D13B8">
          <w:rPr>
            <w:rStyle w:val="Hyperlink"/>
            <w:szCs w:val="20"/>
          </w:rPr>
          <w:t>https://journals.ametsoc.org/view/journals/mwre/108/4/1520-0493_1980_108_0488_drvinb_2_0_co_2.xml</w:t>
        </w:r>
      </w:hyperlink>
      <w:r w:rsidRPr="000D13B8">
        <w:rPr>
          <w:szCs w:val="20"/>
        </w:rPr>
        <w:t>, 1980.</w:t>
      </w:r>
    </w:p>
    <w:p w14:paraId="0D1EF7F0" w14:textId="67C4B6C3" w:rsidR="00B93C8A" w:rsidRPr="005A0574" w:rsidRDefault="00B93C8A" w:rsidP="008C08DA">
      <w:pPr>
        <w:pStyle w:val="NormalWeb"/>
        <w:spacing w:before="0" w:beforeAutospacing="0" w:after="0" w:afterAutospacing="0"/>
        <w:ind w:left="284" w:hanging="284"/>
        <w:rPr>
          <w:szCs w:val="20"/>
          <w:lang w:val="en-US"/>
        </w:rPr>
      </w:pPr>
      <w:proofErr w:type="spellStart"/>
      <w:r w:rsidRPr="005A0574">
        <w:rPr>
          <w:szCs w:val="20"/>
          <w:lang w:val="en-US"/>
        </w:rPr>
        <w:t>Xie</w:t>
      </w:r>
      <w:proofErr w:type="spellEnd"/>
      <w:r w:rsidRPr="005A0574">
        <w:rPr>
          <w:szCs w:val="20"/>
          <w:lang w:val="en-US"/>
        </w:rPr>
        <w:t xml:space="preserve"> et al.: Objective Variational Analysis for the Tropical Warm Pool International Cloud Experiment. The 17th ARM Science Team Meeting, California, USA. Available from </w:t>
      </w:r>
      <w:hyperlink r:id="rId16" w:history="1">
        <w:r w:rsidRPr="005A0574">
          <w:rPr>
            <w:rStyle w:val="Hyperlink"/>
            <w:szCs w:val="20"/>
            <w:lang w:val="en-US"/>
          </w:rPr>
          <w:t>http://www.arm.gov/publications/proceedings/conf17/index.php</w:t>
        </w:r>
      </w:hyperlink>
      <w:r w:rsidRPr="005A0574">
        <w:rPr>
          <w:szCs w:val="20"/>
          <w:lang w:val="en-US"/>
        </w:rPr>
        <w:t>, 2007.</w:t>
      </w:r>
    </w:p>
    <w:p w14:paraId="3A2E30AF" w14:textId="3D32C3CF" w:rsidR="008C08DA" w:rsidRPr="005A0574" w:rsidRDefault="008C08DA" w:rsidP="008C08DA">
      <w:pPr>
        <w:pStyle w:val="NormalWeb"/>
        <w:spacing w:before="0" w:beforeAutospacing="0" w:after="0" w:afterAutospacing="0"/>
        <w:ind w:left="284" w:hanging="284"/>
        <w:rPr>
          <w:szCs w:val="20"/>
          <w:lang w:val="en-US"/>
        </w:rPr>
      </w:pPr>
      <w:proofErr w:type="spellStart"/>
      <w:r w:rsidRPr="005A0574">
        <w:rPr>
          <w:szCs w:val="20"/>
          <w:lang w:val="en-US"/>
        </w:rPr>
        <w:t>Xie</w:t>
      </w:r>
      <w:proofErr w:type="spellEnd"/>
      <w:r w:rsidRPr="005A0574">
        <w:rPr>
          <w:szCs w:val="20"/>
          <w:lang w:val="en-US"/>
        </w:rPr>
        <w:t>. S., T. Hume, C. Jakob, S. A. Klein, R. B. McCoy, and M. Zhang: Observed large-scale structures and diabatic heating and drying profiles during TWP-ICE. J. Climate, 23, 57-59</w:t>
      </w:r>
      <w:r w:rsidR="00B93C8A" w:rsidRPr="005A0574">
        <w:rPr>
          <w:szCs w:val="20"/>
          <w:lang w:val="en-US"/>
        </w:rPr>
        <w:t>, 2010.</w:t>
      </w:r>
    </w:p>
    <w:p w14:paraId="5B5BBC1F" w14:textId="19FF08E7" w:rsidR="008C08DA" w:rsidRPr="005A0574" w:rsidRDefault="008C08DA" w:rsidP="008C08DA">
      <w:pPr>
        <w:pStyle w:val="NormalWeb"/>
        <w:spacing w:before="0" w:beforeAutospacing="0" w:after="0" w:afterAutospacing="0"/>
        <w:ind w:left="284" w:hanging="284"/>
        <w:rPr>
          <w:szCs w:val="20"/>
          <w:lang w:val="en-US"/>
        </w:rPr>
      </w:pPr>
      <w:proofErr w:type="spellStart"/>
      <w:r w:rsidRPr="005A0574">
        <w:rPr>
          <w:szCs w:val="20"/>
          <w:lang w:val="en-US"/>
        </w:rPr>
        <w:t>Yanai</w:t>
      </w:r>
      <w:proofErr w:type="spellEnd"/>
      <w:r w:rsidRPr="005A0574">
        <w:rPr>
          <w:szCs w:val="20"/>
          <w:lang w:val="en-US"/>
        </w:rPr>
        <w:t xml:space="preserve">, M., S. </w:t>
      </w:r>
      <w:proofErr w:type="spellStart"/>
      <w:r w:rsidRPr="005A0574">
        <w:rPr>
          <w:szCs w:val="20"/>
          <w:lang w:val="en-US"/>
        </w:rPr>
        <w:t>Esbensen</w:t>
      </w:r>
      <w:proofErr w:type="spellEnd"/>
      <w:r w:rsidRPr="005A0574">
        <w:rPr>
          <w:szCs w:val="20"/>
          <w:lang w:val="en-US"/>
        </w:rPr>
        <w:t>, and J. Chu, 1973: Determination of bulk properties of tropical cloud clusters from large-scale heat and moisture budgets</w:t>
      </w:r>
      <w:r w:rsidRPr="005A0574">
        <w:rPr>
          <w:i/>
          <w:iCs/>
          <w:szCs w:val="20"/>
          <w:lang w:val="en-US"/>
        </w:rPr>
        <w:t>. J. Atmos. Sci</w:t>
      </w:r>
      <w:r w:rsidRPr="005A0574">
        <w:rPr>
          <w:szCs w:val="20"/>
          <w:lang w:val="en-US"/>
        </w:rPr>
        <w:t xml:space="preserve">., </w:t>
      </w:r>
      <w:r w:rsidRPr="005A0574">
        <w:rPr>
          <w:b/>
          <w:bCs/>
          <w:szCs w:val="20"/>
          <w:lang w:val="en-US"/>
        </w:rPr>
        <w:t>30</w:t>
      </w:r>
      <w:r w:rsidRPr="005A0574">
        <w:rPr>
          <w:szCs w:val="20"/>
          <w:lang w:val="en-US"/>
        </w:rPr>
        <w:t>, 611-627.</w:t>
      </w:r>
    </w:p>
    <w:p w14:paraId="694CCD6C" w14:textId="43C4332C" w:rsidR="008C08DA" w:rsidRPr="005A0574" w:rsidRDefault="008C08DA" w:rsidP="008C08DA">
      <w:pPr>
        <w:pStyle w:val="NormalWeb"/>
        <w:spacing w:before="0" w:beforeAutospacing="0" w:after="0" w:afterAutospacing="0"/>
        <w:ind w:left="284" w:hanging="284"/>
        <w:rPr>
          <w:szCs w:val="20"/>
          <w:lang w:val="en-US"/>
        </w:rPr>
      </w:pPr>
      <w:r w:rsidRPr="005A0574">
        <w:rPr>
          <w:szCs w:val="20"/>
          <w:lang w:val="en-US"/>
        </w:rPr>
        <w:t xml:space="preserve">Yang, S., </w:t>
      </w:r>
      <w:proofErr w:type="spellStart"/>
      <w:r w:rsidRPr="005A0574">
        <w:rPr>
          <w:szCs w:val="20"/>
          <w:lang w:val="en-US"/>
        </w:rPr>
        <w:t>Kuo</w:t>
      </w:r>
      <w:proofErr w:type="spellEnd"/>
      <w:r w:rsidRPr="005A0574">
        <w:rPr>
          <w:szCs w:val="20"/>
          <w:lang w:val="en-US"/>
        </w:rPr>
        <w:t xml:space="preserve">, K.S., &amp; Smith, E.A: Persistent Nature of Secondary Diurnal Modes of Precipitation over Oceanic and Continental Regimes. Journal of Climate, 21: 4115– 413. </w:t>
      </w:r>
      <w:proofErr w:type="spellStart"/>
      <w:r w:rsidRPr="005A0574">
        <w:rPr>
          <w:szCs w:val="20"/>
          <w:lang w:val="en-US"/>
        </w:rPr>
        <w:t>doi</w:t>
      </w:r>
      <w:proofErr w:type="spellEnd"/>
      <w:r w:rsidRPr="005A0574">
        <w:rPr>
          <w:szCs w:val="20"/>
          <w:lang w:val="en-US"/>
        </w:rPr>
        <w:t>: 10.1175/2008JCLI2140.1, 2008.</w:t>
      </w:r>
    </w:p>
    <w:p w14:paraId="58EBF753" w14:textId="5DF88F16" w:rsidR="00EA55AC" w:rsidRPr="005A0574" w:rsidRDefault="00EA55AC" w:rsidP="008C08DA">
      <w:pPr>
        <w:pStyle w:val="NormalWeb"/>
        <w:spacing w:before="0" w:beforeAutospacing="0" w:after="0" w:afterAutospacing="0"/>
        <w:ind w:left="284" w:hanging="284"/>
        <w:rPr>
          <w:szCs w:val="20"/>
          <w:lang w:val="en-US"/>
        </w:rPr>
      </w:pPr>
    </w:p>
    <w:p w14:paraId="239616E3" w14:textId="33A672EC" w:rsidR="00EA55AC" w:rsidRPr="005A0574" w:rsidRDefault="00EA55AC" w:rsidP="008C08DA">
      <w:pPr>
        <w:pStyle w:val="NormalWeb"/>
        <w:spacing w:before="0" w:beforeAutospacing="0" w:after="0" w:afterAutospacing="0"/>
        <w:ind w:left="284" w:hanging="284"/>
        <w:rPr>
          <w:szCs w:val="20"/>
          <w:lang w:val="en-US"/>
        </w:rPr>
      </w:pPr>
    </w:p>
    <w:p w14:paraId="13938B19" w14:textId="6068D361" w:rsidR="00EA55AC" w:rsidRPr="005A0574" w:rsidRDefault="00EA55AC" w:rsidP="008C08DA">
      <w:pPr>
        <w:pStyle w:val="NormalWeb"/>
        <w:spacing w:before="0" w:beforeAutospacing="0" w:after="0" w:afterAutospacing="0"/>
        <w:ind w:left="284" w:hanging="284"/>
        <w:rPr>
          <w:szCs w:val="20"/>
          <w:lang w:val="en-US"/>
        </w:rPr>
      </w:pPr>
    </w:p>
    <w:p w14:paraId="30821804" w14:textId="48B7714E" w:rsidR="00EA55AC" w:rsidRPr="005A0574" w:rsidRDefault="00EA55AC" w:rsidP="008C08DA">
      <w:pPr>
        <w:pStyle w:val="NormalWeb"/>
        <w:spacing w:before="0" w:beforeAutospacing="0" w:after="0" w:afterAutospacing="0"/>
        <w:ind w:left="284" w:hanging="284"/>
        <w:rPr>
          <w:szCs w:val="20"/>
          <w:lang w:val="en-US"/>
        </w:rPr>
      </w:pPr>
    </w:p>
    <w:p w14:paraId="40829467" w14:textId="1409D0AE" w:rsidR="00EA55AC" w:rsidRPr="005A0574" w:rsidRDefault="00EA55AC" w:rsidP="008C08DA">
      <w:pPr>
        <w:pStyle w:val="NormalWeb"/>
        <w:spacing w:before="0" w:beforeAutospacing="0" w:after="0" w:afterAutospacing="0"/>
        <w:ind w:left="284" w:hanging="284"/>
        <w:rPr>
          <w:szCs w:val="20"/>
          <w:lang w:val="en-US"/>
        </w:rPr>
      </w:pPr>
    </w:p>
    <w:p w14:paraId="5797617A" w14:textId="7625FCB2" w:rsidR="00EA55AC" w:rsidRPr="005A0574" w:rsidRDefault="00EA55AC" w:rsidP="008C08DA">
      <w:pPr>
        <w:pStyle w:val="NormalWeb"/>
        <w:spacing w:before="0" w:beforeAutospacing="0" w:after="0" w:afterAutospacing="0"/>
        <w:ind w:left="284" w:hanging="284"/>
        <w:rPr>
          <w:szCs w:val="20"/>
          <w:lang w:val="en-US"/>
        </w:rPr>
      </w:pPr>
    </w:p>
    <w:p w14:paraId="2A5C1ECB" w14:textId="4457CB50" w:rsidR="00EA55AC" w:rsidRPr="005A0574" w:rsidRDefault="00EA55AC" w:rsidP="008C08DA">
      <w:pPr>
        <w:pStyle w:val="NormalWeb"/>
        <w:spacing w:before="0" w:beforeAutospacing="0" w:after="0" w:afterAutospacing="0"/>
        <w:ind w:left="284" w:hanging="284"/>
        <w:rPr>
          <w:szCs w:val="20"/>
          <w:lang w:val="en-US"/>
        </w:rPr>
      </w:pPr>
    </w:p>
    <w:p w14:paraId="771F9D8B" w14:textId="54908475" w:rsidR="00EA55AC" w:rsidRPr="005A0574" w:rsidRDefault="00EA55AC" w:rsidP="008C08DA">
      <w:pPr>
        <w:pStyle w:val="NormalWeb"/>
        <w:spacing w:before="0" w:beforeAutospacing="0" w:after="0" w:afterAutospacing="0"/>
        <w:ind w:left="284" w:hanging="284"/>
        <w:rPr>
          <w:szCs w:val="20"/>
          <w:lang w:val="en-US"/>
        </w:rPr>
      </w:pPr>
    </w:p>
    <w:p w14:paraId="47364E8D" w14:textId="4C854D13" w:rsidR="00EA55AC" w:rsidRPr="005A0574" w:rsidRDefault="00EA55AC" w:rsidP="008C08DA">
      <w:pPr>
        <w:pStyle w:val="NormalWeb"/>
        <w:spacing w:before="0" w:beforeAutospacing="0" w:after="0" w:afterAutospacing="0"/>
        <w:ind w:left="284" w:hanging="284"/>
        <w:rPr>
          <w:szCs w:val="20"/>
          <w:lang w:val="en-US"/>
        </w:rPr>
      </w:pPr>
    </w:p>
    <w:p w14:paraId="30EAA4D9" w14:textId="65916967" w:rsidR="00EA55AC" w:rsidRPr="005A0574" w:rsidRDefault="00EA55AC" w:rsidP="008C08DA">
      <w:pPr>
        <w:pStyle w:val="NormalWeb"/>
        <w:spacing w:before="0" w:beforeAutospacing="0" w:after="0" w:afterAutospacing="0"/>
        <w:ind w:left="284" w:hanging="284"/>
        <w:rPr>
          <w:szCs w:val="20"/>
          <w:lang w:val="en-US"/>
        </w:rPr>
      </w:pPr>
    </w:p>
    <w:p w14:paraId="16857E25" w14:textId="3917AFB1" w:rsidR="00EA55AC" w:rsidRPr="005A0574" w:rsidRDefault="00EA55AC" w:rsidP="008C08DA">
      <w:pPr>
        <w:pStyle w:val="NormalWeb"/>
        <w:spacing w:before="0" w:beforeAutospacing="0" w:after="0" w:afterAutospacing="0"/>
        <w:ind w:left="284" w:hanging="284"/>
        <w:rPr>
          <w:szCs w:val="20"/>
          <w:lang w:val="en-US"/>
        </w:rPr>
      </w:pPr>
    </w:p>
    <w:p w14:paraId="5CBBDF35" w14:textId="75A3F694" w:rsidR="00EA55AC" w:rsidRPr="005A0574" w:rsidRDefault="00EA55AC" w:rsidP="008C08DA">
      <w:pPr>
        <w:pStyle w:val="NormalWeb"/>
        <w:spacing w:before="0" w:beforeAutospacing="0" w:after="0" w:afterAutospacing="0"/>
        <w:ind w:left="284" w:hanging="284"/>
        <w:rPr>
          <w:szCs w:val="20"/>
          <w:lang w:val="en-US"/>
        </w:rPr>
      </w:pPr>
    </w:p>
    <w:p w14:paraId="2E377C9C" w14:textId="574C37D2" w:rsidR="00EA55AC" w:rsidRPr="005A0574" w:rsidRDefault="00EA55AC" w:rsidP="008C08DA">
      <w:pPr>
        <w:pStyle w:val="NormalWeb"/>
        <w:spacing w:before="0" w:beforeAutospacing="0" w:after="0" w:afterAutospacing="0"/>
        <w:ind w:left="284" w:hanging="284"/>
        <w:rPr>
          <w:szCs w:val="20"/>
          <w:lang w:val="en-US"/>
        </w:rPr>
      </w:pPr>
    </w:p>
    <w:p w14:paraId="220660B0" w14:textId="76BFDCE9" w:rsidR="00EA55AC" w:rsidRPr="005A0574" w:rsidRDefault="00EA55AC" w:rsidP="008C08DA">
      <w:pPr>
        <w:pStyle w:val="NormalWeb"/>
        <w:spacing w:before="0" w:beforeAutospacing="0" w:after="0" w:afterAutospacing="0"/>
        <w:ind w:left="284" w:hanging="284"/>
        <w:rPr>
          <w:szCs w:val="20"/>
          <w:lang w:val="en-US"/>
        </w:rPr>
      </w:pPr>
    </w:p>
    <w:p w14:paraId="398AD174" w14:textId="76CCE1E5" w:rsidR="00EA55AC" w:rsidRPr="005A0574" w:rsidRDefault="00EA55AC" w:rsidP="008C08DA">
      <w:pPr>
        <w:pStyle w:val="NormalWeb"/>
        <w:spacing w:before="0" w:beforeAutospacing="0" w:after="0" w:afterAutospacing="0"/>
        <w:ind w:left="284" w:hanging="284"/>
        <w:rPr>
          <w:szCs w:val="20"/>
          <w:lang w:val="en-US"/>
        </w:rPr>
      </w:pPr>
    </w:p>
    <w:p w14:paraId="2D030661" w14:textId="119E2F96" w:rsidR="00EA55AC" w:rsidRPr="005A0574" w:rsidRDefault="00EA55AC" w:rsidP="008C08DA">
      <w:pPr>
        <w:pStyle w:val="NormalWeb"/>
        <w:spacing w:before="0" w:beforeAutospacing="0" w:after="0" w:afterAutospacing="0"/>
        <w:ind w:left="284" w:hanging="284"/>
        <w:rPr>
          <w:szCs w:val="20"/>
          <w:lang w:val="en-US"/>
        </w:rPr>
      </w:pPr>
    </w:p>
    <w:p w14:paraId="4271921C" w14:textId="77777777" w:rsidR="008C08DA" w:rsidRPr="005A0574" w:rsidRDefault="008C08DA" w:rsidP="00171C02">
      <w:pPr>
        <w:pStyle w:val="NormalWeb"/>
        <w:spacing w:before="0" w:beforeAutospacing="0" w:after="0" w:afterAutospacing="0"/>
        <w:rPr>
          <w:lang w:val="en-US"/>
        </w:rPr>
      </w:pPr>
    </w:p>
    <w:p w14:paraId="673B51E5" w14:textId="77777777" w:rsidR="00675359" w:rsidRPr="005A0574" w:rsidRDefault="00675359" w:rsidP="006547B7">
      <w:pPr>
        <w:pStyle w:val="NormalWeb"/>
        <w:spacing w:before="0" w:beforeAutospacing="0" w:after="0" w:afterAutospacing="0"/>
        <w:ind w:left="284" w:hanging="284"/>
        <w:jc w:val="center"/>
        <w:rPr>
          <w:szCs w:val="20"/>
          <w:lang w:val="en-US"/>
        </w:rPr>
      </w:pPr>
      <w:r w:rsidRPr="005A0574">
        <w:rPr>
          <w:noProof/>
          <w:szCs w:val="20"/>
          <w:lang w:val="en-US"/>
        </w:rPr>
        <w:lastRenderedPageBreak/>
        <w:drawing>
          <wp:inline distT="0" distB="0" distL="0" distR="0" wp14:anchorId="58C146F5" wp14:editId="09CC0A16">
            <wp:extent cx="4804945" cy="2487353"/>
            <wp:effectExtent l="0" t="0" r="0" b="1905"/>
            <wp:docPr id="23" name="Picture 23"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10;&#10;Description automatically generated with medium confidence"/>
                    <pic:cNvPicPr/>
                  </pic:nvPicPr>
                  <pic:blipFill>
                    <a:blip r:embed="rId17"/>
                    <a:stretch>
                      <a:fillRect/>
                    </a:stretch>
                  </pic:blipFill>
                  <pic:spPr>
                    <a:xfrm>
                      <a:off x="0" y="0"/>
                      <a:ext cx="4813455" cy="2491758"/>
                    </a:xfrm>
                    <a:prstGeom prst="rect">
                      <a:avLst/>
                    </a:prstGeom>
                  </pic:spPr>
                </pic:pic>
              </a:graphicData>
            </a:graphic>
          </wp:inline>
        </w:drawing>
      </w:r>
    </w:p>
    <w:p w14:paraId="69C19AE0" w14:textId="0395A57A" w:rsidR="00675359" w:rsidRPr="005A0574" w:rsidRDefault="00675359" w:rsidP="006547B7">
      <w:r w:rsidRPr="005A0574">
        <w:t>Figure 1. The universe of solutions for the normalized updraft mass flux profile (</w:t>
      </w:r>
      <w:r w:rsidRPr="00660988">
        <w:rPr>
          <w:i/>
        </w:rPr>
        <w:t>Z</w:t>
      </w:r>
      <w:r w:rsidRPr="00660988">
        <w:rPr>
          <w:i/>
          <w:vertAlign w:val="subscript"/>
        </w:rPr>
        <w:t>u</w:t>
      </w:r>
      <w:r w:rsidRPr="005A0574">
        <w:t xml:space="preserve">) for a case </w:t>
      </w:r>
      <w:r w:rsidR="00AD7237">
        <w:t>in which</w:t>
      </w:r>
      <w:r w:rsidRPr="005A0574">
        <w:t xml:space="preserve"> the cloud base resides at 1.2 km height, the height of maximum </w:t>
      </w:r>
      <m:oMath>
        <m:sSub>
          <m:sSubPr>
            <m:ctrlPr>
              <w:rPr>
                <w:rFonts w:ascii="Cambria Math" w:hAnsi="Cambria Math"/>
                <w:i/>
              </w:rPr>
            </m:ctrlPr>
          </m:sSubPr>
          <m:e>
            <m:r>
              <w:rPr>
                <w:rFonts w:ascii="Cambria Math" w:hAnsi="Cambria Math"/>
              </w:rPr>
              <m:t>Z</m:t>
            </m:r>
          </m:e>
          <m:sub>
            <m:r>
              <w:rPr>
                <w:rFonts w:ascii="Cambria Math" w:hAnsi="Cambria Math"/>
              </w:rPr>
              <m:t>u</m:t>
            </m:r>
          </m:sub>
        </m:sSub>
      </m:oMath>
      <w:r w:rsidRPr="005A0574">
        <w:t xml:space="preserve"> is 4.3 km, and the cloud top is at 15.1 km height. The horizontal axis denotes the range of variation of the beta parameter.  The white contour lines delimit the solution domain where  </w:t>
      </w:r>
      <m:oMath>
        <m:sSub>
          <m:sSubPr>
            <m:ctrlPr>
              <w:rPr>
                <w:rFonts w:ascii="Cambria Math" w:hAnsi="Cambria Math"/>
                <w:i/>
              </w:rPr>
            </m:ctrlPr>
          </m:sSubPr>
          <m:e>
            <m:r>
              <w:rPr>
                <w:rFonts w:ascii="Cambria Math" w:hAnsi="Cambria Math"/>
              </w:rPr>
              <m:t>Z</m:t>
            </m:r>
          </m:e>
          <m:sub>
            <m:r>
              <w:rPr>
                <w:rFonts w:ascii="Cambria Math" w:hAnsi="Cambria Math"/>
              </w:rPr>
              <m:t>u</m:t>
            </m:r>
          </m:sub>
        </m:sSub>
        <m:r>
          <w:rPr>
            <w:rFonts w:ascii="Cambria Math" w:hAnsi="Cambria Math"/>
          </w:rPr>
          <m:t>∈</m:t>
        </m:r>
        <m:d>
          <m:dPr>
            <m:begChr m:val="["/>
            <m:endChr m:val="]"/>
            <m:ctrlPr>
              <w:rPr>
                <w:rFonts w:ascii="Cambria Math" w:hAnsi="Cambria Math"/>
                <w:i/>
              </w:rPr>
            </m:ctrlPr>
          </m:dPr>
          <m:e>
            <m:r>
              <w:rPr>
                <w:rFonts w:ascii="Cambria Math" w:hAnsi="Cambria Math"/>
              </w:rPr>
              <m:t>0.99, 1.</m:t>
            </m:r>
          </m:e>
        </m:d>
      </m:oMath>
      <w:r w:rsidRPr="005A0574">
        <w:t>.</w:t>
      </w:r>
    </w:p>
    <w:p w14:paraId="275F6D9F" w14:textId="77777777" w:rsidR="00171C02" w:rsidRPr="005A0574" w:rsidRDefault="00171C02" w:rsidP="006547B7">
      <w:pPr>
        <w:spacing w:before="100" w:beforeAutospacing="1" w:after="100" w:afterAutospacing="1"/>
      </w:pPr>
    </w:p>
    <w:p w14:paraId="407E8B00" w14:textId="77777777" w:rsidR="00675359" w:rsidRPr="005A0574" w:rsidRDefault="00675359" w:rsidP="006547B7">
      <w:r w:rsidRPr="005A0574">
        <w:rPr>
          <w:noProof/>
        </w:rPr>
        <w:drawing>
          <wp:inline distT="0" distB="0" distL="0" distR="0" wp14:anchorId="73ABA2BD" wp14:editId="1A8F2812">
            <wp:extent cx="5943600" cy="3023235"/>
            <wp:effectExtent l="0" t="0" r="0" b="0"/>
            <wp:docPr id="2" name="Picture 2"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with medium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023235"/>
                    </a:xfrm>
                    <a:prstGeom prst="rect">
                      <a:avLst/>
                    </a:prstGeom>
                  </pic:spPr>
                </pic:pic>
              </a:graphicData>
            </a:graphic>
          </wp:inline>
        </w:drawing>
      </w:r>
    </w:p>
    <w:p w14:paraId="51A75B76" w14:textId="1DC8D605" w:rsidR="00675359" w:rsidRDefault="00675359" w:rsidP="006547B7">
      <w:r w:rsidRPr="005A0574">
        <w:t>Figure 2. The universe of solutions for the effective net mass exchange rate (entrainment – detrainment, km</w:t>
      </w:r>
      <w:r w:rsidRPr="005A0574">
        <w:rPr>
          <w:vertAlign w:val="superscript"/>
        </w:rPr>
        <w:t>-1</w:t>
      </w:r>
      <w:r w:rsidRPr="005A0574">
        <w:t>) for the case shown in Figure 1. The black contour lines demark the transition from mostly entraining to mostly detraining plumes.</w:t>
      </w:r>
    </w:p>
    <w:p w14:paraId="3CC72EE5" w14:textId="77777777" w:rsidR="00F05DB4" w:rsidRPr="005A0574" w:rsidRDefault="00F05DB4" w:rsidP="006547B7"/>
    <w:p w14:paraId="1C6C9D41" w14:textId="77777777" w:rsidR="00675359" w:rsidRPr="005A0574" w:rsidRDefault="00675359" w:rsidP="006547B7">
      <w:pPr>
        <w:jc w:val="center"/>
      </w:pPr>
      <w:r w:rsidRPr="005A0574">
        <w:rPr>
          <w:noProof/>
        </w:rPr>
        <w:drawing>
          <wp:inline distT="0" distB="0" distL="0" distR="0" wp14:anchorId="0100F450" wp14:editId="49D3EC04">
            <wp:extent cx="3369858" cy="4361015"/>
            <wp:effectExtent l="0" t="318"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9">
                      <a:extLst>
                        <a:ext uri="{28A0092B-C50C-407E-A947-70E740481C1C}">
                          <a14:useLocalDpi xmlns:a14="http://schemas.microsoft.com/office/drawing/2010/main" val="0"/>
                        </a:ext>
                      </a:extLst>
                    </a:blip>
                    <a:stretch>
                      <a:fillRect/>
                    </a:stretch>
                  </pic:blipFill>
                  <pic:spPr>
                    <a:xfrm rot="5400000">
                      <a:off x="0" y="0"/>
                      <a:ext cx="3379438" cy="4373412"/>
                    </a:xfrm>
                    <a:prstGeom prst="rect">
                      <a:avLst/>
                    </a:prstGeom>
                  </pic:spPr>
                </pic:pic>
              </a:graphicData>
            </a:graphic>
          </wp:inline>
        </w:drawing>
      </w:r>
    </w:p>
    <w:p w14:paraId="0DD982DC" w14:textId="77777777" w:rsidR="00675359" w:rsidRPr="005A0574" w:rsidRDefault="00675359" w:rsidP="006547B7">
      <w:r w:rsidRPr="005A0574">
        <w:t>Figure 3. Total (red solid), convective (red dashed) and observed total precipitation rates (mm/hour) with GF scheme using the TWP-ICE soundings.</w:t>
      </w:r>
    </w:p>
    <w:p w14:paraId="350FC924" w14:textId="77777777" w:rsidR="00675359" w:rsidRPr="005A0574" w:rsidRDefault="00675359" w:rsidP="006547B7"/>
    <w:p w14:paraId="39A43DEC" w14:textId="77777777" w:rsidR="00675359" w:rsidRPr="005A0574" w:rsidRDefault="00675359" w:rsidP="006547B7">
      <w:pPr>
        <w:rPr>
          <w:bCs/>
        </w:rPr>
      </w:pPr>
      <w:r w:rsidRPr="005A0574">
        <w:rPr>
          <w:bCs/>
          <w:noProof/>
        </w:rPr>
        <w:drawing>
          <wp:inline distT="0" distB="0" distL="0" distR="0" wp14:anchorId="275F20D5" wp14:editId="077B5E37">
            <wp:extent cx="5943600" cy="23406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0">
                      <a:extLst>
                        <a:ext uri="{28A0092B-C50C-407E-A947-70E740481C1C}">
                          <a14:useLocalDpi xmlns:a14="http://schemas.microsoft.com/office/drawing/2010/main" val="0"/>
                        </a:ext>
                      </a:extLst>
                    </a:blip>
                    <a:stretch>
                      <a:fillRect/>
                    </a:stretch>
                  </pic:blipFill>
                  <pic:spPr>
                    <a:xfrm>
                      <a:off x="0" y="0"/>
                      <a:ext cx="5943600" cy="2340610"/>
                    </a:xfrm>
                    <a:prstGeom prst="rect">
                      <a:avLst/>
                    </a:prstGeom>
                  </pic:spPr>
                </pic:pic>
              </a:graphicData>
            </a:graphic>
          </wp:inline>
        </w:drawing>
      </w:r>
    </w:p>
    <w:p w14:paraId="6CE86A63" w14:textId="242B9B6D" w:rsidR="00675359" w:rsidRPr="005A0574" w:rsidRDefault="00675359" w:rsidP="006547B7">
      <w:pPr>
        <w:spacing w:line="276" w:lineRule="auto"/>
        <w:rPr>
          <w:b/>
          <w:bCs/>
          <w:sz w:val="22"/>
          <w:szCs w:val="22"/>
        </w:rPr>
      </w:pPr>
      <w:r w:rsidRPr="005A0574">
        <w:rPr>
          <w:bCs/>
          <w:sz w:val="22"/>
          <w:szCs w:val="22"/>
        </w:rPr>
        <w:t xml:space="preserve">Figure 4. </w:t>
      </w:r>
      <w:r w:rsidRPr="005A0574">
        <w:rPr>
          <w:sz w:val="22"/>
          <w:szCs w:val="22"/>
        </w:rPr>
        <w:t>On the left, two season’s mean mass flux associated with all cumulus clouds (solid curves), congestus (dotted), deep (dashed), and overshooting convection (dotted-dashed) using wind-profiler (black) and CPOL-based (red) measurements taken at the profiler site (</w:t>
      </w:r>
      <w:r w:rsidR="00AC3E3E">
        <w:rPr>
          <w:sz w:val="22"/>
          <w:szCs w:val="22"/>
        </w:rPr>
        <w:t xml:space="preserve">From </w:t>
      </w:r>
      <w:r w:rsidRPr="005A0574">
        <w:rPr>
          <w:sz w:val="22"/>
          <w:szCs w:val="22"/>
        </w:rPr>
        <w:t xml:space="preserve">Kumar, V.V., et al.: The Estimation of Convective Mass Flux from Radar </w:t>
      </w:r>
      <w:proofErr w:type="spellStart"/>
      <w:r w:rsidRPr="005A0574">
        <w:rPr>
          <w:sz w:val="22"/>
          <w:szCs w:val="22"/>
        </w:rPr>
        <w:t>Reflectivities</w:t>
      </w:r>
      <w:proofErr w:type="spellEnd"/>
      <w:r w:rsidRPr="005A0574">
        <w:rPr>
          <w:sz w:val="22"/>
          <w:szCs w:val="22"/>
        </w:rPr>
        <w:t xml:space="preserve">. J. Appl. Met. </w:t>
      </w:r>
      <w:proofErr w:type="spellStart"/>
      <w:r w:rsidRPr="005A0574">
        <w:rPr>
          <w:sz w:val="22"/>
          <w:szCs w:val="22"/>
        </w:rPr>
        <w:t>Clim</w:t>
      </w:r>
      <w:proofErr w:type="spellEnd"/>
      <w:r w:rsidRPr="005A0574">
        <w:rPr>
          <w:sz w:val="22"/>
          <w:szCs w:val="22"/>
        </w:rPr>
        <w:t>., 55, 1239–1257, 2016. © American Meteorological Society. Used with permission). (b) On the right, the TWP-ICE mean mass flux (</w:t>
      </w:r>
      <m:oMath>
        <m:r>
          <m:rPr>
            <m:sty m:val="p"/>
          </m:rPr>
          <w:rPr>
            <w:rFonts w:ascii="Cambria Math" w:hAnsi="Cambria Math"/>
            <w:sz w:val="22"/>
            <w:szCs w:val="22"/>
          </w:rPr>
          <m:t xml:space="preserve">kg </m:t>
        </m:r>
        <m:sSup>
          <m:sSupPr>
            <m:ctrlPr>
              <w:rPr>
                <w:rFonts w:ascii="Cambria Math" w:hAnsi="Cambria Math"/>
                <w:sz w:val="22"/>
                <w:szCs w:val="22"/>
              </w:rPr>
            </m:ctrlPr>
          </m:sSupPr>
          <m:e>
            <m:r>
              <m:rPr>
                <m:sty m:val="p"/>
              </m:rPr>
              <w:rPr>
                <w:rFonts w:ascii="Cambria Math" w:hAnsi="Cambria Math"/>
                <w:sz w:val="22"/>
                <w:szCs w:val="22"/>
              </w:rPr>
              <m:t>m</m:t>
            </m:r>
          </m:e>
          <m:sup>
            <m:r>
              <m:rPr>
                <m:sty m:val="p"/>
              </m:rPr>
              <w:rPr>
                <w:rFonts w:ascii="Cambria Math" w:hAnsi="Cambria Math"/>
                <w:sz w:val="22"/>
                <w:szCs w:val="22"/>
              </w:rPr>
              <m:t>2</m:t>
            </m:r>
          </m:sup>
        </m:sSup>
        <m:r>
          <m:rPr>
            <m:sty m:val="p"/>
          </m:rPr>
          <w:rPr>
            <w:rFonts w:ascii="Cambria Math" w:hAnsi="Cambria Math"/>
            <w:sz w:val="22"/>
            <w:szCs w:val="22"/>
          </w:rPr>
          <m:t xml:space="preserve"> </m:t>
        </m:r>
        <m:sSup>
          <m:sSupPr>
            <m:ctrlPr>
              <w:rPr>
                <w:rFonts w:ascii="Cambria Math" w:hAnsi="Cambria Math"/>
                <w:sz w:val="22"/>
                <w:szCs w:val="22"/>
              </w:rPr>
            </m:ctrlPr>
          </m:sSupPr>
          <m:e>
            <m:r>
              <m:rPr>
                <m:sty m:val="p"/>
              </m:rPr>
              <w:rPr>
                <w:rFonts w:ascii="Cambria Math" w:hAnsi="Cambria Math"/>
                <w:sz w:val="22"/>
                <w:szCs w:val="22"/>
              </w:rPr>
              <m:t>s</m:t>
            </m:r>
          </m:e>
          <m:sup>
            <m:r>
              <m:rPr>
                <m:sty m:val="p"/>
              </m:rPr>
              <w:rPr>
                <w:rFonts w:ascii="Cambria Math" w:hAnsi="Cambria Math"/>
                <w:sz w:val="22"/>
                <w:szCs w:val="22"/>
              </w:rPr>
              <m:t>-1</m:t>
            </m:r>
          </m:sup>
        </m:sSup>
      </m:oMath>
      <w:r w:rsidRPr="005A0574">
        <w:rPr>
          <w:sz w:val="22"/>
          <w:szCs w:val="22"/>
        </w:rPr>
        <w:t>) profiles from all cumulus clouds (in black), shallow (in blue), congestus (in green), and deep convection (in red) with GF SCM simulation.</w:t>
      </w:r>
    </w:p>
    <w:p w14:paraId="2B464822" w14:textId="77777777" w:rsidR="00675359" w:rsidRPr="005A0574" w:rsidRDefault="00675359" w:rsidP="006547B7">
      <w:pPr>
        <w:jc w:val="center"/>
        <w:rPr>
          <w:bCs/>
        </w:rPr>
      </w:pPr>
      <w:r w:rsidRPr="005A0574">
        <w:rPr>
          <w:bCs/>
          <w:noProof/>
        </w:rPr>
        <w:lastRenderedPageBreak/>
        <w:drawing>
          <wp:inline distT="0" distB="0" distL="0" distR="0" wp14:anchorId="22DA231C" wp14:editId="7012711B">
            <wp:extent cx="3981842" cy="5152997"/>
            <wp:effectExtent l="0" t="1270" r="508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1">
                      <a:extLst>
                        <a:ext uri="{28A0092B-C50C-407E-A947-70E740481C1C}">
                          <a14:useLocalDpi xmlns:a14="http://schemas.microsoft.com/office/drawing/2010/main" val="0"/>
                        </a:ext>
                      </a:extLst>
                    </a:blip>
                    <a:stretch>
                      <a:fillRect/>
                    </a:stretch>
                  </pic:blipFill>
                  <pic:spPr>
                    <a:xfrm rot="5400000">
                      <a:off x="0" y="0"/>
                      <a:ext cx="3981842" cy="5152997"/>
                    </a:xfrm>
                    <a:prstGeom prst="rect">
                      <a:avLst/>
                    </a:prstGeom>
                  </pic:spPr>
                </pic:pic>
              </a:graphicData>
            </a:graphic>
          </wp:inline>
        </w:drawing>
      </w:r>
    </w:p>
    <w:p w14:paraId="7F5AEAEF" w14:textId="08B7622E" w:rsidR="00675359" w:rsidRDefault="00675359" w:rsidP="006547B7">
      <w:pPr>
        <w:rPr>
          <w:bCs/>
        </w:rPr>
      </w:pPr>
      <w:r w:rsidRPr="005A0574">
        <w:rPr>
          <w:bCs/>
        </w:rPr>
        <w:t>Figure 5. Convective heating tendencies (</w:t>
      </w:r>
      <w:proofErr w:type="gramStart"/>
      <w:r w:rsidRPr="005A0574">
        <w:rPr>
          <w:bCs/>
        </w:rPr>
        <w:t>K day</w:t>
      </w:r>
      <w:proofErr w:type="gramEnd"/>
      <w:r w:rsidRPr="005A0574">
        <w:rPr>
          <w:bCs/>
          <w:vertAlign w:val="superscript"/>
        </w:rPr>
        <w:t>-1</w:t>
      </w:r>
      <w:r w:rsidRPr="005A0574">
        <w:rPr>
          <w:bCs/>
        </w:rPr>
        <w:t>) of (a) shallow, (b) congestus, and (c) deep convection with GF scheme using the TWP-ICE soundings.</w:t>
      </w:r>
    </w:p>
    <w:p w14:paraId="7E3E3FBF" w14:textId="77777777" w:rsidR="00171C02" w:rsidRPr="00171C02" w:rsidRDefault="00171C02" w:rsidP="006547B7">
      <w:pPr>
        <w:rPr>
          <w:bCs/>
        </w:rPr>
      </w:pPr>
    </w:p>
    <w:p w14:paraId="5DF3DE0A" w14:textId="77777777" w:rsidR="00675359" w:rsidRPr="005A0574" w:rsidRDefault="00675359" w:rsidP="006547B7">
      <w:pPr>
        <w:jc w:val="center"/>
        <w:rPr>
          <w:bCs/>
        </w:rPr>
      </w:pPr>
      <w:r w:rsidRPr="005A0574">
        <w:rPr>
          <w:bCs/>
          <w:noProof/>
        </w:rPr>
        <w:lastRenderedPageBreak/>
        <w:drawing>
          <wp:inline distT="0" distB="0" distL="0" distR="0" wp14:anchorId="7B72AABB" wp14:editId="0091F4B3">
            <wp:extent cx="3869417" cy="5007505"/>
            <wp:effectExtent l="254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2">
                      <a:extLst>
                        <a:ext uri="{28A0092B-C50C-407E-A947-70E740481C1C}">
                          <a14:useLocalDpi xmlns:a14="http://schemas.microsoft.com/office/drawing/2010/main" val="0"/>
                        </a:ext>
                      </a:extLst>
                    </a:blip>
                    <a:stretch>
                      <a:fillRect/>
                    </a:stretch>
                  </pic:blipFill>
                  <pic:spPr>
                    <a:xfrm rot="5400000">
                      <a:off x="0" y="0"/>
                      <a:ext cx="3869705" cy="5007878"/>
                    </a:xfrm>
                    <a:prstGeom prst="rect">
                      <a:avLst/>
                    </a:prstGeom>
                  </pic:spPr>
                </pic:pic>
              </a:graphicData>
            </a:graphic>
          </wp:inline>
        </w:drawing>
      </w:r>
    </w:p>
    <w:p w14:paraId="6F9A125A" w14:textId="77777777" w:rsidR="00675359" w:rsidRPr="005A0574" w:rsidRDefault="00675359" w:rsidP="006547B7">
      <w:pPr>
        <w:rPr>
          <w:lang w:eastAsia="de-DE"/>
        </w:rPr>
      </w:pPr>
      <w:r w:rsidRPr="005A0574">
        <w:rPr>
          <w:lang w:eastAsia="de-DE"/>
        </w:rPr>
        <w:t>Figure 6. Convective drying tendencies (g kg</w:t>
      </w:r>
      <w:r w:rsidRPr="005A0574">
        <w:rPr>
          <w:vertAlign w:val="superscript"/>
          <w:lang w:eastAsia="de-DE"/>
        </w:rPr>
        <w:t>-1</w:t>
      </w:r>
      <w:r w:rsidRPr="005A0574">
        <w:rPr>
          <w:lang w:eastAsia="de-DE"/>
        </w:rPr>
        <w:t xml:space="preserve"> day</w:t>
      </w:r>
      <w:r w:rsidRPr="005A0574">
        <w:rPr>
          <w:vertAlign w:val="superscript"/>
          <w:lang w:eastAsia="de-DE"/>
        </w:rPr>
        <w:t>-1</w:t>
      </w:r>
      <w:r w:rsidRPr="005A0574">
        <w:rPr>
          <w:lang w:eastAsia="de-DE"/>
        </w:rPr>
        <w:t>) of (a) shallow, (b) congestus, and (c) deep convection with GF scheme using the TWP-ICE soundings.</w:t>
      </w:r>
    </w:p>
    <w:p w14:paraId="04BEF60B" w14:textId="77777777" w:rsidR="00675359" w:rsidRPr="005A0574" w:rsidRDefault="00675359" w:rsidP="006547B7">
      <w:pPr>
        <w:jc w:val="center"/>
        <w:rPr>
          <w:lang w:eastAsia="de-DE"/>
        </w:rPr>
      </w:pPr>
      <w:r w:rsidRPr="005A0574">
        <w:rPr>
          <w:noProof/>
          <w:lang w:eastAsia="de-DE"/>
        </w:rPr>
        <w:lastRenderedPageBreak/>
        <w:drawing>
          <wp:inline distT="0" distB="0" distL="0" distR="0" wp14:anchorId="7BA45A21" wp14:editId="6B22AC48">
            <wp:extent cx="3207433" cy="4150816"/>
            <wp:effectExtent l="0" t="0" r="5715"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07757" cy="4151235"/>
                    </a:xfrm>
                    <a:prstGeom prst="rect">
                      <a:avLst/>
                    </a:prstGeom>
                  </pic:spPr>
                </pic:pic>
              </a:graphicData>
            </a:graphic>
          </wp:inline>
        </w:drawing>
      </w:r>
    </w:p>
    <w:p w14:paraId="2CF1B47A" w14:textId="1EF9FE08" w:rsidR="00675359" w:rsidRPr="005A0574" w:rsidRDefault="00675359" w:rsidP="006547B7">
      <w:pPr>
        <w:rPr>
          <w:lang w:eastAsia="de-DE"/>
        </w:rPr>
      </w:pPr>
      <w:r w:rsidRPr="005A0574">
        <w:rPr>
          <w:lang w:eastAsia="de-DE"/>
        </w:rPr>
        <w:t>Figure 7. The diabatic heating source (Q1, K day</w:t>
      </w:r>
      <w:r w:rsidRPr="005A0574">
        <w:rPr>
          <w:vertAlign w:val="superscript"/>
          <w:lang w:eastAsia="de-DE"/>
        </w:rPr>
        <w:t>-1</w:t>
      </w:r>
      <w:r w:rsidRPr="005A0574">
        <w:rPr>
          <w:lang w:eastAsia="de-DE"/>
        </w:rPr>
        <w:t>) profiles from (a) sounding analysis, (b) SCM simulation, and diabatic drying sink (Q2, K day</w:t>
      </w:r>
      <w:r w:rsidRPr="005A0574">
        <w:rPr>
          <w:vertAlign w:val="superscript"/>
          <w:lang w:eastAsia="de-DE"/>
        </w:rPr>
        <w:t>-1</w:t>
      </w:r>
      <w:r w:rsidRPr="005A0574">
        <w:rPr>
          <w:lang w:eastAsia="de-DE"/>
        </w:rPr>
        <w:t xml:space="preserve">) from (c) sounding analysis, (d) SCM simulation. The active monsoon period is in red, and the </w:t>
      </w:r>
      <w:r w:rsidR="00A124D6">
        <w:rPr>
          <w:lang w:eastAsia="de-DE"/>
        </w:rPr>
        <w:t>sup</w:t>
      </w:r>
      <w:r w:rsidRPr="005A0574">
        <w:rPr>
          <w:lang w:eastAsia="de-DE"/>
        </w:rPr>
        <w:t>pressed period is in green.</w:t>
      </w:r>
    </w:p>
    <w:p w14:paraId="4FA573CD" w14:textId="77777777" w:rsidR="00675359" w:rsidRPr="005A0574" w:rsidRDefault="00675359" w:rsidP="006547B7"/>
    <w:p w14:paraId="19586441" w14:textId="77777777" w:rsidR="00675359" w:rsidRPr="005A0574" w:rsidRDefault="00675359" w:rsidP="006547B7"/>
    <w:p w14:paraId="6F0AD0DA" w14:textId="77777777" w:rsidR="00675359" w:rsidRPr="005A0574" w:rsidRDefault="00675359" w:rsidP="006547B7">
      <w:pPr>
        <w:keepNext/>
      </w:pPr>
      <w:r w:rsidRPr="005A0574">
        <w:rPr>
          <w:noProof/>
        </w:rPr>
        <w:drawing>
          <wp:inline distT="0" distB="0" distL="0" distR="0" wp14:anchorId="2C382F95" wp14:editId="0286307D">
            <wp:extent cx="5942837" cy="1494263"/>
            <wp:effectExtent l="0" t="0" r="1270" b="4445"/>
            <wp:docPr id="1" name="Picture 1" descr="Graphical user interface, char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chart, application&#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81765" cy="1504051"/>
                    </a:xfrm>
                    <a:prstGeom prst="rect">
                      <a:avLst/>
                    </a:prstGeom>
                  </pic:spPr>
                </pic:pic>
              </a:graphicData>
            </a:graphic>
          </wp:inline>
        </w:drawing>
      </w:r>
    </w:p>
    <w:p w14:paraId="0CFB20BA" w14:textId="64C24A4B" w:rsidR="00675359" w:rsidRPr="005A0574" w:rsidRDefault="00675359" w:rsidP="006547B7">
      <w:pPr>
        <w:pStyle w:val="Caption"/>
        <w:spacing w:line="360" w:lineRule="auto"/>
        <w:rPr>
          <w:i w:val="0"/>
          <w:iCs w:val="0"/>
          <w:sz w:val="24"/>
          <w:szCs w:val="24"/>
        </w:rPr>
      </w:pPr>
      <w:r w:rsidRPr="005A0574">
        <w:rPr>
          <w:i w:val="0"/>
          <w:iCs w:val="0"/>
          <w:color w:val="auto"/>
          <w:sz w:val="24"/>
          <w:szCs w:val="24"/>
          <w:lang w:eastAsia="de-DE"/>
        </w:rPr>
        <w:t>Figure 8. The diurnal cycle of the three convective modes as represented by the GF convection parameterization in a single column model experiment with the GEOS-5 modeling system. The black contours represent the vertical diffusivity coefficient for heat (m</w:t>
      </w:r>
      <w:r w:rsidRPr="005A0574">
        <w:rPr>
          <w:i w:val="0"/>
          <w:iCs w:val="0"/>
          <w:color w:val="auto"/>
          <w:sz w:val="24"/>
          <w:szCs w:val="24"/>
          <w:vertAlign w:val="superscript"/>
          <w:lang w:eastAsia="de-DE"/>
        </w:rPr>
        <w:t>2</w:t>
      </w:r>
      <w:r w:rsidRPr="005A0574">
        <w:rPr>
          <w:i w:val="0"/>
          <w:iCs w:val="0"/>
          <w:color w:val="auto"/>
          <w:sz w:val="24"/>
          <w:szCs w:val="24"/>
          <w:lang w:eastAsia="de-DE"/>
        </w:rPr>
        <w:t xml:space="preserve"> s</w:t>
      </w:r>
      <w:r w:rsidRPr="005A0574">
        <w:rPr>
          <w:i w:val="0"/>
          <w:iCs w:val="0"/>
          <w:color w:val="auto"/>
          <w:sz w:val="24"/>
          <w:szCs w:val="24"/>
          <w:vertAlign w:val="superscript"/>
          <w:lang w:eastAsia="de-DE"/>
        </w:rPr>
        <w:t>-1</w:t>
      </w:r>
      <w:r w:rsidRPr="005A0574">
        <w:rPr>
          <w:i w:val="0"/>
          <w:iCs w:val="0"/>
          <w:color w:val="auto"/>
          <w:sz w:val="24"/>
          <w:szCs w:val="24"/>
          <w:lang w:eastAsia="de-DE"/>
        </w:rPr>
        <w:t xml:space="preserve">). The color </w:t>
      </w:r>
      <w:r w:rsidR="00E06F81">
        <w:rPr>
          <w:i w:val="0"/>
          <w:iCs w:val="0"/>
          <w:color w:val="auto"/>
          <w:sz w:val="24"/>
          <w:szCs w:val="24"/>
          <w:lang w:eastAsia="de-DE"/>
        </w:rPr>
        <w:t>contours show</w:t>
      </w:r>
      <w:r w:rsidRPr="005A0574">
        <w:rPr>
          <w:i w:val="0"/>
          <w:iCs w:val="0"/>
          <w:color w:val="auto"/>
          <w:sz w:val="24"/>
          <w:szCs w:val="24"/>
          <w:lang w:eastAsia="de-DE"/>
        </w:rPr>
        <w:t xml:space="preserve"> the updraft mass flux expressed in</w:t>
      </w:r>
      <w:r w:rsidRPr="005A0574">
        <w:rPr>
          <w:i w:val="0"/>
          <w:iCs w:val="0"/>
          <w:color w:val="auto"/>
        </w:rPr>
        <w:t xml:space="preserve"> </w:t>
      </w:r>
      <w:r w:rsidRPr="005A0574">
        <w:rPr>
          <w:i w:val="0"/>
          <w:iCs w:val="0"/>
          <w:color w:val="auto"/>
          <w:sz w:val="24"/>
          <w:szCs w:val="24"/>
        </w:rPr>
        <w:t>10</w:t>
      </w:r>
      <w:r w:rsidRPr="005A0574">
        <w:rPr>
          <w:i w:val="0"/>
          <w:iCs w:val="0"/>
          <w:color w:val="auto"/>
          <w:sz w:val="24"/>
          <w:szCs w:val="24"/>
          <w:vertAlign w:val="superscript"/>
        </w:rPr>
        <w:t>-3</w:t>
      </w:r>
      <w:r w:rsidRPr="005A0574">
        <w:rPr>
          <w:i w:val="0"/>
          <w:iCs w:val="0"/>
          <w:color w:val="auto"/>
          <w:sz w:val="24"/>
          <w:szCs w:val="24"/>
        </w:rPr>
        <w:t xml:space="preserve"> kg m</w:t>
      </w:r>
      <w:r w:rsidRPr="005A0574">
        <w:rPr>
          <w:i w:val="0"/>
          <w:iCs w:val="0"/>
          <w:color w:val="auto"/>
          <w:sz w:val="24"/>
          <w:szCs w:val="24"/>
          <w:vertAlign w:val="superscript"/>
        </w:rPr>
        <w:t>-2</w:t>
      </w:r>
      <w:r w:rsidRPr="005A0574">
        <w:rPr>
          <w:i w:val="0"/>
          <w:iCs w:val="0"/>
          <w:color w:val="auto"/>
          <w:sz w:val="24"/>
          <w:szCs w:val="24"/>
        </w:rPr>
        <w:t xml:space="preserve"> s</w:t>
      </w:r>
      <w:r w:rsidRPr="005A0574">
        <w:rPr>
          <w:i w:val="0"/>
          <w:iCs w:val="0"/>
          <w:color w:val="auto"/>
          <w:sz w:val="24"/>
          <w:szCs w:val="24"/>
          <w:vertAlign w:val="superscript"/>
        </w:rPr>
        <w:t>-1</w:t>
      </w:r>
      <w:r w:rsidRPr="005A0574">
        <w:rPr>
          <w:i w:val="0"/>
          <w:iCs w:val="0"/>
          <w:color w:val="auto"/>
          <w:sz w:val="24"/>
          <w:szCs w:val="24"/>
        </w:rPr>
        <w:t xml:space="preserve">. </w:t>
      </w:r>
    </w:p>
    <w:p w14:paraId="192337D8" w14:textId="77777777" w:rsidR="00675359" w:rsidRPr="005A0574" w:rsidRDefault="00675359" w:rsidP="006547B7">
      <w:pPr>
        <w:jc w:val="center"/>
      </w:pPr>
      <w:r w:rsidRPr="005A0574">
        <w:rPr>
          <w:noProof/>
        </w:rPr>
        <w:lastRenderedPageBreak/>
        <w:drawing>
          <wp:inline distT="0" distB="0" distL="0" distR="0" wp14:anchorId="70FED837" wp14:editId="7BB9A7A5">
            <wp:extent cx="5943600" cy="1858645"/>
            <wp:effectExtent l="0" t="0" r="0" b="0"/>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1858645"/>
                    </a:xfrm>
                    <a:prstGeom prst="rect">
                      <a:avLst/>
                    </a:prstGeom>
                  </pic:spPr>
                </pic:pic>
              </a:graphicData>
            </a:graphic>
          </wp:inline>
        </w:drawing>
      </w:r>
    </w:p>
    <w:p w14:paraId="77221CC0" w14:textId="0CA913FD" w:rsidR="00675359" w:rsidRPr="005A0574" w:rsidRDefault="00675359" w:rsidP="006547B7">
      <w:pPr>
        <w:rPr>
          <w:color w:val="44546A" w:themeColor="text2"/>
          <w:sz w:val="18"/>
          <w:szCs w:val="18"/>
        </w:rPr>
      </w:pPr>
      <w:r w:rsidRPr="005A0574">
        <w:t xml:space="preserve">Figure 9. </w:t>
      </w:r>
      <w:r w:rsidR="00B620AE">
        <w:t>Color shading is the t</w:t>
      </w:r>
      <w:r w:rsidRPr="005A0574">
        <w:t>ime average of the diurnal cycle of the total vertical mass flux of the three convective modes: shallow, congestus, and deep (10</w:t>
      </w:r>
      <w:r w:rsidRPr="005A0574">
        <w:rPr>
          <w:vertAlign w:val="superscript"/>
        </w:rPr>
        <w:t>-3</w:t>
      </w:r>
      <w:r w:rsidRPr="005A0574">
        <w:t xml:space="preserve"> kg m</w:t>
      </w:r>
      <w:r w:rsidRPr="005A0574">
        <w:rPr>
          <w:vertAlign w:val="superscript"/>
        </w:rPr>
        <w:t>2</w:t>
      </w:r>
      <w:r w:rsidRPr="005A0574">
        <w:t xml:space="preserve"> s</w:t>
      </w:r>
      <w:r w:rsidRPr="005A0574">
        <w:rPr>
          <w:vertAlign w:val="superscript"/>
        </w:rPr>
        <w:t>-1</w:t>
      </w:r>
      <w:r w:rsidRPr="005A0574">
        <w:t>). The rainfall is depicted by graphic lines: black, red and purple represent the total precipitation, and the convective part from deep and congestus plumes, respectively. The scale for rainfall appears on the right vertical axis (mm day</w:t>
      </w:r>
      <w:r w:rsidRPr="005A0574">
        <w:rPr>
          <w:vertAlign w:val="superscript"/>
        </w:rPr>
        <w:t>-1</w:t>
      </w:r>
      <w:r w:rsidRPr="005A0574">
        <w:t>). Panel A (B) represents the results without (with) the diurnal cycle closure</w:t>
      </w:r>
      <w:r w:rsidRPr="005A0574">
        <w:rPr>
          <w:color w:val="44546A" w:themeColor="text2"/>
          <w:sz w:val="18"/>
          <w:szCs w:val="18"/>
        </w:rPr>
        <w:t>.</w:t>
      </w:r>
    </w:p>
    <w:p w14:paraId="72B5F64C" w14:textId="77777777" w:rsidR="00675359" w:rsidRPr="005A0574" w:rsidRDefault="00675359" w:rsidP="006547B7">
      <w:pPr>
        <w:rPr>
          <w:color w:val="44546A" w:themeColor="text2"/>
          <w:sz w:val="18"/>
          <w:szCs w:val="18"/>
        </w:rPr>
      </w:pPr>
    </w:p>
    <w:p w14:paraId="49B6A7E3" w14:textId="77777777" w:rsidR="00675359" w:rsidRPr="005A0574" w:rsidRDefault="00675359" w:rsidP="006547B7"/>
    <w:p w14:paraId="7F53870D" w14:textId="77777777" w:rsidR="00675359" w:rsidRPr="005A0574" w:rsidRDefault="00675359" w:rsidP="006547B7">
      <w:r w:rsidRPr="005A0574">
        <w:rPr>
          <w:noProof/>
        </w:rPr>
        <w:drawing>
          <wp:inline distT="0" distB="0" distL="0" distR="0" wp14:anchorId="1C616AD7" wp14:editId="604C845C">
            <wp:extent cx="5943600" cy="2123440"/>
            <wp:effectExtent l="0" t="0" r="0" b="0"/>
            <wp:docPr id="7" name="Picture 7"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char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2123440"/>
                    </a:xfrm>
                    <a:prstGeom prst="rect">
                      <a:avLst/>
                    </a:prstGeom>
                  </pic:spPr>
                </pic:pic>
              </a:graphicData>
            </a:graphic>
          </wp:inline>
        </w:drawing>
      </w:r>
      <w:r w:rsidRPr="005A0574">
        <w:t xml:space="preserve"> Figure 10. Time average of the diurnal cycle of the grid-scale vertical moistening (left) and heating (right) tendencies associated with the three convective modes (shaded colors) and precipitation (contour: red dash, green solid and purple dash represents the total precipitation, and the convective precipitation from deep and congestus plumes, respectively). The upper (bottom) panels show results without (with) the diurnal cycle closure.</w:t>
      </w:r>
    </w:p>
    <w:p w14:paraId="42710AE3" w14:textId="77777777" w:rsidR="00675359" w:rsidRPr="005A0574" w:rsidRDefault="00675359" w:rsidP="006547B7"/>
    <w:p w14:paraId="05BB8866" w14:textId="77777777" w:rsidR="00675359" w:rsidRPr="005A0574" w:rsidRDefault="00675359" w:rsidP="006547B7"/>
    <w:p w14:paraId="066C740B" w14:textId="77777777" w:rsidR="00675359" w:rsidRPr="005A0574" w:rsidRDefault="00675359" w:rsidP="006547B7"/>
    <w:p w14:paraId="09AC8C50" w14:textId="77777777" w:rsidR="00675359" w:rsidRPr="005A0574" w:rsidRDefault="00675359" w:rsidP="006547B7"/>
    <w:p w14:paraId="3B8F8306" w14:textId="77777777" w:rsidR="00675359" w:rsidRPr="005A0574" w:rsidRDefault="00675359" w:rsidP="006547B7">
      <w:pPr>
        <w:jc w:val="center"/>
      </w:pPr>
      <w:r w:rsidRPr="005A0574">
        <w:rPr>
          <w:noProof/>
        </w:rPr>
        <w:lastRenderedPageBreak/>
        <w:drawing>
          <wp:inline distT="0" distB="0" distL="0" distR="0" wp14:anchorId="727E977C" wp14:editId="7D86569F">
            <wp:extent cx="3024887" cy="2067652"/>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50997" cy="2085500"/>
                    </a:xfrm>
                    <a:prstGeom prst="rect">
                      <a:avLst/>
                    </a:prstGeom>
                  </pic:spPr>
                </pic:pic>
              </a:graphicData>
            </a:graphic>
          </wp:inline>
        </w:drawing>
      </w:r>
    </w:p>
    <w:p w14:paraId="0BA24C3C" w14:textId="4D70843C" w:rsidR="00675359" w:rsidRPr="005A0574" w:rsidRDefault="00675359" w:rsidP="006547B7">
      <w:pPr>
        <w:pStyle w:val="Caption"/>
        <w:spacing w:line="360" w:lineRule="auto"/>
        <w:rPr>
          <w:b/>
          <w:color w:val="auto"/>
          <w:sz w:val="24"/>
          <w:szCs w:val="24"/>
        </w:rPr>
      </w:pPr>
      <w:r w:rsidRPr="005A0574">
        <w:rPr>
          <w:bCs/>
          <w:i w:val="0"/>
          <w:iCs w:val="0"/>
          <w:color w:val="auto"/>
          <w:sz w:val="24"/>
          <w:szCs w:val="24"/>
        </w:rPr>
        <w:t>Figure 11. The monthly mean (January 2016) of the diurnal variation of the total cloud work function (red), boundary layer production (black) and the available cloud work function (blue). The curves also represent the areal average over the Amazon region</w:t>
      </w:r>
      <w:r w:rsidRPr="005A0574">
        <w:rPr>
          <w:b/>
          <w:color w:val="auto"/>
          <w:sz w:val="24"/>
          <w:szCs w:val="24"/>
        </w:rPr>
        <w:t>.</w:t>
      </w:r>
    </w:p>
    <w:p w14:paraId="6C533F1C" w14:textId="77777777" w:rsidR="00675359" w:rsidRPr="005A0574" w:rsidRDefault="00675359" w:rsidP="006547B7">
      <w:pPr>
        <w:keepNext/>
        <w:jc w:val="center"/>
      </w:pPr>
      <w:r w:rsidRPr="005A0574">
        <w:rPr>
          <w:noProof/>
          <w:lang w:eastAsia="de-DE"/>
        </w:rPr>
        <w:drawing>
          <wp:inline distT="0" distB="0" distL="0" distR="0" wp14:anchorId="25B6053A" wp14:editId="52F35876">
            <wp:extent cx="2180670" cy="4013860"/>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WF_global_land_ocean.pdf"/>
                    <pic:cNvPicPr/>
                  </pic:nvPicPr>
                  <pic:blipFill>
                    <a:blip r:embed="rId28"/>
                    <a:stretch>
                      <a:fillRect/>
                    </a:stretch>
                  </pic:blipFill>
                  <pic:spPr>
                    <a:xfrm>
                      <a:off x="0" y="0"/>
                      <a:ext cx="2187096" cy="4025688"/>
                    </a:xfrm>
                    <a:prstGeom prst="rect">
                      <a:avLst/>
                    </a:prstGeom>
                  </pic:spPr>
                </pic:pic>
              </a:graphicData>
            </a:graphic>
          </wp:inline>
        </w:drawing>
      </w:r>
    </w:p>
    <w:p w14:paraId="50A9008B" w14:textId="77777777" w:rsidR="00675359" w:rsidRPr="005A0574" w:rsidRDefault="00675359" w:rsidP="006547B7">
      <w:pPr>
        <w:pStyle w:val="Caption"/>
        <w:spacing w:line="360" w:lineRule="auto"/>
        <w:rPr>
          <w:i w:val="0"/>
          <w:iCs w:val="0"/>
          <w:color w:val="000000" w:themeColor="text1"/>
          <w:sz w:val="24"/>
          <w:szCs w:val="24"/>
        </w:rPr>
      </w:pPr>
      <w:r w:rsidRPr="005A0574">
        <w:rPr>
          <w:i w:val="0"/>
          <w:iCs w:val="0"/>
          <w:color w:val="000000" w:themeColor="text1"/>
          <w:sz w:val="24"/>
          <w:szCs w:val="24"/>
        </w:rPr>
        <w:t>Figure 12. The monthly mean (January 2016) of the diurnal variation of the total cloud work function (red color), boundary layer production (black) and the available cloud work function (blue). The curves also represent the areal average over (A) the entire globe, (B) the land regions, and (C) the oceans. In panel (C) the boundary layer production is multiplied by 10 for clarity.</w:t>
      </w:r>
    </w:p>
    <w:p w14:paraId="7E86B992" w14:textId="77777777" w:rsidR="00675359" w:rsidRPr="005A0574" w:rsidRDefault="00675359" w:rsidP="006547B7">
      <w:r w:rsidRPr="005A0574">
        <w:rPr>
          <w:noProof/>
        </w:rPr>
        <w:lastRenderedPageBreak/>
        <w:drawing>
          <wp:inline distT="0" distB="0" distL="0" distR="0" wp14:anchorId="5C959144" wp14:editId="70F2B4D8">
            <wp:extent cx="5943600" cy="36760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676015"/>
                    </a:xfrm>
                    <a:prstGeom prst="rect">
                      <a:avLst/>
                    </a:prstGeom>
                  </pic:spPr>
                </pic:pic>
              </a:graphicData>
            </a:graphic>
          </wp:inline>
        </w:drawing>
      </w:r>
    </w:p>
    <w:p w14:paraId="118A1785" w14:textId="77777777" w:rsidR="00675359" w:rsidRPr="005A0574" w:rsidRDefault="00675359" w:rsidP="006547B7">
      <w:pPr>
        <w:pStyle w:val="Caption"/>
        <w:spacing w:line="360" w:lineRule="auto"/>
        <w:rPr>
          <w:i w:val="0"/>
          <w:iCs w:val="0"/>
          <w:color w:val="000000" w:themeColor="text1"/>
          <w:sz w:val="28"/>
          <w:szCs w:val="28"/>
          <w:lang w:eastAsia="de-DE"/>
        </w:rPr>
      </w:pPr>
      <w:r w:rsidRPr="005A0574">
        <w:rPr>
          <w:bCs/>
          <w:i w:val="0"/>
          <w:iCs w:val="0"/>
          <w:color w:val="000000" w:themeColor="text1"/>
          <w:sz w:val="24"/>
          <w:szCs w:val="24"/>
        </w:rPr>
        <w:t xml:space="preserve">Figure 13. Global </w:t>
      </w:r>
      <w:proofErr w:type="spellStart"/>
      <w:r w:rsidRPr="005A0574">
        <w:rPr>
          <w:bCs/>
          <w:i w:val="0"/>
          <w:iCs w:val="0"/>
          <w:color w:val="000000" w:themeColor="text1"/>
          <w:sz w:val="24"/>
          <w:szCs w:val="24"/>
        </w:rPr>
        <w:t>Hovmöller</w:t>
      </w:r>
      <w:proofErr w:type="spellEnd"/>
      <w:r w:rsidRPr="005A0574">
        <w:rPr>
          <w:bCs/>
          <w:i w:val="0"/>
          <w:iCs w:val="0"/>
          <w:color w:val="000000" w:themeColor="text1"/>
          <w:sz w:val="24"/>
          <w:szCs w:val="24"/>
        </w:rPr>
        <w:t xml:space="preserve"> Diagram (average over latitudes 40S to 40N) of the diurnal cycle of precipitation (mm h</w:t>
      </w:r>
      <w:r w:rsidRPr="005A0574">
        <w:rPr>
          <w:bCs/>
          <w:i w:val="0"/>
          <w:iCs w:val="0"/>
          <w:color w:val="000000" w:themeColor="text1"/>
          <w:sz w:val="24"/>
          <w:szCs w:val="24"/>
          <w:vertAlign w:val="superscript"/>
        </w:rPr>
        <w:t>-1</w:t>
      </w:r>
      <w:r w:rsidRPr="005A0574">
        <w:rPr>
          <w:bCs/>
          <w:i w:val="0"/>
          <w:iCs w:val="0"/>
          <w:color w:val="000000" w:themeColor="text1"/>
          <w:sz w:val="24"/>
          <w:szCs w:val="24"/>
        </w:rPr>
        <w:t>) from remote sensing-derived observation (TRMM, upper panels) and NASA GEOS GCM applying the GF scheme without the diurnal cycle closure (middle panels, DC OFF) and with (lower panels, DC ON). The results account for precipitation only over land regions and are monthly means for January 2016 (left column) and July 2015 (right column), respectively.</w:t>
      </w:r>
    </w:p>
    <w:p w14:paraId="79B4F7FE" w14:textId="77777777" w:rsidR="00675359" w:rsidRPr="005A0574" w:rsidRDefault="00675359" w:rsidP="006547B7">
      <w:pPr>
        <w:spacing w:line="240" w:lineRule="auto"/>
        <w:jc w:val="left"/>
        <w:rPr>
          <w:rFonts w:ascii="Calibri" w:hAnsi="Calibri" w:cs="Calibri"/>
          <w:color w:val="000000"/>
        </w:rPr>
      </w:pPr>
      <w:r w:rsidRPr="005A0574">
        <w:rPr>
          <w:noProof/>
        </w:rPr>
        <w:lastRenderedPageBreak/>
        <w:drawing>
          <wp:inline distT="0" distB="0" distL="0" distR="0" wp14:anchorId="2A10A5D3" wp14:editId="5BB66418">
            <wp:extent cx="5943600" cy="50450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0">
                      <a:extLst>
                        <a:ext uri="{28A0092B-C50C-407E-A947-70E740481C1C}">
                          <a14:useLocalDpi xmlns:a14="http://schemas.microsoft.com/office/drawing/2010/main" val="0"/>
                        </a:ext>
                      </a:extLst>
                    </a:blip>
                    <a:stretch>
                      <a:fillRect/>
                    </a:stretch>
                  </pic:blipFill>
                  <pic:spPr>
                    <a:xfrm>
                      <a:off x="0" y="0"/>
                      <a:ext cx="5943600" cy="5045075"/>
                    </a:xfrm>
                    <a:prstGeom prst="rect">
                      <a:avLst/>
                    </a:prstGeom>
                  </pic:spPr>
                </pic:pic>
              </a:graphicData>
            </a:graphic>
          </wp:inline>
        </w:drawing>
      </w:r>
    </w:p>
    <w:p w14:paraId="2E9AD1B2" w14:textId="708DDBE5" w:rsidR="00675359" w:rsidRPr="005A0574" w:rsidRDefault="00675359" w:rsidP="006547B7">
      <w:r w:rsidRPr="005A0574">
        <w:t>Figure 14. The January 2016 monthly mean precipitation, amplitude, and phase of the diurnal harmonic over the Amazon Basin. The top panels show the quantities of the GPM IMERG retrieval. In the middle and lower ro</w:t>
      </w:r>
      <w:r w:rsidR="003C403A">
        <w:t>w</w:t>
      </w:r>
      <w:r w:rsidRPr="005A0574">
        <w:t>s, panels show model simulations with the diurnal cycle closure turned OFF and ON, respectively.</w:t>
      </w:r>
    </w:p>
    <w:p w14:paraId="046B6E69" w14:textId="4693E7D5" w:rsidR="00675359" w:rsidRPr="005A0574" w:rsidRDefault="000076E8" w:rsidP="006547B7">
      <w:r>
        <w:rPr>
          <w:noProof/>
        </w:rPr>
        <w:lastRenderedPageBreak/>
        <w:drawing>
          <wp:inline distT="0" distB="0" distL="0" distR="0" wp14:anchorId="1DB3257F" wp14:editId="26B96274">
            <wp:extent cx="5943600" cy="3886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1">
                      <a:extLst>
                        <a:ext uri="{28A0092B-C50C-407E-A947-70E740481C1C}">
                          <a14:useLocalDpi xmlns:a14="http://schemas.microsoft.com/office/drawing/2010/main" val="0"/>
                        </a:ext>
                      </a:extLst>
                    </a:blip>
                    <a:stretch>
                      <a:fillRect/>
                    </a:stretch>
                  </pic:blipFill>
                  <pic:spPr>
                    <a:xfrm>
                      <a:off x="0" y="0"/>
                      <a:ext cx="5943600" cy="3886200"/>
                    </a:xfrm>
                    <a:prstGeom prst="rect">
                      <a:avLst/>
                    </a:prstGeom>
                  </pic:spPr>
                </pic:pic>
              </a:graphicData>
            </a:graphic>
          </wp:inline>
        </w:drawing>
      </w:r>
    </w:p>
    <w:p w14:paraId="28777655" w14:textId="3180FC1B" w:rsidR="00675359" w:rsidRPr="005A0574" w:rsidRDefault="00675359" w:rsidP="006547B7">
      <w:r w:rsidRPr="005A0574">
        <w:t>Figure 15. The January 2016 monthly mean precipitation, amplitude, and phase of the diurnal harmonic over the Tropical Pacific Ocean. The top panels show the quantities of the GPM IMERG retrieval. In the middle and lower ro</w:t>
      </w:r>
      <w:r w:rsidR="001F6F51">
        <w:t>w</w:t>
      </w:r>
      <w:r w:rsidRPr="005A0574">
        <w:t>s, panels show model simulations with the diurnal cycle closure turned OFF and ON, respectively.</w:t>
      </w:r>
    </w:p>
    <w:p w14:paraId="0A035999" w14:textId="77777777" w:rsidR="00675359" w:rsidRPr="005A0574" w:rsidRDefault="00675359" w:rsidP="006547B7">
      <w:r w:rsidRPr="005A0574">
        <w:rPr>
          <w:noProof/>
        </w:rPr>
        <w:lastRenderedPageBreak/>
        <w:drawing>
          <wp:inline distT="0" distB="0" distL="0" distR="0" wp14:anchorId="108B2C8A" wp14:editId="46386DDE">
            <wp:extent cx="5943600" cy="411162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2">
                      <a:extLst>
                        <a:ext uri="{28A0092B-C50C-407E-A947-70E740481C1C}">
                          <a14:useLocalDpi xmlns:a14="http://schemas.microsoft.com/office/drawing/2010/main" val="0"/>
                        </a:ext>
                      </a:extLst>
                    </a:blip>
                    <a:stretch>
                      <a:fillRect/>
                    </a:stretch>
                  </pic:blipFill>
                  <pic:spPr>
                    <a:xfrm>
                      <a:off x="0" y="0"/>
                      <a:ext cx="5943600" cy="4111625"/>
                    </a:xfrm>
                    <a:prstGeom prst="rect">
                      <a:avLst/>
                    </a:prstGeom>
                  </pic:spPr>
                </pic:pic>
              </a:graphicData>
            </a:graphic>
          </wp:inline>
        </w:drawing>
      </w:r>
    </w:p>
    <w:p w14:paraId="3D90F755" w14:textId="3C54697B" w:rsidR="00675359" w:rsidRPr="005A0574" w:rsidRDefault="00675359" w:rsidP="006547B7">
      <w:r w:rsidRPr="005A0574">
        <w:t>Figure 16. The July 2015 monthly mean precipitation, amplitude, and phase of the diurnal harmonic over a portion of the Equatorial Africa. The top panels show the quantities of the GPM IMERG retrieval. In the middle and lower ro</w:t>
      </w:r>
      <w:r w:rsidR="006B49C2">
        <w:t>w</w:t>
      </w:r>
      <w:r w:rsidRPr="005A0574">
        <w:t>s, panels show model simulations with the diurnal cycle closure turned OFF and ON, respectively.</w:t>
      </w:r>
    </w:p>
    <w:p w14:paraId="7D6D4CEB" w14:textId="77777777" w:rsidR="00675359" w:rsidRPr="005A0574" w:rsidRDefault="00675359" w:rsidP="006547B7">
      <w:r w:rsidRPr="005A0574">
        <w:rPr>
          <w:noProof/>
        </w:rPr>
        <w:lastRenderedPageBreak/>
        <w:drawing>
          <wp:inline distT="0" distB="0" distL="0" distR="0" wp14:anchorId="7DDBBF47" wp14:editId="7245FAA1">
            <wp:extent cx="5943600" cy="3990975"/>
            <wp:effectExtent l="0" t="0" r="0" b="0"/>
            <wp:docPr id="4"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990975"/>
                    </a:xfrm>
                    <a:prstGeom prst="rect">
                      <a:avLst/>
                    </a:prstGeom>
                  </pic:spPr>
                </pic:pic>
              </a:graphicData>
            </a:graphic>
          </wp:inline>
        </w:drawing>
      </w:r>
    </w:p>
    <w:p w14:paraId="652CD9CA" w14:textId="0D5F6D14" w:rsidR="00675359" w:rsidRPr="00796203" w:rsidRDefault="00675359" w:rsidP="006547B7">
      <w:r w:rsidRPr="005A0574">
        <w:t>Figure 17. The July 2015 monthly mean precipitation, amplitude, and phase of the diurnal harmonic over contiguous United States and part of the neighbor</w:t>
      </w:r>
      <w:r w:rsidR="00EA2BEA">
        <w:t>ing</w:t>
      </w:r>
      <w:r w:rsidRPr="005A0574">
        <w:t xml:space="preserve"> countries. The top panels show the quantities of the GPM IMERG retrieval. In the middle and lower rolls, panels show model simulations with the diurnal cycle closure turned OFF and ON, respectively.</w:t>
      </w:r>
    </w:p>
    <w:p w14:paraId="04AC157E" w14:textId="77777777" w:rsidR="00675359" w:rsidRPr="00A75A8B" w:rsidRDefault="00675359" w:rsidP="006547B7"/>
    <w:p w14:paraId="7DB98669" w14:textId="77777777" w:rsidR="004E63B0" w:rsidRPr="00796203" w:rsidRDefault="004E63B0" w:rsidP="00D90013">
      <w:pPr>
        <w:rPr>
          <w:lang w:eastAsia="de-DE"/>
        </w:rPr>
      </w:pPr>
    </w:p>
    <w:sectPr w:rsidR="004E63B0" w:rsidRPr="00796203" w:rsidSect="00EA55AC">
      <w:footerReference w:type="even" r:id="rId34"/>
      <w:footerReference w:type="default" r:id="rId35"/>
      <w:pgSz w:w="12240" w:h="15840"/>
      <w:pgMar w:top="1440" w:right="1440" w:bottom="1440" w:left="1440" w:header="720" w:footer="720" w:gutter="0"/>
      <w:lnNumType w:countBy="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DCE334" w14:textId="77777777" w:rsidR="006801FF" w:rsidRDefault="006801FF" w:rsidP="00AD5BE2">
      <w:pPr>
        <w:spacing w:line="240" w:lineRule="auto"/>
      </w:pPr>
      <w:r>
        <w:separator/>
      </w:r>
    </w:p>
  </w:endnote>
  <w:endnote w:type="continuationSeparator" w:id="0">
    <w:p w14:paraId="5F4B2608" w14:textId="77777777" w:rsidR="006801FF" w:rsidRDefault="006801FF" w:rsidP="00AD5BE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Euclid Symbol">
    <w:altName w:val="﷽﷽﷽﷽﷽﷽﷽﷽ymbol"/>
    <w:panose1 w:val="020B0604020202020204"/>
    <w:charset w:val="80"/>
    <w:family w:val="decorative"/>
    <w:pitch w:val="variable"/>
    <w:sig w:usb0="00000003" w:usb1="08070000" w:usb2="00000010" w:usb3="00000000" w:csb0="0002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78030004"/>
      <w:docPartObj>
        <w:docPartGallery w:val="Page Numbers (Bottom of Page)"/>
        <w:docPartUnique/>
      </w:docPartObj>
    </w:sdtPr>
    <w:sdtEndPr>
      <w:rPr>
        <w:rStyle w:val="PageNumber"/>
      </w:rPr>
    </w:sdtEndPr>
    <w:sdtContent>
      <w:p w14:paraId="6F026F23" w14:textId="689F1B9F" w:rsidR="00A124D6" w:rsidRDefault="00A124D6" w:rsidP="006547B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EF102BA" w14:textId="77777777" w:rsidR="00A124D6" w:rsidRDefault="00A124D6" w:rsidP="005E207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69147057"/>
      <w:docPartObj>
        <w:docPartGallery w:val="Page Numbers (Bottom of Page)"/>
        <w:docPartUnique/>
      </w:docPartObj>
    </w:sdtPr>
    <w:sdtEndPr>
      <w:rPr>
        <w:rStyle w:val="PageNumber"/>
      </w:rPr>
    </w:sdtEndPr>
    <w:sdtContent>
      <w:p w14:paraId="4E29CE62" w14:textId="56F185F3" w:rsidR="00A124D6" w:rsidRDefault="00A124D6" w:rsidP="006547B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164AC11" w14:textId="77777777" w:rsidR="00A124D6" w:rsidRDefault="00A124D6" w:rsidP="005E207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3AEEE8" w14:textId="77777777" w:rsidR="006801FF" w:rsidRDefault="006801FF" w:rsidP="00AD5BE2">
      <w:pPr>
        <w:spacing w:line="240" w:lineRule="auto"/>
      </w:pPr>
      <w:r>
        <w:separator/>
      </w:r>
    </w:p>
  </w:footnote>
  <w:footnote w:type="continuationSeparator" w:id="0">
    <w:p w14:paraId="56D59D0F" w14:textId="77777777" w:rsidR="006801FF" w:rsidRDefault="006801FF" w:rsidP="00AD5BE2">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4370A"/>
    <w:multiLevelType w:val="multilevel"/>
    <w:tmpl w:val="6BF062E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1BF536B6"/>
    <w:multiLevelType w:val="hybridMultilevel"/>
    <w:tmpl w:val="34A4D1FA"/>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1FFF35B6"/>
    <w:multiLevelType w:val="multilevel"/>
    <w:tmpl w:val="6AB86C50"/>
    <w:lvl w:ilvl="0">
      <w:start w:val="1"/>
      <w:numFmt w:val="bullet"/>
      <w:lvlText w:val=""/>
      <w:lvlJc w:val="left"/>
      <w:pPr>
        <w:ind w:left="1080" w:hanging="360"/>
      </w:pPr>
      <w:rPr>
        <w:rFonts w:ascii="Symbol" w:hAnsi="Symbol" w:hint="default"/>
        <w:b/>
        <w:sz w:val="20"/>
        <w:szCs w:val="20"/>
      </w:rPr>
    </w:lvl>
    <w:lvl w:ilvl="1">
      <w:start w:val="1"/>
      <w:numFmt w:val="none"/>
      <w:suff w:val="nothing"/>
      <w:lvlText w:val=""/>
      <w:lvlJc w:val="left"/>
      <w:pPr>
        <w:ind w:left="720" w:firstLine="0"/>
      </w:pPr>
      <w:rPr>
        <w:rFonts w:hint="default"/>
      </w:rPr>
    </w:lvl>
    <w:lvl w:ilvl="2">
      <w:start w:val="1"/>
      <w:numFmt w:val="none"/>
      <w:suff w:val="nothing"/>
      <w:lvlText w:val=""/>
      <w:lvlJc w:val="left"/>
      <w:pPr>
        <w:ind w:left="720" w:firstLine="0"/>
      </w:pPr>
      <w:rPr>
        <w:rFonts w:hint="default"/>
      </w:rPr>
    </w:lvl>
    <w:lvl w:ilvl="3">
      <w:start w:val="1"/>
      <w:numFmt w:val="none"/>
      <w:suff w:val="nothing"/>
      <w:lvlText w:val=""/>
      <w:lvlJc w:val="left"/>
      <w:pPr>
        <w:ind w:left="720" w:firstLine="0"/>
      </w:pPr>
      <w:rPr>
        <w:rFonts w:hint="default"/>
      </w:rPr>
    </w:lvl>
    <w:lvl w:ilvl="4">
      <w:start w:val="1"/>
      <w:numFmt w:val="none"/>
      <w:suff w:val="nothing"/>
      <w:lvlText w:val=""/>
      <w:lvlJc w:val="left"/>
      <w:pPr>
        <w:ind w:left="720" w:firstLine="0"/>
      </w:pPr>
      <w:rPr>
        <w:rFonts w:hint="default"/>
      </w:rPr>
    </w:lvl>
    <w:lvl w:ilvl="5">
      <w:start w:val="1"/>
      <w:numFmt w:val="none"/>
      <w:suff w:val="nothing"/>
      <w:lvlText w:val=""/>
      <w:lvlJc w:val="left"/>
      <w:pPr>
        <w:ind w:left="720" w:firstLine="0"/>
      </w:pPr>
      <w:rPr>
        <w:rFonts w:hint="default"/>
      </w:rPr>
    </w:lvl>
    <w:lvl w:ilvl="6">
      <w:start w:val="1"/>
      <w:numFmt w:val="none"/>
      <w:suff w:val="nothing"/>
      <w:lvlText w:val=""/>
      <w:lvlJc w:val="left"/>
      <w:pPr>
        <w:ind w:left="720" w:firstLine="0"/>
      </w:pPr>
      <w:rPr>
        <w:rFonts w:hint="default"/>
      </w:rPr>
    </w:lvl>
    <w:lvl w:ilvl="7">
      <w:start w:val="1"/>
      <w:numFmt w:val="none"/>
      <w:suff w:val="nothing"/>
      <w:lvlText w:val=""/>
      <w:lvlJc w:val="left"/>
      <w:pPr>
        <w:ind w:left="720" w:firstLine="0"/>
      </w:pPr>
      <w:rPr>
        <w:rFonts w:hint="default"/>
      </w:rPr>
    </w:lvl>
    <w:lvl w:ilvl="8">
      <w:start w:val="1"/>
      <w:numFmt w:val="none"/>
      <w:suff w:val="nothing"/>
      <w:lvlText w:val=""/>
      <w:lvlJc w:val="left"/>
      <w:pPr>
        <w:ind w:left="720" w:firstLine="0"/>
      </w:pPr>
      <w:rPr>
        <w:rFonts w:hint="default"/>
      </w:rPr>
    </w:lvl>
  </w:abstractNum>
  <w:abstractNum w:abstractNumId="3" w15:restartNumberingAfterBreak="0">
    <w:nsid w:val="27F775CA"/>
    <w:multiLevelType w:val="multilevel"/>
    <w:tmpl w:val="ABCE9CCE"/>
    <w:lvl w:ilvl="0">
      <w:start w:val="1"/>
      <w:numFmt w:val="decimal"/>
      <w:pStyle w:val="Heading1"/>
      <w:lvlText w:val="%1"/>
      <w:lvlJc w:val="left"/>
      <w:pPr>
        <w:tabs>
          <w:tab w:val="num" w:pos="431"/>
        </w:tabs>
        <w:ind w:left="431" w:hanging="431"/>
      </w:pPr>
      <w:rPr>
        <w:rFonts w:ascii="Times New Roman" w:hAnsi="Times New Roman" w:cs="Times New Roman" w:hint="default"/>
        <w:b/>
        <w:sz w:val="24"/>
        <w:szCs w:val="24"/>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4" w15:restartNumberingAfterBreak="0">
    <w:nsid w:val="6B736AC4"/>
    <w:multiLevelType w:val="hybridMultilevel"/>
    <w:tmpl w:val="79B6C8EE"/>
    <w:lvl w:ilvl="0" w:tplc="6968397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3"/>
    <w:lvlOverride w:ilvl="0">
      <w:startOverride w:val="3"/>
    </w:lvlOverride>
  </w:num>
  <w:num w:numId="4">
    <w:abstractNumId w:val="3"/>
    <w:lvlOverride w:ilvl="0">
      <w:startOverride w:val="3"/>
    </w:lvlOverride>
  </w:num>
  <w:num w:numId="5">
    <w:abstractNumId w:val="2"/>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3F56"/>
    <w:rsid w:val="00000E99"/>
    <w:rsid w:val="00001036"/>
    <w:rsid w:val="000076E8"/>
    <w:rsid w:val="00010277"/>
    <w:rsid w:val="000212B8"/>
    <w:rsid w:val="00024008"/>
    <w:rsid w:val="00031E8A"/>
    <w:rsid w:val="0003662C"/>
    <w:rsid w:val="00041FF8"/>
    <w:rsid w:val="000455BB"/>
    <w:rsid w:val="0004741B"/>
    <w:rsid w:val="00053B4A"/>
    <w:rsid w:val="00091837"/>
    <w:rsid w:val="00095AB3"/>
    <w:rsid w:val="00096B9B"/>
    <w:rsid w:val="00097DBC"/>
    <w:rsid w:val="000A2764"/>
    <w:rsid w:val="000A299E"/>
    <w:rsid w:val="000A2F88"/>
    <w:rsid w:val="000A3122"/>
    <w:rsid w:val="000A700F"/>
    <w:rsid w:val="000A7114"/>
    <w:rsid w:val="000C0DB8"/>
    <w:rsid w:val="000D13B8"/>
    <w:rsid w:val="000E24D4"/>
    <w:rsid w:val="000E478C"/>
    <w:rsid w:val="000E48C1"/>
    <w:rsid w:val="000F1756"/>
    <w:rsid w:val="000F60A0"/>
    <w:rsid w:val="00102C46"/>
    <w:rsid w:val="00103D01"/>
    <w:rsid w:val="00104413"/>
    <w:rsid w:val="00105306"/>
    <w:rsid w:val="001072B7"/>
    <w:rsid w:val="00113497"/>
    <w:rsid w:val="001148B7"/>
    <w:rsid w:val="001160DB"/>
    <w:rsid w:val="00117AFB"/>
    <w:rsid w:val="00117E3E"/>
    <w:rsid w:val="00130847"/>
    <w:rsid w:val="00136A9B"/>
    <w:rsid w:val="001428A5"/>
    <w:rsid w:val="00144021"/>
    <w:rsid w:val="00150DBB"/>
    <w:rsid w:val="00156265"/>
    <w:rsid w:val="00171260"/>
    <w:rsid w:val="00171C02"/>
    <w:rsid w:val="00175FF3"/>
    <w:rsid w:val="0018415A"/>
    <w:rsid w:val="001864B1"/>
    <w:rsid w:val="00190AE0"/>
    <w:rsid w:val="001926FC"/>
    <w:rsid w:val="001B4664"/>
    <w:rsid w:val="001D6F7F"/>
    <w:rsid w:val="001E347E"/>
    <w:rsid w:val="001E5E44"/>
    <w:rsid w:val="001F5A78"/>
    <w:rsid w:val="001F6F51"/>
    <w:rsid w:val="002016CA"/>
    <w:rsid w:val="002048EE"/>
    <w:rsid w:val="00207B84"/>
    <w:rsid w:val="00214F25"/>
    <w:rsid w:val="002160FF"/>
    <w:rsid w:val="00233555"/>
    <w:rsid w:val="002363A2"/>
    <w:rsid w:val="00237541"/>
    <w:rsid w:val="0024727C"/>
    <w:rsid w:val="002510D5"/>
    <w:rsid w:val="00251497"/>
    <w:rsid w:val="002519D1"/>
    <w:rsid w:val="00252938"/>
    <w:rsid w:val="0025499E"/>
    <w:rsid w:val="00256AF3"/>
    <w:rsid w:val="00266111"/>
    <w:rsid w:val="00266218"/>
    <w:rsid w:val="002667E6"/>
    <w:rsid w:val="002670FF"/>
    <w:rsid w:val="00271877"/>
    <w:rsid w:val="0029093D"/>
    <w:rsid w:val="002A0DD2"/>
    <w:rsid w:val="002B7D02"/>
    <w:rsid w:val="002C22E9"/>
    <w:rsid w:val="002C5608"/>
    <w:rsid w:val="002C5DF9"/>
    <w:rsid w:val="002D546D"/>
    <w:rsid w:val="002E3D19"/>
    <w:rsid w:val="002E4F03"/>
    <w:rsid w:val="002F5146"/>
    <w:rsid w:val="00302611"/>
    <w:rsid w:val="00306496"/>
    <w:rsid w:val="0031506E"/>
    <w:rsid w:val="00317142"/>
    <w:rsid w:val="00321A60"/>
    <w:rsid w:val="0032228E"/>
    <w:rsid w:val="00337FC0"/>
    <w:rsid w:val="0034621C"/>
    <w:rsid w:val="003540CB"/>
    <w:rsid w:val="00354518"/>
    <w:rsid w:val="003563F9"/>
    <w:rsid w:val="00356D2F"/>
    <w:rsid w:val="00363E50"/>
    <w:rsid w:val="0036560A"/>
    <w:rsid w:val="00367EC9"/>
    <w:rsid w:val="00373BD7"/>
    <w:rsid w:val="00375226"/>
    <w:rsid w:val="00382957"/>
    <w:rsid w:val="003A4EED"/>
    <w:rsid w:val="003A5879"/>
    <w:rsid w:val="003A5B20"/>
    <w:rsid w:val="003A705F"/>
    <w:rsid w:val="003A76C4"/>
    <w:rsid w:val="003B4B33"/>
    <w:rsid w:val="003B7AF2"/>
    <w:rsid w:val="003C403A"/>
    <w:rsid w:val="003C5F3E"/>
    <w:rsid w:val="003C6B35"/>
    <w:rsid w:val="003F5B93"/>
    <w:rsid w:val="003F6934"/>
    <w:rsid w:val="0040161E"/>
    <w:rsid w:val="00405590"/>
    <w:rsid w:val="00407594"/>
    <w:rsid w:val="0041571A"/>
    <w:rsid w:val="00425FBF"/>
    <w:rsid w:val="004269B1"/>
    <w:rsid w:val="004309AD"/>
    <w:rsid w:val="00431B95"/>
    <w:rsid w:val="0043259D"/>
    <w:rsid w:val="004335AC"/>
    <w:rsid w:val="00441AF5"/>
    <w:rsid w:val="004512AD"/>
    <w:rsid w:val="004513C7"/>
    <w:rsid w:val="00467CE8"/>
    <w:rsid w:val="00485F62"/>
    <w:rsid w:val="00487281"/>
    <w:rsid w:val="0048760E"/>
    <w:rsid w:val="00493339"/>
    <w:rsid w:val="00494282"/>
    <w:rsid w:val="00497772"/>
    <w:rsid w:val="004A32D4"/>
    <w:rsid w:val="004B7527"/>
    <w:rsid w:val="004B783C"/>
    <w:rsid w:val="004C084F"/>
    <w:rsid w:val="004C20B1"/>
    <w:rsid w:val="004D09D5"/>
    <w:rsid w:val="004D1C18"/>
    <w:rsid w:val="004D5267"/>
    <w:rsid w:val="004E28F0"/>
    <w:rsid w:val="004E366F"/>
    <w:rsid w:val="004E63B0"/>
    <w:rsid w:val="004F01DF"/>
    <w:rsid w:val="004F4672"/>
    <w:rsid w:val="004F4F2D"/>
    <w:rsid w:val="00502C6A"/>
    <w:rsid w:val="005126E4"/>
    <w:rsid w:val="00516AAF"/>
    <w:rsid w:val="00523689"/>
    <w:rsid w:val="00534E03"/>
    <w:rsid w:val="0053513A"/>
    <w:rsid w:val="005359F8"/>
    <w:rsid w:val="005368BC"/>
    <w:rsid w:val="00537629"/>
    <w:rsid w:val="005557F9"/>
    <w:rsid w:val="00557DC2"/>
    <w:rsid w:val="00565783"/>
    <w:rsid w:val="00567929"/>
    <w:rsid w:val="00567C6F"/>
    <w:rsid w:val="00573632"/>
    <w:rsid w:val="00575DAF"/>
    <w:rsid w:val="0057784B"/>
    <w:rsid w:val="00587FF1"/>
    <w:rsid w:val="005A0574"/>
    <w:rsid w:val="005A5F9D"/>
    <w:rsid w:val="005B74B7"/>
    <w:rsid w:val="005C298B"/>
    <w:rsid w:val="005C7504"/>
    <w:rsid w:val="005C7784"/>
    <w:rsid w:val="005D1FAE"/>
    <w:rsid w:val="005D5607"/>
    <w:rsid w:val="005E02A9"/>
    <w:rsid w:val="005E07B1"/>
    <w:rsid w:val="005E1BBC"/>
    <w:rsid w:val="005E2072"/>
    <w:rsid w:val="005E71FD"/>
    <w:rsid w:val="006257A5"/>
    <w:rsid w:val="00626B39"/>
    <w:rsid w:val="00641D09"/>
    <w:rsid w:val="006471D3"/>
    <w:rsid w:val="006501F5"/>
    <w:rsid w:val="00650F62"/>
    <w:rsid w:val="006538DC"/>
    <w:rsid w:val="006547B7"/>
    <w:rsid w:val="0066072E"/>
    <w:rsid w:val="00660988"/>
    <w:rsid w:val="00663A95"/>
    <w:rsid w:val="006656E4"/>
    <w:rsid w:val="00670CB5"/>
    <w:rsid w:val="00675359"/>
    <w:rsid w:val="00676CF5"/>
    <w:rsid w:val="006801FF"/>
    <w:rsid w:val="00682FCE"/>
    <w:rsid w:val="00686A38"/>
    <w:rsid w:val="006876C2"/>
    <w:rsid w:val="006A07EF"/>
    <w:rsid w:val="006B49C2"/>
    <w:rsid w:val="006B4DF0"/>
    <w:rsid w:val="006C2C7A"/>
    <w:rsid w:val="006C741B"/>
    <w:rsid w:val="006D42BF"/>
    <w:rsid w:val="006D6020"/>
    <w:rsid w:val="006D6BB5"/>
    <w:rsid w:val="006D7CFF"/>
    <w:rsid w:val="006E0578"/>
    <w:rsid w:val="006E26F9"/>
    <w:rsid w:val="006E3B16"/>
    <w:rsid w:val="006E7088"/>
    <w:rsid w:val="006E731F"/>
    <w:rsid w:val="006E7443"/>
    <w:rsid w:val="006E759B"/>
    <w:rsid w:val="006F4AC2"/>
    <w:rsid w:val="006F6671"/>
    <w:rsid w:val="00700F6F"/>
    <w:rsid w:val="00703BF0"/>
    <w:rsid w:val="00713BAE"/>
    <w:rsid w:val="0071555B"/>
    <w:rsid w:val="007167D1"/>
    <w:rsid w:val="00733AA3"/>
    <w:rsid w:val="00745D6A"/>
    <w:rsid w:val="00750F6D"/>
    <w:rsid w:val="00752879"/>
    <w:rsid w:val="00754D47"/>
    <w:rsid w:val="00760248"/>
    <w:rsid w:val="00765B81"/>
    <w:rsid w:val="00777F3F"/>
    <w:rsid w:val="007868CE"/>
    <w:rsid w:val="0079205A"/>
    <w:rsid w:val="00796203"/>
    <w:rsid w:val="007A65DD"/>
    <w:rsid w:val="007B72A5"/>
    <w:rsid w:val="007B7B65"/>
    <w:rsid w:val="007C650D"/>
    <w:rsid w:val="007D35D5"/>
    <w:rsid w:val="007D3A98"/>
    <w:rsid w:val="007D64C3"/>
    <w:rsid w:val="007D71F9"/>
    <w:rsid w:val="007D7227"/>
    <w:rsid w:val="007E0DD9"/>
    <w:rsid w:val="007E31C8"/>
    <w:rsid w:val="007F26F2"/>
    <w:rsid w:val="0080184E"/>
    <w:rsid w:val="00807624"/>
    <w:rsid w:val="00812909"/>
    <w:rsid w:val="00817AC6"/>
    <w:rsid w:val="00820F58"/>
    <w:rsid w:val="00826AAC"/>
    <w:rsid w:val="00827D12"/>
    <w:rsid w:val="00827E13"/>
    <w:rsid w:val="0083354C"/>
    <w:rsid w:val="00835D5F"/>
    <w:rsid w:val="0084541C"/>
    <w:rsid w:val="008456B1"/>
    <w:rsid w:val="0084643F"/>
    <w:rsid w:val="00855896"/>
    <w:rsid w:val="00856008"/>
    <w:rsid w:val="00865F7D"/>
    <w:rsid w:val="00866EF4"/>
    <w:rsid w:val="00871795"/>
    <w:rsid w:val="008748B2"/>
    <w:rsid w:val="008779FA"/>
    <w:rsid w:val="00884418"/>
    <w:rsid w:val="00894D7B"/>
    <w:rsid w:val="008A5510"/>
    <w:rsid w:val="008B42DC"/>
    <w:rsid w:val="008C08DA"/>
    <w:rsid w:val="008C5674"/>
    <w:rsid w:val="008C7D08"/>
    <w:rsid w:val="008D4C7B"/>
    <w:rsid w:val="008E4D86"/>
    <w:rsid w:val="008E5339"/>
    <w:rsid w:val="008E640E"/>
    <w:rsid w:val="008F21A3"/>
    <w:rsid w:val="009023B7"/>
    <w:rsid w:val="00903B5B"/>
    <w:rsid w:val="00904664"/>
    <w:rsid w:val="00904879"/>
    <w:rsid w:val="009051CA"/>
    <w:rsid w:val="00906C29"/>
    <w:rsid w:val="0091153C"/>
    <w:rsid w:val="00913C1F"/>
    <w:rsid w:val="00925B74"/>
    <w:rsid w:val="00930EBB"/>
    <w:rsid w:val="00933F34"/>
    <w:rsid w:val="00942E18"/>
    <w:rsid w:val="00955512"/>
    <w:rsid w:val="00981BA3"/>
    <w:rsid w:val="009904A0"/>
    <w:rsid w:val="00994778"/>
    <w:rsid w:val="009A69C8"/>
    <w:rsid w:val="009A6BBF"/>
    <w:rsid w:val="009A72C3"/>
    <w:rsid w:val="009B035E"/>
    <w:rsid w:val="009B0B5E"/>
    <w:rsid w:val="009B232D"/>
    <w:rsid w:val="009B5D22"/>
    <w:rsid w:val="009D1811"/>
    <w:rsid w:val="009D48C3"/>
    <w:rsid w:val="009E0BC8"/>
    <w:rsid w:val="009E22ED"/>
    <w:rsid w:val="009E2619"/>
    <w:rsid w:val="009E2B3D"/>
    <w:rsid w:val="009E39EF"/>
    <w:rsid w:val="009E6917"/>
    <w:rsid w:val="009F1034"/>
    <w:rsid w:val="009F1D19"/>
    <w:rsid w:val="009F4CB7"/>
    <w:rsid w:val="009F765A"/>
    <w:rsid w:val="00A00515"/>
    <w:rsid w:val="00A05F97"/>
    <w:rsid w:val="00A10F86"/>
    <w:rsid w:val="00A11496"/>
    <w:rsid w:val="00A124D6"/>
    <w:rsid w:val="00A14835"/>
    <w:rsid w:val="00A24C58"/>
    <w:rsid w:val="00A2682D"/>
    <w:rsid w:val="00A36670"/>
    <w:rsid w:val="00A3674B"/>
    <w:rsid w:val="00A42A93"/>
    <w:rsid w:val="00A57F9F"/>
    <w:rsid w:val="00A60E7D"/>
    <w:rsid w:val="00A671CF"/>
    <w:rsid w:val="00A74D60"/>
    <w:rsid w:val="00A77354"/>
    <w:rsid w:val="00A8039F"/>
    <w:rsid w:val="00A82919"/>
    <w:rsid w:val="00A841AC"/>
    <w:rsid w:val="00A865A3"/>
    <w:rsid w:val="00A93298"/>
    <w:rsid w:val="00A9376F"/>
    <w:rsid w:val="00A93E44"/>
    <w:rsid w:val="00A946E6"/>
    <w:rsid w:val="00AB5056"/>
    <w:rsid w:val="00AC11F0"/>
    <w:rsid w:val="00AC3E3E"/>
    <w:rsid w:val="00AD1455"/>
    <w:rsid w:val="00AD5185"/>
    <w:rsid w:val="00AD5BE2"/>
    <w:rsid w:val="00AD5C3C"/>
    <w:rsid w:val="00AD7237"/>
    <w:rsid w:val="00AE721F"/>
    <w:rsid w:val="00AF6731"/>
    <w:rsid w:val="00AF73BA"/>
    <w:rsid w:val="00B05F67"/>
    <w:rsid w:val="00B13FAD"/>
    <w:rsid w:val="00B1650F"/>
    <w:rsid w:val="00B16EBF"/>
    <w:rsid w:val="00B20F55"/>
    <w:rsid w:val="00B23348"/>
    <w:rsid w:val="00B33ADA"/>
    <w:rsid w:val="00B36FA1"/>
    <w:rsid w:val="00B411C3"/>
    <w:rsid w:val="00B4737A"/>
    <w:rsid w:val="00B61F2C"/>
    <w:rsid w:val="00B620AE"/>
    <w:rsid w:val="00B6384F"/>
    <w:rsid w:val="00B63E48"/>
    <w:rsid w:val="00B64C83"/>
    <w:rsid w:val="00B670C8"/>
    <w:rsid w:val="00B70EBA"/>
    <w:rsid w:val="00B7202A"/>
    <w:rsid w:val="00B76535"/>
    <w:rsid w:val="00B77DFD"/>
    <w:rsid w:val="00B80D91"/>
    <w:rsid w:val="00B93C8A"/>
    <w:rsid w:val="00B971FB"/>
    <w:rsid w:val="00B97C57"/>
    <w:rsid w:val="00BA37A7"/>
    <w:rsid w:val="00BA40D8"/>
    <w:rsid w:val="00BA4381"/>
    <w:rsid w:val="00BA4E19"/>
    <w:rsid w:val="00BB67ED"/>
    <w:rsid w:val="00BC7CF0"/>
    <w:rsid w:val="00BD5DD2"/>
    <w:rsid w:val="00BD7EEF"/>
    <w:rsid w:val="00BE6781"/>
    <w:rsid w:val="00BF45DD"/>
    <w:rsid w:val="00C15B06"/>
    <w:rsid w:val="00C2109A"/>
    <w:rsid w:val="00C22C98"/>
    <w:rsid w:val="00C26EBF"/>
    <w:rsid w:val="00C329EB"/>
    <w:rsid w:val="00C416FB"/>
    <w:rsid w:val="00C43502"/>
    <w:rsid w:val="00C50D3A"/>
    <w:rsid w:val="00C547ED"/>
    <w:rsid w:val="00C716AA"/>
    <w:rsid w:val="00C7542F"/>
    <w:rsid w:val="00C8286C"/>
    <w:rsid w:val="00C95485"/>
    <w:rsid w:val="00CA3773"/>
    <w:rsid w:val="00CA6C29"/>
    <w:rsid w:val="00CB003A"/>
    <w:rsid w:val="00CB3945"/>
    <w:rsid w:val="00CB458F"/>
    <w:rsid w:val="00CB5F58"/>
    <w:rsid w:val="00CB75B2"/>
    <w:rsid w:val="00CC08D4"/>
    <w:rsid w:val="00CC42BD"/>
    <w:rsid w:val="00CC5775"/>
    <w:rsid w:val="00CD38CD"/>
    <w:rsid w:val="00CE1376"/>
    <w:rsid w:val="00CE7580"/>
    <w:rsid w:val="00CF2C7C"/>
    <w:rsid w:val="00D0158D"/>
    <w:rsid w:val="00D04E3F"/>
    <w:rsid w:val="00D12C2C"/>
    <w:rsid w:val="00D25B85"/>
    <w:rsid w:val="00D260A7"/>
    <w:rsid w:val="00D36246"/>
    <w:rsid w:val="00D37B46"/>
    <w:rsid w:val="00D40DFB"/>
    <w:rsid w:val="00D427EC"/>
    <w:rsid w:val="00D44A73"/>
    <w:rsid w:val="00D5071E"/>
    <w:rsid w:val="00D613F0"/>
    <w:rsid w:val="00D61A0B"/>
    <w:rsid w:val="00D764DD"/>
    <w:rsid w:val="00D77D69"/>
    <w:rsid w:val="00D8442D"/>
    <w:rsid w:val="00D90013"/>
    <w:rsid w:val="00D922E1"/>
    <w:rsid w:val="00D97D76"/>
    <w:rsid w:val="00DB3A04"/>
    <w:rsid w:val="00DB3DD2"/>
    <w:rsid w:val="00DB488B"/>
    <w:rsid w:val="00DB788D"/>
    <w:rsid w:val="00DC1E29"/>
    <w:rsid w:val="00DD0705"/>
    <w:rsid w:val="00DD7393"/>
    <w:rsid w:val="00DE60BF"/>
    <w:rsid w:val="00DF1FF6"/>
    <w:rsid w:val="00E027F6"/>
    <w:rsid w:val="00E039F6"/>
    <w:rsid w:val="00E05ECD"/>
    <w:rsid w:val="00E06F81"/>
    <w:rsid w:val="00E0743E"/>
    <w:rsid w:val="00E107D7"/>
    <w:rsid w:val="00E135CD"/>
    <w:rsid w:val="00E17355"/>
    <w:rsid w:val="00E24D25"/>
    <w:rsid w:val="00E27F1B"/>
    <w:rsid w:val="00E27FDE"/>
    <w:rsid w:val="00E30850"/>
    <w:rsid w:val="00E33156"/>
    <w:rsid w:val="00E46DA3"/>
    <w:rsid w:val="00E46DEF"/>
    <w:rsid w:val="00E55A0E"/>
    <w:rsid w:val="00E56555"/>
    <w:rsid w:val="00E63A5D"/>
    <w:rsid w:val="00E65B1D"/>
    <w:rsid w:val="00E73075"/>
    <w:rsid w:val="00E85195"/>
    <w:rsid w:val="00E90C7E"/>
    <w:rsid w:val="00EA21E9"/>
    <w:rsid w:val="00EA2BEA"/>
    <w:rsid w:val="00EA55AC"/>
    <w:rsid w:val="00EB584C"/>
    <w:rsid w:val="00EB6198"/>
    <w:rsid w:val="00EC25EC"/>
    <w:rsid w:val="00EC597C"/>
    <w:rsid w:val="00EC711F"/>
    <w:rsid w:val="00ED26A7"/>
    <w:rsid w:val="00ED3212"/>
    <w:rsid w:val="00ED4F81"/>
    <w:rsid w:val="00ED7A07"/>
    <w:rsid w:val="00EE0418"/>
    <w:rsid w:val="00EF4658"/>
    <w:rsid w:val="00EF5885"/>
    <w:rsid w:val="00F00414"/>
    <w:rsid w:val="00F027BC"/>
    <w:rsid w:val="00F0386A"/>
    <w:rsid w:val="00F05DB4"/>
    <w:rsid w:val="00F13D63"/>
    <w:rsid w:val="00F15E7D"/>
    <w:rsid w:val="00F26828"/>
    <w:rsid w:val="00F42ECD"/>
    <w:rsid w:val="00F65D41"/>
    <w:rsid w:val="00F92DBB"/>
    <w:rsid w:val="00F962CE"/>
    <w:rsid w:val="00F968D9"/>
    <w:rsid w:val="00F96CA4"/>
    <w:rsid w:val="00FA3F56"/>
    <w:rsid w:val="00FB4FA9"/>
    <w:rsid w:val="00FB6B82"/>
    <w:rsid w:val="00FB7737"/>
    <w:rsid w:val="00FC09EC"/>
    <w:rsid w:val="00FC10A9"/>
    <w:rsid w:val="00FC6AA2"/>
    <w:rsid w:val="00FD377E"/>
    <w:rsid w:val="00FF2960"/>
    <w:rsid w:val="00FF3F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478C03"/>
  <w15:chartTrackingRefBased/>
  <w15:docId w15:val="{C0A0DB3D-2553-F143-90F9-499CA0F336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3F56"/>
    <w:pPr>
      <w:spacing w:line="360" w:lineRule="auto"/>
      <w:jc w:val="both"/>
    </w:pPr>
    <w:rPr>
      <w:rFonts w:ascii="Times New Roman" w:eastAsia="Times New Roman" w:hAnsi="Times New Roman" w:cs="Times New Roman"/>
    </w:rPr>
  </w:style>
  <w:style w:type="paragraph" w:styleId="Heading1">
    <w:name w:val="heading 1"/>
    <w:basedOn w:val="Normal"/>
    <w:next w:val="Normal"/>
    <w:link w:val="Heading1Char"/>
    <w:qFormat/>
    <w:rsid w:val="00FA3F56"/>
    <w:pPr>
      <w:keepNext/>
      <w:numPr>
        <w:numId w:val="1"/>
      </w:numPr>
      <w:spacing w:before="120"/>
      <w:outlineLvl w:val="0"/>
    </w:pPr>
    <w:rPr>
      <w:b/>
      <w:bCs/>
      <w:kern w:val="32"/>
      <w:szCs w:val="20"/>
      <w:lang w:eastAsia="de-DE"/>
    </w:rPr>
  </w:style>
  <w:style w:type="paragraph" w:styleId="Heading2">
    <w:name w:val="heading 2"/>
    <w:basedOn w:val="Normal"/>
    <w:next w:val="Normal"/>
    <w:link w:val="Heading2Char"/>
    <w:qFormat/>
    <w:rsid w:val="00FA3F56"/>
    <w:pPr>
      <w:keepNext/>
      <w:numPr>
        <w:ilvl w:val="1"/>
        <w:numId w:val="1"/>
      </w:numPr>
      <w:spacing w:before="360" w:after="120"/>
      <w:outlineLvl w:val="1"/>
    </w:pPr>
    <w:rPr>
      <w:rFonts w:cs="Arial"/>
      <w:b/>
      <w:bCs/>
      <w:iCs/>
      <w:color w:val="000000"/>
      <w:szCs w:val="28"/>
      <w:lang w:val="de-DE" w:eastAsia="de-DE"/>
    </w:rPr>
  </w:style>
  <w:style w:type="paragraph" w:styleId="Heading3">
    <w:name w:val="heading 3"/>
    <w:basedOn w:val="Normal"/>
    <w:next w:val="Normal"/>
    <w:link w:val="Heading3Char"/>
    <w:autoRedefine/>
    <w:qFormat/>
    <w:rsid w:val="00796203"/>
    <w:pPr>
      <w:keepNext/>
      <w:widowControl w:val="0"/>
      <w:numPr>
        <w:ilvl w:val="2"/>
        <w:numId w:val="1"/>
      </w:numPr>
      <w:tabs>
        <w:tab w:val="left" w:pos="561"/>
      </w:tabs>
      <w:autoSpaceDE w:val="0"/>
      <w:autoSpaceDN w:val="0"/>
      <w:adjustRightInd w:val="0"/>
      <w:spacing w:before="120" w:after="120"/>
      <w:outlineLvl w:val="2"/>
    </w:pPr>
    <w:rPr>
      <w:b/>
      <w:bCs/>
      <w:szCs w:val="28"/>
    </w:rPr>
  </w:style>
  <w:style w:type="paragraph" w:styleId="Heading4">
    <w:name w:val="heading 4"/>
    <w:basedOn w:val="Normal"/>
    <w:next w:val="Normal"/>
    <w:link w:val="Heading4Char"/>
    <w:qFormat/>
    <w:rsid w:val="00FA3F56"/>
    <w:pPr>
      <w:keepNext/>
      <w:numPr>
        <w:ilvl w:val="3"/>
        <w:numId w:val="1"/>
      </w:numPr>
      <w:spacing w:before="240" w:after="60"/>
      <w:outlineLvl w:val="3"/>
    </w:pPr>
    <w:rPr>
      <w:b/>
      <w:bCs/>
      <w:color w:val="000000"/>
      <w:szCs w:val="28"/>
      <w:lang w:val="de-DE" w:eastAsia="de-DE"/>
    </w:rPr>
  </w:style>
  <w:style w:type="paragraph" w:styleId="Heading5">
    <w:name w:val="heading 5"/>
    <w:basedOn w:val="Normal"/>
    <w:next w:val="Normal"/>
    <w:link w:val="Heading5Char"/>
    <w:qFormat/>
    <w:rsid w:val="00FA3F56"/>
    <w:pPr>
      <w:numPr>
        <w:ilvl w:val="4"/>
        <w:numId w:val="1"/>
      </w:numPr>
      <w:spacing w:before="240" w:after="60"/>
      <w:outlineLvl w:val="4"/>
    </w:pPr>
    <w:rPr>
      <w:b/>
      <w:bCs/>
      <w:i/>
      <w:iCs/>
      <w:color w:val="000000"/>
      <w:sz w:val="26"/>
      <w:szCs w:val="26"/>
      <w:lang w:val="de-DE" w:eastAsia="de-DE"/>
    </w:rPr>
  </w:style>
  <w:style w:type="paragraph" w:styleId="Heading6">
    <w:name w:val="heading 6"/>
    <w:basedOn w:val="Normal"/>
    <w:next w:val="Normal"/>
    <w:link w:val="Heading6Char"/>
    <w:qFormat/>
    <w:rsid w:val="00FA3F56"/>
    <w:pPr>
      <w:numPr>
        <w:ilvl w:val="5"/>
        <w:numId w:val="1"/>
      </w:numPr>
      <w:spacing w:before="240" w:after="60"/>
      <w:outlineLvl w:val="5"/>
    </w:pPr>
    <w:rPr>
      <w:b/>
      <w:bCs/>
      <w:color w:val="000000"/>
      <w:sz w:val="22"/>
      <w:szCs w:val="22"/>
      <w:lang w:val="de-DE" w:eastAsia="de-DE"/>
    </w:rPr>
  </w:style>
  <w:style w:type="paragraph" w:styleId="Heading7">
    <w:name w:val="heading 7"/>
    <w:basedOn w:val="Normal"/>
    <w:next w:val="Normal"/>
    <w:link w:val="Heading7Char"/>
    <w:qFormat/>
    <w:rsid w:val="00FA3F56"/>
    <w:pPr>
      <w:numPr>
        <w:ilvl w:val="6"/>
        <w:numId w:val="1"/>
      </w:numPr>
      <w:spacing w:before="240" w:after="60"/>
      <w:outlineLvl w:val="6"/>
    </w:pPr>
    <w:rPr>
      <w:color w:val="000000"/>
      <w:lang w:val="de-DE" w:eastAsia="de-DE"/>
    </w:rPr>
  </w:style>
  <w:style w:type="paragraph" w:styleId="Heading8">
    <w:name w:val="heading 8"/>
    <w:basedOn w:val="Normal"/>
    <w:next w:val="Normal"/>
    <w:link w:val="Heading8Char"/>
    <w:qFormat/>
    <w:rsid w:val="00FA3F56"/>
    <w:pPr>
      <w:numPr>
        <w:ilvl w:val="7"/>
        <w:numId w:val="1"/>
      </w:numPr>
      <w:spacing w:before="240" w:after="60"/>
      <w:outlineLvl w:val="7"/>
    </w:pPr>
    <w:rPr>
      <w:i/>
      <w:iCs/>
      <w:color w:val="000000"/>
      <w:lang w:val="de-DE" w:eastAsia="de-DE"/>
    </w:rPr>
  </w:style>
  <w:style w:type="paragraph" w:styleId="Heading9">
    <w:name w:val="heading 9"/>
    <w:basedOn w:val="Normal"/>
    <w:next w:val="Normal"/>
    <w:link w:val="Heading9Char"/>
    <w:qFormat/>
    <w:rsid w:val="00FA3F56"/>
    <w:pPr>
      <w:numPr>
        <w:ilvl w:val="8"/>
        <w:numId w:val="1"/>
      </w:numPr>
      <w:spacing w:before="240" w:after="60"/>
      <w:outlineLvl w:val="8"/>
    </w:pPr>
    <w:rPr>
      <w:rFonts w:ascii="Arial" w:hAnsi="Arial" w:cs="Arial"/>
      <w:color w:val="000000"/>
      <w:sz w:val="22"/>
      <w:szCs w:val="22"/>
      <w:lang w:val="de-DE" w:eastAsia="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FA3F56"/>
    <w:pPr>
      <w:widowControl w:val="0"/>
      <w:autoSpaceDE w:val="0"/>
      <w:autoSpaceDN w:val="0"/>
      <w:adjustRightInd w:val="0"/>
    </w:pPr>
    <w:rPr>
      <w:b/>
      <w:bCs/>
      <w:sz w:val="34"/>
      <w:szCs w:val="34"/>
    </w:rPr>
  </w:style>
  <w:style w:type="character" w:customStyle="1" w:styleId="TitleChar">
    <w:name w:val="Title Char"/>
    <w:basedOn w:val="DefaultParagraphFont"/>
    <w:link w:val="Title"/>
    <w:rsid w:val="00FA3F56"/>
    <w:rPr>
      <w:rFonts w:ascii="Times New Roman" w:eastAsia="Times New Roman" w:hAnsi="Times New Roman" w:cs="Times New Roman"/>
      <w:b/>
      <w:bCs/>
      <w:sz w:val="34"/>
      <w:szCs w:val="34"/>
    </w:rPr>
  </w:style>
  <w:style w:type="paragraph" w:customStyle="1" w:styleId="Affiliation">
    <w:name w:val="Affiliation"/>
    <w:basedOn w:val="Normal"/>
    <w:link w:val="AffiliationChar"/>
    <w:qFormat/>
    <w:rsid w:val="00FA3F56"/>
    <w:pPr>
      <w:spacing w:before="120" w:line="240" w:lineRule="auto"/>
      <w:contextualSpacing/>
    </w:pPr>
    <w:rPr>
      <w:sz w:val="20"/>
      <w:lang w:val="en-GB" w:eastAsia="de-DE"/>
    </w:rPr>
  </w:style>
  <w:style w:type="character" w:customStyle="1" w:styleId="AffiliationChar">
    <w:name w:val="Affiliation Char"/>
    <w:basedOn w:val="DefaultParagraphFont"/>
    <w:link w:val="Affiliation"/>
    <w:rsid w:val="00FA3F56"/>
    <w:rPr>
      <w:rFonts w:ascii="Times New Roman" w:eastAsia="Times New Roman" w:hAnsi="Times New Roman" w:cs="Times New Roman"/>
      <w:sz w:val="20"/>
      <w:lang w:val="en-GB" w:eastAsia="de-DE"/>
    </w:rPr>
  </w:style>
  <w:style w:type="paragraph" w:customStyle="1" w:styleId="Correspondence">
    <w:name w:val="Correspondence"/>
    <w:basedOn w:val="Normal"/>
    <w:link w:val="CorrespondenceChar"/>
    <w:qFormat/>
    <w:rsid w:val="00FA3F56"/>
    <w:pPr>
      <w:spacing w:before="120" w:after="360" w:line="240" w:lineRule="auto"/>
    </w:pPr>
    <w:rPr>
      <w:sz w:val="20"/>
      <w:lang w:val="en-GB" w:eastAsia="de-DE"/>
    </w:rPr>
  </w:style>
  <w:style w:type="character" w:customStyle="1" w:styleId="CorrespondenceChar">
    <w:name w:val="Correspondence Char"/>
    <w:basedOn w:val="DefaultParagraphFont"/>
    <w:link w:val="Correspondence"/>
    <w:rsid w:val="00FA3F56"/>
    <w:rPr>
      <w:rFonts w:ascii="Times New Roman" w:eastAsia="Times New Roman" w:hAnsi="Times New Roman" w:cs="Times New Roman"/>
      <w:sz w:val="20"/>
      <w:lang w:val="en-GB" w:eastAsia="de-DE"/>
    </w:rPr>
  </w:style>
  <w:style w:type="paragraph" w:customStyle="1" w:styleId="Authors">
    <w:name w:val="Authors"/>
    <w:basedOn w:val="Normal"/>
    <w:link w:val="AuthorsChar"/>
    <w:qFormat/>
    <w:rsid w:val="00FA3F56"/>
    <w:pPr>
      <w:spacing w:before="180" w:line="240" w:lineRule="auto"/>
      <w:contextualSpacing/>
    </w:pPr>
    <w:rPr>
      <w:lang w:val="en-GB" w:eastAsia="de-DE"/>
    </w:rPr>
  </w:style>
  <w:style w:type="character" w:customStyle="1" w:styleId="AuthorsChar">
    <w:name w:val="Authors Char"/>
    <w:basedOn w:val="DefaultParagraphFont"/>
    <w:link w:val="Authors"/>
    <w:rsid w:val="00FA3F56"/>
    <w:rPr>
      <w:rFonts w:ascii="Times New Roman" w:eastAsia="Times New Roman" w:hAnsi="Times New Roman" w:cs="Times New Roman"/>
      <w:lang w:val="en-GB" w:eastAsia="de-DE"/>
    </w:rPr>
  </w:style>
  <w:style w:type="character" w:customStyle="1" w:styleId="Heading1Char">
    <w:name w:val="Heading 1 Char"/>
    <w:basedOn w:val="DefaultParagraphFont"/>
    <w:link w:val="Heading1"/>
    <w:rsid w:val="00FA3F56"/>
    <w:rPr>
      <w:rFonts w:ascii="Times New Roman" w:eastAsia="Times New Roman" w:hAnsi="Times New Roman" w:cs="Times New Roman"/>
      <w:b/>
      <w:bCs/>
      <w:kern w:val="32"/>
      <w:szCs w:val="20"/>
      <w:lang w:eastAsia="de-DE"/>
    </w:rPr>
  </w:style>
  <w:style w:type="character" w:customStyle="1" w:styleId="Heading2Char">
    <w:name w:val="Heading 2 Char"/>
    <w:basedOn w:val="DefaultParagraphFont"/>
    <w:link w:val="Heading2"/>
    <w:rsid w:val="00FA3F56"/>
    <w:rPr>
      <w:rFonts w:ascii="Times New Roman" w:eastAsia="Times New Roman" w:hAnsi="Times New Roman" w:cs="Arial"/>
      <w:b/>
      <w:bCs/>
      <w:iCs/>
      <w:color w:val="000000"/>
      <w:szCs w:val="28"/>
      <w:lang w:val="de-DE" w:eastAsia="de-DE"/>
    </w:rPr>
  </w:style>
  <w:style w:type="character" w:customStyle="1" w:styleId="Heading3Char">
    <w:name w:val="Heading 3 Char"/>
    <w:basedOn w:val="DefaultParagraphFont"/>
    <w:link w:val="Heading3"/>
    <w:rsid w:val="00796203"/>
    <w:rPr>
      <w:rFonts w:ascii="Times New Roman" w:eastAsia="Times New Roman" w:hAnsi="Times New Roman" w:cs="Times New Roman"/>
      <w:b/>
      <w:bCs/>
      <w:szCs w:val="28"/>
    </w:rPr>
  </w:style>
  <w:style w:type="character" w:customStyle="1" w:styleId="Heading4Char">
    <w:name w:val="Heading 4 Char"/>
    <w:basedOn w:val="DefaultParagraphFont"/>
    <w:link w:val="Heading4"/>
    <w:rsid w:val="00FA3F56"/>
    <w:rPr>
      <w:rFonts w:ascii="Times New Roman" w:eastAsia="Times New Roman" w:hAnsi="Times New Roman" w:cs="Times New Roman"/>
      <w:b/>
      <w:bCs/>
      <w:color w:val="000000"/>
      <w:szCs w:val="28"/>
      <w:lang w:val="de-DE" w:eastAsia="de-DE"/>
    </w:rPr>
  </w:style>
  <w:style w:type="character" w:customStyle="1" w:styleId="Heading5Char">
    <w:name w:val="Heading 5 Char"/>
    <w:basedOn w:val="DefaultParagraphFont"/>
    <w:link w:val="Heading5"/>
    <w:rsid w:val="00FA3F56"/>
    <w:rPr>
      <w:rFonts w:ascii="Times New Roman" w:eastAsia="Times New Roman" w:hAnsi="Times New Roman" w:cs="Times New Roman"/>
      <w:b/>
      <w:bCs/>
      <w:i/>
      <w:iCs/>
      <w:color w:val="000000"/>
      <w:sz w:val="26"/>
      <w:szCs w:val="26"/>
      <w:lang w:val="de-DE" w:eastAsia="de-DE"/>
    </w:rPr>
  </w:style>
  <w:style w:type="character" w:customStyle="1" w:styleId="Heading6Char">
    <w:name w:val="Heading 6 Char"/>
    <w:basedOn w:val="DefaultParagraphFont"/>
    <w:link w:val="Heading6"/>
    <w:rsid w:val="00FA3F56"/>
    <w:rPr>
      <w:rFonts w:ascii="Times New Roman" w:eastAsia="Times New Roman" w:hAnsi="Times New Roman" w:cs="Times New Roman"/>
      <w:b/>
      <w:bCs/>
      <w:color w:val="000000"/>
      <w:sz w:val="22"/>
      <w:szCs w:val="22"/>
      <w:lang w:val="de-DE" w:eastAsia="de-DE"/>
    </w:rPr>
  </w:style>
  <w:style w:type="character" w:customStyle="1" w:styleId="Heading7Char">
    <w:name w:val="Heading 7 Char"/>
    <w:basedOn w:val="DefaultParagraphFont"/>
    <w:link w:val="Heading7"/>
    <w:rsid w:val="00FA3F56"/>
    <w:rPr>
      <w:rFonts w:ascii="Times New Roman" w:eastAsia="Times New Roman" w:hAnsi="Times New Roman" w:cs="Times New Roman"/>
      <w:color w:val="000000"/>
      <w:lang w:val="de-DE" w:eastAsia="de-DE"/>
    </w:rPr>
  </w:style>
  <w:style w:type="character" w:customStyle="1" w:styleId="Heading8Char">
    <w:name w:val="Heading 8 Char"/>
    <w:basedOn w:val="DefaultParagraphFont"/>
    <w:link w:val="Heading8"/>
    <w:rsid w:val="00FA3F56"/>
    <w:rPr>
      <w:rFonts w:ascii="Times New Roman" w:eastAsia="Times New Roman" w:hAnsi="Times New Roman" w:cs="Times New Roman"/>
      <w:i/>
      <w:iCs/>
      <w:color w:val="000000"/>
      <w:lang w:val="de-DE" w:eastAsia="de-DE"/>
    </w:rPr>
  </w:style>
  <w:style w:type="character" w:customStyle="1" w:styleId="Heading9Char">
    <w:name w:val="Heading 9 Char"/>
    <w:basedOn w:val="DefaultParagraphFont"/>
    <w:link w:val="Heading9"/>
    <w:rsid w:val="00FA3F56"/>
    <w:rPr>
      <w:rFonts w:ascii="Arial" w:eastAsia="Times New Roman" w:hAnsi="Arial" w:cs="Arial"/>
      <w:color w:val="000000"/>
      <w:sz w:val="22"/>
      <w:szCs w:val="22"/>
      <w:lang w:val="de-DE" w:eastAsia="de-DE"/>
    </w:rPr>
  </w:style>
  <w:style w:type="paragraph" w:styleId="ListParagraph">
    <w:name w:val="List Paragraph"/>
    <w:basedOn w:val="Normal"/>
    <w:uiPriority w:val="34"/>
    <w:qFormat/>
    <w:rsid w:val="002D546D"/>
    <w:pPr>
      <w:ind w:left="720"/>
      <w:contextualSpacing/>
    </w:pPr>
  </w:style>
  <w:style w:type="paragraph" w:styleId="Caption">
    <w:name w:val="caption"/>
    <w:basedOn w:val="Normal"/>
    <w:next w:val="Normal"/>
    <w:uiPriority w:val="35"/>
    <w:unhideWhenUsed/>
    <w:qFormat/>
    <w:rsid w:val="003540CB"/>
    <w:pPr>
      <w:spacing w:after="200" w:line="240" w:lineRule="auto"/>
    </w:pPr>
    <w:rPr>
      <w:i/>
      <w:iCs/>
      <w:color w:val="44546A" w:themeColor="text2"/>
      <w:sz w:val="18"/>
      <w:szCs w:val="18"/>
    </w:rPr>
  </w:style>
  <w:style w:type="paragraph" w:styleId="NormalWeb">
    <w:name w:val="Normal (Web)"/>
    <w:basedOn w:val="Normal"/>
    <w:uiPriority w:val="99"/>
    <w:unhideWhenUsed/>
    <w:rsid w:val="00641D09"/>
    <w:pPr>
      <w:spacing w:before="100" w:beforeAutospacing="1" w:after="100" w:afterAutospacing="1"/>
    </w:pPr>
    <w:rPr>
      <w:lang w:val="pt-BR" w:eastAsia="pt-BR"/>
    </w:rPr>
  </w:style>
  <w:style w:type="character" w:styleId="PlaceholderText">
    <w:name w:val="Placeholder Text"/>
    <w:basedOn w:val="DefaultParagraphFont"/>
    <w:uiPriority w:val="99"/>
    <w:semiHidden/>
    <w:rsid w:val="00407594"/>
    <w:rPr>
      <w:color w:val="808080"/>
    </w:rPr>
  </w:style>
  <w:style w:type="character" w:customStyle="1" w:styleId="InternetLink">
    <w:name w:val="Internet Link"/>
    <w:basedOn w:val="DefaultParagraphFont"/>
    <w:uiPriority w:val="99"/>
    <w:unhideWhenUsed/>
    <w:rsid w:val="004E63B0"/>
    <w:rPr>
      <w:color w:val="0000FF"/>
      <w:u w:val="single"/>
    </w:rPr>
  </w:style>
  <w:style w:type="character" w:styleId="Hyperlink">
    <w:name w:val="Hyperlink"/>
    <w:uiPriority w:val="99"/>
    <w:rsid w:val="0071555B"/>
    <w:rPr>
      <w:color w:val="0000FF"/>
      <w:u w:val="single"/>
    </w:rPr>
  </w:style>
  <w:style w:type="character" w:customStyle="1" w:styleId="pbtoclink">
    <w:name w:val="pb_toc_link"/>
    <w:basedOn w:val="DefaultParagraphFont"/>
    <w:rsid w:val="008C08DA"/>
  </w:style>
  <w:style w:type="character" w:styleId="UnresolvedMention">
    <w:name w:val="Unresolved Mention"/>
    <w:basedOn w:val="DefaultParagraphFont"/>
    <w:uiPriority w:val="99"/>
    <w:semiHidden/>
    <w:unhideWhenUsed/>
    <w:rsid w:val="00FC6AA2"/>
    <w:rPr>
      <w:color w:val="605E5C"/>
      <w:shd w:val="clear" w:color="auto" w:fill="E1DFDD"/>
    </w:rPr>
  </w:style>
  <w:style w:type="character" w:styleId="FollowedHyperlink">
    <w:name w:val="FollowedHyperlink"/>
    <w:basedOn w:val="DefaultParagraphFont"/>
    <w:uiPriority w:val="99"/>
    <w:semiHidden/>
    <w:unhideWhenUsed/>
    <w:rsid w:val="00F42ECD"/>
    <w:rPr>
      <w:color w:val="954F72" w:themeColor="followedHyperlink"/>
      <w:u w:val="single"/>
    </w:rPr>
  </w:style>
  <w:style w:type="character" w:styleId="LineNumber">
    <w:name w:val="line number"/>
    <w:basedOn w:val="DefaultParagraphFont"/>
    <w:uiPriority w:val="99"/>
    <w:semiHidden/>
    <w:unhideWhenUsed/>
    <w:rsid w:val="004F01DF"/>
  </w:style>
  <w:style w:type="paragraph" w:styleId="Footer">
    <w:name w:val="footer"/>
    <w:basedOn w:val="Normal"/>
    <w:link w:val="FooterChar"/>
    <w:uiPriority w:val="99"/>
    <w:unhideWhenUsed/>
    <w:rsid w:val="00AD5BE2"/>
    <w:pPr>
      <w:tabs>
        <w:tab w:val="center" w:pos="4680"/>
        <w:tab w:val="right" w:pos="9360"/>
      </w:tabs>
      <w:spacing w:line="240" w:lineRule="auto"/>
    </w:pPr>
  </w:style>
  <w:style w:type="character" w:customStyle="1" w:styleId="FooterChar">
    <w:name w:val="Footer Char"/>
    <w:basedOn w:val="DefaultParagraphFont"/>
    <w:link w:val="Footer"/>
    <w:uiPriority w:val="99"/>
    <w:rsid w:val="00AD5BE2"/>
    <w:rPr>
      <w:rFonts w:ascii="Times New Roman" w:eastAsia="Times New Roman" w:hAnsi="Times New Roman" w:cs="Times New Roman"/>
    </w:rPr>
  </w:style>
  <w:style w:type="character" w:styleId="PageNumber">
    <w:name w:val="page number"/>
    <w:basedOn w:val="DefaultParagraphFont"/>
    <w:uiPriority w:val="99"/>
    <w:semiHidden/>
    <w:unhideWhenUsed/>
    <w:rsid w:val="00AD5BE2"/>
  </w:style>
  <w:style w:type="character" w:styleId="CommentReference">
    <w:name w:val="annotation reference"/>
    <w:basedOn w:val="DefaultParagraphFont"/>
    <w:uiPriority w:val="99"/>
    <w:semiHidden/>
    <w:unhideWhenUsed/>
    <w:rsid w:val="0043259D"/>
    <w:rPr>
      <w:sz w:val="16"/>
      <w:szCs w:val="16"/>
    </w:rPr>
  </w:style>
  <w:style w:type="paragraph" w:styleId="CommentText">
    <w:name w:val="annotation text"/>
    <w:basedOn w:val="Normal"/>
    <w:link w:val="CommentTextChar"/>
    <w:uiPriority w:val="99"/>
    <w:semiHidden/>
    <w:unhideWhenUsed/>
    <w:rsid w:val="0043259D"/>
    <w:pPr>
      <w:spacing w:line="240" w:lineRule="auto"/>
    </w:pPr>
    <w:rPr>
      <w:sz w:val="20"/>
      <w:szCs w:val="20"/>
    </w:rPr>
  </w:style>
  <w:style w:type="character" w:customStyle="1" w:styleId="CommentTextChar">
    <w:name w:val="Comment Text Char"/>
    <w:basedOn w:val="DefaultParagraphFont"/>
    <w:link w:val="CommentText"/>
    <w:uiPriority w:val="99"/>
    <w:semiHidden/>
    <w:rsid w:val="0043259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43259D"/>
    <w:rPr>
      <w:b/>
      <w:bCs/>
    </w:rPr>
  </w:style>
  <w:style w:type="character" w:customStyle="1" w:styleId="CommentSubjectChar">
    <w:name w:val="Comment Subject Char"/>
    <w:basedOn w:val="CommentTextChar"/>
    <w:link w:val="CommentSubject"/>
    <w:uiPriority w:val="99"/>
    <w:semiHidden/>
    <w:rsid w:val="0043259D"/>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43259D"/>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3259D"/>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353234">
      <w:bodyDiv w:val="1"/>
      <w:marLeft w:val="0"/>
      <w:marRight w:val="0"/>
      <w:marTop w:val="0"/>
      <w:marBottom w:val="0"/>
      <w:divBdr>
        <w:top w:val="none" w:sz="0" w:space="0" w:color="auto"/>
        <w:left w:val="none" w:sz="0" w:space="0" w:color="auto"/>
        <w:bottom w:val="none" w:sz="0" w:space="0" w:color="auto"/>
        <w:right w:val="none" w:sz="0" w:space="0" w:color="auto"/>
      </w:divBdr>
    </w:div>
    <w:div w:id="715936968">
      <w:bodyDiv w:val="1"/>
      <w:marLeft w:val="0"/>
      <w:marRight w:val="0"/>
      <w:marTop w:val="0"/>
      <w:marBottom w:val="0"/>
      <w:divBdr>
        <w:top w:val="none" w:sz="0" w:space="0" w:color="auto"/>
        <w:left w:val="none" w:sz="0" w:space="0" w:color="auto"/>
        <w:bottom w:val="none" w:sz="0" w:space="0" w:color="auto"/>
        <w:right w:val="none" w:sz="0" w:space="0" w:color="auto"/>
      </w:divBdr>
    </w:div>
    <w:div w:id="791365264">
      <w:bodyDiv w:val="1"/>
      <w:marLeft w:val="0"/>
      <w:marRight w:val="0"/>
      <w:marTop w:val="0"/>
      <w:marBottom w:val="0"/>
      <w:divBdr>
        <w:top w:val="none" w:sz="0" w:space="0" w:color="auto"/>
        <w:left w:val="none" w:sz="0" w:space="0" w:color="auto"/>
        <w:bottom w:val="none" w:sz="0" w:space="0" w:color="auto"/>
        <w:right w:val="none" w:sz="0" w:space="0" w:color="auto"/>
      </w:divBdr>
    </w:div>
    <w:div w:id="1369452956">
      <w:bodyDiv w:val="1"/>
      <w:marLeft w:val="0"/>
      <w:marRight w:val="0"/>
      <w:marTop w:val="0"/>
      <w:marBottom w:val="0"/>
      <w:divBdr>
        <w:top w:val="none" w:sz="0" w:space="0" w:color="auto"/>
        <w:left w:val="none" w:sz="0" w:space="0" w:color="auto"/>
        <w:bottom w:val="none" w:sz="0" w:space="0" w:color="auto"/>
        <w:right w:val="none" w:sz="0" w:space="0" w:color="auto"/>
      </w:divBdr>
    </w:div>
    <w:div w:id="1857889113">
      <w:bodyDiv w:val="1"/>
      <w:marLeft w:val="0"/>
      <w:marRight w:val="0"/>
      <w:marTop w:val="0"/>
      <w:marBottom w:val="0"/>
      <w:divBdr>
        <w:top w:val="none" w:sz="0" w:space="0" w:color="auto"/>
        <w:left w:val="none" w:sz="0" w:space="0" w:color="auto"/>
        <w:bottom w:val="none" w:sz="0" w:space="0" w:color="auto"/>
        <w:right w:val="none" w:sz="0" w:space="0" w:color="auto"/>
      </w:divBdr>
    </w:div>
    <w:div w:id="2140342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about:blank" TargetMode="External"/><Relationship Id="rId18" Type="http://schemas.openxmlformats.org/officeDocument/2006/relationships/image" Target="media/image2.png"/><Relationship Id="rId26" Type="http://schemas.openxmlformats.org/officeDocument/2006/relationships/image" Target="media/image10.png"/><Relationship Id="rId21" Type="http://schemas.openxmlformats.org/officeDocument/2006/relationships/image" Target="media/image5.emf"/><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about:blank" TargetMode="External"/><Relationship Id="rId17" Type="http://schemas.openxmlformats.org/officeDocument/2006/relationships/image" Target="media/image1.png"/><Relationship Id="rId25" Type="http://schemas.openxmlformats.org/officeDocument/2006/relationships/image" Target="media/image9.png"/><Relationship Id="rId33"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hyperlink" Target="about:blank" TargetMode="External"/><Relationship Id="rId20" Type="http://schemas.openxmlformats.org/officeDocument/2006/relationships/image" Target="media/image4.emf"/><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about:blank" TargetMode="External"/><Relationship Id="rId24" Type="http://schemas.openxmlformats.org/officeDocument/2006/relationships/image" Target="media/image8.png"/><Relationship Id="rId32" Type="http://schemas.openxmlformats.org/officeDocument/2006/relationships/image" Target="media/image16.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about:blank" TargetMode="External"/><Relationship Id="rId23" Type="http://schemas.openxmlformats.org/officeDocument/2006/relationships/image" Target="media/image7.emf"/><Relationship Id="rId28" Type="http://schemas.openxmlformats.org/officeDocument/2006/relationships/image" Target="media/image12.(null)"/><Relationship Id="rId36" Type="http://schemas.openxmlformats.org/officeDocument/2006/relationships/fontTable" Target="fontTable.xml"/><Relationship Id="rId10" Type="http://schemas.openxmlformats.org/officeDocument/2006/relationships/hyperlink" Target="about:blank" TargetMode="External"/><Relationship Id="rId19" Type="http://schemas.openxmlformats.org/officeDocument/2006/relationships/image" Target="media/image3.emf"/><Relationship Id="rId31" Type="http://schemas.openxmlformats.org/officeDocument/2006/relationships/image" Target="media/image15.emf"/><Relationship Id="rId4" Type="http://schemas.openxmlformats.org/officeDocument/2006/relationships/settings" Target="settings.xml"/><Relationship Id="rId9" Type="http://schemas.openxmlformats.org/officeDocument/2006/relationships/hyperlink" Target="about:blank" TargetMode="External"/><Relationship Id="rId14" Type="http://schemas.openxmlformats.org/officeDocument/2006/relationships/hyperlink" Target="about:blank" TargetMode="External"/><Relationship Id="rId22" Type="http://schemas.openxmlformats.org/officeDocument/2006/relationships/image" Target="media/image6.emf"/><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footer" Target="footer2.xml"/><Relationship Id="rId8" Type="http://schemas.openxmlformats.org/officeDocument/2006/relationships/hyperlink" Target="about:blank"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1F8328-1EBE-7849-88DD-791D6EA2BC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37</Pages>
  <Words>9647</Words>
  <Characters>54993</Characters>
  <Application>Microsoft Office Word</Application>
  <DocSecurity>0</DocSecurity>
  <Lines>458</Lines>
  <Paragraphs>129</Paragraphs>
  <ScaleCrop>false</ScaleCrop>
  <HeadingPairs>
    <vt:vector size="2" baseType="variant">
      <vt:variant>
        <vt:lpstr>Title</vt:lpstr>
      </vt:variant>
      <vt:variant>
        <vt:i4>1</vt:i4>
      </vt:variant>
    </vt:vector>
  </HeadingPairs>
  <TitlesOfParts>
    <vt:vector size="1" baseType="lpstr">
      <vt:lpstr/>
    </vt:vector>
  </TitlesOfParts>
  <Company>NASA/GSFC &amp; USRA/GESTAR</Company>
  <LinksUpToDate>false</LinksUpToDate>
  <CharactersWithSpaces>64511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Saulo Freitas</dc:creator>
  <cp:keywords/>
  <dc:description/>
  <cp:lastModifiedBy>Freitas, Saulo R. (GSFC-6100)[UNIVERSITIES SPACE RESEARCH ASSOCIATION]</cp:lastModifiedBy>
  <cp:revision>9</cp:revision>
  <cp:lastPrinted>2021-08-04T16:25:00Z</cp:lastPrinted>
  <dcterms:created xsi:type="dcterms:W3CDTF">2021-08-04T19:41:00Z</dcterms:created>
  <dcterms:modified xsi:type="dcterms:W3CDTF">2021-08-06T18:47:00Z</dcterms:modified>
</cp:coreProperties>
</file>