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B7821" w14:textId="77777777" w:rsidR="009F385A" w:rsidRDefault="007F22F8">
      <w:pPr>
        <w:pStyle w:val="Title"/>
        <w:spacing w:line="259" w:lineRule="auto"/>
      </w:pPr>
      <w:r>
        <w:t>DECISION FRAMEWORK FOR CLASSIFYING THE STATE OF KNOWLEDGE FOR</w:t>
      </w:r>
      <w:r>
        <w:rPr>
          <w:spacing w:val="-57"/>
        </w:rPr>
        <w:t xml:space="preserve"> </w:t>
      </w:r>
      <w:r>
        <w:t>PHARMACEUTICAL</w:t>
      </w:r>
      <w:r>
        <w:rPr>
          <w:spacing w:val="2"/>
        </w:rPr>
        <w:t xml:space="preserve"> </w:t>
      </w:r>
      <w:r>
        <w:t>STABILITY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SPACEFLIGHT</w:t>
      </w:r>
    </w:p>
    <w:p w14:paraId="389C2A95" w14:textId="761629DC" w:rsidR="009F385A" w:rsidRDefault="007F22F8">
      <w:pPr>
        <w:pStyle w:val="BodyText"/>
        <w:spacing w:line="259" w:lineRule="auto"/>
        <w:ind w:left="4084" w:hanging="3771"/>
      </w:pPr>
      <w:r>
        <w:t>S.</w:t>
      </w:r>
      <w:r>
        <w:rPr>
          <w:spacing w:val="-2"/>
        </w:rPr>
        <w:t xml:space="preserve"> </w:t>
      </w:r>
      <w:r>
        <w:t>Kurian,</w:t>
      </w:r>
      <w:r>
        <w:rPr>
          <w:spacing w:val="-2"/>
        </w:rPr>
        <w:t xml:space="preserve"> </w:t>
      </w:r>
      <w:r>
        <w:t>PharmD,</w:t>
      </w:r>
      <w:r>
        <w:rPr>
          <w:spacing w:val="-2"/>
        </w:rPr>
        <w:t xml:space="preserve"> </w:t>
      </w:r>
      <w:r>
        <w:t>RPh</w:t>
      </w:r>
      <w:r>
        <w:rPr>
          <w:vertAlign w:val="superscript"/>
        </w:rPr>
        <w:t>1</w:t>
      </w:r>
      <w:r>
        <w:t>,</w:t>
      </w:r>
      <w:r>
        <w:rPr>
          <w:spacing w:val="-1"/>
        </w:rPr>
        <w:t xml:space="preserve"> </w:t>
      </w:r>
      <w:r>
        <w:t>T.</w:t>
      </w:r>
      <w:r>
        <w:rPr>
          <w:spacing w:val="-2"/>
        </w:rPr>
        <w:t xml:space="preserve"> </w:t>
      </w:r>
      <w:r>
        <w:t>Bayuse,</w:t>
      </w:r>
      <w:r>
        <w:rPr>
          <w:spacing w:val="-2"/>
        </w:rPr>
        <w:t xml:space="preserve"> </w:t>
      </w:r>
      <w:r>
        <w:t>PharmD,</w:t>
      </w:r>
      <w:r>
        <w:rPr>
          <w:spacing w:val="-1"/>
        </w:rPr>
        <w:t xml:space="preserve"> </w:t>
      </w:r>
      <w:r>
        <w:t>RPh</w:t>
      </w:r>
      <w:r>
        <w:rPr>
          <w:vertAlign w:val="superscript"/>
        </w:rPr>
        <w:t>2</w:t>
      </w:r>
      <w:r>
        <w:t>,</w:t>
      </w:r>
      <w:r>
        <w:rPr>
          <w:spacing w:val="-2"/>
        </w:rPr>
        <w:t xml:space="preserve"> </w:t>
      </w:r>
      <w:r>
        <w:t>V.</w:t>
      </w:r>
      <w:r>
        <w:rPr>
          <w:spacing w:val="-2"/>
        </w:rPr>
        <w:t xml:space="preserve"> </w:t>
      </w:r>
      <w:r>
        <w:t>Daniels,</w:t>
      </w:r>
      <w:r>
        <w:rPr>
          <w:spacing w:val="-3"/>
        </w:rPr>
        <w:t xml:space="preserve"> </w:t>
      </w:r>
      <w:r>
        <w:t>MS,</w:t>
      </w:r>
      <w:r>
        <w:rPr>
          <w:spacing w:val="-1"/>
        </w:rPr>
        <w:t xml:space="preserve"> </w:t>
      </w:r>
      <w:r>
        <w:t>RPh</w:t>
      </w:r>
      <w:r w:rsidR="00D334E9">
        <w:rPr>
          <w:vertAlign w:val="superscript"/>
        </w:rPr>
        <w:t>2</w:t>
      </w:r>
      <w:r>
        <w:t>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J.</w:t>
      </w:r>
      <w:r>
        <w:rPr>
          <w:spacing w:val="-1"/>
        </w:rPr>
        <w:t xml:space="preserve"> </w:t>
      </w:r>
      <w:r>
        <w:t>Reichard,</w:t>
      </w:r>
      <w:r>
        <w:rPr>
          <w:spacing w:val="-57"/>
        </w:rPr>
        <w:t xml:space="preserve"> </w:t>
      </w:r>
      <w:r>
        <w:t>PharmD,</w:t>
      </w:r>
      <w:r>
        <w:rPr>
          <w:spacing w:val="-1"/>
        </w:rPr>
        <w:t xml:space="preserve"> </w:t>
      </w:r>
      <w:r>
        <w:t>PhD</w:t>
      </w:r>
      <w:r w:rsidR="00D334E9">
        <w:rPr>
          <w:vertAlign w:val="superscript"/>
        </w:rPr>
        <w:t>3</w:t>
      </w:r>
    </w:p>
    <w:p w14:paraId="5A1A707E" w14:textId="77777777" w:rsidR="009F385A" w:rsidRDefault="009F385A">
      <w:pPr>
        <w:pStyle w:val="BodyText"/>
        <w:spacing w:before="8"/>
        <w:rPr>
          <w:sz w:val="25"/>
        </w:rPr>
      </w:pPr>
    </w:p>
    <w:p w14:paraId="435A84DD" w14:textId="7925DC06" w:rsidR="009F385A" w:rsidRDefault="007F22F8">
      <w:pPr>
        <w:pStyle w:val="BodyText"/>
        <w:spacing w:line="261" w:lineRule="auto"/>
        <w:ind w:left="176" w:right="98"/>
        <w:jc w:val="center"/>
      </w:pPr>
      <w:r>
        <w:rPr>
          <w:vertAlign w:val="superscript"/>
        </w:rPr>
        <w:t>1</w:t>
      </w:r>
      <w:r>
        <w:t xml:space="preserve">JES Tech, </w:t>
      </w:r>
      <w:hyperlink r:id="rId5">
        <w:r>
          <w:rPr>
            <w:color w:val="0562C1"/>
            <w:u w:val="single" w:color="0562C1"/>
          </w:rPr>
          <w:t>sincy.m.kurian@nasa.gov</w:t>
        </w:r>
        <w:r>
          <w:t xml:space="preserve">, </w:t>
        </w:r>
      </w:hyperlink>
      <w:r>
        <w:rPr>
          <w:vertAlign w:val="superscript"/>
        </w:rPr>
        <w:t>2</w:t>
      </w:r>
      <w:r>
        <w:t xml:space="preserve">KBR, </w:t>
      </w:r>
      <w:hyperlink r:id="rId6">
        <w:r>
          <w:rPr>
            <w:color w:val="0562C1"/>
            <w:u w:val="single" w:color="0562C1"/>
          </w:rPr>
          <w:t>tina.m.bayuse@nasa.gov</w:t>
        </w:r>
        <w:r>
          <w:t xml:space="preserve">, </w:t>
        </w:r>
      </w:hyperlink>
      <w:hyperlink r:id="rId7">
        <w:r>
          <w:rPr>
            <w:color w:val="0562C1"/>
            <w:u w:val="single" w:color="0562C1"/>
          </w:rPr>
          <w:t>vernie.daniels-</w:t>
        </w:r>
      </w:hyperlink>
      <w:r>
        <w:rPr>
          <w:color w:val="0562C1"/>
          <w:spacing w:val="-58"/>
        </w:rPr>
        <w:t xml:space="preserve"> </w:t>
      </w:r>
      <w:hyperlink r:id="rId8">
        <w:r>
          <w:rPr>
            <w:color w:val="0562C1"/>
            <w:u w:val="single" w:color="0562C1"/>
          </w:rPr>
          <w:t>1@nasa.gov</w:t>
        </w:r>
        <w:r>
          <w:t>,</w:t>
        </w:r>
      </w:hyperlink>
      <w:r>
        <w:rPr>
          <w:spacing w:val="-2"/>
        </w:rPr>
        <w:t xml:space="preserve"> </w:t>
      </w:r>
      <w:r w:rsidR="00D334E9">
        <w:rPr>
          <w:vertAlign w:val="superscript"/>
        </w:rPr>
        <w:t>3</w:t>
      </w:r>
      <w:r>
        <w:t>Johnson</w:t>
      </w:r>
      <w:r>
        <w:rPr>
          <w:spacing w:val="-1"/>
        </w:rPr>
        <w:t xml:space="preserve"> </w:t>
      </w:r>
      <w:r>
        <w:t>Space</w:t>
      </w:r>
      <w:r>
        <w:rPr>
          <w:spacing w:val="-3"/>
        </w:rPr>
        <w:t xml:space="preserve"> </w:t>
      </w:r>
      <w:r>
        <w:t>Center,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Cincinnati,</w:t>
      </w:r>
      <w:r>
        <w:rPr>
          <w:spacing w:val="-1"/>
        </w:rPr>
        <w:t xml:space="preserve"> </w:t>
      </w:r>
      <w:hyperlink r:id="rId9">
        <w:r>
          <w:rPr>
            <w:color w:val="0562C1"/>
            <w:u w:val="single" w:color="0562C1"/>
          </w:rPr>
          <w:t>john.f.reichard@nasa.gov</w:t>
        </w:r>
      </w:hyperlink>
    </w:p>
    <w:p w14:paraId="02A7EC21" w14:textId="77777777" w:rsidR="009F385A" w:rsidRDefault="009F385A">
      <w:pPr>
        <w:pStyle w:val="BodyText"/>
        <w:spacing w:before="8"/>
        <w:rPr>
          <w:sz w:val="17"/>
        </w:rPr>
      </w:pPr>
    </w:p>
    <w:p w14:paraId="7F1A594B" w14:textId="6C8262D9" w:rsidR="009F385A" w:rsidRDefault="007F22F8">
      <w:pPr>
        <w:pStyle w:val="BodyText"/>
        <w:spacing w:before="90" w:line="259" w:lineRule="auto"/>
        <w:ind w:left="119" w:right="209"/>
      </w:pPr>
      <w:r>
        <w:t xml:space="preserve">The </w:t>
      </w:r>
      <w:r w:rsidR="00B63F62">
        <w:t xml:space="preserve">currently approved </w:t>
      </w:r>
      <w:r>
        <w:t xml:space="preserve">medication formulary for exploration-class spaceflight missions </w:t>
      </w:r>
      <w:r w:rsidR="00B63F62">
        <w:t>presently</w:t>
      </w:r>
      <w:r>
        <w:t xml:space="preserve"> exceeds 200</w:t>
      </w:r>
      <w:r>
        <w:rPr>
          <w:spacing w:val="1"/>
        </w:rPr>
        <w:t xml:space="preserve"> </w:t>
      </w:r>
      <w:r>
        <w:t xml:space="preserve">pharmaceuticals. </w:t>
      </w:r>
      <w:r w:rsidR="00B63F62">
        <w:t>However, these medications' physical and chemical stability</w:t>
      </w:r>
      <w:r>
        <w:t xml:space="preserve"> </w:t>
      </w:r>
      <w:r w:rsidR="00B63F62">
        <w:t xml:space="preserve">during </w:t>
      </w:r>
      <w:r>
        <w:t>long-term</w:t>
      </w:r>
      <w:r>
        <w:rPr>
          <w:spacing w:val="1"/>
        </w:rPr>
        <w:t xml:space="preserve"> </w:t>
      </w:r>
      <w:r>
        <w:t xml:space="preserve">exposure to the spaceflight environment remains uncharacterized. A </w:t>
      </w:r>
      <w:r w:rsidR="00B63F62">
        <w:t xml:space="preserve">multi-disciplinary </w:t>
      </w:r>
      <w:r>
        <w:t xml:space="preserve">team of pharmacy </w:t>
      </w:r>
      <w:r w:rsidR="00B63F62">
        <w:t xml:space="preserve">and spaceflight </w:t>
      </w:r>
      <w:r>
        <w:t>subject</w:t>
      </w:r>
      <w:r>
        <w:rPr>
          <w:spacing w:val="1"/>
        </w:rPr>
        <w:t xml:space="preserve"> </w:t>
      </w:r>
      <w:r>
        <w:t xml:space="preserve">matter experts (SMEs) collaborated to develop a decision framework that will </w:t>
      </w:r>
      <w:r w:rsidR="00B63F62">
        <w:t>prioritize</w:t>
      </w:r>
      <w:r>
        <w:t xml:space="preserve"> medications for </w:t>
      </w:r>
      <w:r w:rsidR="00B63F62">
        <w:t xml:space="preserve">future </w:t>
      </w:r>
      <w:r>
        <w:t xml:space="preserve">stability research. </w:t>
      </w:r>
      <w:r w:rsidR="00B63F62">
        <w:t>This framework prioritizes</w:t>
      </w:r>
      <w:r w:rsidR="00C647E4">
        <w:t xml:space="preserve"> the </w:t>
      </w:r>
      <w:r w:rsidR="00B63F62">
        <w:rPr>
          <w:spacing w:val="-57"/>
        </w:rPr>
        <w:t xml:space="preserve"> </w:t>
      </w:r>
      <w:r>
        <w:t>physical stability, drug quality, and safety of the active pharmaceutical ingredient of finished</w:t>
      </w:r>
      <w:r>
        <w:rPr>
          <w:spacing w:val="1"/>
        </w:rPr>
        <w:t xml:space="preserve"> </w:t>
      </w:r>
      <w:r>
        <w:t>drug products selected for specific design reference mission (DRM) drug formularies. The</w:t>
      </w:r>
      <w:r>
        <w:rPr>
          <w:spacing w:val="1"/>
        </w:rPr>
        <w:t xml:space="preserve"> </w:t>
      </w:r>
      <w:r>
        <w:t xml:space="preserve">United States Pharmacopeia (USP) defines drug stability as </w:t>
      </w:r>
      <w:r w:rsidR="00B63F62">
        <w:t>"</w:t>
      </w:r>
      <w:r>
        <w:t>the extent to which a drug product</w:t>
      </w:r>
      <w:r>
        <w:rPr>
          <w:spacing w:val="1"/>
        </w:rPr>
        <w:t xml:space="preserve"> </w:t>
      </w:r>
      <w:r>
        <w:t>retains, within specified limits</w:t>
      </w:r>
      <w:r w:rsidR="00B63F62">
        <w:t>,</w:t>
      </w:r>
      <w:r>
        <w:t xml:space="preserve"> and throughout its period of storage and use, the same properties</w:t>
      </w:r>
      <w:r w:rsidR="00B63F62">
        <w:t xml:space="preserve"> </w:t>
      </w:r>
      <w:r>
        <w:rPr>
          <w:spacing w:val="-58"/>
        </w:rPr>
        <w:t xml:space="preserve"> </w:t>
      </w:r>
      <w:r>
        <w:t>and characteristics that it possessed at the time of its manufacture</w:t>
      </w:r>
      <w:r w:rsidR="001D068A">
        <w:t>.</w:t>
      </w:r>
      <w:r w:rsidR="001D068A">
        <w:rPr>
          <w:vertAlign w:val="superscript"/>
        </w:rPr>
        <w:t>1</w:t>
      </w:r>
      <w:r w:rsidR="00B63F62">
        <w:t>"</w:t>
      </w:r>
      <w:r>
        <w:rPr>
          <w:spacing w:val="1"/>
        </w:rPr>
        <w:t xml:space="preserve"> </w:t>
      </w:r>
      <w:r>
        <w:t>The candidate medication is</w:t>
      </w:r>
      <w:r>
        <w:rPr>
          <w:spacing w:val="-57"/>
        </w:rPr>
        <w:t xml:space="preserve"> </w:t>
      </w:r>
      <w:r w:rsidR="00B63F62">
        <w:rPr>
          <w:spacing w:val="-57"/>
        </w:rPr>
        <w:t xml:space="preserve">   </w:t>
      </w:r>
      <w:r>
        <w:t xml:space="preserve"> </w:t>
      </w:r>
      <w:r w:rsidR="00B63F62">
        <w:t xml:space="preserve">assessed by applying </w:t>
      </w:r>
      <w:r>
        <w:t>a sequence of drug agnostic questions to evaluate the limits of stability information</w:t>
      </w:r>
      <w:r w:rsidR="00B63F62">
        <w:t xml:space="preserve"> </w:t>
      </w:r>
      <w:r>
        <w:rPr>
          <w:spacing w:val="-57"/>
        </w:rPr>
        <w:t xml:space="preserve"> </w:t>
      </w:r>
      <w:r w:rsidR="00B63F62">
        <w:rPr>
          <w:spacing w:val="-57"/>
        </w:rPr>
        <w:t xml:space="preserve"> </w:t>
      </w:r>
      <w:r>
        <w:t>pertinent to spaceflight. The answers to these questions ultimately lead to one of three</w:t>
      </w:r>
      <w:r>
        <w:rPr>
          <w:spacing w:val="1"/>
        </w:rPr>
        <w:t xml:space="preserve"> </w:t>
      </w:r>
      <w:r>
        <w:t>characterizations: green (not prioritized for further research for this DRM), yellow (requires</w:t>
      </w:r>
      <w:r>
        <w:rPr>
          <w:spacing w:val="1"/>
        </w:rPr>
        <w:t xml:space="preserve"> </w:t>
      </w:r>
      <w:r>
        <w:t>further literature review/additional studies), or red (not suitable for this DRM based on current</w:t>
      </w:r>
      <w:r>
        <w:rPr>
          <w:spacing w:val="1"/>
        </w:rPr>
        <w:t xml:space="preserve"> </w:t>
      </w:r>
      <w:r>
        <w:t>knowledge). The decision framework will rely on several information resources to inform the</w:t>
      </w:r>
      <w:r>
        <w:rPr>
          <w:spacing w:val="1"/>
        </w:rPr>
        <w:t xml:space="preserve"> </w:t>
      </w:r>
      <w:r>
        <w:t>ultimate decision</w:t>
      </w:r>
      <w:r w:rsidR="00B63F62">
        <w:t>,</w:t>
      </w:r>
      <w:r>
        <w:t xml:space="preserve"> including the ExMC Pharmacy Information Database, published literature,</w:t>
      </w:r>
      <w:r>
        <w:rPr>
          <w:spacing w:val="1"/>
        </w:rPr>
        <w:t xml:space="preserve"> </w:t>
      </w:r>
      <w:r>
        <w:t>FDA/drug manufacturer monographs, and USP.</w:t>
      </w:r>
      <w:r>
        <w:rPr>
          <w:spacing w:val="1"/>
        </w:rPr>
        <w:t xml:space="preserve"> </w:t>
      </w:r>
      <w:r>
        <w:t>The results of this framework will be used to</w:t>
      </w:r>
      <w:r>
        <w:rPr>
          <w:spacing w:val="1"/>
        </w:rPr>
        <w:t xml:space="preserve"> </w:t>
      </w:r>
      <w:r>
        <w:t>classify the state of knowledge for pharmaceutical stability for any specified DRM and guide</w:t>
      </w:r>
      <w:r>
        <w:rPr>
          <w:spacing w:val="1"/>
        </w:rPr>
        <w:t xml:space="preserve"> </w:t>
      </w:r>
      <w:r>
        <w:t>future research efforts accordingly. This presentation will provide an overview of how th</w:t>
      </w:r>
      <w:r w:rsidR="00B63F62">
        <w:t>is</w:t>
      </w:r>
      <w:r>
        <w:rPr>
          <w:spacing w:val="1"/>
        </w:rPr>
        <w:t xml:space="preserve"> </w:t>
      </w:r>
      <w:r>
        <w:t>decision framework was developed, detail the challenges and limitations of the pathways, and</w:t>
      </w:r>
      <w:r>
        <w:rPr>
          <w:spacing w:val="1"/>
        </w:rPr>
        <w:t xml:space="preserve"> </w:t>
      </w:r>
      <w:r>
        <w:t>discuss</w:t>
      </w:r>
      <w:r>
        <w:rPr>
          <w:spacing w:val="-1"/>
        </w:rPr>
        <w:t xml:space="preserve"> </w:t>
      </w:r>
      <w:r>
        <w:t>how</w:t>
      </w:r>
      <w:r>
        <w:rPr>
          <w:spacing w:val="-1"/>
        </w:rPr>
        <w:t xml:space="preserve"> </w:t>
      </w:r>
      <w:r w:rsidR="00B63F62">
        <w:rPr>
          <w:spacing w:val="-1"/>
        </w:rPr>
        <w:t xml:space="preserve">researchers can apply </w:t>
      </w:r>
      <w:r>
        <w:t>the</w:t>
      </w:r>
      <w:r>
        <w:rPr>
          <w:spacing w:val="-2"/>
        </w:rPr>
        <w:t xml:space="preserve"> </w:t>
      </w:r>
      <w:r>
        <w:t>lessons learned</w:t>
      </w:r>
      <w:r>
        <w:rPr>
          <w:spacing w:val="1"/>
        </w:rPr>
        <w:t xml:space="preserve"> </w:t>
      </w:r>
      <w:r>
        <w:t>from this</w:t>
      </w:r>
      <w:r>
        <w:rPr>
          <w:spacing w:val="-1"/>
        </w:rPr>
        <w:t xml:space="preserve"> </w:t>
      </w:r>
      <w:r>
        <w:t>project</w:t>
      </w:r>
      <w:r>
        <w:rPr>
          <w:spacing w:val="2"/>
        </w:rPr>
        <w:t xml:space="preserve"> </w:t>
      </w:r>
      <w:r>
        <w:t>to future work.</w:t>
      </w:r>
    </w:p>
    <w:p w14:paraId="2C424D85" w14:textId="06A4C3DB" w:rsidR="001D068A" w:rsidRDefault="001D068A">
      <w:pPr>
        <w:pStyle w:val="BodyText"/>
        <w:spacing w:before="90" w:line="259" w:lineRule="auto"/>
        <w:ind w:left="119" w:right="209"/>
      </w:pPr>
    </w:p>
    <w:p w14:paraId="38FF88C2" w14:textId="15E9D4AB" w:rsidR="001D068A" w:rsidRDefault="001D068A" w:rsidP="001B4A54">
      <w:pPr>
        <w:pStyle w:val="BodyText"/>
        <w:spacing w:before="90" w:line="259" w:lineRule="auto"/>
        <w:ind w:right="209"/>
      </w:pPr>
      <w:r>
        <w:t>Reference:</w:t>
      </w:r>
    </w:p>
    <w:p w14:paraId="5811C689" w14:textId="40B7A690" w:rsidR="001D068A" w:rsidRDefault="001B4A54" w:rsidP="001B4A54">
      <w:pPr>
        <w:pStyle w:val="BodyText"/>
        <w:spacing w:before="90" w:line="259" w:lineRule="auto"/>
        <w:ind w:right="209"/>
      </w:pPr>
      <w:r>
        <w:t xml:space="preserve">[1] </w:t>
      </w:r>
      <w:r w:rsidR="001D068A" w:rsidRPr="001B4A54">
        <w:rPr>
          <w:i/>
          <w:iCs/>
        </w:rPr>
        <w:t>United States Pharmacopeia and National Formulary</w:t>
      </w:r>
      <w:r w:rsidR="001D068A" w:rsidRPr="001D068A">
        <w:t xml:space="preserve"> (USP </w:t>
      </w:r>
      <w:r w:rsidR="00123174">
        <w:t>36</w:t>
      </w:r>
      <w:r w:rsidR="001D068A" w:rsidRPr="001D068A">
        <w:t xml:space="preserve">-NF </w:t>
      </w:r>
      <w:r w:rsidR="00123174">
        <w:t>31</w:t>
      </w:r>
      <w:r w:rsidR="001D068A" w:rsidRPr="001D068A">
        <w:t>).</w:t>
      </w:r>
      <w:r>
        <w:t xml:space="preserve"> </w:t>
      </w:r>
      <w:r w:rsidRPr="001B4A54">
        <w:rPr>
          <w:rFonts w:ascii="Cambria Math" w:hAnsi="Cambria Math" w:cs="Cambria Math"/>
        </w:rPr>
        <w:t>〈</w:t>
      </w:r>
      <w:r w:rsidRPr="001B4A54">
        <w:t>1191</w:t>
      </w:r>
      <w:r w:rsidRPr="001B4A54">
        <w:rPr>
          <w:rFonts w:ascii="Cambria Math" w:hAnsi="Cambria Math" w:cs="Cambria Math"/>
        </w:rPr>
        <w:t>〉</w:t>
      </w:r>
      <w:r>
        <w:rPr>
          <w:rFonts w:ascii="Cambria Math" w:hAnsi="Cambria Math" w:cs="Cambria Math"/>
        </w:rPr>
        <w:t xml:space="preserve"> </w:t>
      </w:r>
      <w:r w:rsidRPr="001B4A54">
        <w:t>Stability</w:t>
      </w:r>
      <w:r>
        <w:t xml:space="preserve"> </w:t>
      </w:r>
      <w:r w:rsidRPr="001B4A54">
        <w:t>Considerations</w:t>
      </w:r>
      <w:r>
        <w:t xml:space="preserve"> i</w:t>
      </w:r>
      <w:r w:rsidRPr="001B4A54">
        <w:t>n</w:t>
      </w:r>
      <w:r>
        <w:t xml:space="preserve"> </w:t>
      </w:r>
      <w:r w:rsidRPr="001B4A54">
        <w:t>Dispensing</w:t>
      </w:r>
      <w:r>
        <w:t xml:space="preserve"> </w:t>
      </w:r>
      <w:r w:rsidRPr="001B4A54">
        <w:t>Practice.</w:t>
      </w:r>
      <w:r w:rsidRPr="001D068A">
        <w:t xml:space="preserve"> </w:t>
      </w:r>
      <w:r w:rsidR="001D068A" w:rsidRPr="001D068A">
        <w:t xml:space="preserve">Accessed </w:t>
      </w:r>
      <w:r w:rsidR="00123174">
        <w:t>March 29</w:t>
      </w:r>
      <w:r w:rsidR="001D068A" w:rsidRPr="001D068A">
        <w:t>, 20</w:t>
      </w:r>
      <w:r w:rsidR="00123174">
        <w:t>21.</w:t>
      </w:r>
    </w:p>
    <w:sectPr w:rsidR="001D068A">
      <w:type w:val="continuous"/>
      <w:pgSz w:w="12240" w:h="15840"/>
      <w:pgMar w:top="1360" w:right="14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D144E9"/>
    <w:multiLevelType w:val="hybridMultilevel"/>
    <w:tmpl w:val="B40CC384"/>
    <w:lvl w:ilvl="0" w:tplc="5C50DAA6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0MDUwMzcxMDAzNDRQ0lEKTi0uzszPAykwrAUA1dSsTiwAAAA="/>
  </w:docVars>
  <w:rsids>
    <w:rsidRoot w:val="009F385A"/>
    <w:rsid w:val="00123174"/>
    <w:rsid w:val="001B4A54"/>
    <w:rsid w:val="001D068A"/>
    <w:rsid w:val="00311BF3"/>
    <w:rsid w:val="00362335"/>
    <w:rsid w:val="007F22F8"/>
    <w:rsid w:val="008F3DD7"/>
    <w:rsid w:val="009F385A"/>
    <w:rsid w:val="00B63F62"/>
    <w:rsid w:val="00C0615A"/>
    <w:rsid w:val="00C647E4"/>
    <w:rsid w:val="00CB660D"/>
    <w:rsid w:val="00CC2B17"/>
    <w:rsid w:val="00D334E9"/>
    <w:rsid w:val="00EB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DEF3B"/>
  <w15:docId w15:val="{73FC1FA9-92E5-4E99-A443-8F082603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9"/>
      <w:ind w:left="177" w:right="98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B5C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5C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5C1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5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5C1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C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C1D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B4A5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334E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06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nie.daniels-1@nasa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ernie.daniels-1@nas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na.m.bayuse@nasa.go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incy.m.kurian@nasa.go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ohn.f.reichard@nas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Kurian, Sincy M. (JSC-SD3)[WYLE LABORATORIES, INC.]</dc:creator>
  <cp:lastModifiedBy>Kurian, Sincy M. (JSC-SD3)[WYLE LABORATORIES, INC.]</cp:lastModifiedBy>
  <cp:revision>5</cp:revision>
  <dcterms:created xsi:type="dcterms:W3CDTF">2021-09-27T16:41:00Z</dcterms:created>
  <dcterms:modified xsi:type="dcterms:W3CDTF">2021-09-27T20:31:00Z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2021-09-23T00:00:00Z</vt:filetime>
  </property>
</Properties>
</file>