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509C80" w14:textId="77777777" w:rsidR="00CB0D2B" w:rsidRPr="00CB0D2B" w:rsidRDefault="00CB0D2B" w:rsidP="00CB0D2B">
      <w:pPr>
        <w:spacing w:after="0" w:line="240" w:lineRule="auto"/>
        <w:jc w:val="center"/>
        <w:rPr>
          <w:rFonts w:ascii="Times New Roman" w:hAnsi="Times New Roman" w:cs="Times New Roman"/>
          <w:b/>
          <w:bCs/>
          <w:sz w:val="24"/>
          <w:szCs w:val="24"/>
        </w:rPr>
      </w:pPr>
      <w:proofErr w:type="spellStart"/>
      <w:r w:rsidRPr="00CB0D2B">
        <w:rPr>
          <w:rFonts w:ascii="Times New Roman" w:hAnsi="Times New Roman" w:cs="Times New Roman"/>
          <w:b/>
          <w:bCs/>
          <w:sz w:val="24"/>
          <w:szCs w:val="24"/>
        </w:rPr>
        <w:t>ExMC</w:t>
      </w:r>
      <w:proofErr w:type="spellEnd"/>
      <w:r w:rsidRPr="00CB0D2B">
        <w:rPr>
          <w:rFonts w:ascii="Times New Roman" w:hAnsi="Times New Roman" w:cs="Times New Roman"/>
          <w:b/>
          <w:bCs/>
          <w:sz w:val="24"/>
          <w:szCs w:val="24"/>
        </w:rPr>
        <w:t xml:space="preserve"> GROUND-BASED SPACE RADIATION ANALOG PILOT DRUG STABILITY STUDY:  FINAL DATA REVIEW</w:t>
      </w:r>
    </w:p>
    <w:p w14:paraId="0190CBDF" w14:textId="77777777" w:rsidR="00CB0D2B" w:rsidRPr="00CB0D2B" w:rsidRDefault="00CB0D2B" w:rsidP="00CB0D2B">
      <w:pPr>
        <w:spacing w:after="0" w:line="240" w:lineRule="auto"/>
        <w:jc w:val="center"/>
        <w:rPr>
          <w:rFonts w:ascii="Times New Roman" w:hAnsi="Times New Roman" w:cs="Times New Roman"/>
          <w:sz w:val="24"/>
          <w:szCs w:val="24"/>
        </w:rPr>
      </w:pPr>
      <w:r w:rsidRPr="00CB0D2B">
        <w:rPr>
          <w:rFonts w:ascii="Times New Roman" w:hAnsi="Times New Roman" w:cs="Times New Roman"/>
          <w:sz w:val="24"/>
          <w:szCs w:val="24"/>
        </w:rPr>
        <w:t>Vernie R. Daniels, MS, RPh</w:t>
      </w:r>
      <w:r w:rsidRPr="00CB0D2B">
        <w:rPr>
          <w:rFonts w:ascii="Times New Roman" w:hAnsi="Times New Roman" w:cs="Times New Roman"/>
          <w:sz w:val="24"/>
          <w:szCs w:val="24"/>
          <w:vertAlign w:val="superscript"/>
        </w:rPr>
        <w:t>1</w:t>
      </w:r>
    </w:p>
    <w:p w14:paraId="2AE9D6BF" w14:textId="77777777" w:rsidR="00CB0D2B" w:rsidRPr="00CB0D2B" w:rsidRDefault="00CB0D2B" w:rsidP="00CB0D2B">
      <w:pPr>
        <w:spacing w:after="0" w:line="240" w:lineRule="auto"/>
        <w:jc w:val="center"/>
        <w:rPr>
          <w:rFonts w:ascii="Times New Roman" w:hAnsi="Times New Roman" w:cs="Times New Roman"/>
          <w:sz w:val="24"/>
          <w:szCs w:val="24"/>
        </w:rPr>
      </w:pPr>
      <w:r w:rsidRPr="00CB0D2B">
        <w:rPr>
          <w:rFonts w:ascii="Times New Roman" w:hAnsi="Times New Roman" w:cs="Times New Roman"/>
          <w:sz w:val="24"/>
          <w:szCs w:val="24"/>
          <w:vertAlign w:val="superscript"/>
        </w:rPr>
        <w:t>1</w:t>
      </w:r>
      <w:r w:rsidRPr="00CB0D2B">
        <w:rPr>
          <w:rFonts w:ascii="Times New Roman" w:hAnsi="Times New Roman" w:cs="Times New Roman"/>
          <w:sz w:val="24"/>
          <w:szCs w:val="24"/>
        </w:rPr>
        <w:t>KBR (2400 NASA Parkway, Houston, TX, 77058)</w:t>
      </w:r>
    </w:p>
    <w:p w14:paraId="67E021B8" w14:textId="77777777" w:rsidR="00CB0D2B" w:rsidRPr="00CB0D2B" w:rsidRDefault="00CB0D2B" w:rsidP="00CB0D2B">
      <w:pPr>
        <w:spacing w:after="0" w:line="240" w:lineRule="auto"/>
        <w:rPr>
          <w:rFonts w:ascii="Times New Roman" w:hAnsi="Times New Roman" w:cs="Times New Roman"/>
          <w:sz w:val="23"/>
          <w:szCs w:val="23"/>
        </w:rPr>
      </w:pPr>
    </w:p>
    <w:p w14:paraId="1C7A8E5D" w14:textId="77777777" w:rsidR="00CB0D2B" w:rsidRPr="00CB0D2B" w:rsidRDefault="00CB0D2B" w:rsidP="00CB0D2B">
      <w:pPr>
        <w:spacing w:after="0" w:line="240" w:lineRule="auto"/>
        <w:rPr>
          <w:rFonts w:ascii="Times New Roman" w:hAnsi="Times New Roman" w:cs="Times New Roman"/>
          <w:b/>
          <w:bCs/>
          <w:sz w:val="24"/>
          <w:szCs w:val="24"/>
        </w:rPr>
      </w:pPr>
      <w:r w:rsidRPr="00CB0D2B">
        <w:rPr>
          <w:rFonts w:ascii="Times New Roman" w:hAnsi="Times New Roman" w:cs="Times New Roman"/>
          <w:b/>
          <w:bCs/>
          <w:sz w:val="24"/>
          <w:szCs w:val="24"/>
        </w:rPr>
        <w:t>BACKGROUND</w:t>
      </w:r>
    </w:p>
    <w:p w14:paraId="24B440FB" w14:textId="275A2FF4" w:rsidR="00CB0D2B" w:rsidRPr="00CB0D2B" w:rsidRDefault="00CB0D2B" w:rsidP="00CB0D2B">
      <w:pPr>
        <w:spacing w:after="0" w:line="240" w:lineRule="auto"/>
        <w:rPr>
          <w:rFonts w:ascii="Times New Roman" w:hAnsi="Times New Roman" w:cs="Times New Roman"/>
          <w:sz w:val="24"/>
          <w:szCs w:val="24"/>
        </w:rPr>
      </w:pPr>
      <w:r w:rsidRPr="00CB0D2B">
        <w:rPr>
          <w:rFonts w:ascii="Times New Roman" w:hAnsi="Times New Roman" w:cs="Times New Roman"/>
          <w:sz w:val="24"/>
          <w:szCs w:val="24"/>
        </w:rPr>
        <w:t>Uncertainty regarding space radiation effects on medication degradation and potency remains high, though early data suggest that space radiation may affect the potency and quality of some pharmaceuticals. In the absence of empirical spaceflight measurements to characterize this risk area for long-duration planetary missions, high-fidelity ground-based targeted radiation analogs could provide valuable insights. The NASA Human Research Program's (HRP) Exploration Medical Capability (</w:t>
      </w:r>
      <w:proofErr w:type="spellStart"/>
      <w:r w:rsidRPr="00CB0D2B">
        <w:rPr>
          <w:rFonts w:ascii="Times New Roman" w:hAnsi="Times New Roman" w:cs="Times New Roman"/>
          <w:sz w:val="24"/>
          <w:szCs w:val="24"/>
        </w:rPr>
        <w:t>ExMC</w:t>
      </w:r>
      <w:proofErr w:type="spellEnd"/>
      <w:r w:rsidRPr="00CB0D2B">
        <w:rPr>
          <w:rFonts w:ascii="Times New Roman" w:hAnsi="Times New Roman" w:cs="Times New Roman"/>
          <w:sz w:val="24"/>
          <w:szCs w:val="24"/>
        </w:rPr>
        <w:t>) Element conducted a pilot study to characterize the chemical stability of four selected medications exposed to rapid switching, mixed-species simulated galactic cosmic radiation (GCR) beams at the NASA Space Radiation Laboratory (NSRL), at Brookhaven National Laboratory (BNL). The research objective was to compare</w:t>
      </w:r>
      <w:r w:rsidRPr="00CB0D2B">
        <w:rPr>
          <w:rFonts w:ascii="Times New Roman" w:hAnsi="Times New Roman" w:cs="Times New Roman"/>
          <w:sz w:val="24"/>
          <w:szCs w:val="24"/>
        </w:rPr>
        <w:t xml:space="preserve"> </w:t>
      </w:r>
      <w:r w:rsidRPr="00CB0D2B">
        <w:rPr>
          <w:rFonts w:ascii="Times New Roman" w:hAnsi="Times New Roman" w:cs="Times New Roman"/>
          <w:sz w:val="24"/>
          <w:szCs w:val="24"/>
        </w:rPr>
        <w:t xml:space="preserve">the effects of simulated GCR beam exposures on drug stability to those previously observed following spaceflight. </w:t>
      </w:r>
    </w:p>
    <w:p w14:paraId="322DA3B1" w14:textId="77777777" w:rsidR="00CB0D2B" w:rsidRPr="00CB0D2B" w:rsidRDefault="00CB0D2B" w:rsidP="00CB0D2B">
      <w:pPr>
        <w:spacing w:after="0" w:line="240" w:lineRule="auto"/>
        <w:rPr>
          <w:rFonts w:ascii="Times New Roman" w:hAnsi="Times New Roman" w:cs="Times New Roman"/>
          <w:sz w:val="24"/>
          <w:szCs w:val="24"/>
        </w:rPr>
      </w:pPr>
    </w:p>
    <w:p w14:paraId="1BED9438" w14:textId="77777777" w:rsidR="00CB0D2B" w:rsidRPr="00CB0D2B" w:rsidRDefault="00CB0D2B" w:rsidP="00CB0D2B">
      <w:pPr>
        <w:spacing w:after="0" w:line="240" w:lineRule="auto"/>
        <w:rPr>
          <w:rFonts w:ascii="Times New Roman" w:hAnsi="Times New Roman" w:cs="Times New Roman"/>
          <w:b/>
          <w:bCs/>
          <w:sz w:val="24"/>
          <w:szCs w:val="24"/>
        </w:rPr>
      </w:pPr>
      <w:r w:rsidRPr="00CB0D2B">
        <w:rPr>
          <w:rFonts w:ascii="Times New Roman" w:hAnsi="Times New Roman" w:cs="Times New Roman"/>
          <w:b/>
          <w:bCs/>
          <w:sz w:val="24"/>
          <w:szCs w:val="24"/>
        </w:rPr>
        <w:t>METHODS</w:t>
      </w:r>
    </w:p>
    <w:p w14:paraId="045BF6CC" w14:textId="415790D6" w:rsidR="00CB0D2B" w:rsidRPr="00CB0D2B" w:rsidRDefault="00CB0D2B" w:rsidP="00CB0D2B">
      <w:pPr>
        <w:spacing w:after="0" w:line="240" w:lineRule="auto"/>
        <w:rPr>
          <w:rFonts w:ascii="Times New Roman" w:hAnsi="Times New Roman" w:cs="Times New Roman"/>
          <w:sz w:val="24"/>
          <w:szCs w:val="24"/>
        </w:rPr>
      </w:pPr>
      <w:r w:rsidRPr="00CB0D2B">
        <w:rPr>
          <w:rFonts w:ascii="Times New Roman" w:hAnsi="Times New Roman" w:cs="Times New Roman"/>
          <w:sz w:val="24"/>
          <w:szCs w:val="24"/>
        </w:rPr>
        <w:t>Four oral solid medications (acetaminophen, amoxicillin, ibuprofen, promethazine) were selected based on pharmaceutical stability characterization obtained from previous NASA research, the literature, or based upon clinical relevance for exploration spaceflight.  Each drug product was packaged to resemble operational packaging used in flight. Sufficient quantities of identical brands and lots, for each drug were procured to provide a statistically significant number of replicates for four experimental arms (Non-irradiated control, Non-irradiated travel control, Irradiation group I – 0.5</w:t>
      </w:r>
      <w:r>
        <w:rPr>
          <w:rFonts w:ascii="Times New Roman" w:hAnsi="Times New Roman" w:cs="Times New Roman"/>
          <w:sz w:val="24"/>
          <w:szCs w:val="24"/>
        </w:rPr>
        <w:t xml:space="preserve"> </w:t>
      </w:r>
      <w:proofErr w:type="spellStart"/>
      <w:r w:rsidRPr="00CB0D2B">
        <w:rPr>
          <w:rFonts w:ascii="Times New Roman" w:hAnsi="Times New Roman" w:cs="Times New Roman"/>
          <w:sz w:val="24"/>
          <w:szCs w:val="24"/>
        </w:rPr>
        <w:t>Gy</w:t>
      </w:r>
      <w:proofErr w:type="spellEnd"/>
      <w:r w:rsidRPr="00CB0D2B">
        <w:rPr>
          <w:rFonts w:ascii="Times New Roman" w:hAnsi="Times New Roman" w:cs="Times New Roman"/>
          <w:sz w:val="24"/>
          <w:szCs w:val="24"/>
        </w:rPr>
        <w:t xml:space="preserve"> dose, Irradiation group II – 1.0</w:t>
      </w:r>
      <w:r>
        <w:rPr>
          <w:rFonts w:ascii="Times New Roman" w:hAnsi="Times New Roman" w:cs="Times New Roman"/>
          <w:sz w:val="24"/>
          <w:szCs w:val="24"/>
        </w:rPr>
        <w:t xml:space="preserve"> </w:t>
      </w:r>
      <w:proofErr w:type="spellStart"/>
      <w:r w:rsidRPr="00CB0D2B">
        <w:rPr>
          <w:rFonts w:ascii="Times New Roman" w:hAnsi="Times New Roman" w:cs="Times New Roman"/>
          <w:sz w:val="24"/>
          <w:szCs w:val="24"/>
        </w:rPr>
        <w:t>Gy</w:t>
      </w:r>
      <w:proofErr w:type="spellEnd"/>
      <w:r w:rsidRPr="00CB0D2B">
        <w:rPr>
          <w:rFonts w:ascii="Times New Roman" w:hAnsi="Times New Roman" w:cs="Times New Roman"/>
          <w:sz w:val="24"/>
          <w:szCs w:val="24"/>
        </w:rPr>
        <w:t xml:space="preserve"> exposure). Thermoluminescence Dosimeters (TLD-100 </w:t>
      </w:r>
      <w:proofErr w:type="spellStart"/>
      <w:proofErr w:type="gramStart"/>
      <w:r w:rsidRPr="00CB0D2B">
        <w:rPr>
          <w:rFonts w:ascii="Times New Roman" w:hAnsi="Times New Roman" w:cs="Times New Roman"/>
          <w:sz w:val="24"/>
          <w:szCs w:val="24"/>
        </w:rPr>
        <w:t>LiF:Mg</w:t>
      </w:r>
      <w:proofErr w:type="gramEnd"/>
      <w:r w:rsidRPr="00CB0D2B">
        <w:rPr>
          <w:rFonts w:ascii="Times New Roman" w:hAnsi="Times New Roman" w:cs="Times New Roman"/>
          <w:sz w:val="24"/>
          <w:szCs w:val="24"/>
        </w:rPr>
        <w:t>,Ti</w:t>
      </w:r>
      <w:proofErr w:type="spellEnd"/>
      <w:r w:rsidRPr="00CB0D2B">
        <w:rPr>
          <w:rFonts w:ascii="Times New Roman" w:hAnsi="Times New Roman" w:cs="Times New Roman"/>
          <w:sz w:val="24"/>
          <w:szCs w:val="24"/>
        </w:rPr>
        <w:t>) were attached to the front or both sides of each drug package to estimate the irradiation dose received. Temperature and relative humidity (RH) exposures were controlled and tracked during all transport excursions and storage. Drug stability analyses of the irradiated drug samples and their lot-matched controls were conducted at three time points (t</w:t>
      </w:r>
      <w:r w:rsidRPr="00CB0D2B">
        <w:rPr>
          <w:rFonts w:ascii="Times New Roman" w:hAnsi="Times New Roman" w:cs="Times New Roman"/>
          <w:sz w:val="24"/>
          <w:szCs w:val="24"/>
          <w:vertAlign w:val="subscript"/>
        </w:rPr>
        <w:t>1</w:t>
      </w:r>
      <w:r w:rsidRPr="00CB0D2B">
        <w:rPr>
          <w:rFonts w:ascii="Times New Roman" w:hAnsi="Times New Roman" w:cs="Times New Roman"/>
          <w:sz w:val="24"/>
          <w:szCs w:val="24"/>
        </w:rPr>
        <w:t xml:space="preserve"> - 2018 baseline, t</w:t>
      </w:r>
      <w:r w:rsidRPr="00CB0D2B">
        <w:rPr>
          <w:rFonts w:ascii="Times New Roman" w:hAnsi="Times New Roman" w:cs="Times New Roman"/>
          <w:sz w:val="24"/>
          <w:szCs w:val="24"/>
          <w:vertAlign w:val="subscript"/>
        </w:rPr>
        <w:t>2</w:t>
      </w:r>
      <w:r w:rsidRPr="00CB0D2B">
        <w:rPr>
          <w:rFonts w:ascii="Times New Roman" w:hAnsi="Times New Roman" w:cs="Times New Roman"/>
          <w:sz w:val="24"/>
          <w:szCs w:val="24"/>
        </w:rPr>
        <w:t xml:space="preserve"> - 2019, t</w:t>
      </w:r>
      <w:r w:rsidRPr="00CB0D2B">
        <w:rPr>
          <w:rFonts w:ascii="Times New Roman" w:hAnsi="Times New Roman" w:cs="Times New Roman"/>
          <w:sz w:val="24"/>
          <w:szCs w:val="24"/>
          <w:vertAlign w:val="subscript"/>
        </w:rPr>
        <w:t>3</w:t>
      </w:r>
      <w:r w:rsidRPr="00CB0D2B">
        <w:rPr>
          <w:rFonts w:ascii="Times New Roman" w:hAnsi="Times New Roman" w:cs="Times New Roman"/>
          <w:sz w:val="24"/>
          <w:szCs w:val="24"/>
        </w:rPr>
        <w:t xml:space="preserve"> - 2021).  Results included measuring active pharmaceutical ingredient (API) potency, API release, and degradation products, based on analytical methods recommended by the United States Pharmacopeia (USP).  </w:t>
      </w:r>
    </w:p>
    <w:p w14:paraId="5717AA67" w14:textId="77777777" w:rsidR="00CB0D2B" w:rsidRPr="00CB0D2B" w:rsidRDefault="00CB0D2B" w:rsidP="00CB0D2B">
      <w:pPr>
        <w:spacing w:after="0" w:line="240" w:lineRule="auto"/>
        <w:rPr>
          <w:rFonts w:ascii="Times New Roman" w:hAnsi="Times New Roman" w:cs="Times New Roman"/>
          <w:sz w:val="24"/>
          <w:szCs w:val="24"/>
        </w:rPr>
      </w:pPr>
    </w:p>
    <w:p w14:paraId="41F11765" w14:textId="77777777" w:rsidR="00CB0D2B" w:rsidRPr="00CB0D2B" w:rsidRDefault="00CB0D2B" w:rsidP="00CB0D2B">
      <w:pPr>
        <w:spacing w:after="0" w:line="240" w:lineRule="auto"/>
        <w:rPr>
          <w:rFonts w:ascii="Times New Roman" w:hAnsi="Times New Roman" w:cs="Times New Roman"/>
          <w:b/>
          <w:bCs/>
          <w:sz w:val="24"/>
          <w:szCs w:val="24"/>
        </w:rPr>
      </w:pPr>
      <w:r w:rsidRPr="00CB0D2B">
        <w:rPr>
          <w:rFonts w:ascii="Times New Roman" w:hAnsi="Times New Roman" w:cs="Times New Roman"/>
          <w:b/>
          <w:bCs/>
          <w:sz w:val="24"/>
          <w:szCs w:val="24"/>
        </w:rPr>
        <w:t>RESULTS</w:t>
      </w:r>
    </w:p>
    <w:p w14:paraId="591B5FB2" w14:textId="77777777" w:rsidR="00CB0D2B" w:rsidRPr="00CB0D2B" w:rsidRDefault="00CB0D2B" w:rsidP="00CB0D2B">
      <w:pPr>
        <w:spacing w:after="0" w:line="240" w:lineRule="auto"/>
        <w:rPr>
          <w:rFonts w:ascii="Times New Roman" w:hAnsi="Times New Roman" w:cs="Times New Roman"/>
          <w:sz w:val="24"/>
          <w:szCs w:val="24"/>
        </w:rPr>
      </w:pPr>
      <w:r w:rsidRPr="00CB0D2B">
        <w:rPr>
          <w:rFonts w:ascii="Times New Roman" w:hAnsi="Times New Roman" w:cs="Times New Roman"/>
          <w:sz w:val="24"/>
          <w:szCs w:val="24"/>
        </w:rPr>
        <w:t>Analyses at t</w:t>
      </w:r>
      <w:r w:rsidRPr="00CB0D2B">
        <w:rPr>
          <w:rFonts w:ascii="Times New Roman" w:hAnsi="Times New Roman" w:cs="Times New Roman"/>
          <w:sz w:val="24"/>
          <w:szCs w:val="24"/>
          <w:vertAlign w:val="subscript"/>
        </w:rPr>
        <w:t>3</w:t>
      </w:r>
      <w:r w:rsidRPr="00CB0D2B">
        <w:rPr>
          <w:rFonts w:ascii="Times New Roman" w:hAnsi="Times New Roman" w:cs="Times New Roman"/>
          <w:sz w:val="24"/>
          <w:szCs w:val="24"/>
        </w:rPr>
        <w:t xml:space="preserve"> were completed approximately 33 months following irradiation exposure; and revealed comparable drug assay results between the irradiated and control groups.  All samples for three of the four study drugs analyzed at t</w:t>
      </w:r>
      <w:r w:rsidRPr="00CB0D2B">
        <w:rPr>
          <w:rFonts w:ascii="Times New Roman" w:hAnsi="Times New Roman" w:cs="Times New Roman"/>
          <w:sz w:val="24"/>
          <w:szCs w:val="24"/>
          <w:vertAlign w:val="subscript"/>
        </w:rPr>
        <w:t>3</w:t>
      </w:r>
      <w:r w:rsidRPr="00CB0D2B">
        <w:rPr>
          <w:rFonts w:ascii="Times New Roman" w:hAnsi="Times New Roman" w:cs="Times New Roman"/>
          <w:sz w:val="24"/>
          <w:szCs w:val="24"/>
        </w:rPr>
        <w:t xml:space="preserve"> met USP requirements for potency.  Neither irradiated nor control promethazine drug samples analyzed at t</w:t>
      </w:r>
      <w:r w:rsidRPr="00CB0D2B">
        <w:rPr>
          <w:rFonts w:ascii="Times New Roman" w:hAnsi="Times New Roman" w:cs="Times New Roman"/>
          <w:sz w:val="24"/>
          <w:szCs w:val="24"/>
          <w:vertAlign w:val="subscript"/>
        </w:rPr>
        <w:t>3</w:t>
      </w:r>
      <w:r w:rsidRPr="00CB0D2B">
        <w:rPr>
          <w:rFonts w:ascii="Times New Roman" w:hAnsi="Times New Roman" w:cs="Times New Roman"/>
          <w:sz w:val="24"/>
          <w:szCs w:val="24"/>
        </w:rPr>
        <w:t xml:space="preserve"> met the USP acceptance criteria for potency.  Although all four study drugs had expired prior to t</w:t>
      </w:r>
      <w:r w:rsidRPr="00CB0D2B">
        <w:rPr>
          <w:rFonts w:ascii="Times New Roman" w:hAnsi="Times New Roman" w:cs="Times New Roman"/>
          <w:sz w:val="24"/>
          <w:szCs w:val="24"/>
          <w:vertAlign w:val="subscript"/>
        </w:rPr>
        <w:t>3</w:t>
      </w:r>
      <w:r w:rsidRPr="00CB0D2B">
        <w:rPr>
          <w:rFonts w:ascii="Times New Roman" w:hAnsi="Times New Roman" w:cs="Times New Roman"/>
          <w:sz w:val="24"/>
          <w:szCs w:val="24"/>
        </w:rPr>
        <w:t xml:space="preserve"> analyses, minimal changes to drug stability were observed, which suggests that neither time nor the simulated GCR irradiation resulted in significant degradation of these medications.  </w:t>
      </w:r>
    </w:p>
    <w:p w14:paraId="0A331FFC" w14:textId="77777777" w:rsidR="00CB0D2B" w:rsidRPr="00CB0D2B" w:rsidRDefault="00CB0D2B" w:rsidP="00CB0D2B">
      <w:pPr>
        <w:spacing w:after="0" w:line="240" w:lineRule="auto"/>
        <w:rPr>
          <w:rFonts w:ascii="Times New Roman" w:hAnsi="Times New Roman" w:cs="Times New Roman"/>
          <w:sz w:val="24"/>
          <w:szCs w:val="24"/>
        </w:rPr>
      </w:pPr>
    </w:p>
    <w:p w14:paraId="665EC4BC" w14:textId="77777777" w:rsidR="00CB0D2B" w:rsidRPr="00CB0D2B" w:rsidRDefault="00CB0D2B" w:rsidP="00CB0D2B">
      <w:pPr>
        <w:spacing w:after="0" w:line="240" w:lineRule="auto"/>
        <w:rPr>
          <w:rFonts w:ascii="Times New Roman" w:hAnsi="Times New Roman" w:cs="Times New Roman"/>
          <w:b/>
          <w:bCs/>
          <w:sz w:val="24"/>
          <w:szCs w:val="24"/>
        </w:rPr>
      </w:pPr>
      <w:r w:rsidRPr="00CB0D2B">
        <w:rPr>
          <w:rFonts w:ascii="Times New Roman" w:hAnsi="Times New Roman" w:cs="Times New Roman"/>
          <w:b/>
          <w:bCs/>
          <w:sz w:val="24"/>
          <w:szCs w:val="24"/>
        </w:rPr>
        <w:t>CONCLUSIONS</w:t>
      </w:r>
    </w:p>
    <w:p w14:paraId="698BC937" w14:textId="495BF197" w:rsidR="002A0417" w:rsidRPr="00CB0D2B" w:rsidRDefault="00CB0D2B" w:rsidP="00CB0D2B">
      <w:pPr>
        <w:spacing w:after="0" w:line="240" w:lineRule="auto"/>
        <w:rPr>
          <w:rFonts w:ascii="Times New Roman" w:hAnsi="Times New Roman" w:cs="Times New Roman"/>
          <w:sz w:val="24"/>
          <w:szCs w:val="24"/>
        </w:rPr>
      </w:pPr>
      <w:r w:rsidRPr="00CB0D2B">
        <w:rPr>
          <w:rFonts w:ascii="Times New Roman" w:hAnsi="Times New Roman" w:cs="Times New Roman"/>
          <w:sz w:val="24"/>
          <w:szCs w:val="24"/>
        </w:rPr>
        <w:t>This pilot experiment offers insight into future radiation analog studies' design and their utility for predicting or accurately simulating radiation exposures on pharmaceuticals during exploration spaceflight.</w:t>
      </w:r>
    </w:p>
    <w:sectPr w:rsidR="002A0417" w:rsidRPr="00CB0D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D2B"/>
    <w:rsid w:val="002A0417"/>
    <w:rsid w:val="00CB0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A4A2"/>
  <w15:chartTrackingRefBased/>
  <w15:docId w15:val="{40FE8602-562A-4E2E-AC44-14D0ECD9F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485</Words>
  <Characters>2765</Characters>
  <Application>Microsoft Office Word</Application>
  <DocSecurity>0</DocSecurity>
  <Lines>23</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Daniels, Vernie (JSC-SK)[WYLE LABORATORIES, INC.]</dc:creator>
  <cp:keywords/>
  <dc:description/>
  <cp:lastModifiedBy>Daniels, Vernie (JSC-SK)[WYLE LABORATORIES, INC.]</cp:lastModifiedBy>
  <cp:revision>1</cp:revision>
  <dcterms:created xsi:type="dcterms:W3CDTF">2021-09-27T20:02:00Z</dcterms:created>
  <dcterms:modified xsi:type="dcterms:W3CDTF">2021-09-27T20:10:00Z</dcterms:modified>
</cp:coreProperties>
</file>