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FD4B1" w14:textId="77777777" w:rsidR="002E0C8E" w:rsidRDefault="004B55A1" w:rsidP="00593B87">
      <w:pPr>
        <w:suppressLineNumbers/>
        <w:rPr>
          <w:rFonts w:ascii="Times New Roman" w:eastAsia="Times New Roman" w:hAnsi="Times New Roman" w:cs="Times New Roman"/>
          <w:sz w:val="28"/>
          <w:szCs w:val="28"/>
        </w:rPr>
      </w:pPr>
      <w:r>
        <w:rPr>
          <w:rFonts w:ascii="Times New Roman" w:eastAsia="Times New Roman" w:hAnsi="Times New Roman" w:cs="Times New Roman"/>
          <w:color w:val="3C4043"/>
          <w:sz w:val="28"/>
          <w:szCs w:val="28"/>
          <w:highlight w:val="white"/>
        </w:rPr>
        <w:t>3D Simulations of the Early Martian Hydrological Cycle Mediated by a H</w:t>
      </w:r>
      <w:r>
        <w:rPr>
          <w:rFonts w:ascii="Times New Roman" w:eastAsia="Times New Roman" w:hAnsi="Times New Roman" w:cs="Times New Roman"/>
          <w:color w:val="3C4043"/>
          <w:sz w:val="28"/>
          <w:szCs w:val="28"/>
          <w:highlight w:val="white"/>
          <w:vertAlign w:val="subscript"/>
        </w:rPr>
        <w:t>2</w:t>
      </w:r>
      <w:r>
        <w:rPr>
          <w:rFonts w:ascii="Times New Roman" w:eastAsia="Times New Roman" w:hAnsi="Times New Roman" w:cs="Times New Roman"/>
          <w:color w:val="3C4043"/>
          <w:sz w:val="28"/>
          <w:szCs w:val="28"/>
          <w:highlight w:val="white"/>
        </w:rPr>
        <w:t>-CO</w:t>
      </w:r>
      <w:r>
        <w:rPr>
          <w:rFonts w:ascii="Times New Roman" w:eastAsia="Times New Roman" w:hAnsi="Times New Roman" w:cs="Times New Roman"/>
          <w:color w:val="3C4043"/>
          <w:sz w:val="28"/>
          <w:szCs w:val="28"/>
          <w:highlight w:val="white"/>
          <w:vertAlign w:val="subscript"/>
        </w:rPr>
        <w:t>2</w:t>
      </w:r>
      <w:r>
        <w:rPr>
          <w:rFonts w:ascii="Times New Roman" w:eastAsia="Times New Roman" w:hAnsi="Times New Roman" w:cs="Times New Roman"/>
          <w:color w:val="3C4043"/>
          <w:sz w:val="28"/>
          <w:szCs w:val="28"/>
          <w:highlight w:val="white"/>
        </w:rPr>
        <w:t xml:space="preserve"> Greenhouse</w:t>
      </w:r>
    </w:p>
    <w:p w14:paraId="2F7F7048" w14:textId="77777777" w:rsidR="002E0C8E" w:rsidRDefault="002E0C8E" w:rsidP="00593B87">
      <w:pPr>
        <w:suppressLineNumbers/>
        <w:rPr>
          <w:rFonts w:ascii="Times New Roman" w:eastAsia="Times New Roman" w:hAnsi="Times New Roman" w:cs="Times New Roman"/>
          <w:sz w:val="24"/>
          <w:szCs w:val="24"/>
        </w:rPr>
      </w:pPr>
    </w:p>
    <w:p w14:paraId="470335E0" w14:textId="5274EA61" w:rsidR="002E0C8E" w:rsidRDefault="004B55A1" w:rsidP="00593B87">
      <w:pPr>
        <w:suppressLineNumbers/>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Scott D. Guzewich</w:t>
      </w:r>
      <w:r w:rsidR="00826C68">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w:t>
      </w:r>
      <w:r w:rsidR="0082054F">
        <w:rPr>
          <w:rFonts w:ascii="Times New Roman" w:eastAsia="Times New Roman" w:hAnsi="Times New Roman" w:cs="Times New Roman"/>
          <w:sz w:val="24"/>
          <w:szCs w:val="24"/>
        </w:rPr>
        <w:t xml:space="preserve">M.J. </w:t>
      </w:r>
      <w:r>
        <w:rPr>
          <w:rFonts w:ascii="Times New Roman" w:eastAsia="Times New Roman" w:hAnsi="Times New Roman" w:cs="Times New Roman"/>
          <w:sz w:val="24"/>
          <w:szCs w:val="24"/>
        </w:rPr>
        <w:t>Way</w:t>
      </w:r>
      <w:r w:rsidR="00826C68">
        <w:rPr>
          <w:rFonts w:ascii="Times New Roman" w:eastAsia="Times New Roman" w:hAnsi="Times New Roman" w:cs="Times New Roman"/>
          <w:sz w:val="24"/>
          <w:szCs w:val="24"/>
          <w:vertAlign w:val="superscript"/>
        </w:rPr>
        <w:t>2,3,4</w:t>
      </w:r>
      <w:r>
        <w:rPr>
          <w:rFonts w:ascii="Times New Roman" w:eastAsia="Times New Roman" w:hAnsi="Times New Roman" w:cs="Times New Roman"/>
          <w:sz w:val="24"/>
          <w:szCs w:val="24"/>
        </w:rPr>
        <w:t>, Igor Aleinov</w:t>
      </w:r>
      <w:r w:rsidR="00826C68">
        <w:rPr>
          <w:rFonts w:ascii="Times New Roman" w:eastAsia="Times New Roman" w:hAnsi="Times New Roman" w:cs="Times New Roman"/>
          <w:sz w:val="24"/>
          <w:szCs w:val="24"/>
          <w:vertAlign w:val="superscript"/>
        </w:rPr>
        <w:t>5,2,3</w:t>
      </w:r>
      <w:r>
        <w:rPr>
          <w:rFonts w:ascii="Times New Roman" w:eastAsia="Times New Roman" w:hAnsi="Times New Roman" w:cs="Times New Roman"/>
          <w:sz w:val="24"/>
          <w:szCs w:val="24"/>
        </w:rPr>
        <w:t>, Eric T. Wolf</w:t>
      </w:r>
      <w:r w:rsidR="00826C68">
        <w:rPr>
          <w:rFonts w:ascii="Times New Roman" w:eastAsia="Times New Roman" w:hAnsi="Times New Roman" w:cs="Times New Roman"/>
          <w:sz w:val="24"/>
          <w:szCs w:val="24"/>
          <w:vertAlign w:val="superscript"/>
        </w:rPr>
        <w:t>6,3</w:t>
      </w:r>
      <w:r w:rsidR="0093277E">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Anthony Del Genio</w:t>
      </w:r>
      <w:r w:rsidR="00826C68">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Robin Wordsworth</w:t>
      </w:r>
      <w:r w:rsidR="00826C68">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Kostas Tsigaridis</w:t>
      </w:r>
      <w:r w:rsidR="00826C68">
        <w:rPr>
          <w:rFonts w:ascii="Times New Roman" w:eastAsia="Times New Roman" w:hAnsi="Times New Roman" w:cs="Times New Roman"/>
          <w:sz w:val="24"/>
          <w:szCs w:val="24"/>
          <w:vertAlign w:val="superscript"/>
        </w:rPr>
        <w:t>5,2,3</w:t>
      </w:r>
    </w:p>
    <w:p w14:paraId="521F2375" w14:textId="0FA0312C" w:rsidR="00826C68" w:rsidRDefault="00826C68" w:rsidP="00593B87">
      <w:pPr>
        <w:suppressLineNumbers/>
        <w:rPr>
          <w:rFonts w:ascii="Times New Roman" w:eastAsia="Times New Roman" w:hAnsi="Times New Roman" w:cs="Times New Roman"/>
          <w:sz w:val="24"/>
          <w:szCs w:val="24"/>
          <w:vertAlign w:val="superscript"/>
        </w:rPr>
      </w:pPr>
    </w:p>
    <w:p w14:paraId="02D19198" w14:textId="77777777" w:rsidR="00826C68" w:rsidRPr="00A16D7C" w:rsidRDefault="00826C68" w:rsidP="00826C68">
      <w:pPr>
        <w:suppressLineNumbers/>
        <w:rPr>
          <w:rFonts w:ascii="Times New Roman" w:hAnsi="Times New Roman" w:cs="Times New Roman"/>
          <w:sz w:val="24"/>
          <w:szCs w:val="24"/>
        </w:rPr>
      </w:pPr>
      <w:r w:rsidRPr="00A16D7C">
        <w:rPr>
          <w:rFonts w:ascii="Times New Roman" w:hAnsi="Times New Roman" w:cs="Times New Roman"/>
          <w:sz w:val="24"/>
          <w:szCs w:val="24"/>
          <w:vertAlign w:val="superscript"/>
        </w:rPr>
        <w:t>1</w:t>
      </w:r>
      <w:r w:rsidRPr="00A16D7C">
        <w:rPr>
          <w:rFonts w:ascii="Times New Roman" w:hAnsi="Times New Roman" w:cs="Times New Roman"/>
          <w:sz w:val="24"/>
          <w:szCs w:val="24"/>
        </w:rPr>
        <w:t>NASA Goddard Space Flight Center, Greenbelt, MD, USA 20771</w:t>
      </w:r>
    </w:p>
    <w:p w14:paraId="2B6623ED" w14:textId="4442F338" w:rsidR="00826C68" w:rsidRDefault="00826C68" w:rsidP="00593B87">
      <w:pPr>
        <w:suppressLineNumbers/>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NASA Goddard Institute for Space Studies, New York, NY, USA 10025</w:t>
      </w:r>
    </w:p>
    <w:p w14:paraId="410C3332" w14:textId="12787637" w:rsidR="00826C68" w:rsidRDefault="00826C68" w:rsidP="00593B87">
      <w:pPr>
        <w:suppressLineNumbers/>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NASA GSFC Sellers Exoplanet Environments Collaboration, Greenbelt, MD, USA 20771</w:t>
      </w:r>
    </w:p>
    <w:p w14:paraId="0B4A9B96" w14:textId="325BE82F" w:rsidR="00826C68" w:rsidRDefault="00826C68" w:rsidP="00593B87">
      <w:pPr>
        <w:suppressLineNumbers/>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Theoretical Astrophysics, Department of Physics and Astronomy, Uppsala University, Sweden</w:t>
      </w:r>
    </w:p>
    <w:p w14:paraId="05EB92A7" w14:textId="592D11EE" w:rsidR="00826C68" w:rsidRDefault="00826C68" w:rsidP="00593B87">
      <w:pPr>
        <w:suppressLineNumbers/>
        <w:rPr>
          <w:rFonts w:ascii="Times New Roman" w:eastAsia="Times New Roman" w:hAnsi="Times New Roman" w:cs="Times New Roman"/>
          <w:sz w:val="24"/>
          <w:szCs w:val="24"/>
        </w:rPr>
      </w:pPr>
      <w:r w:rsidRPr="00A16D7C">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Columbia University, New York, NY 10027</w:t>
      </w:r>
    </w:p>
    <w:p w14:paraId="3115C24F" w14:textId="6494EB69" w:rsidR="00826C68" w:rsidRDefault="00826C68" w:rsidP="00593B87">
      <w:pPr>
        <w:suppressLineNumbers/>
        <w:rPr>
          <w:rFonts w:ascii="Times New Roman" w:eastAsia="Times New Roman" w:hAnsi="Times New Roman" w:cs="Times New Roman"/>
          <w:sz w:val="24"/>
          <w:szCs w:val="24"/>
        </w:rPr>
      </w:pPr>
      <w:r w:rsidRPr="00A16D7C">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University of Colorado Boulder, Boulder, CO USA 80303</w:t>
      </w:r>
    </w:p>
    <w:p w14:paraId="26C10CE8" w14:textId="2D84C2AC" w:rsidR="00826C68" w:rsidRDefault="00826C68" w:rsidP="00593B87">
      <w:pPr>
        <w:suppressLineNumbers/>
        <w:rPr>
          <w:rFonts w:ascii="Times New Roman" w:eastAsia="Times New Roman" w:hAnsi="Times New Roman" w:cs="Times New Roman"/>
          <w:sz w:val="24"/>
          <w:szCs w:val="24"/>
        </w:rPr>
      </w:pPr>
      <w:r w:rsidRPr="00A16D7C">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Department of Earth and Planetary Science, Harvard University, Cambridge, MA, USA 02138</w:t>
      </w:r>
    </w:p>
    <w:p w14:paraId="6136A34C" w14:textId="65937B69" w:rsidR="002E0C8E" w:rsidRDefault="0093277E" w:rsidP="00593B87">
      <w:pPr>
        <w:suppressLineNumbers/>
        <w:rPr>
          <w:rFonts w:ascii="Times New Roman" w:eastAsia="Times New Roman" w:hAnsi="Times New Roman" w:cs="Times New Roman"/>
          <w:sz w:val="24"/>
          <w:szCs w:val="24"/>
        </w:rPr>
      </w:pPr>
      <w:r w:rsidRPr="00A16D7C">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NASA Nexus for Exoplanet System Science, Virtual Planetary Laboratory Team, University of Washington, Seattle, Washington, USA, 98195</w:t>
      </w:r>
    </w:p>
    <w:p w14:paraId="65F25757" w14:textId="77777777" w:rsidR="0093277E" w:rsidRDefault="0093277E" w:rsidP="00593B87">
      <w:pPr>
        <w:suppressLineNumbers/>
        <w:rPr>
          <w:rFonts w:ascii="Times New Roman" w:eastAsia="Times New Roman" w:hAnsi="Times New Roman" w:cs="Times New Roman"/>
          <w:sz w:val="24"/>
          <w:szCs w:val="24"/>
        </w:rPr>
      </w:pPr>
    </w:p>
    <w:p w14:paraId="08237B0C" w14:textId="77777777" w:rsidR="002E0C8E" w:rsidRDefault="004B55A1" w:rsidP="00593B87">
      <w:pPr>
        <w:suppressLineNumbers/>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54342611" w14:textId="77777777" w:rsidR="002E0C8E" w:rsidRDefault="002E0C8E" w:rsidP="00593B87">
      <w:pPr>
        <w:suppressLineNumbers/>
        <w:rPr>
          <w:rFonts w:ascii="Times New Roman" w:eastAsia="Times New Roman" w:hAnsi="Times New Roman" w:cs="Times New Roman"/>
          <w:sz w:val="24"/>
          <w:szCs w:val="24"/>
        </w:rPr>
      </w:pPr>
    </w:p>
    <w:p w14:paraId="6FA5488B" w14:textId="468E28DB" w:rsidR="002E0C8E" w:rsidRDefault="004B55A1" w:rsidP="00593B87">
      <w:pPr>
        <w:suppressLineNumber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decades</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scientific community has been trying to reconcile abundant evidence for fluvial activity on Noachian and early Hesperian Mars with the faint young Sun and reasonable constraints on ancient atmospheric pressure and composition.  Recently, the investigation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collision-induced absorption has opened up a new avenue to warm Noachian Mars.  We use the ROCKE-3D global climate model to simulate plausible states of the ancient Martian climate with this absorptive warming and reasonable constraints on surface paleopressure.  We find that 1.5-2 bar </w:t>
      </w:r>
      <w:r w:rsidRPr="004B58D9">
        <w:rPr>
          <w:rFonts w:ascii="Times New Roman" w:eastAsia="Times New Roman" w:hAnsi="Times New Roman" w:cs="Times New Roman"/>
          <w:sz w:val="24"/>
          <w:szCs w:val="24"/>
        </w:rPr>
        <w:t>CO</w:t>
      </w:r>
      <w:r w:rsidRPr="004B58D9">
        <w:rPr>
          <w:rFonts w:ascii="Times New Roman" w:eastAsia="Times New Roman" w:hAnsi="Times New Roman" w:cs="Times New Roman"/>
          <w:sz w:val="24"/>
          <w:szCs w:val="24"/>
          <w:vertAlign w:val="subscript"/>
        </w:rPr>
        <w:t>2</w:t>
      </w:r>
      <w:r w:rsidRPr="004B58D9">
        <w:rPr>
          <w:rFonts w:ascii="Times New Roman" w:eastAsia="Gungsuh" w:hAnsi="Times New Roman" w:cs="Times New Roman"/>
          <w:sz w:val="24"/>
          <w:szCs w:val="24"/>
        </w:rPr>
        <w:t>-dominated atmospheres with ≥3% H</w:t>
      </w:r>
      <w:r w:rsidRPr="004B58D9">
        <w:rPr>
          <w:rFonts w:ascii="Times New Roman" w:eastAsia="Times New Roman" w:hAnsi="Times New Roman" w:cs="Times New Roman"/>
          <w:sz w:val="24"/>
          <w:szCs w:val="24"/>
          <w:vertAlign w:val="subscript"/>
        </w:rPr>
        <w:t>2</w:t>
      </w:r>
      <w:r w:rsidRPr="004B58D9">
        <w:rPr>
          <w:rFonts w:ascii="Times New Roman" w:eastAsia="Times New Roman" w:hAnsi="Times New Roman" w:cs="Times New Roman"/>
          <w:sz w:val="24"/>
          <w:szCs w:val="24"/>
        </w:rPr>
        <w:t xml:space="preserve"> can produce</w:t>
      </w:r>
      <w:r>
        <w:rPr>
          <w:rFonts w:ascii="Times New Roman" w:eastAsia="Times New Roman" w:hAnsi="Times New Roman" w:cs="Times New Roman"/>
          <w:sz w:val="24"/>
          <w:szCs w:val="24"/>
        </w:rPr>
        <w:t xml:space="preserve"> global mean surface temperatures above freezing, while also providing sufficient warming to avoid surface atmospheric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condensation at 0°-45° obliquity.  Simulations conducted with both modern topography and a paleotopography, before Tharsis formed, highlight the importance of Tharsis as a cold trap for water on the planet.  Additionally, we find that low obliquity (modern and 0°) is more conducive to rainfall over valley network locations than high (45°) obliquity.         </w:t>
      </w:r>
    </w:p>
    <w:p w14:paraId="56C23498" w14:textId="265684EA" w:rsidR="00734498" w:rsidRDefault="00734498" w:rsidP="00593B87">
      <w:pPr>
        <w:suppressLineNumbers/>
        <w:spacing w:line="480" w:lineRule="auto"/>
        <w:jc w:val="both"/>
        <w:rPr>
          <w:rFonts w:ascii="Times New Roman" w:eastAsia="Times New Roman" w:hAnsi="Times New Roman" w:cs="Times New Roman"/>
          <w:sz w:val="24"/>
          <w:szCs w:val="24"/>
        </w:rPr>
      </w:pPr>
    </w:p>
    <w:p w14:paraId="6035C73E" w14:textId="097F7347" w:rsidR="00734498" w:rsidRDefault="00734498" w:rsidP="00593B87">
      <w:pPr>
        <w:suppressLineNumber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PLAIN LANGUAGE SUMMARY</w:t>
      </w:r>
    </w:p>
    <w:p w14:paraId="79762BFA" w14:textId="454ECDB7" w:rsidR="00734498" w:rsidRDefault="00734498" w:rsidP="00593B87">
      <w:pPr>
        <w:suppressLineNumbers/>
        <w:spacing w:line="480" w:lineRule="auto"/>
        <w:jc w:val="both"/>
        <w:rPr>
          <w:rFonts w:ascii="Times New Roman" w:eastAsia="Times New Roman" w:hAnsi="Times New Roman" w:cs="Times New Roman"/>
          <w:sz w:val="24"/>
          <w:szCs w:val="24"/>
        </w:rPr>
      </w:pPr>
      <w:r w:rsidRPr="00734498">
        <w:rPr>
          <w:rFonts w:ascii="Times New Roman" w:eastAsia="Times New Roman" w:hAnsi="Times New Roman" w:cs="Times New Roman"/>
          <w:sz w:val="24"/>
          <w:szCs w:val="24"/>
        </w:rPr>
        <w:t>Much evidence tells us that ancient Mars had liquid water on its surface.  But reconciling that with the fainter young Sun and reasonable constraints on Mars' early atmosphere is challenging.  We use a 3D global climate model with an atmosphere containing some amount of hydrogen (a possible greenhouse gas) to study Mars' early hydrological cycle and compare it to the geological evidence of surface liquid water billions of years ago.  We find that hydrogen and carbon dioxide together in an atmosphere twice as thick as modern Earth can warm early Mars above the freezing point of water and that a low axial tilt produces rainfall patterns that best match the geologic evidence.</w:t>
      </w:r>
    </w:p>
    <w:p w14:paraId="32DCEBB1" w14:textId="77777777" w:rsidR="002E0C8E" w:rsidRDefault="002E0C8E" w:rsidP="00593B87">
      <w:pPr>
        <w:suppressLineNumbers/>
        <w:rPr>
          <w:rFonts w:ascii="Times New Roman" w:eastAsia="Times New Roman" w:hAnsi="Times New Roman" w:cs="Times New Roman"/>
          <w:sz w:val="24"/>
          <w:szCs w:val="24"/>
        </w:rPr>
      </w:pPr>
    </w:p>
    <w:p w14:paraId="604AAE0E" w14:textId="77777777" w:rsidR="002E0C8E" w:rsidRDefault="004B55A1">
      <w:pPr>
        <w:numPr>
          <w:ilvl w:val="0"/>
          <w:numId w:val="1"/>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2C04373D" w14:textId="77777777" w:rsidR="002E0C8E" w:rsidRDefault="002E0C8E">
      <w:pPr>
        <w:ind w:left="720"/>
        <w:rPr>
          <w:rFonts w:ascii="Times New Roman" w:eastAsia="Times New Roman" w:hAnsi="Times New Roman" w:cs="Times New Roman"/>
          <w:sz w:val="24"/>
          <w:szCs w:val="24"/>
        </w:rPr>
      </w:pPr>
    </w:p>
    <w:p w14:paraId="38C7E512"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Abundant geologic evidence strongly implies that surface liquid water was widespread on ancient Mars approximately 3.5-4 billion years ago, in the time period termed the Noachian.  Such evidence includes riverine channels (e.g., Masursky, 1973; Pieri, 1980; Hynek and Phillips, 2001; Hynek et al., 2010), craters filled with sedimentary deposits and including inflow and outflow channels (e.g., Irwin et al., 2005; Fasset and Head, 2005; Schon et al., 2012), minerals that only form in the presence of liquid water (e.g., Murchie et al., 2009; Ehlmann et al., 2011; Carter et al., 2013), and features implying aqueous erosion (e.g., Carr, 1996; Malin and Edgett, 2000).  </w:t>
      </w:r>
    </w:p>
    <w:p w14:paraId="67ABA912" w14:textId="6CB904B8"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to deduce what climatic conditions were possible to produce such geologic evidence has been ongoing for decades</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Wordsworth (2016) provides a recent review of the state of knowledge.  One-dimensional radiative-convective models were initially used (e.g., Pollack, 1979; Pollack et al., 1987) and habitable conditions (typically defined as global mean surface temperatures above </w:t>
      </w:r>
      <w:r w:rsidR="00D442FB">
        <w:rPr>
          <w:rFonts w:ascii="Times New Roman" w:eastAsia="Times New Roman" w:hAnsi="Times New Roman" w:cs="Times New Roman"/>
          <w:sz w:val="24"/>
          <w:szCs w:val="24"/>
        </w:rPr>
        <w:t>0°C</w:t>
      </w:r>
      <w:r>
        <w:rPr>
          <w:rFonts w:ascii="Times New Roman" w:eastAsia="Times New Roman" w:hAnsi="Times New Roman" w:cs="Times New Roman"/>
          <w:sz w:val="24"/>
          <w:szCs w:val="24"/>
        </w:rPr>
        <w:t>) were generated with sufficiently large surface air pressures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-dominated atmospheres, even with the ~25% dimmer young Sun, although not in all models (e.g., </w:t>
      </w:r>
      <w:r>
        <w:rPr>
          <w:rFonts w:ascii="Times New Roman" w:eastAsia="Times New Roman" w:hAnsi="Times New Roman" w:cs="Times New Roman"/>
          <w:sz w:val="24"/>
          <w:szCs w:val="24"/>
        </w:rPr>
        <w:lastRenderedPageBreak/>
        <w:t>Postawko and Kuhn, 1986).   Kasting (1991) showed that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atmospheres alone were insufficient to warm ancient Mars due to increased Rayleigh scattering at high pressure and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ice condensation on the surface.  Increasing sophistication of the models (e.g., incorporation of cloud effects) over time and doubts about the plausibility of very thick (&gt;2 bar) atmospheres made reconciling the geologic evidence challenging.  A plethora of greenhouse mixtures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cirrus clouds, and others) have been proposed, but all have unique problems being retained in a putative ancient atmosphere (e.g., Kuhn and Atreya, 1979; Kasting, 1997; Tian et al., 2010; Urata and Toon, 2013; Mischna et al., 2015; Kerber et al., 2015; Turbet et al. 2020a).  More recently, indirect evidence (e.g., crater counting statistics) has implied that the ancient martian atmospheric pressure was likely less than 1 bar, with perhaps 2 bar being consistent with the data, at least for geologically short time periods (Cassata et al., 2012; Manga et al., 2012; Kite et al., 2014; Warren et al., 2019).  </w:t>
      </w:r>
    </w:p>
    <w:p w14:paraId="3F8206F5" w14:textId="276BE8A8"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Limiting ancient martian atmospheric pressure to terrestrial-comparable levels in combination with the Faint Young Sun presents a strong challenge to long-term (i.e., tens to hundreds of millions of years) “warm and wet” conditions.  More punctuated and brief warm climate periods interspersed with cold and dry conditions (perhaps with seasonal melting) also may fit some of the geologic evidence while also being consistent with Mars general circulation models (Fastook et al., 2012; Wordsworth et al., 2013; Fastook and Head, 2015; Cassenelli and Head, 2015; Wordsworth et al., 2015).  Yet, some geologic evidence (e.g., Williams et al., 2013, Grant et al., 2014; Grotzinger et al., 2014; Kite et al., 2017) still requires some persistent duration of warm and wet conditions.  Recently,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has been offered as another possible greenhouse gas (</w:t>
      </w:r>
      <w:r>
        <w:rPr>
          <w:rFonts w:ascii="Times New Roman" w:eastAsia="Times New Roman" w:hAnsi="Times New Roman" w:cs="Times New Roman"/>
          <w:sz w:val="24"/>
          <w:szCs w:val="24"/>
          <w:highlight w:val="white"/>
        </w:rPr>
        <w:t>Wordsworth and Pierrehumbert, 2013</w:t>
      </w:r>
      <w:r>
        <w:rPr>
          <w:rFonts w:ascii="Roboto" w:eastAsia="Roboto" w:hAnsi="Roboto" w:cs="Roboto"/>
          <w:color w:val="666666"/>
          <w:sz w:val="18"/>
          <w:szCs w:val="18"/>
          <w:highlight w:val="white"/>
        </w:rPr>
        <w:t xml:space="preserve">; </w:t>
      </w:r>
      <w:r>
        <w:rPr>
          <w:rFonts w:ascii="Times New Roman" w:eastAsia="Times New Roman" w:hAnsi="Times New Roman" w:cs="Times New Roman"/>
          <w:sz w:val="24"/>
          <w:szCs w:val="24"/>
        </w:rPr>
        <w:t>Ramirez et al., 2014).  Importantly, collision-induced absorption (CIA) between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and CO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has been shown to be efficacious at generating considerable </w:t>
      </w:r>
      <w:r>
        <w:rPr>
          <w:rFonts w:ascii="Times New Roman" w:eastAsia="Times New Roman" w:hAnsi="Times New Roman" w:cs="Times New Roman"/>
          <w:sz w:val="24"/>
          <w:szCs w:val="24"/>
        </w:rPr>
        <w:lastRenderedPageBreak/>
        <w:t xml:space="preserve">warming through </w:t>
      </w:r>
      <w:r>
        <w:rPr>
          <w:rFonts w:ascii="Times New Roman" w:eastAsia="Times New Roman" w:hAnsi="Times New Roman" w:cs="Times New Roman"/>
          <w:i/>
          <w:sz w:val="24"/>
          <w:szCs w:val="24"/>
        </w:rPr>
        <w:t xml:space="preserve">ab initio </w:t>
      </w:r>
      <w:r>
        <w:rPr>
          <w:rFonts w:ascii="Times New Roman" w:eastAsia="Times New Roman" w:hAnsi="Times New Roman" w:cs="Times New Roman"/>
          <w:sz w:val="24"/>
          <w:szCs w:val="24"/>
        </w:rPr>
        <w:t>calculations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(Wordsworth et al., 2017) and experiments (Turbet et al., 2019, 2020</w:t>
      </w:r>
      <w:r w:rsidR="006F295F">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Godin et al., 2020; Mondelain et al., 2021), although the experimental results demonstrate slightly more modest absorption than the </w:t>
      </w:r>
      <w:r>
        <w:rPr>
          <w:rFonts w:ascii="Times New Roman" w:eastAsia="Times New Roman" w:hAnsi="Times New Roman" w:cs="Times New Roman"/>
          <w:i/>
          <w:sz w:val="24"/>
          <w:szCs w:val="24"/>
        </w:rPr>
        <w:t xml:space="preserve">ab initio </w:t>
      </w:r>
      <w:r>
        <w:rPr>
          <w:rFonts w:ascii="Times New Roman" w:eastAsia="Times New Roman" w:hAnsi="Times New Roman" w:cs="Times New Roman"/>
          <w:sz w:val="24"/>
          <w:szCs w:val="24"/>
        </w:rPr>
        <w:t xml:space="preserve">calculations.  </w:t>
      </w:r>
    </w:p>
    <w:p w14:paraId="7A51C2A9" w14:textId="5E1C8D7D"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One-dimensional climate models including CIA between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generate global mean surface temperatures above the freezing point of water for reasonable atmospheric pressures during the Noachian period (Ramirez et al., 2014; Batalha et al., 2015; Wordsworth et al., 2017; Hayworth et al., 2020).  Three-dimensional general circulation models (GCMs) have also begun experiments including such CIA absorption (Kamada et al., 2020).  One challenge that remains</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is retaining comparatively large partial pressures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which should have escaped rapidly during a time period when the Sun was more active (e.g., Jakosky et al., 2018).  Ramirez et al. (2014) suggested the martian mantle may be more reduced and thus emit more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relative to Earth, while still producing CO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through chemical processes in the atmosphere (see Hirschmann and Withers (2008)</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impl</w:t>
      </w:r>
      <w:r w:rsidR="00B63E21">
        <w:rPr>
          <w:rFonts w:ascii="Times New Roman" w:eastAsia="Times New Roman" w:hAnsi="Times New Roman" w:cs="Times New Roman"/>
          <w:sz w:val="24"/>
          <w:szCs w:val="24"/>
        </w:rPr>
        <w:t>ies</w:t>
      </w:r>
      <w:r>
        <w:rPr>
          <w:rFonts w:ascii="Times New Roman" w:eastAsia="Times New Roman" w:hAnsi="Times New Roman" w:cs="Times New Roman"/>
          <w:sz w:val="24"/>
          <w:szCs w:val="24"/>
        </w:rPr>
        <w:t xml:space="preserve"> reduced CO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outgassing from a reduced mantle).  Water-rock chemical reactions (particularly with iron-bearing materials) could have generated substantial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fluxes (Hurowitz et al., 2010; Tarnas et al., 2018; Tosca et al., 2018).  Haberle et al. (2019) suggests that iron-rich meteorites impacting Mars would have degassed abundant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creating large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partial pressures for short durations (up to 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years for 100</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km</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sized objects) following the impact.  </w:t>
      </w:r>
    </w:p>
    <w:p w14:paraId="2DA5CF8C"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work, we examine two science questions related to the early martian climate:</w:t>
      </w:r>
    </w:p>
    <w:p w14:paraId="4D17F4F7" w14:textId="77777777" w:rsidR="002E0C8E" w:rsidRDefault="004B55A1">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range of atmospheric pressure and greenhouse gas mixtures can permit global mean annual surface temperatures above the freezing point of water?</w:t>
      </w:r>
    </w:p>
    <w:p w14:paraId="2B1D9008" w14:textId="77777777" w:rsidR="002E0C8E" w:rsidRDefault="004B55A1">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fate of liquid water on the surface of ancient Mars?  </w:t>
      </w:r>
    </w:p>
    <w:p w14:paraId="282B56C1" w14:textId="461F43CF"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have performed a range of GCM simulations with the Resolving Orbital and Climate Keys of Earth and Extraterrestrial Environments with Dynamics 1.0 (ROCKE-3D) general circulation model to study these questions.  Our radiative transfer model employs the CIA absorption as described by Wordsworth et al. (2017)</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is flexible enough to allow varying surface pressures, gas mixtures, and global water inventories.  In Section 2 we describe our methodologies and the radiative transfer scheme in detail.  In Section 3 we present and discuss our results.  Finally, in Section 4 we conclude.  </w:t>
      </w:r>
    </w:p>
    <w:p w14:paraId="21ABE768" w14:textId="77777777" w:rsidR="002E0C8E" w:rsidRDefault="002E0C8E">
      <w:pPr>
        <w:jc w:val="both"/>
        <w:rPr>
          <w:rFonts w:ascii="Times New Roman" w:eastAsia="Times New Roman" w:hAnsi="Times New Roman" w:cs="Times New Roman"/>
          <w:sz w:val="24"/>
          <w:szCs w:val="24"/>
        </w:rPr>
      </w:pPr>
    </w:p>
    <w:p w14:paraId="5AD94A96" w14:textId="77777777" w:rsidR="002E0C8E" w:rsidRDefault="004B55A1">
      <w:pPr>
        <w:numPr>
          <w:ilvl w:val="0"/>
          <w:numId w:val="1"/>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w:t>
      </w:r>
    </w:p>
    <w:p w14:paraId="5D0F331C" w14:textId="77777777" w:rsidR="002E0C8E" w:rsidRDefault="002E0C8E">
      <w:pPr>
        <w:ind w:left="720"/>
        <w:jc w:val="both"/>
        <w:rPr>
          <w:rFonts w:ascii="Times New Roman" w:eastAsia="Times New Roman" w:hAnsi="Times New Roman" w:cs="Times New Roman"/>
          <w:sz w:val="24"/>
          <w:szCs w:val="24"/>
        </w:rPr>
      </w:pPr>
    </w:p>
    <w:p w14:paraId="2B28921D" w14:textId="086CE70E"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employ the ROCKE-3D GCM for our simulations.  Way et al. (2017) describes the </w:t>
      </w:r>
      <w:r w:rsidR="00A324CA">
        <w:rPr>
          <w:rFonts w:ascii="Times New Roman" w:eastAsia="Times New Roman" w:hAnsi="Times New Roman" w:cs="Times New Roman"/>
          <w:sz w:val="24"/>
          <w:szCs w:val="24"/>
        </w:rPr>
        <w:t xml:space="preserve">physics parameterizations and </w:t>
      </w:r>
      <w:r>
        <w:rPr>
          <w:rFonts w:ascii="Times New Roman" w:eastAsia="Times New Roman" w:hAnsi="Times New Roman" w:cs="Times New Roman"/>
          <w:sz w:val="24"/>
          <w:szCs w:val="24"/>
        </w:rPr>
        <w:t xml:space="preserve">broad capabilities of ROCKE-3D to simulate rocky planet atmospheres both in and out of the Solar System.  Within the Solar System, ROCKE-3D has been used to study possible paleo-environments of early Venus (Way et al., 2016; Way and Del Genio, 2020) and transient atmospheres on Earth’s </w:t>
      </w:r>
      <w:r w:rsidR="00B63E21">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oon (Aleinov et al., 2019).  ROCKE-3D is freely available for download at </w:t>
      </w:r>
      <w:hyperlink r:id="rId7">
        <w:r>
          <w:rPr>
            <w:rFonts w:ascii="Times New Roman" w:eastAsia="Times New Roman" w:hAnsi="Times New Roman" w:cs="Times New Roman"/>
            <w:color w:val="1155CC"/>
            <w:sz w:val="24"/>
            <w:szCs w:val="24"/>
            <w:u w:val="single"/>
          </w:rPr>
          <w:t>https://simplex.giss.nasa.gov/gcm/ROCKE-3D/</w:t>
        </w:r>
      </w:hyperlink>
      <w:r w:rsidR="00B63E21">
        <w:rPr>
          <w:rFonts w:ascii="Times New Roman" w:eastAsia="Times New Roman" w:hAnsi="Times New Roman" w:cs="Times New Roman"/>
          <w:color w:val="1155CC"/>
          <w:sz w:val="24"/>
          <w:szCs w:val="24"/>
          <w:u w:val="single"/>
        </w:rPr>
        <w:t>,</w:t>
      </w:r>
      <w:r>
        <w:rPr>
          <w:rFonts w:ascii="Times New Roman" w:eastAsia="Times New Roman" w:hAnsi="Times New Roman" w:cs="Times New Roman"/>
          <w:sz w:val="24"/>
          <w:szCs w:val="24"/>
        </w:rPr>
        <w:t xml:space="preserve"> and instructions for setup and testing are provided.    </w:t>
      </w:r>
    </w:p>
    <w:p w14:paraId="4E7A2D50" w14:textId="1F620984"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ROCKE-3D has heritage from the NASA Goddard Institute for Space Studies ModelE2 and employs many facets of that terrestrial climate model, including the dynamical core and many physical parameterizations (e.g., water ice cloud physics,</w:t>
      </w:r>
      <w:r w:rsidR="00A324CA">
        <w:rPr>
          <w:rFonts w:ascii="Times New Roman" w:eastAsia="Times New Roman" w:hAnsi="Times New Roman" w:cs="Times New Roman"/>
          <w:sz w:val="24"/>
          <w:szCs w:val="24"/>
        </w:rPr>
        <w:t xml:space="preserve"> fractional stratiform cloud cover and cumulus </w:t>
      </w:r>
      <w:r w:rsidR="00321ECB">
        <w:rPr>
          <w:rFonts w:ascii="Times New Roman" w:eastAsia="Times New Roman" w:hAnsi="Times New Roman" w:cs="Times New Roman"/>
          <w:sz w:val="24"/>
          <w:szCs w:val="24"/>
        </w:rPr>
        <w:t>parametrizations</w:t>
      </w:r>
      <w:r w:rsidR="00A324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surface and subsurface runoff, ocean dynamics, etc.).  As a GCM designed to simulate hypothetical exoplanet environments and ancient conditions in our Solar System, several modifications were required in the transition from ModelE2 to ROCKE-3D.  First among these is the adoption of the Suite of Community Radiative Transfer codes (SOCRATES) radiation scheme </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e.g., Amundsen et al., 2016</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that is adaptable to non-terrestrial gas mixtures, </w:t>
      </w:r>
      <w:r>
        <w:rPr>
          <w:rFonts w:ascii="Times New Roman" w:eastAsia="Times New Roman" w:hAnsi="Times New Roman" w:cs="Times New Roman"/>
          <w:sz w:val="24"/>
          <w:szCs w:val="24"/>
        </w:rPr>
        <w:lastRenderedPageBreak/>
        <w:t xml:space="preserve">varying stellar insolation, and stellar type.  SOCRATES uses a two-stream radiative transfer solver with correlated-k distributions to solve for shortwave and longwave absorption and scattering  </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Edwards 1996; Edwards and Slingo, 1996</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SOCRATES can be flexibly configured to suit particular atmospheric gas mixtures, stellar </w:t>
      </w:r>
      <w:r w:rsidR="0082054F">
        <w:rPr>
          <w:rFonts w:ascii="Times New Roman" w:eastAsia="Times New Roman" w:hAnsi="Times New Roman" w:cs="Times New Roman"/>
          <w:sz w:val="24"/>
          <w:szCs w:val="24"/>
        </w:rPr>
        <w:t>spectra</w:t>
      </w:r>
      <w:r>
        <w:rPr>
          <w:rFonts w:ascii="Times New Roman" w:eastAsia="Times New Roman" w:hAnsi="Times New Roman" w:cs="Times New Roman"/>
          <w:sz w:val="24"/>
          <w:szCs w:val="24"/>
        </w:rPr>
        <w:t>, and spectral resolutions. Here, SOCRATES has been configured specifically for paleo Mars atmospheres, suitable for multi-bar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dominated atmospheres, along with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lesser amounts.  Gas absorption is included via the current best practices.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line absorption is included with a sub-Lorentizian line shape truncated at 500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from the line centers.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and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line absorption assumes a Voigt profile truncated at 25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from the line centers.  The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self</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foreign</w:t>
      </w:r>
      <w:r w:rsidR="00B63E21">
        <w:rPr>
          <w:rFonts w:ascii="Times New Roman" w:eastAsia="Times New Roman" w:hAnsi="Times New Roman" w:cs="Times New Roman"/>
          <w:sz w:val="24"/>
          <w:szCs w:val="24"/>
        </w:rPr>
        <w:t>-</w:t>
      </w:r>
      <w:r>
        <w:rPr>
          <w:rFonts w:ascii="Times New Roman" w:eastAsia="Times New Roman" w:hAnsi="Times New Roman" w:cs="Times New Roman"/>
          <w:sz w:val="24"/>
          <w:szCs w:val="24"/>
        </w:rPr>
        <w:t>broadened continua are included using the MT_CKD version 3.0 continuum model (Clough et al. 2005), and collision induced absorption (CIA) for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other important pairs are also included.  </w:t>
      </w:r>
    </w:p>
    <w:p w14:paraId="40293A8B" w14:textId="0F13BE69"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1 shows the input stellar spectrum used in this work, taken as the Sun spectrum at 3.8 Ga from Claire et al. (2012) with the spectral scaling calibrated to Lean et al. (1995), and with the total solar flux scaled to Mars at this time period (442 Wm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Our Sun has slowly brightened over time (Gough, 1981), and at 3.8 Ga the Sun was only ~75% as luminous as it is today.    Also, at this time period, the Sun was slightly redder, with an effective temperature about ~100 K cooler than it is today (Claire et al., 2012).  The result of the effective temperature change is that slightly more radiation is emitted in the near-infrared compared to the visible, relative to the present-day Sun.  In practice, assuming an identical incident stellar flux, the downwelling stellar flux that reaches the surface through a nominal early Mars-like atmosphere is lessened by only a few tenths of </w:t>
      </w:r>
      <w:r w:rsidR="00B63E2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Wm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compared to the using the present-day Sun spectrum.  Overlaid on Figure 1 are the 46 shortwave bands used in our model.  Previous works have shown that adequate shortwave radiative transfer performance requires resolving absorption bands and windows in the near-infrared (Yang </w:t>
      </w:r>
      <w:r>
        <w:rPr>
          <w:rFonts w:ascii="Times New Roman" w:eastAsia="Times New Roman" w:hAnsi="Times New Roman" w:cs="Times New Roman"/>
          <w:sz w:val="24"/>
          <w:szCs w:val="24"/>
        </w:rPr>
        <w:lastRenderedPageBreak/>
        <w:t>et al. 2016).  Thus, 46 bands were used to parse out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absorption in this spectral region.</w:t>
      </w:r>
    </w:p>
    <w:p w14:paraId="08B7B03B" w14:textId="77777777" w:rsidR="002E0C8E" w:rsidRDefault="004B55A1">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B34C34B" wp14:editId="5234D655">
            <wp:extent cx="5943600" cy="322580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5943600" cy="3225800"/>
                    </a:xfrm>
                    <a:prstGeom prst="rect">
                      <a:avLst/>
                    </a:prstGeom>
                    <a:ln/>
                  </pic:spPr>
                </pic:pic>
              </a:graphicData>
            </a:graphic>
          </wp:inline>
        </w:drawing>
      </w:r>
    </w:p>
    <w:p w14:paraId="09F070B9" w14:textId="77777777" w:rsidR="002E0C8E" w:rsidRDefault="004B55A1">
      <w:pPr>
        <w:spacing w:line="480" w:lineRule="auto"/>
        <w:ind w:firstLine="720"/>
        <w:jc w:val="both"/>
        <w:rPr>
          <w:sz w:val="24"/>
          <w:szCs w:val="24"/>
        </w:rPr>
      </w:pPr>
      <w:r>
        <w:rPr>
          <w:sz w:val="24"/>
          <w:szCs w:val="24"/>
        </w:rPr>
        <w:t>Figure 1:  The stellar spectrum at 3.8 Ga (orange) along with the 46-band discretization of this stellar spectrum used in our SOCRATES shortwave radiative transfer calculation (black).</w:t>
      </w:r>
    </w:p>
    <w:p w14:paraId="68211FE7" w14:textId="79837845" w:rsidR="002E0C8E" w:rsidRPr="00DD4BEF" w:rsidRDefault="00AF5998">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longwave bands also account for CO</w:t>
      </w:r>
      <w:r w:rsidRPr="00EF09FF">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w:t>
      </w:r>
      <w:r w:rsidRPr="00EF09FF">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CH</w:t>
      </w:r>
      <w:r w:rsidRPr="00EF09FF">
        <w:rPr>
          <w:rFonts w:ascii="Times New Roman" w:eastAsia="Times New Roman" w:hAnsi="Times New Roman" w:cs="Times New Roman"/>
          <w:sz w:val="24"/>
          <w:szCs w:val="24"/>
          <w:vertAlign w:val="subscript"/>
        </w:rPr>
        <w:t>4</w:t>
      </w:r>
      <w:r w:rsidR="004F3E58">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 xml:space="preserve"> and the collision-induced absorption coefficients.  </w:t>
      </w:r>
      <w:r w:rsidR="004B55A1">
        <w:rPr>
          <w:rFonts w:ascii="Times New Roman" w:eastAsia="Times New Roman" w:hAnsi="Times New Roman" w:cs="Times New Roman"/>
          <w:sz w:val="24"/>
          <w:szCs w:val="24"/>
        </w:rPr>
        <w:t xml:space="preserve">Figure 2 illustrates </w:t>
      </w:r>
      <w:r w:rsidR="00B63E21">
        <w:rPr>
          <w:rFonts w:ascii="Times New Roman" w:eastAsia="Times New Roman" w:hAnsi="Times New Roman" w:cs="Times New Roman"/>
          <w:sz w:val="24"/>
          <w:szCs w:val="24"/>
        </w:rPr>
        <w:t xml:space="preserve">an example of </w:t>
      </w:r>
      <w:r w:rsidR="004B55A1">
        <w:rPr>
          <w:rFonts w:ascii="Times New Roman" w:eastAsia="Times New Roman" w:hAnsi="Times New Roman" w:cs="Times New Roman"/>
          <w:sz w:val="24"/>
          <w:szCs w:val="24"/>
        </w:rPr>
        <w:t>the longwave performance of our ra</w:t>
      </w:r>
      <w:r>
        <w:rPr>
          <w:rFonts w:ascii="Times New Roman" w:eastAsia="Times New Roman" w:hAnsi="Times New Roman" w:cs="Times New Roman"/>
          <w:sz w:val="24"/>
          <w:szCs w:val="24"/>
        </w:rPr>
        <w:t>d</w:t>
      </w:r>
      <w:r w:rsidR="004B55A1">
        <w:rPr>
          <w:rFonts w:ascii="Times New Roman" w:eastAsia="Times New Roman" w:hAnsi="Times New Roman" w:cs="Times New Roman"/>
          <w:sz w:val="24"/>
          <w:szCs w:val="24"/>
        </w:rPr>
        <w:t>iative transfer model</w:t>
      </w:r>
      <w:r w:rsidR="00B63E21">
        <w:rPr>
          <w:rFonts w:ascii="Times New Roman" w:eastAsia="Times New Roman" w:hAnsi="Times New Roman" w:cs="Times New Roman"/>
          <w:sz w:val="24"/>
          <w:szCs w:val="24"/>
        </w:rPr>
        <w:t xml:space="preserve"> </w:t>
      </w:r>
      <w:r w:rsidR="0082054F">
        <w:rPr>
          <w:rFonts w:ascii="Times New Roman" w:eastAsia="Times New Roman" w:hAnsi="Times New Roman" w:cs="Times New Roman"/>
          <w:sz w:val="24"/>
          <w:szCs w:val="24"/>
        </w:rPr>
        <w:t>restricted to</w:t>
      </w:r>
      <w:r w:rsidR="00B63E21">
        <w:rPr>
          <w:rFonts w:ascii="Times New Roman" w:eastAsia="Times New Roman" w:hAnsi="Times New Roman" w:cs="Times New Roman"/>
          <w:sz w:val="24"/>
          <w:szCs w:val="24"/>
        </w:rPr>
        <w:t xml:space="preserve"> CO</w:t>
      </w:r>
      <w:r w:rsidR="00B63E2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Here, duplicating previously published calculations, we assume a 2-bar pure CO</w:t>
      </w:r>
      <w:r w:rsidR="004B55A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xml:space="preserve"> atmosphere with a 250 K surface temperature, a dry adiabatic lapse rate, and a 167 K isothermal stratosphere.  We compare radiative transfer calculations from SOCRATES using the GCM resolution (16 bands), a high-resolution configuration of SOCRATES (350 bands), and also with published calculations using SMART (see Kopparapu et al. 2013, Fig. 1).  Our SOCRATES calculations, both with the GCM resolution and high-resolution versions, underestimate CO</w:t>
      </w:r>
      <w:r w:rsidR="004B55A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xml:space="preserve"> absorption thus allowing more outgoing longwave radiation (OLR) by ~</w:t>
      </w:r>
      <w:r w:rsidR="00DD4BEF">
        <w:rPr>
          <w:rFonts w:ascii="Times New Roman" w:eastAsia="Times New Roman" w:hAnsi="Times New Roman" w:cs="Times New Roman"/>
          <w:sz w:val="24"/>
          <w:szCs w:val="24"/>
        </w:rPr>
        <w:t>7.5</w:t>
      </w:r>
      <w:r w:rsidR="004B55A1">
        <w:rPr>
          <w:rFonts w:ascii="Times New Roman" w:eastAsia="Times New Roman" w:hAnsi="Times New Roman" w:cs="Times New Roman"/>
          <w:sz w:val="24"/>
          <w:szCs w:val="24"/>
        </w:rPr>
        <w:t xml:space="preserve"> Wm</w:t>
      </w:r>
      <w:r w:rsidR="004B55A1">
        <w:rPr>
          <w:rFonts w:ascii="Times New Roman" w:eastAsia="Times New Roman" w:hAnsi="Times New Roman" w:cs="Times New Roman"/>
          <w:sz w:val="24"/>
          <w:szCs w:val="24"/>
          <w:vertAlign w:val="superscript"/>
        </w:rPr>
        <w:t xml:space="preserve">-2 </w:t>
      </w:r>
      <w:r w:rsidR="004B55A1">
        <w:rPr>
          <w:rFonts w:ascii="Times New Roman" w:eastAsia="Times New Roman" w:hAnsi="Times New Roman" w:cs="Times New Roman"/>
          <w:sz w:val="24"/>
          <w:szCs w:val="24"/>
        </w:rPr>
        <w:t xml:space="preserve">compared with </w:t>
      </w:r>
      <w:r w:rsidR="004B55A1">
        <w:rPr>
          <w:rFonts w:ascii="Times New Roman" w:eastAsia="Times New Roman" w:hAnsi="Times New Roman" w:cs="Times New Roman"/>
          <w:sz w:val="24"/>
          <w:szCs w:val="24"/>
        </w:rPr>
        <w:lastRenderedPageBreak/>
        <w:t>SMART calculations at 88.5  Wm</w:t>
      </w:r>
      <w:r w:rsidR="004B55A1">
        <w:rPr>
          <w:rFonts w:ascii="Times New Roman" w:eastAsia="Times New Roman" w:hAnsi="Times New Roman" w:cs="Times New Roman"/>
          <w:sz w:val="24"/>
          <w:szCs w:val="24"/>
          <w:vertAlign w:val="superscript"/>
        </w:rPr>
        <w:t>-2</w:t>
      </w:r>
      <w:r w:rsidR="004B55A1">
        <w:rPr>
          <w:rFonts w:ascii="Times New Roman" w:eastAsia="Times New Roman" w:hAnsi="Times New Roman" w:cs="Times New Roman"/>
          <w:sz w:val="24"/>
          <w:szCs w:val="24"/>
        </w:rPr>
        <w:t>.  Identical calculations conducted by Wordsworth et al. (2010) using a two-stream correlated-k approach indicate an OLR of 88.17 Wm</w:t>
      </w:r>
      <w:r w:rsidR="004B55A1">
        <w:rPr>
          <w:rFonts w:ascii="Times New Roman" w:eastAsia="Times New Roman" w:hAnsi="Times New Roman" w:cs="Times New Roman"/>
          <w:sz w:val="24"/>
          <w:szCs w:val="24"/>
          <w:vertAlign w:val="superscript"/>
        </w:rPr>
        <w:t>-2</w:t>
      </w:r>
      <w:r w:rsidR="004B55A1">
        <w:rPr>
          <w:rFonts w:ascii="Times New Roman" w:eastAsia="Times New Roman" w:hAnsi="Times New Roman" w:cs="Times New Roman"/>
          <w:sz w:val="24"/>
          <w:szCs w:val="24"/>
        </w:rPr>
        <w:t>.  However, more recent calculations featured in Wordsworth et al. (2017, supplemental materials), that used a line-by-line multi-stream approach, yielded an OLR of ~92 Wm</w:t>
      </w:r>
      <w:r w:rsidR="004B55A1">
        <w:rPr>
          <w:rFonts w:ascii="Times New Roman" w:eastAsia="Times New Roman" w:hAnsi="Times New Roman" w:cs="Times New Roman"/>
          <w:sz w:val="24"/>
          <w:szCs w:val="24"/>
          <w:vertAlign w:val="superscript"/>
        </w:rPr>
        <w:t>-2</w:t>
      </w:r>
      <w:r w:rsidR="00DD4BEF">
        <w:rPr>
          <w:rFonts w:ascii="Times New Roman" w:eastAsia="Times New Roman" w:hAnsi="Times New Roman" w:cs="Times New Roman"/>
          <w:sz w:val="24"/>
          <w:szCs w:val="24"/>
        </w:rPr>
        <w:t>, a step closer toward our SOCRATES results.</w:t>
      </w:r>
      <w:r w:rsidR="004B55A1">
        <w:rPr>
          <w:rFonts w:ascii="Times New Roman" w:eastAsia="Times New Roman" w:hAnsi="Times New Roman" w:cs="Times New Roman"/>
          <w:sz w:val="24"/>
          <w:szCs w:val="24"/>
        </w:rPr>
        <w:t xml:space="preserve">  By either comparison, our model features somewhat weaker thermal absorption by CO</w:t>
      </w:r>
      <w:r w:rsidR="004B55A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xml:space="preserve"> compared with other published results, meaning that our pure-CO</w:t>
      </w:r>
      <w:r w:rsidR="004B55A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xml:space="preserve"> simulations may yield slightly colder surface temperatures than other codes.</w:t>
      </w:r>
      <w:r w:rsidR="00DD4BEF">
        <w:rPr>
          <w:rFonts w:ascii="Times New Roman" w:eastAsia="Times New Roman" w:hAnsi="Times New Roman" w:cs="Times New Roman"/>
          <w:sz w:val="24"/>
          <w:szCs w:val="24"/>
        </w:rPr>
        <w:t xml:space="preserve">  See the Supporting Information Figures S1-S4 for comparisons of shortwave and longwave fluxes and radiative heating/cooling rates between SOCRATES and SMART for pure CO</w:t>
      </w:r>
      <w:r w:rsidR="00DD4BEF">
        <w:rPr>
          <w:rFonts w:ascii="Times New Roman" w:eastAsia="Times New Roman" w:hAnsi="Times New Roman" w:cs="Times New Roman"/>
          <w:sz w:val="24"/>
          <w:szCs w:val="24"/>
          <w:vertAlign w:val="subscript"/>
        </w:rPr>
        <w:t>2</w:t>
      </w:r>
      <w:r w:rsidR="00DD4BEF">
        <w:rPr>
          <w:rFonts w:ascii="Times New Roman" w:eastAsia="Times New Roman" w:hAnsi="Times New Roman" w:cs="Times New Roman"/>
          <w:sz w:val="24"/>
          <w:szCs w:val="24"/>
        </w:rPr>
        <w:t xml:space="preserve"> atmospheres along with an expanded discussion.  </w:t>
      </w:r>
    </w:p>
    <w:p w14:paraId="59D1D1AF" w14:textId="3A455D10" w:rsidR="002E0C8E" w:rsidRDefault="00DD4BE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6F1D45" wp14:editId="47571FF6">
            <wp:extent cx="5753100" cy="3124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2_OLR_spectral.eps"/>
                    <pic:cNvPicPr/>
                  </pic:nvPicPr>
                  <pic:blipFill>
                    <a:blip r:embed="rId9">
                      <a:extLst>
                        <a:ext uri="{28A0092B-C50C-407E-A947-70E740481C1C}">
                          <a14:useLocalDpi xmlns:a14="http://schemas.microsoft.com/office/drawing/2010/main" val="0"/>
                        </a:ext>
                      </a:extLst>
                    </a:blip>
                    <a:stretch>
                      <a:fillRect/>
                    </a:stretch>
                  </pic:blipFill>
                  <pic:spPr>
                    <a:xfrm>
                      <a:off x="0" y="0"/>
                      <a:ext cx="5753100" cy="3124200"/>
                    </a:xfrm>
                    <a:prstGeom prst="rect">
                      <a:avLst/>
                    </a:prstGeom>
                  </pic:spPr>
                </pic:pic>
              </a:graphicData>
            </a:graphic>
          </wp:inline>
        </w:drawing>
      </w:r>
    </w:p>
    <w:p w14:paraId="61660E93" w14:textId="32D0A877" w:rsidR="002E0C8E" w:rsidRDefault="004B55A1">
      <w:pPr>
        <w:spacing w:line="480" w:lineRule="auto"/>
        <w:ind w:firstLine="720"/>
        <w:jc w:val="both"/>
        <w:rPr>
          <w:sz w:val="24"/>
          <w:szCs w:val="24"/>
        </w:rPr>
      </w:pPr>
      <w:r>
        <w:rPr>
          <w:sz w:val="24"/>
          <w:szCs w:val="24"/>
        </w:rPr>
        <w:t>Figure 2:  Outgoing longwave radiation spectrum from a 250 K blackbody (red dashed) and from 1-D offline radiative transfer calculations using SOCRATES at high resolution (blue), the GCM resolution (black), and SMART (orange).  Here we have assumed a 2-bar CO</w:t>
      </w:r>
      <w:r>
        <w:rPr>
          <w:sz w:val="24"/>
          <w:szCs w:val="24"/>
          <w:vertAlign w:val="subscript"/>
        </w:rPr>
        <w:t>2</w:t>
      </w:r>
      <w:r>
        <w:rPr>
          <w:sz w:val="24"/>
          <w:szCs w:val="24"/>
        </w:rPr>
        <w:t xml:space="preserve">-only atmosphere with a 250 K surface temperature and 167 K </w:t>
      </w:r>
      <w:r>
        <w:rPr>
          <w:sz w:val="24"/>
          <w:szCs w:val="24"/>
        </w:rPr>
        <w:lastRenderedPageBreak/>
        <w:t>isothermal stratosphere.  Our model underestimates absorption by a pure</w:t>
      </w:r>
      <w:r w:rsidR="00B63E21">
        <w:rPr>
          <w:sz w:val="24"/>
          <w:szCs w:val="24"/>
        </w:rPr>
        <w:t xml:space="preserve"> </w:t>
      </w:r>
      <w:r>
        <w:rPr>
          <w:sz w:val="24"/>
          <w:szCs w:val="24"/>
        </w:rPr>
        <w:t>CO</w:t>
      </w:r>
      <w:r>
        <w:rPr>
          <w:sz w:val="24"/>
          <w:szCs w:val="24"/>
          <w:vertAlign w:val="subscript"/>
        </w:rPr>
        <w:t>2</w:t>
      </w:r>
      <w:r>
        <w:rPr>
          <w:sz w:val="24"/>
          <w:szCs w:val="24"/>
        </w:rPr>
        <w:t xml:space="preserve"> atmosphere.</w:t>
      </w:r>
    </w:p>
    <w:p w14:paraId="50484493" w14:textId="5F28872E" w:rsidR="00DD4BEF" w:rsidRDefault="004B55A1" w:rsidP="00DD4BE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here we have used the ab initio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CIA from Wordsworth et al. (2017).  However, recent laboratory work by Turbet et al. (2020b) argues that the Wordsworth CIAs overestimate their greenhouse effect.  Further note that Godin et al. (2020) independently conducted laboratory measurements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CIAs which are in agreement with those measured by Turbet et al. (2020</w:t>
      </w:r>
      <w:r w:rsidR="006F295F">
        <w:rPr>
          <w:rFonts w:ascii="Times New Roman" w:eastAsia="Times New Roman" w:hAnsi="Times New Roman" w:cs="Times New Roman"/>
          <w:sz w:val="24"/>
          <w:szCs w:val="24"/>
        </w:rPr>
        <w:t>b</w:t>
      </w:r>
      <w:r>
        <w:rPr>
          <w:rFonts w:ascii="Times New Roman" w:eastAsia="Times New Roman" w:hAnsi="Times New Roman" w:cs="Times New Roman"/>
          <w:sz w:val="24"/>
          <w:szCs w:val="24"/>
        </w:rPr>
        <w:t>).  To test potential biases, here we have performed off-line calculations with SOCRATES to assess the differences between the Wordsworth et al. (2017) and Turbet et al. (2020b) CIAs</w:t>
      </w:r>
      <w:r w:rsidR="00DD4BEF">
        <w:rPr>
          <w:rFonts w:ascii="Times New Roman" w:eastAsia="Times New Roman" w:hAnsi="Times New Roman" w:cs="Times New Roman"/>
          <w:sz w:val="24"/>
          <w:szCs w:val="24"/>
        </w:rPr>
        <w:t>.  For a 2-bar atmosphere with 99% CO</w:t>
      </w:r>
      <w:r w:rsidR="00DD4BEF">
        <w:rPr>
          <w:rFonts w:ascii="Times New Roman" w:eastAsia="Times New Roman" w:hAnsi="Times New Roman" w:cs="Times New Roman"/>
          <w:sz w:val="24"/>
          <w:szCs w:val="24"/>
          <w:vertAlign w:val="subscript"/>
        </w:rPr>
        <w:t>2</w:t>
      </w:r>
      <w:r w:rsidR="00DD4BEF">
        <w:rPr>
          <w:rFonts w:ascii="Times New Roman" w:eastAsia="Times New Roman" w:hAnsi="Times New Roman" w:cs="Times New Roman"/>
          <w:sz w:val="24"/>
          <w:szCs w:val="24"/>
        </w:rPr>
        <w:t xml:space="preserve"> and 1% CH</w:t>
      </w:r>
      <w:r w:rsidR="00DD4BEF">
        <w:rPr>
          <w:rFonts w:ascii="Times New Roman" w:eastAsia="Times New Roman" w:hAnsi="Times New Roman" w:cs="Times New Roman"/>
          <w:sz w:val="24"/>
          <w:szCs w:val="24"/>
          <w:vertAlign w:val="subscript"/>
        </w:rPr>
        <w:t>4</w:t>
      </w:r>
      <w:r w:rsidR="00DD4BEF">
        <w:rPr>
          <w:rFonts w:ascii="Times New Roman" w:eastAsia="Times New Roman" w:hAnsi="Times New Roman" w:cs="Times New Roman"/>
          <w:sz w:val="24"/>
          <w:szCs w:val="24"/>
        </w:rPr>
        <w:t>, the Wordsworth et al. (2017) CIA reduce the OLR by ~4 Wm</w:t>
      </w:r>
      <w:r w:rsidR="00DD4BEF">
        <w:rPr>
          <w:rFonts w:ascii="Times New Roman" w:eastAsia="Times New Roman" w:hAnsi="Times New Roman" w:cs="Times New Roman"/>
          <w:sz w:val="24"/>
          <w:szCs w:val="24"/>
          <w:vertAlign w:val="superscript"/>
        </w:rPr>
        <w:t>-2</w:t>
      </w:r>
      <w:r w:rsidR="00DD4BEF">
        <w:rPr>
          <w:rFonts w:ascii="Times New Roman" w:eastAsia="Times New Roman" w:hAnsi="Times New Roman" w:cs="Times New Roman"/>
          <w:sz w:val="24"/>
          <w:szCs w:val="24"/>
        </w:rPr>
        <w:t xml:space="preserve"> compared to the Turbet et al. (2020) CIA.  Likewise, for an atmosphere with 95% CO</w:t>
      </w:r>
      <w:r w:rsidR="00DD4BEF">
        <w:rPr>
          <w:rFonts w:ascii="Times New Roman" w:eastAsia="Times New Roman" w:hAnsi="Times New Roman" w:cs="Times New Roman"/>
          <w:sz w:val="24"/>
          <w:szCs w:val="24"/>
          <w:vertAlign w:val="subscript"/>
        </w:rPr>
        <w:t>2</w:t>
      </w:r>
      <w:r w:rsidR="00DD4BEF">
        <w:rPr>
          <w:rFonts w:ascii="Times New Roman" w:eastAsia="Times New Roman" w:hAnsi="Times New Roman" w:cs="Times New Roman"/>
          <w:sz w:val="24"/>
          <w:szCs w:val="24"/>
        </w:rPr>
        <w:t xml:space="preserve"> and 5% H</w:t>
      </w:r>
      <w:r w:rsidR="00DD4BEF">
        <w:rPr>
          <w:rFonts w:ascii="Times New Roman" w:eastAsia="Times New Roman" w:hAnsi="Times New Roman" w:cs="Times New Roman"/>
          <w:sz w:val="24"/>
          <w:szCs w:val="24"/>
          <w:vertAlign w:val="subscript"/>
        </w:rPr>
        <w:t>2</w:t>
      </w:r>
      <w:r w:rsidR="00DD4BEF">
        <w:rPr>
          <w:rFonts w:ascii="Times New Roman" w:eastAsia="Times New Roman" w:hAnsi="Times New Roman" w:cs="Times New Roman"/>
          <w:sz w:val="24"/>
          <w:szCs w:val="24"/>
        </w:rPr>
        <w:t>, the Wordsworth et al. (2017) CIA reduce the OLR by ~8 Wm</w:t>
      </w:r>
      <w:r w:rsidR="00DD4BEF">
        <w:rPr>
          <w:rFonts w:ascii="Times New Roman" w:eastAsia="Times New Roman" w:hAnsi="Times New Roman" w:cs="Times New Roman"/>
          <w:sz w:val="24"/>
          <w:szCs w:val="24"/>
          <w:vertAlign w:val="superscript"/>
        </w:rPr>
        <w:t>-2</w:t>
      </w:r>
      <w:r w:rsidR="00DD4BEF">
        <w:rPr>
          <w:rFonts w:ascii="Times New Roman" w:eastAsia="Times New Roman" w:hAnsi="Times New Roman" w:cs="Times New Roman"/>
          <w:sz w:val="24"/>
          <w:szCs w:val="24"/>
        </w:rPr>
        <w:t xml:space="preserve"> compared to the Turbet et al. (2020) CIA.  See the Supporting information Figures S5-S8 for comparisons of longwave fluxes and radiative cooling rates between the two CIA formulations along with an expanded discussion.  </w:t>
      </w:r>
    </w:p>
    <w:p w14:paraId="684B4F6F" w14:textId="06074C1C"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surface hydrological cycle is represented by a system of dynamic lakes and a groundwater scheme. The lakes are assumed to have a conical shape, so they change their exposed area depending on the amount of stored water. If the amount of stored water exceeds a pre-defined sill depth, the excess of water is moved to the lake system in a neighboring cell according to a prescribed river routing scheme. If no river routing is prescribed for a particular cell, the lake is allowed to grow there indefinitely. The ground hydrology part employs a six-layer soil scheme (Abramopoulos et al., 1988; Rosenzweig &amp; Abramopoulos, 1997) with the upper layer being 0.1 m deep and the rest growing geometrically with depth up to a total of 3.5 m. The thermal and hydrological properties of each layer are computed according to the prescribed composition of soil </w:t>
      </w:r>
      <w:r>
        <w:rPr>
          <w:rFonts w:ascii="Times New Roman" w:eastAsia="Times New Roman" w:hAnsi="Times New Roman" w:cs="Times New Roman"/>
          <w:sz w:val="24"/>
          <w:szCs w:val="24"/>
        </w:rPr>
        <w:lastRenderedPageBreak/>
        <w:t>components (sand, clay, silt) and present water. The heat between the layers is exchanged according to the thermal conductivity law and can be transported by water.  The water can drain to the lower layers due to gravity (according to Darcy’s law) or it can be taken to the upper layers by capillary uplifting. The amount of water in each layer is not allowed to exceed the saturation level or fall below the hygroscopic minimum, which are defined by the local soil texture. The bottom of the lowest layer is assumed to be impermeable to heat and water. Part of the water from each layer can be lost to underground runoff, which is assumed to be proportional to the local slope</w:t>
      </w:r>
      <w:r w:rsidR="00321ECB">
        <w:rPr>
          <w:rFonts w:ascii="Times New Roman" w:eastAsia="Times New Roman" w:hAnsi="Times New Roman" w:cs="Times New Roman"/>
          <w:sz w:val="24"/>
          <w:szCs w:val="24"/>
        </w:rPr>
        <w:t xml:space="preserve">.  The local slope is typically prescribed according to the local topography at scales of 10-1000 m. Since for the Noachian period we don’t know the topography at that resolution (which may not necessarily correlate with the global topography), for the local slope we used a typical value for a flat modern Earth desert uniformly over the planet. </w:t>
      </w:r>
      <w:r>
        <w:rPr>
          <w:rFonts w:ascii="Times New Roman" w:eastAsia="Times New Roman" w:hAnsi="Times New Roman" w:cs="Times New Roman"/>
          <w:sz w:val="24"/>
          <w:szCs w:val="24"/>
        </w:rPr>
        <w:t xml:space="preserve">The upper soil layer can also experience surface runoff, which depends on its level of saturation and the strength of the rainstorm. All runoff water is redirected to the local lakes. All heat and water exchange with the atmosphere is performed through the upper layer. The upper layer of soil receives water from precipitation and condensation and loses it through evaporation and runoff. If the precipitation is in a solid form, the ground hydrology algorithm forms a snowpack. The snowpack is represented by a three-layer snow model with its own melting and refreezing cycle. The fraction of the ground covered by snow is defined by the snow thickness and local topography. The lakes can also form lake ice when the amount of heat in the lake falls below the freezing threshold, and they can accumulate snow on top of the ice. </w:t>
      </w:r>
      <w:r w:rsidR="00321ECB">
        <w:rPr>
          <w:rFonts w:ascii="Times New Roman" w:eastAsia="Times New Roman" w:hAnsi="Times New Roman" w:cs="Times New Roman"/>
          <w:sz w:val="24"/>
          <w:szCs w:val="24"/>
        </w:rPr>
        <w:t xml:space="preserve">The albedo of the surface is defined as a weighted average of the albedos of bare soil, open water, and sea/lake ice and snow, according to their fractions. The albedo of bare soil is prescribed for dry soil as discussed below, but can decrease when the soil gets wet. The albedos of open water, sea/lake ice and snow use modern Earth parametrization (see </w:t>
      </w:r>
      <w:r w:rsidR="00321ECB">
        <w:rPr>
          <w:rFonts w:ascii="Times New Roman" w:eastAsia="Times New Roman" w:hAnsi="Times New Roman" w:cs="Times New Roman"/>
          <w:sz w:val="24"/>
          <w:szCs w:val="24"/>
        </w:rPr>
        <w:lastRenderedPageBreak/>
        <w:t>Hansen et al., 1983, Schmidt et al., 2006, and references therein). In particular, the albedo of the snow depends on the grain size and is assumed to decrease with age (Hansen et al., 1983).</w:t>
      </w:r>
    </w:p>
    <w:p w14:paraId="73E985D2" w14:textId="60FF81F2" w:rsidR="00A324CA"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our ancient Mars simulations discussed in this work, we run the model at 4° latitude by 5° longitude resolution with 40 vertical atmospheric layers from the surface (500-2000 mb) to ~0.1 mb at the top.  Mars orbital parameters use modern values except for specific simulations where obliquity is changed as discussed below.  Similarly, we use modern Mars topography for simplicity in most simulations and initialize the surface as having uniform 15% broadband albedo with sandy soil.  It’s reasonable to assume that the Noachian surface could have been darker than the modern due to less surface oxidation, although snow and ice cover could have offset that to some degree.  Of course</w:t>
      </w:r>
      <w:r w:rsidR="00321E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true Noachian surface albedo is unknown, but note this value of 15% is lower than some other Noachian Mars climate simulations, many of which use modern surface albedo distributions (e.g., Forget et al., 2013</w:t>
      </w:r>
      <w:r w:rsidR="00757D4F">
        <w:rPr>
          <w:rFonts w:ascii="Times New Roman" w:eastAsia="Times New Roman" w:hAnsi="Times New Roman" w:cs="Times New Roman"/>
          <w:sz w:val="24"/>
          <w:szCs w:val="24"/>
        </w:rPr>
        <w:t>; Mischna et al., 2013</w:t>
      </w:r>
      <w:r>
        <w:rPr>
          <w:rFonts w:ascii="Times New Roman" w:eastAsia="Times New Roman" w:hAnsi="Times New Roman" w:cs="Times New Roman"/>
          <w:sz w:val="24"/>
          <w:szCs w:val="24"/>
        </w:rPr>
        <w:t>)</w:t>
      </w:r>
      <w:r w:rsidR="00757D4F">
        <w:rPr>
          <w:rFonts w:ascii="Times New Roman" w:eastAsia="Times New Roman" w:hAnsi="Times New Roman" w:cs="Times New Roman"/>
          <w:sz w:val="24"/>
          <w:szCs w:val="24"/>
        </w:rPr>
        <w:t>, although Mischna et al. (2013) also experimented with lower (8-12%) northern hemisphere albedo to mimic plausible unoxidized fresh basaltic surfaces</w:t>
      </w:r>
      <w:r>
        <w:rPr>
          <w:rFonts w:ascii="Times New Roman" w:eastAsia="Times New Roman" w:hAnsi="Times New Roman" w:cs="Times New Roman"/>
          <w:sz w:val="24"/>
          <w:szCs w:val="24"/>
        </w:rPr>
        <w:t xml:space="preserve">.  Some simulations (detailed below) use a possible paleotopography (Table 1) shown by Bouley et al. (2016) (see also Matsuyama and Manga, 2010) before the development of the Tharsis Montes and associated true polar wander (TPW).  All simulations use an “active lakes” capability of ROCKE-3D (also used for ancient Venus by Way et al., 2016) where the model can produce bodies of surface liquid water based on runoff and precipitation patterns.  In some simulations, we initialize the model with existing surface liquid water as “lakes” in topographic low points such as Hellas </w:t>
      </w:r>
      <w:r w:rsidR="004F3E58">
        <w:rPr>
          <w:rFonts w:ascii="Times New Roman" w:eastAsia="Times New Roman" w:hAnsi="Times New Roman" w:cs="Times New Roman"/>
          <w:sz w:val="24"/>
          <w:szCs w:val="24"/>
        </w:rPr>
        <w:t>basin</w:t>
      </w:r>
      <w:r>
        <w:rPr>
          <w:rFonts w:ascii="Times New Roman" w:eastAsia="Times New Roman" w:hAnsi="Times New Roman" w:cs="Times New Roman"/>
          <w:sz w:val="24"/>
          <w:szCs w:val="24"/>
        </w:rPr>
        <w:t xml:space="preserve">, deep craters, and the northern lowlands.  The model simulates an active water cycle with frozen and liquid precipitation, deposition of snow on the surface, and surface runoff.  </w:t>
      </w:r>
      <w:r w:rsidR="00435A7F">
        <w:rPr>
          <w:rFonts w:ascii="Times New Roman" w:eastAsia="Times New Roman" w:hAnsi="Times New Roman" w:cs="Times New Roman"/>
          <w:sz w:val="24"/>
          <w:szCs w:val="24"/>
        </w:rPr>
        <w:t xml:space="preserve">We also conduct two simulations with fully dynamic oceans.  In these simulations, the ocean is “spun up” from rest much like the atmosphere.  </w:t>
      </w:r>
      <w:r w:rsidR="00AC6DFC">
        <w:rPr>
          <w:rFonts w:ascii="Times New Roman" w:eastAsia="Times New Roman" w:hAnsi="Times New Roman" w:cs="Times New Roman"/>
          <w:sz w:val="24"/>
          <w:szCs w:val="24"/>
        </w:rPr>
        <w:t xml:space="preserve">For lack of better alternatives, the </w:t>
      </w:r>
      <w:r w:rsidR="00AC6DFC">
        <w:rPr>
          <w:rFonts w:ascii="Times New Roman" w:eastAsia="Times New Roman" w:hAnsi="Times New Roman" w:cs="Times New Roman"/>
          <w:sz w:val="24"/>
          <w:szCs w:val="24"/>
        </w:rPr>
        <w:lastRenderedPageBreak/>
        <w:t xml:space="preserve">ocean model uses modern Earth ocean salinity and mesoscale eddy parameterizations.  </w:t>
      </w:r>
      <w:r w:rsidR="00435A7F">
        <w:rPr>
          <w:rFonts w:ascii="Times New Roman" w:eastAsia="Times New Roman" w:hAnsi="Times New Roman" w:cs="Times New Roman"/>
          <w:sz w:val="24"/>
          <w:szCs w:val="24"/>
        </w:rPr>
        <w:t>Del Genio et al. (2018) thoroughly describes ROCKE-3D’s ocean model and the reader is referred to that work for additional details.</w:t>
      </w:r>
    </w:p>
    <w:p w14:paraId="4173BE56" w14:textId="0977B4A8" w:rsidR="00A324CA" w:rsidRDefault="0016052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Clouds and atmospheric convection are discussed in detail in Way et al. (2017) and only H</w:t>
      </w:r>
      <w:r w:rsidRPr="00EF09FF">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clouds are included in our simulations.  </w:t>
      </w:r>
      <w:r w:rsidR="00C162C2">
        <w:rPr>
          <w:rFonts w:ascii="Times New Roman" w:eastAsia="Times New Roman" w:hAnsi="Times New Roman" w:cs="Times New Roman"/>
          <w:sz w:val="24"/>
          <w:szCs w:val="24"/>
        </w:rPr>
        <w:t>In brief, the model uses the cumulus parameterization of Del Genio et al. (2015)</w:t>
      </w:r>
      <w:r w:rsidR="00A324CA">
        <w:rPr>
          <w:rFonts w:ascii="Times New Roman" w:eastAsia="Times New Roman" w:hAnsi="Times New Roman" w:cs="Times New Roman"/>
          <w:sz w:val="24"/>
          <w:szCs w:val="24"/>
        </w:rPr>
        <w:t>.  The scheme uses a penetrative mass flux approach in which the buoyancy of a lifted air parcel determines convective onset, entrainment of drier environmental air determines the loss of buoyancy and eventual cloud top, detrainment of water vapor and ice near cloud top moistens the upper levels, and compensating subsidence dries the surrounding environment.  This version of ROCKE-3D uses the “AR5” generation of the parameterization, described in more detail in Del Genio et al. (2015). That version entrains less than it should, but given the dry conditions through most of Mars’ troposphere (see e.g. Fig. 9 below), convection has little impact on the simulations.</w:t>
      </w:r>
      <w:r w:rsidR="00C162C2">
        <w:rPr>
          <w:rFonts w:ascii="Times New Roman" w:eastAsia="Times New Roman" w:hAnsi="Times New Roman" w:cs="Times New Roman"/>
          <w:sz w:val="24"/>
          <w:szCs w:val="24"/>
        </w:rPr>
        <w:t xml:space="preserve"> </w:t>
      </w:r>
      <w:r w:rsidR="00A324CA">
        <w:rPr>
          <w:rFonts w:ascii="Times New Roman" w:eastAsia="Times New Roman" w:hAnsi="Times New Roman" w:cs="Times New Roman"/>
          <w:sz w:val="24"/>
          <w:szCs w:val="24"/>
        </w:rPr>
        <w:t>A</w:t>
      </w:r>
      <w:r w:rsidR="00C162C2">
        <w:rPr>
          <w:rFonts w:ascii="Times New Roman" w:eastAsia="Times New Roman" w:hAnsi="Times New Roman" w:cs="Times New Roman"/>
          <w:sz w:val="24"/>
          <w:szCs w:val="24"/>
        </w:rPr>
        <w:t>s discussed more in Section 3, there are limited convective clouds in our simulations</w:t>
      </w:r>
      <w:r w:rsidR="00A324CA">
        <w:rPr>
          <w:rFonts w:ascii="Times New Roman" w:eastAsia="Times New Roman" w:hAnsi="Times New Roman" w:cs="Times New Roman"/>
          <w:sz w:val="24"/>
          <w:szCs w:val="24"/>
        </w:rPr>
        <w:t>, but unlike Earth, where the very warm tropical oceans spawn extensive deep convection and precipitation and organize the large-scale circulation, oceans in our Mars simulations are cooler than the same regions in simulations without oceans and have no deep convection</w:t>
      </w:r>
      <w:r w:rsidR="00C162C2">
        <w:rPr>
          <w:rFonts w:ascii="Times New Roman" w:eastAsia="Times New Roman" w:hAnsi="Times New Roman" w:cs="Times New Roman"/>
          <w:sz w:val="24"/>
          <w:szCs w:val="24"/>
        </w:rPr>
        <w:t xml:space="preserve">. </w:t>
      </w:r>
      <w:r w:rsidR="00A324CA">
        <w:rPr>
          <w:rFonts w:ascii="Times New Roman" w:eastAsia="Times New Roman" w:hAnsi="Times New Roman" w:cs="Times New Roman"/>
          <w:sz w:val="24"/>
          <w:szCs w:val="24"/>
        </w:rPr>
        <w:t xml:space="preserve"> Instead, deep convection occurs preferentially in localized areas of high topography and to a smaller extent scattered around the rest of the planet for the wetter simulations.</w:t>
      </w:r>
      <w:r w:rsidR="00C162C2">
        <w:rPr>
          <w:rFonts w:ascii="Times New Roman" w:eastAsia="Times New Roman" w:hAnsi="Times New Roman" w:cs="Times New Roman"/>
          <w:sz w:val="24"/>
          <w:szCs w:val="24"/>
        </w:rPr>
        <w:t xml:space="preserve"> </w:t>
      </w:r>
    </w:p>
    <w:p w14:paraId="2C3343FF" w14:textId="12B83FC9" w:rsidR="002E0C8E" w:rsidRDefault="008C116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Cirrus (H</w:t>
      </w:r>
      <w:r w:rsidRPr="007E1AE3">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ice) cloud</w:t>
      </w:r>
      <w:r w:rsidR="00A324CA">
        <w:rPr>
          <w:rFonts w:ascii="Times New Roman" w:eastAsia="Times New Roman" w:hAnsi="Times New Roman" w:cs="Times New Roman"/>
          <w:sz w:val="24"/>
          <w:szCs w:val="24"/>
        </w:rPr>
        <w:t xml:space="preserve"> propertie</w:t>
      </w:r>
      <w:r>
        <w:rPr>
          <w:rFonts w:ascii="Times New Roman" w:eastAsia="Times New Roman" w:hAnsi="Times New Roman" w:cs="Times New Roman"/>
          <w:sz w:val="24"/>
          <w:szCs w:val="24"/>
        </w:rPr>
        <w:t xml:space="preserve">s are parameterized following Edwards et al. (2007) and are assumed to be Mie scatterers.  </w:t>
      </w:r>
      <w:r w:rsidR="004B55A1">
        <w:rPr>
          <w:rFonts w:ascii="Times New Roman" w:eastAsia="Times New Roman" w:hAnsi="Times New Roman" w:cs="Times New Roman"/>
          <w:sz w:val="24"/>
          <w:szCs w:val="24"/>
        </w:rPr>
        <w:t>Note the model does not include CO</w:t>
      </w:r>
      <w:r w:rsidR="004B55A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xml:space="preserve"> ice in the atmosphere or on the surface, even if the temperature falls below the frost point.  Some ancient Mars climate studies have suggested that CO</w:t>
      </w:r>
      <w:r w:rsidR="004B55A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xml:space="preserve"> ice clouds may play an important role in warming the planet’s surface (Forget and Pierrehumbert, 1997; Forget et al., 2013; Wordsworth et al., 2013).  CO</w:t>
      </w:r>
      <w:r w:rsidR="004B55A1">
        <w:rPr>
          <w:rFonts w:ascii="Times New Roman" w:eastAsia="Times New Roman" w:hAnsi="Times New Roman" w:cs="Times New Roman"/>
          <w:sz w:val="24"/>
          <w:szCs w:val="24"/>
          <w:vertAlign w:val="subscript"/>
        </w:rPr>
        <w:t>2</w:t>
      </w:r>
      <w:r w:rsidR="004B55A1" w:rsidRPr="003B3BFA">
        <w:rPr>
          <w:rFonts w:ascii="Times New Roman" w:eastAsia="Times New Roman" w:hAnsi="Times New Roman" w:cs="Times New Roman"/>
          <w:sz w:val="24"/>
          <w:szCs w:val="24"/>
        </w:rPr>
        <w:t xml:space="preserve"> </w:t>
      </w:r>
      <w:r w:rsidR="004B55A1">
        <w:rPr>
          <w:rFonts w:ascii="Times New Roman" w:eastAsia="Times New Roman" w:hAnsi="Times New Roman" w:cs="Times New Roman"/>
          <w:sz w:val="24"/>
          <w:szCs w:val="24"/>
        </w:rPr>
        <w:t xml:space="preserve">cloud </w:t>
      </w:r>
      <w:r w:rsidR="004B55A1">
        <w:rPr>
          <w:rFonts w:ascii="Times New Roman" w:eastAsia="Times New Roman" w:hAnsi="Times New Roman" w:cs="Times New Roman"/>
          <w:sz w:val="24"/>
          <w:szCs w:val="24"/>
        </w:rPr>
        <w:lastRenderedPageBreak/>
        <w:t>physics are in development for ROCKE-3D and their impacts will be examined in future work.</w:t>
      </w:r>
      <w:r w:rsidR="00C162C2">
        <w:rPr>
          <w:rFonts w:ascii="Times New Roman" w:eastAsia="Times New Roman" w:hAnsi="Times New Roman" w:cs="Times New Roman"/>
          <w:sz w:val="24"/>
          <w:szCs w:val="24"/>
        </w:rPr>
        <w:t xml:space="preserve">  As Mars’ ubiquitous dust was likely formed after any wet climate period (e.g., Pike et al., 2011), dust is not included in the simulations.</w:t>
      </w:r>
      <w:r w:rsidR="004B55A1">
        <w:rPr>
          <w:rFonts w:ascii="Times New Roman" w:eastAsia="Times New Roman" w:hAnsi="Times New Roman" w:cs="Times New Roman"/>
          <w:sz w:val="24"/>
          <w:szCs w:val="24"/>
        </w:rPr>
        <w:t xml:space="preserve">              </w:t>
      </w:r>
    </w:p>
    <w:p w14:paraId="45C44BFA"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simulations are all run until they reach radiative equilibrium.  Simulations that are initialized with “dry” soil (and thus have minimal, but nonzero, global water inventory) are run for 20 Mars years with the final year used for results below.  Simulations initialized with “wet” soil or with surface liquid water are run until they both reach radiative and hydrological equilibrium.  Evaluating hydrological equilibrium is discussed below.  In practice, hydrological equilibrium requires ~500 Mars years of model run time with modern topography and 2000 years or more for the paleotopography.  </w:t>
      </w:r>
    </w:p>
    <w:p w14:paraId="16A39475"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our simulations are listed in Table 1.  Any gas mixtures that do not sum to 100% include the remaining percent as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Simulations with initialized surface water are presented as the total volume (in global equivalent layer, GEL) and whether the water was initialized as lakes or oceans in the model.  </w:t>
      </w:r>
    </w:p>
    <w:p w14:paraId="1C830FCB"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p>
    <w:tbl>
      <w:tblPr>
        <w:tblStyle w:val="a"/>
        <w:tblW w:w="9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05"/>
        <w:gridCol w:w="990"/>
        <w:gridCol w:w="615"/>
        <w:gridCol w:w="495"/>
        <w:gridCol w:w="600"/>
        <w:gridCol w:w="1020"/>
        <w:gridCol w:w="1320"/>
        <w:gridCol w:w="1260"/>
        <w:gridCol w:w="1035"/>
      </w:tblGrid>
      <w:tr w:rsidR="002E0C8E" w14:paraId="308E8993" w14:textId="77777777">
        <w:trPr>
          <w:trHeight w:val="885"/>
        </w:trPr>
        <w:tc>
          <w:tcPr>
            <w:tcW w:w="22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019691" w14:textId="77777777" w:rsidR="002E0C8E" w:rsidRDefault="004B55A1">
            <w:pPr>
              <w:widowControl w:val="0"/>
              <w:pBdr>
                <w:top w:val="nil"/>
                <w:left w:val="nil"/>
                <w:bottom w:val="nil"/>
                <w:right w:val="nil"/>
                <w:between w:val="nil"/>
              </w:pBdr>
              <w:rPr>
                <w:sz w:val="20"/>
                <w:szCs w:val="20"/>
              </w:rPr>
            </w:pPr>
            <w:r>
              <w:rPr>
                <w:rFonts w:ascii="Calibri" w:eastAsia="Calibri" w:hAnsi="Calibri" w:cs="Calibri"/>
                <w:b/>
                <w:sz w:val="24"/>
                <w:szCs w:val="24"/>
              </w:rPr>
              <w:t>Simulation</w:t>
            </w:r>
          </w:p>
        </w:tc>
        <w:tc>
          <w:tcPr>
            <w:tcW w:w="99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6FA1EE1" w14:textId="77777777" w:rsidR="002E0C8E" w:rsidRDefault="004B55A1">
            <w:pPr>
              <w:widowControl w:val="0"/>
              <w:jc w:val="center"/>
              <w:rPr>
                <w:rFonts w:ascii="Calibri" w:eastAsia="Calibri" w:hAnsi="Calibri" w:cs="Calibri"/>
                <w:b/>
                <w:sz w:val="24"/>
                <w:szCs w:val="24"/>
              </w:rPr>
            </w:pPr>
            <w:r>
              <w:rPr>
                <w:rFonts w:ascii="Calibri" w:eastAsia="Calibri" w:hAnsi="Calibri" w:cs="Calibri"/>
                <w:b/>
                <w:sz w:val="24"/>
                <w:szCs w:val="24"/>
              </w:rPr>
              <w:t>Surface Pressure</w:t>
            </w:r>
          </w:p>
          <w:p w14:paraId="347F6E4A" w14:textId="77777777" w:rsidR="002E0C8E" w:rsidRDefault="004B55A1">
            <w:pPr>
              <w:widowControl w:val="0"/>
              <w:jc w:val="center"/>
              <w:rPr>
                <w:sz w:val="20"/>
                <w:szCs w:val="20"/>
              </w:rPr>
            </w:pPr>
            <w:r>
              <w:rPr>
                <w:rFonts w:ascii="Calibri" w:eastAsia="Calibri" w:hAnsi="Calibri" w:cs="Calibri"/>
                <w:b/>
                <w:sz w:val="24"/>
                <w:szCs w:val="24"/>
              </w:rPr>
              <w:t>(bar)</w:t>
            </w:r>
          </w:p>
        </w:tc>
        <w:tc>
          <w:tcPr>
            <w:tcW w:w="61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17B6CA7A" w14:textId="77777777" w:rsidR="002E0C8E" w:rsidRDefault="004B55A1">
            <w:pPr>
              <w:widowControl w:val="0"/>
              <w:jc w:val="center"/>
              <w:rPr>
                <w:sz w:val="20"/>
                <w:szCs w:val="20"/>
              </w:rPr>
            </w:pPr>
            <w:r>
              <w:rPr>
                <w:rFonts w:ascii="Calibri" w:eastAsia="Calibri" w:hAnsi="Calibri" w:cs="Calibri"/>
                <w:b/>
                <w:sz w:val="24"/>
                <w:szCs w:val="24"/>
              </w:rPr>
              <w:t>% CO2</w:t>
            </w:r>
          </w:p>
        </w:tc>
        <w:tc>
          <w:tcPr>
            <w:tcW w:w="49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A8269A2" w14:textId="77777777" w:rsidR="002E0C8E" w:rsidRDefault="004B55A1">
            <w:pPr>
              <w:widowControl w:val="0"/>
              <w:jc w:val="center"/>
              <w:rPr>
                <w:sz w:val="20"/>
                <w:szCs w:val="20"/>
              </w:rPr>
            </w:pPr>
            <w:r>
              <w:rPr>
                <w:rFonts w:ascii="Calibri" w:eastAsia="Calibri" w:hAnsi="Calibri" w:cs="Calibri"/>
                <w:b/>
                <w:sz w:val="24"/>
                <w:szCs w:val="24"/>
              </w:rPr>
              <w:t>% H2</w:t>
            </w:r>
          </w:p>
        </w:tc>
        <w:tc>
          <w:tcPr>
            <w:tcW w:w="6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81B5859" w14:textId="77777777" w:rsidR="002E0C8E" w:rsidRDefault="004B55A1">
            <w:pPr>
              <w:widowControl w:val="0"/>
              <w:jc w:val="center"/>
              <w:rPr>
                <w:sz w:val="20"/>
                <w:szCs w:val="20"/>
              </w:rPr>
            </w:pPr>
            <w:r>
              <w:rPr>
                <w:rFonts w:ascii="Calibri" w:eastAsia="Calibri" w:hAnsi="Calibri" w:cs="Calibri"/>
                <w:b/>
                <w:sz w:val="24"/>
                <w:szCs w:val="24"/>
              </w:rPr>
              <w:t>% CH4</w:t>
            </w:r>
          </w:p>
        </w:tc>
        <w:tc>
          <w:tcPr>
            <w:tcW w:w="102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C1928C6" w14:textId="77777777" w:rsidR="002E0C8E" w:rsidRDefault="004B55A1">
            <w:pPr>
              <w:widowControl w:val="0"/>
              <w:jc w:val="center"/>
              <w:rPr>
                <w:sz w:val="20"/>
                <w:szCs w:val="20"/>
              </w:rPr>
            </w:pPr>
            <w:r>
              <w:rPr>
                <w:rFonts w:ascii="Calibri" w:eastAsia="Calibri" w:hAnsi="Calibri" w:cs="Calibri"/>
                <w:b/>
                <w:sz w:val="24"/>
                <w:szCs w:val="24"/>
              </w:rPr>
              <w:t>Soil Moisture</w:t>
            </w:r>
          </w:p>
        </w:tc>
        <w:tc>
          <w:tcPr>
            <w:tcW w:w="132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C3DF09F" w14:textId="77777777" w:rsidR="002E0C8E" w:rsidRDefault="004B55A1">
            <w:pPr>
              <w:widowControl w:val="0"/>
              <w:jc w:val="center"/>
              <w:rPr>
                <w:sz w:val="20"/>
                <w:szCs w:val="20"/>
              </w:rPr>
            </w:pPr>
            <w:r>
              <w:rPr>
                <w:rFonts w:ascii="Calibri" w:eastAsia="Calibri" w:hAnsi="Calibri" w:cs="Calibri"/>
                <w:b/>
                <w:sz w:val="24"/>
                <w:szCs w:val="24"/>
              </w:rPr>
              <w:t>Topography</w:t>
            </w:r>
          </w:p>
        </w:tc>
        <w:tc>
          <w:tcPr>
            <w:tcW w:w="126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F44E28C" w14:textId="77777777" w:rsidR="002E0C8E" w:rsidRDefault="004B55A1">
            <w:pPr>
              <w:widowControl w:val="0"/>
              <w:jc w:val="center"/>
              <w:rPr>
                <w:sz w:val="20"/>
                <w:szCs w:val="20"/>
              </w:rPr>
            </w:pPr>
            <w:r>
              <w:rPr>
                <w:rFonts w:ascii="Calibri" w:eastAsia="Calibri" w:hAnsi="Calibri" w:cs="Calibri"/>
                <w:b/>
                <w:sz w:val="24"/>
                <w:szCs w:val="24"/>
              </w:rPr>
              <w:t>Surface Water</w:t>
            </w:r>
          </w:p>
        </w:tc>
        <w:tc>
          <w:tcPr>
            <w:tcW w:w="103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0B3E615" w14:textId="77777777" w:rsidR="002E0C8E" w:rsidRDefault="004B55A1">
            <w:pPr>
              <w:widowControl w:val="0"/>
              <w:jc w:val="center"/>
              <w:rPr>
                <w:sz w:val="20"/>
                <w:szCs w:val="20"/>
              </w:rPr>
            </w:pPr>
            <w:r>
              <w:rPr>
                <w:rFonts w:ascii="Calibri" w:eastAsia="Calibri" w:hAnsi="Calibri" w:cs="Calibri"/>
                <w:b/>
                <w:sz w:val="24"/>
                <w:szCs w:val="24"/>
              </w:rPr>
              <w:t>Obliquity</w:t>
            </w:r>
          </w:p>
        </w:tc>
      </w:tr>
      <w:tr w:rsidR="002E0C8E" w14:paraId="78C423AC" w14:textId="77777777">
        <w:trPr>
          <w:trHeight w:val="345"/>
        </w:trPr>
        <w:tc>
          <w:tcPr>
            <w:tcW w:w="2205" w:type="dxa"/>
            <w:tcMar>
              <w:top w:w="40" w:type="dxa"/>
              <w:left w:w="40" w:type="dxa"/>
              <w:bottom w:w="40" w:type="dxa"/>
              <w:right w:w="40" w:type="dxa"/>
            </w:tcMar>
            <w:vAlign w:val="bottom"/>
          </w:tcPr>
          <w:p w14:paraId="67408CFD" w14:textId="77777777" w:rsidR="002E0C8E" w:rsidRDefault="004B55A1">
            <w:pPr>
              <w:widowControl w:val="0"/>
              <w:jc w:val="center"/>
              <w:rPr>
                <w:sz w:val="20"/>
                <w:szCs w:val="20"/>
              </w:rPr>
            </w:pPr>
            <w:r>
              <w:rPr>
                <w:rFonts w:ascii="Calibri" w:eastAsia="Calibri" w:hAnsi="Calibri" w:cs="Calibri"/>
                <w:sz w:val="24"/>
                <w:szCs w:val="24"/>
              </w:rPr>
              <w:t>05H0</w:t>
            </w:r>
          </w:p>
        </w:tc>
        <w:tc>
          <w:tcPr>
            <w:tcW w:w="990" w:type="dxa"/>
            <w:tcMar>
              <w:top w:w="40" w:type="dxa"/>
              <w:left w:w="40" w:type="dxa"/>
              <w:bottom w:w="40" w:type="dxa"/>
              <w:right w:w="40" w:type="dxa"/>
            </w:tcMar>
            <w:vAlign w:val="bottom"/>
          </w:tcPr>
          <w:p w14:paraId="326DB5C7" w14:textId="77777777" w:rsidR="002E0C8E" w:rsidRDefault="004B55A1">
            <w:pPr>
              <w:widowControl w:val="0"/>
              <w:jc w:val="center"/>
              <w:rPr>
                <w:sz w:val="20"/>
                <w:szCs w:val="20"/>
              </w:rPr>
            </w:pPr>
            <w:r>
              <w:rPr>
                <w:rFonts w:ascii="Calibri" w:eastAsia="Calibri" w:hAnsi="Calibri" w:cs="Calibri"/>
                <w:sz w:val="24"/>
                <w:szCs w:val="24"/>
              </w:rPr>
              <w:t>0.5</w:t>
            </w:r>
          </w:p>
        </w:tc>
        <w:tc>
          <w:tcPr>
            <w:tcW w:w="615" w:type="dxa"/>
            <w:tcMar>
              <w:top w:w="40" w:type="dxa"/>
              <w:left w:w="40" w:type="dxa"/>
              <w:bottom w:w="40" w:type="dxa"/>
              <w:right w:w="40" w:type="dxa"/>
            </w:tcMar>
            <w:vAlign w:val="bottom"/>
          </w:tcPr>
          <w:p w14:paraId="35E37467" w14:textId="77777777" w:rsidR="002E0C8E" w:rsidRDefault="004B55A1">
            <w:pPr>
              <w:widowControl w:val="0"/>
              <w:jc w:val="center"/>
              <w:rPr>
                <w:sz w:val="20"/>
                <w:szCs w:val="20"/>
              </w:rPr>
            </w:pPr>
            <w:r>
              <w:rPr>
                <w:rFonts w:ascii="Calibri" w:eastAsia="Calibri" w:hAnsi="Calibri" w:cs="Calibri"/>
                <w:sz w:val="24"/>
                <w:szCs w:val="24"/>
              </w:rPr>
              <w:t>89</w:t>
            </w:r>
          </w:p>
        </w:tc>
        <w:tc>
          <w:tcPr>
            <w:tcW w:w="495" w:type="dxa"/>
            <w:tcMar>
              <w:top w:w="40" w:type="dxa"/>
              <w:left w:w="40" w:type="dxa"/>
              <w:bottom w:w="40" w:type="dxa"/>
              <w:right w:w="40" w:type="dxa"/>
            </w:tcMar>
            <w:vAlign w:val="bottom"/>
          </w:tcPr>
          <w:p w14:paraId="71F5567A" w14:textId="77777777" w:rsidR="002E0C8E" w:rsidRDefault="004B55A1">
            <w:pPr>
              <w:widowControl w:val="0"/>
              <w:jc w:val="center"/>
              <w:rPr>
                <w:sz w:val="20"/>
                <w:szCs w:val="20"/>
              </w:rPr>
            </w:pPr>
            <w:r>
              <w:rPr>
                <w:rFonts w:ascii="Calibri" w:eastAsia="Calibri" w:hAnsi="Calibri" w:cs="Calibri"/>
                <w:sz w:val="24"/>
                <w:szCs w:val="24"/>
              </w:rPr>
              <w:t>0</w:t>
            </w:r>
          </w:p>
        </w:tc>
        <w:tc>
          <w:tcPr>
            <w:tcW w:w="600" w:type="dxa"/>
            <w:tcMar>
              <w:top w:w="40" w:type="dxa"/>
              <w:left w:w="40" w:type="dxa"/>
              <w:bottom w:w="40" w:type="dxa"/>
              <w:right w:w="40" w:type="dxa"/>
            </w:tcMar>
            <w:vAlign w:val="bottom"/>
          </w:tcPr>
          <w:p w14:paraId="6C0375F6"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5BD15115"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08207011"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5F78030E"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1A1A29D9"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0CA1EF9C" w14:textId="77777777">
        <w:trPr>
          <w:trHeight w:val="345"/>
        </w:trPr>
        <w:tc>
          <w:tcPr>
            <w:tcW w:w="2205" w:type="dxa"/>
            <w:tcMar>
              <w:top w:w="40" w:type="dxa"/>
              <w:left w:w="40" w:type="dxa"/>
              <w:bottom w:w="40" w:type="dxa"/>
              <w:right w:w="40" w:type="dxa"/>
            </w:tcMar>
            <w:vAlign w:val="bottom"/>
          </w:tcPr>
          <w:p w14:paraId="17998662" w14:textId="77777777" w:rsidR="002E0C8E" w:rsidRDefault="004B55A1">
            <w:pPr>
              <w:widowControl w:val="0"/>
              <w:jc w:val="center"/>
              <w:rPr>
                <w:sz w:val="20"/>
                <w:szCs w:val="20"/>
              </w:rPr>
            </w:pPr>
            <w:r>
              <w:rPr>
                <w:rFonts w:ascii="Calibri" w:eastAsia="Calibri" w:hAnsi="Calibri" w:cs="Calibri"/>
                <w:sz w:val="24"/>
                <w:szCs w:val="24"/>
              </w:rPr>
              <w:t>05H3</w:t>
            </w:r>
          </w:p>
        </w:tc>
        <w:tc>
          <w:tcPr>
            <w:tcW w:w="990" w:type="dxa"/>
            <w:tcMar>
              <w:top w:w="40" w:type="dxa"/>
              <w:left w:w="40" w:type="dxa"/>
              <w:bottom w:w="40" w:type="dxa"/>
              <w:right w:w="40" w:type="dxa"/>
            </w:tcMar>
            <w:vAlign w:val="bottom"/>
          </w:tcPr>
          <w:p w14:paraId="77C50BAE" w14:textId="77777777" w:rsidR="002E0C8E" w:rsidRDefault="004B55A1">
            <w:pPr>
              <w:widowControl w:val="0"/>
              <w:jc w:val="center"/>
              <w:rPr>
                <w:sz w:val="20"/>
                <w:szCs w:val="20"/>
              </w:rPr>
            </w:pPr>
            <w:r>
              <w:rPr>
                <w:rFonts w:ascii="Calibri" w:eastAsia="Calibri" w:hAnsi="Calibri" w:cs="Calibri"/>
                <w:sz w:val="24"/>
                <w:szCs w:val="24"/>
              </w:rPr>
              <w:t>0.5</w:t>
            </w:r>
          </w:p>
        </w:tc>
        <w:tc>
          <w:tcPr>
            <w:tcW w:w="615" w:type="dxa"/>
            <w:tcMar>
              <w:top w:w="40" w:type="dxa"/>
              <w:left w:w="40" w:type="dxa"/>
              <w:bottom w:w="40" w:type="dxa"/>
              <w:right w:w="40" w:type="dxa"/>
            </w:tcMar>
            <w:vAlign w:val="bottom"/>
          </w:tcPr>
          <w:p w14:paraId="5D5E073F" w14:textId="77777777" w:rsidR="002E0C8E" w:rsidRDefault="004B55A1">
            <w:pPr>
              <w:widowControl w:val="0"/>
              <w:jc w:val="center"/>
              <w:rPr>
                <w:sz w:val="20"/>
                <w:szCs w:val="20"/>
              </w:rPr>
            </w:pPr>
            <w:r>
              <w:rPr>
                <w:rFonts w:ascii="Calibri" w:eastAsia="Calibri" w:hAnsi="Calibri" w:cs="Calibri"/>
                <w:sz w:val="24"/>
                <w:szCs w:val="24"/>
              </w:rPr>
              <w:t>86</w:t>
            </w:r>
          </w:p>
        </w:tc>
        <w:tc>
          <w:tcPr>
            <w:tcW w:w="495" w:type="dxa"/>
            <w:tcMar>
              <w:top w:w="40" w:type="dxa"/>
              <w:left w:w="40" w:type="dxa"/>
              <w:bottom w:w="40" w:type="dxa"/>
              <w:right w:w="40" w:type="dxa"/>
            </w:tcMar>
            <w:vAlign w:val="bottom"/>
          </w:tcPr>
          <w:p w14:paraId="7B48F199" w14:textId="77777777" w:rsidR="002E0C8E" w:rsidRDefault="004B55A1">
            <w:pPr>
              <w:widowControl w:val="0"/>
              <w:jc w:val="center"/>
              <w:rPr>
                <w:sz w:val="20"/>
                <w:szCs w:val="20"/>
              </w:rPr>
            </w:pPr>
            <w:r>
              <w:rPr>
                <w:rFonts w:ascii="Calibri" w:eastAsia="Calibri" w:hAnsi="Calibri" w:cs="Calibri"/>
                <w:sz w:val="24"/>
                <w:szCs w:val="24"/>
              </w:rPr>
              <w:t>3</w:t>
            </w:r>
          </w:p>
        </w:tc>
        <w:tc>
          <w:tcPr>
            <w:tcW w:w="600" w:type="dxa"/>
            <w:tcMar>
              <w:top w:w="40" w:type="dxa"/>
              <w:left w:w="40" w:type="dxa"/>
              <w:bottom w:w="40" w:type="dxa"/>
              <w:right w:w="40" w:type="dxa"/>
            </w:tcMar>
            <w:vAlign w:val="bottom"/>
          </w:tcPr>
          <w:p w14:paraId="38696222"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DE68D64"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50CB0367"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174E6A9A"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365C43CD"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4FDF0109" w14:textId="77777777">
        <w:trPr>
          <w:trHeight w:val="345"/>
        </w:trPr>
        <w:tc>
          <w:tcPr>
            <w:tcW w:w="2205" w:type="dxa"/>
            <w:tcMar>
              <w:top w:w="40" w:type="dxa"/>
              <w:left w:w="40" w:type="dxa"/>
              <w:bottom w:w="40" w:type="dxa"/>
              <w:right w:w="40" w:type="dxa"/>
            </w:tcMar>
            <w:vAlign w:val="bottom"/>
          </w:tcPr>
          <w:p w14:paraId="3B71E8DF" w14:textId="77777777" w:rsidR="002E0C8E" w:rsidRDefault="004B55A1">
            <w:pPr>
              <w:widowControl w:val="0"/>
              <w:jc w:val="center"/>
              <w:rPr>
                <w:sz w:val="20"/>
                <w:szCs w:val="20"/>
              </w:rPr>
            </w:pPr>
            <w:r>
              <w:rPr>
                <w:rFonts w:ascii="Calibri" w:eastAsia="Calibri" w:hAnsi="Calibri" w:cs="Calibri"/>
                <w:sz w:val="24"/>
                <w:szCs w:val="24"/>
              </w:rPr>
              <w:t>1H0</w:t>
            </w:r>
          </w:p>
        </w:tc>
        <w:tc>
          <w:tcPr>
            <w:tcW w:w="990" w:type="dxa"/>
            <w:tcMar>
              <w:top w:w="40" w:type="dxa"/>
              <w:left w:w="40" w:type="dxa"/>
              <w:bottom w:w="40" w:type="dxa"/>
              <w:right w:w="40" w:type="dxa"/>
            </w:tcMar>
            <w:vAlign w:val="bottom"/>
          </w:tcPr>
          <w:p w14:paraId="1BFF8B81" w14:textId="77777777" w:rsidR="002E0C8E" w:rsidRDefault="004B55A1">
            <w:pPr>
              <w:widowControl w:val="0"/>
              <w:jc w:val="center"/>
              <w:rPr>
                <w:sz w:val="20"/>
                <w:szCs w:val="20"/>
              </w:rPr>
            </w:pPr>
            <w:r>
              <w:rPr>
                <w:rFonts w:ascii="Calibri" w:eastAsia="Calibri" w:hAnsi="Calibri" w:cs="Calibri"/>
                <w:sz w:val="24"/>
                <w:szCs w:val="24"/>
              </w:rPr>
              <w:t>1</w:t>
            </w:r>
          </w:p>
        </w:tc>
        <w:tc>
          <w:tcPr>
            <w:tcW w:w="615" w:type="dxa"/>
            <w:tcMar>
              <w:top w:w="40" w:type="dxa"/>
              <w:left w:w="40" w:type="dxa"/>
              <w:bottom w:w="40" w:type="dxa"/>
              <w:right w:w="40" w:type="dxa"/>
            </w:tcMar>
            <w:vAlign w:val="bottom"/>
          </w:tcPr>
          <w:p w14:paraId="35979B32" w14:textId="77777777" w:rsidR="002E0C8E" w:rsidRDefault="004B55A1">
            <w:pPr>
              <w:widowControl w:val="0"/>
              <w:jc w:val="center"/>
              <w:rPr>
                <w:sz w:val="20"/>
                <w:szCs w:val="20"/>
              </w:rPr>
            </w:pPr>
            <w:r>
              <w:rPr>
                <w:rFonts w:ascii="Calibri" w:eastAsia="Calibri" w:hAnsi="Calibri" w:cs="Calibri"/>
                <w:sz w:val="24"/>
                <w:szCs w:val="24"/>
              </w:rPr>
              <w:t>89</w:t>
            </w:r>
          </w:p>
        </w:tc>
        <w:tc>
          <w:tcPr>
            <w:tcW w:w="495" w:type="dxa"/>
            <w:tcMar>
              <w:top w:w="40" w:type="dxa"/>
              <w:left w:w="40" w:type="dxa"/>
              <w:bottom w:w="40" w:type="dxa"/>
              <w:right w:w="40" w:type="dxa"/>
            </w:tcMar>
            <w:vAlign w:val="bottom"/>
          </w:tcPr>
          <w:p w14:paraId="1429A402" w14:textId="77777777" w:rsidR="002E0C8E" w:rsidRDefault="004B55A1">
            <w:pPr>
              <w:widowControl w:val="0"/>
              <w:jc w:val="center"/>
              <w:rPr>
                <w:sz w:val="20"/>
                <w:szCs w:val="20"/>
              </w:rPr>
            </w:pPr>
            <w:r>
              <w:rPr>
                <w:rFonts w:ascii="Calibri" w:eastAsia="Calibri" w:hAnsi="Calibri" w:cs="Calibri"/>
                <w:sz w:val="24"/>
                <w:szCs w:val="24"/>
              </w:rPr>
              <w:t>0</w:t>
            </w:r>
          </w:p>
        </w:tc>
        <w:tc>
          <w:tcPr>
            <w:tcW w:w="600" w:type="dxa"/>
            <w:tcMar>
              <w:top w:w="40" w:type="dxa"/>
              <w:left w:w="40" w:type="dxa"/>
              <w:bottom w:w="40" w:type="dxa"/>
              <w:right w:w="40" w:type="dxa"/>
            </w:tcMar>
            <w:vAlign w:val="bottom"/>
          </w:tcPr>
          <w:p w14:paraId="1C85A836"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4E92DE08"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735CBE82"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480566C1"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1243D8C0"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3DD665AA" w14:textId="77777777">
        <w:trPr>
          <w:trHeight w:val="345"/>
        </w:trPr>
        <w:tc>
          <w:tcPr>
            <w:tcW w:w="2205" w:type="dxa"/>
            <w:tcMar>
              <w:top w:w="40" w:type="dxa"/>
              <w:left w:w="40" w:type="dxa"/>
              <w:bottom w:w="40" w:type="dxa"/>
              <w:right w:w="40" w:type="dxa"/>
            </w:tcMar>
            <w:vAlign w:val="bottom"/>
          </w:tcPr>
          <w:p w14:paraId="39379475" w14:textId="77777777" w:rsidR="002E0C8E" w:rsidRDefault="004B55A1">
            <w:pPr>
              <w:widowControl w:val="0"/>
              <w:jc w:val="center"/>
              <w:rPr>
                <w:sz w:val="20"/>
                <w:szCs w:val="20"/>
              </w:rPr>
            </w:pPr>
            <w:r>
              <w:rPr>
                <w:rFonts w:ascii="Calibri" w:eastAsia="Calibri" w:hAnsi="Calibri" w:cs="Calibri"/>
                <w:sz w:val="24"/>
                <w:szCs w:val="24"/>
              </w:rPr>
              <w:t>1H3</w:t>
            </w:r>
          </w:p>
        </w:tc>
        <w:tc>
          <w:tcPr>
            <w:tcW w:w="990" w:type="dxa"/>
            <w:tcMar>
              <w:top w:w="40" w:type="dxa"/>
              <w:left w:w="40" w:type="dxa"/>
              <w:bottom w:w="40" w:type="dxa"/>
              <w:right w:w="40" w:type="dxa"/>
            </w:tcMar>
            <w:vAlign w:val="bottom"/>
          </w:tcPr>
          <w:p w14:paraId="24470C58" w14:textId="77777777" w:rsidR="002E0C8E" w:rsidRDefault="004B55A1">
            <w:pPr>
              <w:widowControl w:val="0"/>
              <w:jc w:val="center"/>
              <w:rPr>
                <w:sz w:val="20"/>
                <w:szCs w:val="20"/>
              </w:rPr>
            </w:pPr>
            <w:r>
              <w:rPr>
                <w:rFonts w:ascii="Calibri" w:eastAsia="Calibri" w:hAnsi="Calibri" w:cs="Calibri"/>
                <w:sz w:val="24"/>
                <w:szCs w:val="24"/>
              </w:rPr>
              <w:t>1</w:t>
            </w:r>
          </w:p>
        </w:tc>
        <w:tc>
          <w:tcPr>
            <w:tcW w:w="615" w:type="dxa"/>
            <w:tcMar>
              <w:top w:w="40" w:type="dxa"/>
              <w:left w:w="40" w:type="dxa"/>
              <w:bottom w:w="40" w:type="dxa"/>
              <w:right w:w="40" w:type="dxa"/>
            </w:tcMar>
            <w:vAlign w:val="bottom"/>
          </w:tcPr>
          <w:p w14:paraId="54B15C84" w14:textId="77777777" w:rsidR="002E0C8E" w:rsidRDefault="004B55A1">
            <w:pPr>
              <w:widowControl w:val="0"/>
              <w:jc w:val="center"/>
              <w:rPr>
                <w:sz w:val="20"/>
                <w:szCs w:val="20"/>
              </w:rPr>
            </w:pPr>
            <w:r>
              <w:rPr>
                <w:rFonts w:ascii="Calibri" w:eastAsia="Calibri" w:hAnsi="Calibri" w:cs="Calibri"/>
                <w:sz w:val="24"/>
                <w:szCs w:val="24"/>
              </w:rPr>
              <w:t>86</w:t>
            </w:r>
          </w:p>
        </w:tc>
        <w:tc>
          <w:tcPr>
            <w:tcW w:w="495" w:type="dxa"/>
            <w:tcMar>
              <w:top w:w="40" w:type="dxa"/>
              <w:left w:w="40" w:type="dxa"/>
              <w:bottom w:w="40" w:type="dxa"/>
              <w:right w:w="40" w:type="dxa"/>
            </w:tcMar>
            <w:vAlign w:val="bottom"/>
          </w:tcPr>
          <w:p w14:paraId="333717E9" w14:textId="77777777" w:rsidR="002E0C8E" w:rsidRDefault="004B55A1">
            <w:pPr>
              <w:widowControl w:val="0"/>
              <w:jc w:val="center"/>
              <w:rPr>
                <w:sz w:val="20"/>
                <w:szCs w:val="20"/>
              </w:rPr>
            </w:pPr>
            <w:r>
              <w:rPr>
                <w:rFonts w:ascii="Calibri" w:eastAsia="Calibri" w:hAnsi="Calibri" w:cs="Calibri"/>
                <w:sz w:val="24"/>
                <w:szCs w:val="24"/>
              </w:rPr>
              <w:t>3</w:t>
            </w:r>
          </w:p>
        </w:tc>
        <w:tc>
          <w:tcPr>
            <w:tcW w:w="600" w:type="dxa"/>
            <w:tcMar>
              <w:top w:w="40" w:type="dxa"/>
              <w:left w:w="40" w:type="dxa"/>
              <w:bottom w:w="40" w:type="dxa"/>
              <w:right w:w="40" w:type="dxa"/>
            </w:tcMar>
            <w:vAlign w:val="bottom"/>
          </w:tcPr>
          <w:p w14:paraId="639D04F5"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19D41781"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789663EF"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3C84D13E"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4E5C1675"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49E72C96" w14:textId="77777777">
        <w:trPr>
          <w:trHeight w:val="345"/>
        </w:trPr>
        <w:tc>
          <w:tcPr>
            <w:tcW w:w="2205" w:type="dxa"/>
            <w:tcMar>
              <w:top w:w="40" w:type="dxa"/>
              <w:left w:w="40" w:type="dxa"/>
              <w:bottom w:w="40" w:type="dxa"/>
              <w:right w:w="40" w:type="dxa"/>
            </w:tcMar>
            <w:vAlign w:val="bottom"/>
          </w:tcPr>
          <w:p w14:paraId="6506F875" w14:textId="77777777" w:rsidR="002E0C8E" w:rsidRDefault="004B55A1">
            <w:pPr>
              <w:widowControl w:val="0"/>
              <w:jc w:val="center"/>
              <w:rPr>
                <w:sz w:val="20"/>
                <w:szCs w:val="20"/>
              </w:rPr>
            </w:pPr>
            <w:r>
              <w:rPr>
                <w:rFonts w:ascii="Calibri" w:eastAsia="Calibri" w:hAnsi="Calibri" w:cs="Calibri"/>
                <w:sz w:val="24"/>
                <w:szCs w:val="24"/>
              </w:rPr>
              <w:t>AK1</w:t>
            </w:r>
          </w:p>
        </w:tc>
        <w:tc>
          <w:tcPr>
            <w:tcW w:w="990" w:type="dxa"/>
            <w:tcMar>
              <w:top w:w="40" w:type="dxa"/>
              <w:left w:w="40" w:type="dxa"/>
              <w:bottom w:w="40" w:type="dxa"/>
              <w:right w:w="40" w:type="dxa"/>
            </w:tcMar>
            <w:vAlign w:val="bottom"/>
          </w:tcPr>
          <w:p w14:paraId="57768834" w14:textId="77777777" w:rsidR="002E0C8E" w:rsidRDefault="004B55A1">
            <w:pPr>
              <w:widowControl w:val="0"/>
              <w:jc w:val="center"/>
              <w:rPr>
                <w:sz w:val="20"/>
                <w:szCs w:val="20"/>
              </w:rPr>
            </w:pPr>
            <w:r>
              <w:rPr>
                <w:rFonts w:ascii="Calibri" w:eastAsia="Calibri" w:hAnsi="Calibri" w:cs="Calibri"/>
                <w:sz w:val="24"/>
                <w:szCs w:val="24"/>
              </w:rPr>
              <w:t>1</w:t>
            </w:r>
          </w:p>
        </w:tc>
        <w:tc>
          <w:tcPr>
            <w:tcW w:w="615" w:type="dxa"/>
            <w:tcMar>
              <w:top w:w="40" w:type="dxa"/>
              <w:left w:w="40" w:type="dxa"/>
              <w:bottom w:w="40" w:type="dxa"/>
              <w:right w:w="40" w:type="dxa"/>
            </w:tcMar>
            <w:vAlign w:val="bottom"/>
          </w:tcPr>
          <w:p w14:paraId="79541BB6" w14:textId="77777777" w:rsidR="002E0C8E" w:rsidRDefault="004B55A1">
            <w:pPr>
              <w:widowControl w:val="0"/>
              <w:jc w:val="center"/>
              <w:rPr>
                <w:sz w:val="20"/>
                <w:szCs w:val="20"/>
              </w:rPr>
            </w:pPr>
            <w:r>
              <w:rPr>
                <w:rFonts w:ascii="Calibri" w:eastAsia="Calibri" w:hAnsi="Calibri" w:cs="Calibri"/>
                <w:sz w:val="24"/>
                <w:szCs w:val="24"/>
              </w:rPr>
              <w:t>97</w:t>
            </w:r>
          </w:p>
        </w:tc>
        <w:tc>
          <w:tcPr>
            <w:tcW w:w="495" w:type="dxa"/>
            <w:tcMar>
              <w:top w:w="40" w:type="dxa"/>
              <w:left w:w="40" w:type="dxa"/>
              <w:bottom w:w="40" w:type="dxa"/>
              <w:right w:w="40" w:type="dxa"/>
            </w:tcMar>
            <w:vAlign w:val="bottom"/>
          </w:tcPr>
          <w:p w14:paraId="2AB819BE" w14:textId="77777777" w:rsidR="002E0C8E" w:rsidRDefault="004B55A1">
            <w:pPr>
              <w:widowControl w:val="0"/>
              <w:jc w:val="center"/>
              <w:rPr>
                <w:sz w:val="20"/>
                <w:szCs w:val="20"/>
              </w:rPr>
            </w:pPr>
            <w:r>
              <w:rPr>
                <w:rFonts w:ascii="Calibri" w:eastAsia="Calibri" w:hAnsi="Calibri" w:cs="Calibri"/>
                <w:sz w:val="24"/>
                <w:szCs w:val="24"/>
              </w:rPr>
              <w:t>3</w:t>
            </w:r>
          </w:p>
        </w:tc>
        <w:tc>
          <w:tcPr>
            <w:tcW w:w="600" w:type="dxa"/>
            <w:tcMar>
              <w:top w:w="40" w:type="dxa"/>
              <w:left w:w="40" w:type="dxa"/>
              <w:bottom w:w="40" w:type="dxa"/>
              <w:right w:w="40" w:type="dxa"/>
            </w:tcMar>
            <w:vAlign w:val="bottom"/>
          </w:tcPr>
          <w:p w14:paraId="73C054FA" w14:textId="77777777" w:rsidR="002E0C8E" w:rsidRDefault="004B55A1">
            <w:pPr>
              <w:widowControl w:val="0"/>
              <w:jc w:val="center"/>
              <w:rPr>
                <w:sz w:val="20"/>
                <w:szCs w:val="20"/>
              </w:rPr>
            </w:pPr>
            <w:r>
              <w:rPr>
                <w:rFonts w:ascii="Calibri" w:eastAsia="Calibri" w:hAnsi="Calibri" w:cs="Calibri"/>
                <w:sz w:val="24"/>
                <w:szCs w:val="24"/>
              </w:rPr>
              <w:t>0</w:t>
            </w:r>
          </w:p>
        </w:tc>
        <w:tc>
          <w:tcPr>
            <w:tcW w:w="1020" w:type="dxa"/>
            <w:tcMar>
              <w:top w:w="40" w:type="dxa"/>
              <w:left w:w="40" w:type="dxa"/>
              <w:bottom w:w="40" w:type="dxa"/>
              <w:right w:w="40" w:type="dxa"/>
            </w:tcMar>
            <w:vAlign w:val="bottom"/>
          </w:tcPr>
          <w:p w14:paraId="3488FB8C"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0627061A"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2221B790"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028BD7EC"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394A42EE" w14:textId="77777777">
        <w:trPr>
          <w:trHeight w:val="345"/>
        </w:trPr>
        <w:tc>
          <w:tcPr>
            <w:tcW w:w="2205" w:type="dxa"/>
            <w:tcMar>
              <w:top w:w="40" w:type="dxa"/>
              <w:left w:w="40" w:type="dxa"/>
              <w:bottom w:w="40" w:type="dxa"/>
              <w:right w:w="40" w:type="dxa"/>
            </w:tcMar>
            <w:vAlign w:val="bottom"/>
          </w:tcPr>
          <w:p w14:paraId="44A644A5" w14:textId="77777777" w:rsidR="002E0C8E" w:rsidRDefault="004B55A1">
            <w:pPr>
              <w:widowControl w:val="0"/>
              <w:jc w:val="center"/>
              <w:rPr>
                <w:sz w:val="20"/>
                <w:szCs w:val="20"/>
              </w:rPr>
            </w:pPr>
            <w:r>
              <w:rPr>
                <w:rFonts w:ascii="Calibri" w:eastAsia="Calibri" w:hAnsi="Calibri" w:cs="Calibri"/>
                <w:sz w:val="24"/>
                <w:szCs w:val="24"/>
              </w:rPr>
              <w:t>RW1</w:t>
            </w:r>
          </w:p>
        </w:tc>
        <w:tc>
          <w:tcPr>
            <w:tcW w:w="990" w:type="dxa"/>
            <w:tcMar>
              <w:top w:w="40" w:type="dxa"/>
              <w:left w:w="40" w:type="dxa"/>
              <w:bottom w:w="40" w:type="dxa"/>
              <w:right w:w="40" w:type="dxa"/>
            </w:tcMar>
            <w:vAlign w:val="bottom"/>
          </w:tcPr>
          <w:p w14:paraId="39A449BB" w14:textId="77777777" w:rsidR="002E0C8E" w:rsidRDefault="004B55A1">
            <w:pPr>
              <w:widowControl w:val="0"/>
              <w:jc w:val="center"/>
              <w:rPr>
                <w:sz w:val="20"/>
                <w:szCs w:val="20"/>
              </w:rPr>
            </w:pPr>
            <w:r>
              <w:rPr>
                <w:rFonts w:ascii="Calibri" w:eastAsia="Calibri" w:hAnsi="Calibri" w:cs="Calibri"/>
                <w:sz w:val="24"/>
                <w:szCs w:val="24"/>
              </w:rPr>
              <w:t>1</w:t>
            </w:r>
          </w:p>
        </w:tc>
        <w:tc>
          <w:tcPr>
            <w:tcW w:w="615" w:type="dxa"/>
            <w:tcMar>
              <w:top w:w="40" w:type="dxa"/>
              <w:left w:w="40" w:type="dxa"/>
              <w:bottom w:w="40" w:type="dxa"/>
              <w:right w:w="40" w:type="dxa"/>
            </w:tcMar>
            <w:vAlign w:val="bottom"/>
          </w:tcPr>
          <w:p w14:paraId="6EAD51F7"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0A2E5211"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2E0F07DB"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11AD2072"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39C27E9F"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75805EFE"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58C9302E"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26967857" w14:textId="77777777">
        <w:trPr>
          <w:trHeight w:val="345"/>
        </w:trPr>
        <w:tc>
          <w:tcPr>
            <w:tcW w:w="2205" w:type="dxa"/>
            <w:tcMar>
              <w:top w:w="40" w:type="dxa"/>
              <w:left w:w="40" w:type="dxa"/>
              <w:bottom w:w="40" w:type="dxa"/>
              <w:right w:w="40" w:type="dxa"/>
            </w:tcMar>
            <w:vAlign w:val="bottom"/>
          </w:tcPr>
          <w:p w14:paraId="70F685B7" w14:textId="77777777" w:rsidR="002E0C8E" w:rsidRDefault="004B55A1">
            <w:pPr>
              <w:widowControl w:val="0"/>
              <w:jc w:val="center"/>
              <w:rPr>
                <w:sz w:val="20"/>
                <w:szCs w:val="20"/>
              </w:rPr>
            </w:pPr>
            <w:r>
              <w:rPr>
                <w:rFonts w:ascii="Calibri" w:eastAsia="Calibri" w:hAnsi="Calibri" w:cs="Calibri"/>
                <w:sz w:val="24"/>
                <w:szCs w:val="24"/>
              </w:rPr>
              <w:t>1H6</w:t>
            </w:r>
          </w:p>
        </w:tc>
        <w:tc>
          <w:tcPr>
            <w:tcW w:w="990" w:type="dxa"/>
            <w:tcMar>
              <w:top w:w="40" w:type="dxa"/>
              <w:left w:w="40" w:type="dxa"/>
              <w:bottom w:w="40" w:type="dxa"/>
              <w:right w:w="40" w:type="dxa"/>
            </w:tcMar>
            <w:vAlign w:val="bottom"/>
          </w:tcPr>
          <w:p w14:paraId="3C74B4D7" w14:textId="77777777" w:rsidR="002E0C8E" w:rsidRDefault="004B55A1">
            <w:pPr>
              <w:widowControl w:val="0"/>
              <w:jc w:val="center"/>
              <w:rPr>
                <w:sz w:val="20"/>
                <w:szCs w:val="20"/>
              </w:rPr>
            </w:pPr>
            <w:r>
              <w:rPr>
                <w:rFonts w:ascii="Calibri" w:eastAsia="Calibri" w:hAnsi="Calibri" w:cs="Calibri"/>
                <w:sz w:val="24"/>
                <w:szCs w:val="24"/>
              </w:rPr>
              <w:t>1</w:t>
            </w:r>
          </w:p>
        </w:tc>
        <w:tc>
          <w:tcPr>
            <w:tcW w:w="615" w:type="dxa"/>
            <w:tcMar>
              <w:top w:w="40" w:type="dxa"/>
              <w:left w:w="40" w:type="dxa"/>
              <w:bottom w:w="40" w:type="dxa"/>
              <w:right w:w="40" w:type="dxa"/>
            </w:tcMar>
            <w:vAlign w:val="bottom"/>
          </w:tcPr>
          <w:p w14:paraId="644A8394" w14:textId="77777777" w:rsidR="002E0C8E" w:rsidRDefault="004B55A1">
            <w:pPr>
              <w:widowControl w:val="0"/>
              <w:jc w:val="center"/>
              <w:rPr>
                <w:sz w:val="20"/>
                <w:szCs w:val="20"/>
              </w:rPr>
            </w:pPr>
            <w:r>
              <w:rPr>
                <w:rFonts w:ascii="Calibri" w:eastAsia="Calibri" w:hAnsi="Calibri" w:cs="Calibri"/>
                <w:sz w:val="24"/>
                <w:szCs w:val="24"/>
              </w:rPr>
              <w:t>83</w:t>
            </w:r>
          </w:p>
        </w:tc>
        <w:tc>
          <w:tcPr>
            <w:tcW w:w="495" w:type="dxa"/>
            <w:tcMar>
              <w:top w:w="40" w:type="dxa"/>
              <w:left w:w="40" w:type="dxa"/>
              <w:bottom w:w="40" w:type="dxa"/>
              <w:right w:w="40" w:type="dxa"/>
            </w:tcMar>
            <w:vAlign w:val="bottom"/>
          </w:tcPr>
          <w:p w14:paraId="19A6BF0D" w14:textId="77777777" w:rsidR="002E0C8E" w:rsidRDefault="004B55A1">
            <w:pPr>
              <w:widowControl w:val="0"/>
              <w:jc w:val="center"/>
              <w:rPr>
                <w:sz w:val="20"/>
                <w:szCs w:val="20"/>
              </w:rPr>
            </w:pPr>
            <w:r>
              <w:rPr>
                <w:rFonts w:ascii="Calibri" w:eastAsia="Calibri" w:hAnsi="Calibri" w:cs="Calibri"/>
                <w:sz w:val="24"/>
                <w:szCs w:val="24"/>
              </w:rPr>
              <w:t>6</w:t>
            </w:r>
          </w:p>
        </w:tc>
        <w:tc>
          <w:tcPr>
            <w:tcW w:w="600" w:type="dxa"/>
            <w:tcMar>
              <w:top w:w="40" w:type="dxa"/>
              <w:left w:w="40" w:type="dxa"/>
              <w:bottom w:w="40" w:type="dxa"/>
              <w:right w:w="40" w:type="dxa"/>
            </w:tcMar>
            <w:vAlign w:val="bottom"/>
          </w:tcPr>
          <w:p w14:paraId="2CFC19FC"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5E7D9E3B"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142C146E"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7A186F03"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1667C8FE"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2C3DDCD7" w14:textId="77777777">
        <w:trPr>
          <w:trHeight w:val="345"/>
        </w:trPr>
        <w:tc>
          <w:tcPr>
            <w:tcW w:w="2205" w:type="dxa"/>
            <w:tcMar>
              <w:top w:w="40" w:type="dxa"/>
              <w:left w:w="40" w:type="dxa"/>
              <w:bottom w:w="40" w:type="dxa"/>
              <w:right w:w="40" w:type="dxa"/>
            </w:tcMar>
            <w:vAlign w:val="bottom"/>
          </w:tcPr>
          <w:p w14:paraId="759360B1" w14:textId="77777777" w:rsidR="002E0C8E" w:rsidRDefault="004B55A1">
            <w:pPr>
              <w:widowControl w:val="0"/>
              <w:jc w:val="center"/>
              <w:rPr>
                <w:sz w:val="20"/>
                <w:szCs w:val="20"/>
              </w:rPr>
            </w:pPr>
            <w:r>
              <w:rPr>
                <w:rFonts w:ascii="Calibri" w:eastAsia="Calibri" w:hAnsi="Calibri" w:cs="Calibri"/>
                <w:sz w:val="24"/>
                <w:szCs w:val="24"/>
              </w:rPr>
              <w:t>RH1</w:t>
            </w:r>
          </w:p>
        </w:tc>
        <w:tc>
          <w:tcPr>
            <w:tcW w:w="990" w:type="dxa"/>
            <w:tcMar>
              <w:top w:w="40" w:type="dxa"/>
              <w:left w:w="40" w:type="dxa"/>
              <w:bottom w:w="40" w:type="dxa"/>
              <w:right w:w="40" w:type="dxa"/>
            </w:tcMar>
            <w:vAlign w:val="bottom"/>
          </w:tcPr>
          <w:p w14:paraId="31F16442" w14:textId="77777777" w:rsidR="002E0C8E" w:rsidRDefault="004B55A1">
            <w:pPr>
              <w:widowControl w:val="0"/>
              <w:jc w:val="center"/>
              <w:rPr>
                <w:sz w:val="20"/>
                <w:szCs w:val="20"/>
              </w:rPr>
            </w:pPr>
            <w:r>
              <w:rPr>
                <w:rFonts w:ascii="Calibri" w:eastAsia="Calibri" w:hAnsi="Calibri" w:cs="Calibri"/>
                <w:sz w:val="24"/>
                <w:szCs w:val="24"/>
              </w:rPr>
              <w:t>1</w:t>
            </w:r>
          </w:p>
        </w:tc>
        <w:tc>
          <w:tcPr>
            <w:tcW w:w="615" w:type="dxa"/>
            <w:tcMar>
              <w:top w:w="40" w:type="dxa"/>
              <w:left w:w="40" w:type="dxa"/>
              <w:bottom w:w="40" w:type="dxa"/>
              <w:right w:w="40" w:type="dxa"/>
            </w:tcMar>
            <w:vAlign w:val="bottom"/>
          </w:tcPr>
          <w:p w14:paraId="149FF87E" w14:textId="77777777" w:rsidR="002E0C8E" w:rsidRDefault="004B55A1">
            <w:pPr>
              <w:widowControl w:val="0"/>
              <w:jc w:val="center"/>
              <w:rPr>
                <w:sz w:val="20"/>
                <w:szCs w:val="20"/>
              </w:rPr>
            </w:pPr>
            <w:r>
              <w:rPr>
                <w:rFonts w:ascii="Calibri" w:eastAsia="Calibri" w:hAnsi="Calibri" w:cs="Calibri"/>
                <w:sz w:val="24"/>
                <w:szCs w:val="24"/>
              </w:rPr>
              <w:t>90</w:t>
            </w:r>
          </w:p>
        </w:tc>
        <w:tc>
          <w:tcPr>
            <w:tcW w:w="495" w:type="dxa"/>
            <w:tcMar>
              <w:top w:w="40" w:type="dxa"/>
              <w:left w:w="40" w:type="dxa"/>
              <w:bottom w:w="40" w:type="dxa"/>
              <w:right w:w="40" w:type="dxa"/>
            </w:tcMar>
            <w:vAlign w:val="bottom"/>
          </w:tcPr>
          <w:p w14:paraId="580CBC4F" w14:textId="77777777" w:rsidR="002E0C8E" w:rsidRDefault="004B55A1">
            <w:pPr>
              <w:widowControl w:val="0"/>
              <w:jc w:val="center"/>
              <w:rPr>
                <w:sz w:val="20"/>
                <w:szCs w:val="20"/>
              </w:rPr>
            </w:pPr>
            <w:r>
              <w:rPr>
                <w:rFonts w:ascii="Calibri" w:eastAsia="Calibri" w:hAnsi="Calibri" w:cs="Calibri"/>
                <w:sz w:val="24"/>
                <w:szCs w:val="24"/>
              </w:rPr>
              <w:t>10</w:t>
            </w:r>
          </w:p>
        </w:tc>
        <w:tc>
          <w:tcPr>
            <w:tcW w:w="600" w:type="dxa"/>
            <w:tcMar>
              <w:top w:w="40" w:type="dxa"/>
              <w:left w:w="40" w:type="dxa"/>
              <w:bottom w:w="40" w:type="dxa"/>
              <w:right w:w="40" w:type="dxa"/>
            </w:tcMar>
            <w:vAlign w:val="bottom"/>
          </w:tcPr>
          <w:p w14:paraId="7BA107ED" w14:textId="77777777" w:rsidR="002E0C8E" w:rsidRDefault="004B55A1">
            <w:pPr>
              <w:widowControl w:val="0"/>
              <w:jc w:val="center"/>
              <w:rPr>
                <w:sz w:val="20"/>
                <w:szCs w:val="20"/>
              </w:rPr>
            </w:pPr>
            <w:r>
              <w:rPr>
                <w:rFonts w:ascii="Calibri" w:eastAsia="Calibri" w:hAnsi="Calibri" w:cs="Calibri"/>
                <w:sz w:val="24"/>
                <w:szCs w:val="24"/>
              </w:rPr>
              <w:t>0</w:t>
            </w:r>
          </w:p>
        </w:tc>
        <w:tc>
          <w:tcPr>
            <w:tcW w:w="1020" w:type="dxa"/>
            <w:tcMar>
              <w:top w:w="40" w:type="dxa"/>
              <w:left w:w="40" w:type="dxa"/>
              <w:bottom w:w="40" w:type="dxa"/>
              <w:right w:w="40" w:type="dxa"/>
            </w:tcMar>
            <w:vAlign w:val="bottom"/>
          </w:tcPr>
          <w:p w14:paraId="6BB9F825"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587196C1"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18B158EF"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66AD9519"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0D0A755F" w14:textId="77777777">
        <w:trPr>
          <w:trHeight w:val="345"/>
        </w:trPr>
        <w:tc>
          <w:tcPr>
            <w:tcW w:w="2205" w:type="dxa"/>
            <w:tcMar>
              <w:top w:w="40" w:type="dxa"/>
              <w:left w:w="40" w:type="dxa"/>
              <w:bottom w:w="40" w:type="dxa"/>
              <w:right w:w="40" w:type="dxa"/>
            </w:tcMar>
            <w:vAlign w:val="bottom"/>
          </w:tcPr>
          <w:p w14:paraId="5C4DE824" w14:textId="77777777" w:rsidR="002E0C8E" w:rsidRDefault="004B55A1">
            <w:pPr>
              <w:widowControl w:val="0"/>
              <w:jc w:val="center"/>
              <w:rPr>
                <w:sz w:val="20"/>
                <w:szCs w:val="20"/>
              </w:rPr>
            </w:pPr>
            <w:r>
              <w:rPr>
                <w:rFonts w:ascii="Calibri" w:eastAsia="Calibri" w:hAnsi="Calibri" w:cs="Calibri"/>
                <w:sz w:val="24"/>
                <w:szCs w:val="24"/>
              </w:rPr>
              <w:lastRenderedPageBreak/>
              <w:t>15H0</w:t>
            </w:r>
          </w:p>
        </w:tc>
        <w:tc>
          <w:tcPr>
            <w:tcW w:w="990" w:type="dxa"/>
            <w:tcMar>
              <w:top w:w="40" w:type="dxa"/>
              <w:left w:w="40" w:type="dxa"/>
              <w:bottom w:w="40" w:type="dxa"/>
              <w:right w:w="40" w:type="dxa"/>
            </w:tcMar>
            <w:vAlign w:val="bottom"/>
          </w:tcPr>
          <w:p w14:paraId="33CF8439" w14:textId="77777777" w:rsidR="002E0C8E" w:rsidRDefault="004B55A1">
            <w:pPr>
              <w:widowControl w:val="0"/>
              <w:jc w:val="center"/>
              <w:rPr>
                <w:sz w:val="20"/>
                <w:szCs w:val="20"/>
              </w:rPr>
            </w:pPr>
            <w:r>
              <w:rPr>
                <w:rFonts w:ascii="Calibri" w:eastAsia="Calibri" w:hAnsi="Calibri" w:cs="Calibri"/>
                <w:sz w:val="24"/>
                <w:szCs w:val="24"/>
              </w:rPr>
              <w:t>1.5</w:t>
            </w:r>
          </w:p>
        </w:tc>
        <w:tc>
          <w:tcPr>
            <w:tcW w:w="615" w:type="dxa"/>
            <w:tcMar>
              <w:top w:w="40" w:type="dxa"/>
              <w:left w:w="40" w:type="dxa"/>
              <w:bottom w:w="40" w:type="dxa"/>
              <w:right w:w="40" w:type="dxa"/>
            </w:tcMar>
            <w:vAlign w:val="bottom"/>
          </w:tcPr>
          <w:p w14:paraId="3B103BB3" w14:textId="77777777" w:rsidR="002E0C8E" w:rsidRDefault="004B55A1">
            <w:pPr>
              <w:widowControl w:val="0"/>
              <w:jc w:val="center"/>
              <w:rPr>
                <w:sz w:val="20"/>
                <w:szCs w:val="20"/>
              </w:rPr>
            </w:pPr>
            <w:r>
              <w:rPr>
                <w:rFonts w:ascii="Calibri" w:eastAsia="Calibri" w:hAnsi="Calibri" w:cs="Calibri"/>
                <w:sz w:val="24"/>
                <w:szCs w:val="24"/>
              </w:rPr>
              <w:t>89</w:t>
            </w:r>
          </w:p>
        </w:tc>
        <w:tc>
          <w:tcPr>
            <w:tcW w:w="495" w:type="dxa"/>
            <w:tcMar>
              <w:top w:w="40" w:type="dxa"/>
              <w:left w:w="40" w:type="dxa"/>
              <w:bottom w:w="40" w:type="dxa"/>
              <w:right w:w="40" w:type="dxa"/>
            </w:tcMar>
            <w:vAlign w:val="bottom"/>
          </w:tcPr>
          <w:p w14:paraId="78CF1652" w14:textId="77777777" w:rsidR="002E0C8E" w:rsidRDefault="004B55A1">
            <w:pPr>
              <w:widowControl w:val="0"/>
              <w:jc w:val="center"/>
              <w:rPr>
                <w:sz w:val="20"/>
                <w:szCs w:val="20"/>
              </w:rPr>
            </w:pPr>
            <w:r>
              <w:rPr>
                <w:rFonts w:ascii="Calibri" w:eastAsia="Calibri" w:hAnsi="Calibri" w:cs="Calibri"/>
                <w:sz w:val="24"/>
                <w:szCs w:val="24"/>
              </w:rPr>
              <w:t>0</w:t>
            </w:r>
          </w:p>
        </w:tc>
        <w:tc>
          <w:tcPr>
            <w:tcW w:w="600" w:type="dxa"/>
            <w:tcMar>
              <w:top w:w="40" w:type="dxa"/>
              <w:left w:w="40" w:type="dxa"/>
              <w:bottom w:w="40" w:type="dxa"/>
              <w:right w:w="40" w:type="dxa"/>
            </w:tcMar>
            <w:vAlign w:val="bottom"/>
          </w:tcPr>
          <w:p w14:paraId="3B982EE4"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584BB845"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6BE907EE"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65E21FA2"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2EE47287"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0C5F1DA5" w14:textId="77777777">
        <w:trPr>
          <w:trHeight w:val="345"/>
        </w:trPr>
        <w:tc>
          <w:tcPr>
            <w:tcW w:w="2205" w:type="dxa"/>
            <w:tcMar>
              <w:top w:w="40" w:type="dxa"/>
              <w:left w:w="40" w:type="dxa"/>
              <w:bottom w:w="40" w:type="dxa"/>
              <w:right w:w="40" w:type="dxa"/>
            </w:tcMar>
            <w:vAlign w:val="bottom"/>
          </w:tcPr>
          <w:p w14:paraId="65456632" w14:textId="77777777" w:rsidR="002E0C8E" w:rsidRDefault="004B55A1">
            <w:pPr>
              <w:widowControl w:val="0"/>
              <w:jc w:val="center"/>
              <w:rPr>
                <w:sz w:val="20"/>
                <w:szCs w:val="20"/>
              </w:rPr>
            </w:pPr>
            <w:r>
              <w:rPr>
                <w:rFonts w:ascii="Calibri" w:eastAsia="Calibri" w:hAnsi="Calibri" w:cs="Calibri"/>
                <w:sz w:val="24"/>
                <w:szCs w:val="24"/>
              </w:rPr>
              <w:t>15H3</w:t>
            </w:r>
          </w:p>
        </w:tc>
        <w:tc>
          <w:tcPr>
            <w:tcW w:w="990" w:type="dxa"/>
            <w:tcMar>
              <w:top w:w="40" w:type="dxa"/>
              <w:left w:w="40" w:type="dxa"/>
              <w:bottom w:w="40" w:type="dxa"/>
              <w:right w:w="40" w:type="dxa"/>
            </w:tcMar>
            <w:vAlign w:val="bottom"/>
          </w:tcPr>
          <w:p w14:paraId="326E7E35" w14:textId="77777777" w:rsidR="002E0C8E" w:rsidRDefault="004B55A1">
            <w:pPr>
              <w:widowControl w:val="0"/>
              <w:jc w:val="center"/>
              <w:rPr>
                <w:sz w:val="20"/>
                <w:szCs w:val="20"/>
              </w:rPr>
            </w:pPr>
            <w:r>
              <w:rPr>
                <w:rFonts w:ascii="Calibri" w:eastAsia="Calibri" w:hAnsi="Calibri" w:cs="Calibri"/>
                <w:sz w:val="24"/>
                <w:szCs w:val="24"/>
              </w:rPr>
              <w:t>1.5</w:t>
            </w:r>
          </w:p>
        </w:tc>
        <w:tc>
          <w:tcPr>
            <w:tcW w:w="615" w:type="dxa"/>
            <w:tcMar>
              <w:top w:w="40" w:type="dxa"/>
              <w:left w:w="40" w:type="dxa"/>
              <w:bottom w:w="40" w:type="dxa"/>
              <w:right w:w="40" w:type="dxa"/>
            </w:tcMar>
            <w:vAlign w:val="bottom"/>
          </w:tcPr>
          <w:p w14:paraId="53EC7C43" w14:textId="77777777" w:rsidR="002E0C8E" w:rsidRDefault="004B55A1">
            <w:pPr>
              <w:widowControl w:val="0"/>
              <w:jc w:val="center"/>
              <w:rPr>
                <w:sz w:val="20"/>
                <w:szCs w:val="20"/>
              </w:rPr>
            </w:pPr>
            <w:r>
              <w:rPr>
                <w:rFonts w:ascii="Calibri" w:eastAsia="Calibri" w:hAnsi="Calibri" w:cs="Calibri"/>
                <w:sz w:val="24"/>
                <w:szCs w:val="24"/>
              </w:rPr>
              <w:t>86</w:t>
            </w:r>
          </w:p>
        </w:tc>
        <w:tc>
          <w:tcPr>
            <w:tcW w:w="495" w:type="dxa"/>
            <w:tcMar>
              <w:top w:w="40" w:type="dxa"/>
              <w:left w:w="40" w:type="dxa"/>
              <w:bottom w:w="40" w:type="dxa"/>
              <w:right w:w="40" w:type="dxa"/>
            </w:tcMar>
            <w:vAlign w:val="bottom"/>
          </w:tcPr>
          <w:p w14:paraId="3267FB58" w14:textId="77777777" w:rsidR="002E0C8E" w:rsidRDefault="004B55A1">
            <w:pPr>
              <w:widowControl w:val="0"/>
              <w:jc w:val="center"/>
              <w:rPr>
                <w:sz w:val="20"/>
                <w:szCs w:val="20"/>
              </w:rPr>
            </w:pPr>
            <w:r>
              <w:rPr>
                <w:rFonts w:ascii="Calibri" w:eastAsia="Calibri" w:hAnsi="Calibri" w:cs="Calibri"/>
                <w:sz w:val="24"/>
                <w:szCs w:val="24"/>
              </w:rPr>
              <w:t>3</w:t>
            </w:r>
          </w:p>
        </w:tc>
        <w:tc>
          <w:tcPr>
            <w:tcW w:w="600" w:type="dxa"/>
            <w:tcMar>
              <w:top w:w="40" w:type="dxa"/>
              <w:left w:w="40" w:type="dxa"/>
              <w:bottom w:w="40" w:type="dxa"/>
              <w:right w:w="40" w:type="dxa"/>
            </w:tcMar>
            <w:vAlign w:val="bottom"/>
          </w:tcPr>
          <w:p w14:paraId="5A22331D"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6D0FB8B3"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0F2D8AB7"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612F404E"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6CC2E885"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1650FC11" w14:textId="77777777">
        <w:trPr>
          <w:trHeight w:val="345"/>
        </w:trPr>
        <w:tc>
          <w:tcPr>
            <w:tcW w:w="2205" w:type="dxa"/>
            <w:tcMar>
              <w:top w:w="40" w:type="dxa"/>
              <w:left w:w="40" w:type="dxa"/>
              <w:bottom w:w="40" w:type="dxa"/>
              <w:right w:w="40" w:type="dxa"/>
            </w:tcMar>
            <w:vAlign w:val="bottom"/>
          </w:tcPr>
          <w:p w14:paraId="38010900" w14:textId="77777777" w:rsidR="002E0C8E" w:rsidRDefault="004B55A1">
            <w:pPr>
              <w:widowControl w:val="0"/>
              <w:jc w:val="center"/>
              <w:rPr>
                <w:sz w:val="20"/>
                <w:szCs w:val="20"/>
              </w:rPr>
            </w:pPr>
            <w:r>
              <w:rPr>
                <w:rFonts w:ascii="Calibri" w:eastAsia="Calibri" w:hAnsi="Calibri" w:cs="Calibri"/>
                <w:sz w:val="24"/>
                <w:szCs w:val="24"/>
              </w:rPr>
              <w:t>15H5</w:t>
            </w:r>
          </w:p>
        </w:tc>
        <w:tc>
          <w:tcPr>
            <w:tcW w:w="990" w:type="dxa"/>
            <w:tcMar>
              <w:top w:w="40" w:type="dxa"/>
              <w:left w:w="40" w:type="dxa"/>
              <w:bottom w:w="40" w:type="dxa"/>
              <w:right w:w="40" w:type="dxa"/>
            </w:tcMar>
            <w:vAlign w:val="bottom"/>
          </w:tcPr>
          <w:p w14:paraId="1AC31879" w14:textId="77777777" w:rsidR="002E0C8E" w:rsidRDefault="004B55A1">
            <w:pPr>
              <w:widowControl w:val="0"/>
              <w:jc w:val="center"/>
              <w:rPr>
                <w:sz w:val="20"/>
                <w:szCs w:val="20"/>
              </w:rPr>
            </w:pPr>
            <w:r>
              <w:rPr>
                <w:rFonts w:ascii="Calibri" w:eastAsia="Calibri" w:hAnsi="Calibri" w:cs="Calibri"/>
                <w:sz w:val="24"/>
                <w:szCs w:val="24"/>
              </w:rPr>
              <w:t>1.5</w:t>
            </w:r>
          </w:p>
        </w:tc>
        <w:tc>
          <w:tcPr>
            <w:tcW w:w="615" w:type="dxa"/>
            <w:tcMar>
              <w:top w:w="40" w:type="dxa"/>
              <w:left w:w="40" w:type="dxa"/>
              <w:bottom w:w="40" w:type="dxa"/>
              <w:right w:w="40" w:type="dxa"/>
            </w:tcMar>
            <w:vAlign w:val="bottom"/>
          </w:tcPr>
          <w:p w14:paraId="498E9AC5"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7ED455F9"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32F32C91"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6017AF0"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71D60EDE"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3C055801"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340DF3DC"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715D6276" w14:textId="77777777">
        <w:trPr>
          <w:trHeight w:val="345"/>
        </w:trPr>
        <w:tc>
          <w:tcPr>
            <w:tcW w:w="2205" w:type="dxa"/>
            <w:tcMar>
              <w:top w:w="40" w:type="dxa"/>
              <w:left w:w="40" w:type="dxa"/>
              <w:bottom w:w="40" w:type="dxa"/>
              <w:right w:w="40" w:type="dxa"/>
            </w:tcMar>
            <w:vAlign w:val="bottom"/>
          </w:tcPr>
          <w:p w14:paraId="3BE2D40B" w14:textId="77777777" w:rsidR="002E0C8E" w:rsidRDefault="004B55A1">
            <w:pPr>
              <w:widowControl w:val="0"/>
              <w:jc w:val="center"/>
              <w:rPr>
                <w:sz w:val="20"/>
                <w:szCs w:val="20"/>
              </w:rPr>
            </w:pPr>
            <w:r>
              <w:rPr>
                <w:rFonts w:ascii="Calibri" w:eastAsia="Calibri" w:hAnsi="Calibri" w:cs="Calibri"/>
                <w:sz w:val="24"/>
                <w:szCs w:val="24"/>
              </w:rPr>
              <w:t>AK15</w:t>
            </w:r>
          </w:p>
        </w:tc>
        <w:tc>
          <w:tcPr>
            <w:tcW w:w="990" w:type="dxa"/>
            <w:tcMar>
              <w:top w:w="40" w:type="dxa"/>
              <w:left w:w="40" w:type="dxa"/>
              <w:bottom w:w="40" w:type="dxa"/>
              <w:right w:w="40" w:type="dxa"/>
            </w:tcMar>
            <w:vAlign w:val="bottom"/>
          </w:tcPr>
          <w:p w14:paraId="07ED88DC" w14:textId="77777777" w:rsidR="002E0C8E" w:rsidRDefault="004B55A1">
            <w:pPr>
              <w:widowControl w:val="0"/>
              <w:jc w:val="center"/>
              <w:rPr>
                <w:sz w:val="20"/>
                <w:szCs w:val="20"/>
              </w:rPr>
            </w:pPr>
            <w:r>
              <w:rPr>
                <w:rFonts w:ascii="Calibri" w:eastAsia="Calibri" w:hAnsi="Calibri" w:cs="Calibri"/>
                <w:sz w:val="24"/>
                <w:szCs w:val="24"/>
              </w:rPr>
              <w:t>1.5</w:t>
            </w:r>
          </w:p>
        </w:tc>
        <w:tc>
          <w:tcPr>
            <w:tcW w:w="615" w:type="dxa"/>
            <w:tcMar>
              <w:top w:w="40" w:type="dxa"/>
              <w:left w:w="40" w:type="dxa"/>
              <w:bottom w:w="40" w:type="dxa"/>
              <w:right w:w="40" w:type="dxa"/>
            </w:tcMar>
            <w:vAlign w:val="bottom"/>
          </w:tcPr>
          <w:p w14:paraId="3EA811C0" w14:textId="77777777" w:rsidR="002E0C8E" w:rsidRDefault="004B55A1">
            <w:pPr>
              <w:widowControl w:val="0"/>
              <w:jc w:val="center"/>
              <w:rPr>
                <w:sz w:val="20"/>
                <w:szCs w:val="20"/>
              </w:rPr>
            </w:pPr>
            <w:r>
              <w:rPr>
                <w:rFonts w:ascii="Calibri" w:eastAsia="Calibri" w:hAnsi="Calibri" w:cs="Calibri"/>
                <w:sz w:val="24"/>
                <w:szCs w:val="24"/>
              </w:rPr>
              <w:t>97</w:t>
            </w:r>
          </w:p>
        </w:tc>
        <w:tc>
          <w:tcPr>
            <w:tcW w:w="495" w:type="dxa"/>
            <w:tcMar>
              <w:top w:w="40" w:type="dxa"/>
              <w:left w:w="40" w:type="dxa"/>
              <w:bottom w:w="40" w:type="dxa"/>
              <w:right w:w="40" w:type="dxa"/>
            </w:tcMar>
            <w:vAlign w:val="bottom"/>
          </w:tcPr>
          <w:p w14:paraId="50BDC492" w14:textId="77777777" w:rsidR="002E0C8E" w:rsidRDefault="004B55A1">
            <w:pPr>
              <w:widowControl w:val="0"/>
              <w:jc w:val="center"/>
              <w:rPr>
                <w:sz w:val="20"/>
                <w:szCs w:val="20"/>
              </w:rPr>
            </w:pPr>
            <w:r>
              <w:rPr>
                <w:rFonts w:ascii="Calibri" w:eastAsia="Calibri" w:hAnsi="Calibri" w:cs="Calibri"/>
                <w:sz w:val="24"/>
                <w:szCs w:val="24"/>
              </w:rPr>
              <w:t>3</w:t>
            </w:r>
          </w:p>
        </w:tc>
        <w:tc>
          <w:tcPr>
            <w:tcW w:w="600" w:type="dxa"/>
            <w:tcMar>
              <w:top w:w="40" w:type="dxa"/>
              <w:left w:w="40" w:type="dxa"/>
              <w:bottom w:w="40" w:type="dxa"/>
              <w:right w:w="40" w:type="dxa"/>
            </w:tcMar>
            <w:vAlign w:val="bottom"/>
          </w:tcPr>
          <w:p w14:paraId="1B2AFC5E" w14:textId="77777777" w:rsidR="002E0C8E" w:rsidRDefault="004B55A1">
            <w:pPr>
              <w:widowControl w:val="0"/>
              <w:jc w:val="center"/>
              <w:rPr>
                <w:sz w:val="20"/>
                <w:szCs w:val="20"/>
              </w:rPr>
            </w:pPr>
            <w:r>
              <w:rPr>
                <w:rFonts w:ascii="Calibri" w:eastAsia="Calibri" w:hAnsi="Calibri" w:cs="Calibri"/>
                <w:sz w:val="24"/>
                <w:szCs w:val="24"/>
              </w:rPr>
              <w:t>0</w:t>
            </w:r>
          </w:p>
        </w:tc>
        <w:tc>
          <w:tcPr>
            <w:tcW w:w="1020" w:type="dxa"/>
            <w:tcMar>
              <w:top w:w="40" w:type="dxa"/>
              <w:left w:w="40" w:type="dxa"/>
              <w:bottom w:w="40" w:type="dxa"/>
              <w:right w:w="40" w:type="dxa"/>
            </w:tcMar>
            <w:vAlign w:val="bottom"/>
          </w:tcPr>
          <w:p w14:paraId="5B206821"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0547ACDB"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29BF127F"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223549D0"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1BB4D015" w14:textId="77777777">
        <w:trPr>
          <w:trHeight w:val="345"/>
        </w:trPr>
        <w:tc>
          <w:tcPr>
            <w:tcW w:w="2205" w:type="dxa"/>
            <w:tcMar>
              <w:top w:w="40" w:type="dxa"/>
              <w:left w:w="40" w:type="dxa"/>
              <w:bottom w:w="40" w:type="dxa"/>
              <w:right w:w="40" w:type="dxa"/>
            </w:tcMar>
            <w:vAlign w:val="bottom"/>
          </w:tcPr>
          <w:p w14:paraId="26974806" w14:textId="77777777" w:rsidR="002E0C8E" w:rsidRDefault="004B55A1">
            <w:pPr>
              <w:widowControl w:val="0"/>
              <w:jc w:val="center"/>
              <w:rPr>
                <w:sz w:val="20"/>
                <w:szCs w:val="20"/>
              </w:rPr>
            </w:pPr>
            <w:r>
              <w:rPr>
                <w:rFonts w:ascii="Calibri" w:eastAsia="Calibri" w:hAnsi="Calibri" w:cs="Calibri"/>
                <w:sz w:val="24"/>
                <w:szCs w:val="24"/>
              </w:rPr>
              <w:t>RH15</w:t>
            </w:r>
          </w:p>
        </w:tc>
        <w:tc>
          <w:tcPr>
            <w:tcW w:w="990" w:type="dxa"/>
            <w:tcMar>
              <w:top w:w="40" w:type="dxa"/>
              <w:left w:w="40" w:type="dxa"/>
              <w:bottom w:w="40" w:type="dxa"/>
              <w:right w:w="40" w:type="dxa"/>
            </w:tcMar>
            <w:vAlign w:val="bottom"/>
          </w:tcPr>
          <w:p w14:paraId="14B2CB19" w14:textId="77777777" w:rsidR="002E0C8E" w:rsidRDefault="004B55A1">
            <w:pPr>
              <w:widowControl w:val="0"/>
              <w:jc w:val="center"/>
              <w:rPr>
                <w:sz w:val="20"/>
                <w:szCs w:val="20"/>
              </w:rPr>
            </w:pPr>
            <w:r>
              <w:rPr>
                <w:rFonts w:ascii="Calibri" w:eastAsia="Calibri" w:hAnsi="Calibri" w:cs="Calibri"/>
                <w:sz w:val="24"/>
                <w:szCs w:val="24"/>
              </w:rPr>
              <w:t>1.5</w:t>
            </w:r>
          </w:p>
        </w:tc>
        <w:tc>
          <w:tcPr>
            <w:tcW w:w="615" w:type="dxa"/>
            <w:tcMar>
              <w:top w:w="40" w:type="dxa"/>
              <w:left w:w="40" w:type="dxa"/>
              <w:bottom w:w="40" w:type="dxa"/>
              <w:right w:w="40" w:type="dxa"/>
            </w:tcMar>
            <w:vAlign w:val="bottom"/>
          </w:tcPr>
          <w:p w14:paraId="2A264B69" w14:textId="77777777" w:rsidR="002E0C8E" w:rsidRDefault="004B55A1">
            <w:pPr>
              <w:widowControl w:val="0"/>
              <w:jc w:val="center"/>
              <w:rPr>
                <w:sz w:val="20"/>
                <w:szCs w:val="20"/>
              </w:rPr>
            </w:pPr>
            <w:r>
              <w:rPr>
                <w:rFonts w:ascii="Calibri" w:eastAsia="Calibri" w:hAnsi="Calibri" w:cs="Calibri"/>
                <w:sz w:val="24"/>
                <w:szCs w:val="24"/>
              </w:rPr>
              <w:t>90</w:t>
            </w:r>
          </w:p>
        </w:tc>
        <w:tc>
          <w:tcPr>
            <w:tcW w:w="495" w:type="dxa"/>
            <w:tcMar>
              <w:top w:w="40" w:type="dxa"/>
              <w:left w:w="40" w:type="dxa"/>
              <w:bottom w:w="40" w:type="dxa"/>
              <w:right w:w="40" w:type="dxa"/>
            </w:tcMar>
            <w:vAlign w:val="bottom"/>
          </w:tcPr>
          <w:p w14:paraId="1A27C002" w14:textId="77777777" w:rsidR="002E0C8E" w:rsidRDefault="004B55A1">
            <w:pPr>
              <w:widowControl w:val="0"/>
              <w:jc w:val="center"/>
              <w:rPr>
                <w:sz w:val="20"/>
                <w:szCs w:val="20"/>
              </w:rPr>
            </w:pPr>
            <w:r>
              <w:rPr>
                <w:rFonts w:ascii="Calibri" w:eastAsia="Calibri" w:hAnsi="Calibri" w:cs="Calibri"/>
                <w:sz w:val="24"/>
                <w:szCs w:val="24"/>
              </w:rPr>
              <w:t>10</w:t>
            </w:r>
          </w:p>
        </w:tc>
        <w:tc>
          <w:tcPr>
            <w:tcW w:w="600" w:type="dxa"/>
            <w:tcMar>
              <w:top w:w="40" w:type="dxa"/>
              <w:left w:w="40" w:type="dxa"/>
              <w:bottom w:w="40" w:type="dxa"/>
              <w:right w:w="40" w:type="dxa"/>
            </w:tcMar>
            <w:vAlign w:val="bottom"/>
          </w:tcPr>
          <w:p w14:paraId="01FDBD6F" w14:textId="77777777" w:rsidR="002E0C8E" w:rsidRDefault="004B55A1">
            <w:pPr>
              <w:widowControl w:val="0"/>
              <w:jc w:val="center"/>
              <w:rPr>
                <w:sz w:val="20"/>
                <w:szCs w:val="20"/>
              </w:rPr>
            </w:pPr>
            <w:r>
              <w:rPr>
                <w:rFonts w:ascii="Calibri" w:eastAsia="Calibri" w:hAnsi="Calibri" w:cs="Calibri"/>
                <w:sz w:val="24"/>
                <w:szCs w:val="24"/>
              </w:rPr>
              <w:t>0</w:t>
            </w:r>
          </w:p>
        </w:tc>
        <w:tc>
          <w:tcPr>
            <w:tcW w:w="1020" w:type="dxa"/>
            <w:tcMar>
              <w:top w:w="40" w:type="dxa"/>
              <w:left w:w="40" w:type="dxa"/>
              <w:bottom w:w="40" w:type="dxa"/>
              <w:right w:w="40" w:type="dxa"/>
            </w:tcMar>
            <w:vAlign w:val="bottom"/>
          </w:tcPr>
          <w:p w14:paraId="7E590158"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37958BC0"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7F1F1C30"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67895CAA"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2A614EA5" w14:textId="77777777">
        <w:trPr>
          <w:trHeight w:val="345"/>
        </w:trPr>
        <w:tc>
          <w:tcPr>
            <w:tcW w:w="2205" w:type="dxa"/>
            <w:tcMar>
              <w:top w:w="40" w:type="dxa"/>
              <w:left w:w="40" w:type="dxa"/>
              <w:bottom w:w="40" w:type="dxa"/>
              <w:right w:w="40" w:type="dxa"/>
            </w:tcMar>
            <w:vAlign w:val="bottom"/>
          </w:tcPr>
          <w:p w14:paraId="029F85CE" w14:textId="77777777" w:rsidR="002E0C8E" w:rsidRDefault="004B55A1">
            <w:pPr>
              <w:widowControl w:val="0"/>
              <w:jc w:val="center"/>
              <w:rPr>
                <w:sz w:val="20"/>
                <w:szCs w:val="20"/>
              </w:rPr>
            </w:pPr>
            <w:r>
              <w:rPr>
                <w:rFonts w:ascii="Calibri" w:eastAsia="Calibri" w:hAnsi="Calibri" w:cs="Calibri"/>
                <w:sz w:val="24"/>
                <w:szCs w:val="24"/>
              </w:rPr>
              <w:t>2H0</w:t>
            </w:r>
          </w:p>
        </w:tc>
        <w:tc>
          <w:tcPr>
            <w:tcW w:w="990" w:type="dxa"/>
            <w:tcMar>
              <w:top w:w="40" w:type="dxa"/>
              <w:left w:w="40" w:type="dxa"/>
              <w:bottom w:w="40" w:type="dxa"/>
              <w:right w:w="40" w:type="dxa"/>
            </w:tcMar>
            <w:vAlign w:val="bottom"/>
          </w:tcPr>
          <w:p w14:paraId="3CDCF0F3"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03146E34" w14:textId="77777777" w:rsidR="002E0C8E" w:rsidRDefault="004B55A1">
            <w:pPr>
              <w:widowControl w:val="0"/>
              <w:jc w:val="center"/>
              <w:rPr>
                <w:sz w:val="20"/>
                <w:szCs w:val="20"/>
              </w:rPr>
            </w:pPr>
            <w:r>
              <w:rPr>
                <w:rFonts w:ascii="Calibri" w:eastAsia="Calibri" w:hAnsi="Calibri" w:cs="Calibri"/>
                <w:sz w:val="24"/>
                <w:szCs w:val="24"/>
              </w:rPr>
              <w:t>89</w:t>
            </w:r>
          </w:p>
        </w:tc>
        <w:tc>
          <w:tcPr>
            <w:tcW w:w="495" w:type="dxa"/>
            <w:tcMar>
              <w:top w:w="40" w:type="dxa"/>
              <w:left w:w="40" w:type="dxa"/>
              <w:bottom w:w="40" w:type="dxa"/>
              <w:right w:w="40" w:type="dxa"/>
            </w:tcMar>
            <w:vAlign w:val="bottom"/>
          </w:tcPr>
          <w:p w14:paraId="41D475CA" w14:textId="77777777" w:rsidR="002E0C8E" w:rsidRDefault="004B55A1">
            <w:pPr>
              <w:widowControl w:val="0"/>
              <w:jc w:val="center"/>
              <w:rPr>
                <w:sz w:val="20"/>
                <w:szCs w:val="20"/>
              </w:rPr>
            </w:pPr>
            <w:r>
              <w:rPr>
                <w:rFonts w:ascii="Calibri" w:eastAsia="Calibri" w:hAnsi="Calibri" w:cs="Calibri"/>
                <w:sz w:val="24"/>
                <w:szCs w:val="24"/>
              </w:rPr>
              <w:t>0</w:t>
            </w:r>
          </w:p>
        </w:tc>
        <w:tc>
          <w:tcPr>
            <w:tcW w:w="600" w:type="dxa"/>
            <w:tcMar>
              <w:top w:w="40" w:type="dxa"/>
              <w:left w:w="40" w:type="dxa"/>
              <w:bottom w:w="40" w:type="dxa"/>
              <w:right w:w="40" w:type="dxa"/>
            </w:tcMar>
            <w:vAlign w:val="bottom"/>
          </w:tcPr>
          <w:p w14:paraId="0EB7A95E"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6E9439B"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2DD35D96"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20BA19E3"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1E7FDD81"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69E61C76" w14:textId="77777777">
        <w:trPr>
          <w:trHeight w:val="345"/>
        </w:trPr>
        <w:tc>
          <w:tcPr>
            <w:tcW w:w="2205" w:type="dxa"/>
            <w:tcMar>
              <w:top w:w="40" w:type="dxa"/>
              <w:left w:w="40" w:type="dxa"/>
              <w:bottom w:w="40" w:type="dxa"/>
              <w:right w:w="40" w:type="dxa"/>
            </w:tcMar>
            <w:vAlign w:val="bottom"/>
          </w:tcPr>
          <w:p w14:paraId="7212CCEE" w14:textId="77777777" w:rsidR="002E0C8E" w:rsidRDefault="004B55A1">
            <w:pPr>
              <w:widowControl w:val="0"/>
              <w:jc w:val="center"/>
              <w:rPr>
                <w:sz w:val="20"/>
                <w:szCs w:val="20"/>
              </w:rPr>
            </w:pPr>
            <w:r>
              <w:rPr>
                <w:rFonts w:ascii="Calibri" w:eastAsia="Calibri" w:hAnsi="Calibri" w:cs="Calibri"/>
                <w:sz w:val="24"/>
                <w:szCs w:val="24"/>
              </w:rPr>
              <w:t>2H3</w:t>
            </w:r>
          </w:p>
        </w:tc>
        <w:tc>
          <w:tcPr>
            <w:tcW w:w="990" w:type="dxa"/>
            <w:tcMar>
              <w:top w:w="40" w:type="dxa"/>
              <w:left w:w="40" w:type="dxa"/>
              <w:bottom w:w="40" w:type="dxa"/>
              <w:right w:w="40" w:type="dxa"/>
            </w:tcMar>
            <w:vAlign w:val="bottom"/>
          </w:tcPr>
          <w:p w14:paraId="564CC11E"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59998313" w14:textId="77777777" w:rsidR="002E0C8E" w:rsidRDefault="004B55A1">
            <w:pPr>
              <w:widowControl w:val="0"/>
              <w:jc w:val="center"/>
              <w:rPr>
                <w:sz w:val="20"/>
                <w:szCs w:val="20"/>
              </w:rPr>
            </w:pPr>
            <w:r>
              <w:rPr>
                <w:rFonts w:ascii="Calibri" w:eastAsia="Calibri" w:hAnsi="Calibri" w:cs="Calibri"/>
                <w:sz w:val="24"/>
                <w:szCs w:val="24"/>
              </w:rPr>
              <w:t>86</w:t>
            </w:r>
          </w:p>
        </w:tc>
        <w:tc>
          <w:tcPr>
            <w:tcW w:w="495" w:type="dxa"/>
            <w:tcMar>
              <w:top w:w="40" w:type="dxa"/>
              <w:left w:w="40" w:type="dxa"/>
              <w:bottom w:w="40" w:type="dxa"/>
              <w:right w:w="40" w:type="dxa"/>
            </w:tcMar>
            <w:vAlign w:val="bottom"/>
          </w:tcPr>
          <w:p w14:paraId="71464E4F" w14:textId="77777777" w:rsidR="002E0C8E" w:rsidRDefault="004B55A1">
            <w:pPr>
              <w:widowControl w:val="0"/>
              <w:jc w:val="center"/>
              <w:rPr>
                <w:sz w:val="20"/>
                <w:szCs w:val="20"/>
              </w:rPr>
            </w:pPr>
            <w:r>
              <w:rPr>
                <w:rFonts w:ascii="Calibri" w:eastAsia="Calibri" w:hAnsi="Calibri" w:cs="Calibri"/>
                <w:sz w:val="24"/>
                <w:szCs w:val="24"/>
              </w:rPr>
              <w:t>3</w:t>
            </w:r>
          </w:p>
        </w:tc>
        <w:tc>
          <w:tcPr>
            <w:tcW w:w="600" w:type="dxa"/>
            <w:tcMar>
              <w:top w:w="40" w:type="dxa"/>
              <w:left w:w="40" w:type="dxa"/>
              <w:bottom w:w="40" w:type="dxa"/>
              <w:right w:w="40" w:type="dxa"/>
            </w:tcMar>
            <w:vAlign w:val="bottom"/>
          </w:tcPr>
          <w:p w14:paraId="313727CF"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2BFEF476"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6EF5188C"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4BBBB037"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7A640378"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6C3F4E66" w14:textId="77777777">
        <w:trPr>
          <w:trHeight w:val="345"/>
        </w:trPr>
        <w:tc>
          <w:tcPr>
            <w:tcW w:w="2205" w:type="dxa"/>
            <w:tcMar>
              <w:top w:w="40" w:type="dxa"/>
              <w:left w:w="40" w:type="dxa"/>
              <w:bottom w:w="40" w:type="dxa"/>
              <w:right w:w="40" w:type="dxa"/>
            </w:tcMar>
            <w:vAlign w:val="bottom"/>
          </w:tcPr>
          <w:p w14:paraId="3BDEBD19" w14:textId="77777777" w:rsidR="002E0C8E" w:rsidRDefault="004B55A1">
            <w:pPr>
              <w:widowControl w:val="0"/>
              <w:jc w:val="center"/>
              <w:rPr>
                <w:sz w:val="20"/>
                <w:szCs w:val="20"/>
              </w:rPr>
            </w:pPr>
            <w:r>
              <w:rPr>
                <w:rFonts w:ascii="Calibri" w:eastAsia="Calibri" w:hAnsi="Calibri" w:cs="Calibri"/>
                <w:sz w:val="24"/>
                <w:szCs w:val="24"/>
              </w:rPr>
              <w:t>AK2</w:t>
            </w:r>
          </w:p>
        </w:tc>
        <w:tc>
          <w:tcPr>
            <w:tcW w:w="990" w:type="dxa"/>
            <w:tcMar>
              <w:top w:w="40" w:type="dxa"/>
              <w:left w:w="40" w:type="dxa"/>
              <w:bottom w:w="40" w:type="dxa"/>
              <w:right w:w="40" w:type="dxa"/>
            </w:tcMar>
            <w:vAlign w:val="bottom"/>
          </w:tcPr>
          <w:p w14:paraId="6B0946F0"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5DF363BD" w14:textId="77777777" w:rsidR="002E0C8E" w:rsidRDefault="004B55A1">
            <w:pPr>
              <w:widowControl w:val="0"/>
              <w:jc w:val="center"/>
              <w:rPr>
                <w:sz w:val="20"/>
                <w:szCs w:val="20"/>
              </w:rPr>
            </w:pPr>
            <w:r>
              <w:rPr>
                <w:rFonts w:ascii="Calibri" w:eastAsia="Calibri" w:hAnsi="Calibri" w:cs="Calibri"/>
                <w:sz w:val="24"/>
                <w:szCs w:val="24"/>
              </w:rPr>
              <w:t>97</w:t>
            </w:r>
          </w:p>
        </w:tc>
        <w:tc>
          <w:tcPr>
            <w:tcW w:w="495" w:type="dxa"/>
            <w:tcMar>
              <w:top w:w="40" w:type="dxa"/>
              <w:left w:w="40" w:type="dxa"/>
              <w:bottom w:w="40" w:type="dxa"/>
              <w:right w:w="40" w:type="dxa"/>
            </w:tcMar>
            <w:vAlign w:val="bottom"/>
          </w:tcPr>
          <w:p w14:paraId="5D4641EB" w14:textId="77777777" w:rsidR="002E0C8E" w:rsidRDefault="004B55A1">
            <w:pPr>
              <w:widowControl w:val="0"/>
              <w:jc w:val="center"/>
              <w:rPr>
                <w:sz w:val="20"/>
                <w:szCs w:val="20"/>
              </w:rPr>
            </w:pPr>
            <w:r>
              <w:rPr>
                <w:rFonts w:ascii="Calibri" w:eastAsia="Calibri" w:hAnsi="Calibri" w:cs="Calibri"/>
                <w:sz w:val="24"/>
                <w:szCs w:val="24"/>
              </w:rPr>
              <w:t>3</w:t>
            </w:r>
          </w:p>
        </w:tc>
        <w:tc>
          <w:tcPr>
            <w:tcW w:w="600" w:type="dxa"/>
            <w:tcMar>
              <w:top w:w="40" w:type="dxa"/>
              <w:left w:w="40" w:type="dxa"/>
              <w:bottom w:w="40" w:type="dxa"/>
              <w:right w:w="40" w:type="dxa"/>
            </w:tcMar>
            <w:vAlign w:val="bottom"/>
          </w:tcPr>
          <w:p w14:paraId="6B5BC2AA" w14:textId="77777777" w:rsidR="002E0C8E" w:rsidRDefault="004B55A1">
            <w:pPr>
              <w:widowControl w:val="0"/>
              <w:jc w:val="center"/>
              <w:rPr>
                <w:sz w:val="20"/>
                <w:szCs w:val="20"/>
              </w:rPr>
            </w:pPr>
            <w:r>
              <w:rPr>
                <w:rFonts w:ascii="Calibri" w:eastAsia="Calibri" w:hAnsi="Calibri" w:cs="Calibri"/>
                <w:sz w:val="24"/>
                <w:szCs w:val="24"/>
              </w:rPr>
              <w:t>0</w:t>
            </w:r>
          </w:p>
        </w:tc>
        <w:tc>
          <w:tcPr>
            <w:tcW w:w="1020" w:type="dxa"/>
            <w:tcMar>
              <w:top w:w="40" w:type="dxa"/>
              <w:left w:w="40" w:type="dxa"/>
              <w:bottom w:w="40" w:type="dxa"/>
              <w:right w:w="40" w:type="dxa"/>
            </w:tcMar>
            <w:vAlign w:val="bottom"/>
          </w:tcPr>
          <w:p w14:paraId="3A47DBFC"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71CF1F7F"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31F839E2"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1AD15890"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4EF12797" w14:textId="77777777">
        <w:trPr>
          <w:trHeight w:val="345"/>
        </w:trPr>
        <w:tc>
          <w:tcPr>
            <w:tcW w:w="2205" w:type="dxa"/>
            <w:tcMar>
              <w:top w:w="40" w:type="dxa"/>
              <w:left w:w="40" w:type="dxa"/>
              <w:bottom w:w="40" w:type="dxa"/>
              <w:right w:w="40" w:type="dxa"/>
            </w:tcMar>
            <w:vAlign w:val="bottom"/>
          </w:tcPr>
          <w:p w14:paraId="53AF80D6" w14:textId="77777777" w:rsidR="002E0C8E" w:rsidRDefault="004B55A1">
            <w:pPr>
              <w:widowControl w:val="0"/>
              <w:jc w:val="center"/>
              <w:rPr>
                <w:sz w:val="20"/>
                <w:szCs w:val="20"/>
              </w:rPr>
            </w:pPr>
            <w:r>
              <w:rPr>
                <w:rFonts w:ascii="Calibri" w:eastAsia="Calibri" w:hAnsi="Calibri" w:cs="Calibri"/>
                <w:sz w:val="24"/>
                <w:szCs w:val="24"/>
              </w:rPr>
              <w:t>RW2</w:t>
            </w:r>
          </w:p>
        </w:tc>
        <w:tc>
          <w:tcPr>
            <w:tcW w:w="990" w:type="dxa"/>
            <w:tcMar>
              <w:top w:w="40" w:type="dxa"/>
              <w:left w:w="40" w:type="dxa"/>
              <w:bottom w:w="40" w:type="dxa"/>
              <w:right w:w="40" w:type="dxa"/>
            </w:tcMar>
            <w:vAlign w:val="bottom"/>
          </w:tcPr>
          <w:p w14:paraId="0EEE6D3C"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6BE141F4"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3BAC1F75"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553FA20C"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05387856"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626D23C7"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10026D67"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482BAF4E"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62D34D25" w14:textId="77777777">
        <w:trPr>
          <w:trHeight w:val="345"/>
        </w:trPr>
        <w:tc>
          <w:tcPr>
            <w:tcW w:w="2205" w:type="dxa"/>
            <w:tcMar>
              <w:top w:w="40" w:type="dxa"/>
              <w:left w:w="40" w:type="dxa"/>
              <w:bottom w:w="40" w:type="dxa"/>
              <w:right w:w="40" w:type="dxa"/>
            </w:tcMar>
            <w:vAlign w:val="bottom"/>
          </w:tcPr>
          <w:p w14:paraId="1488A70C" w14:textId="77777777" w:rsidR="002E0C8E" w:rsidRDefault="004B55A1">
            <w:pPr>
              <w:widowControl w:val="0"/>
              <w:jc w:val="center"/>
              <w:rPr>
                <w:sz w:val="20"/>
                <w:szCs w:val="20"/>
              </w:rPr>
            </w:pPr>
            <w:r>
              <w:rPr>
                <w:rFonts w:ascii="Calibri" w:eastAsia="Calibri" w:hAnsi="Calibri" w:cs="Calibri"/>
                <w:sz w:val="24"/>
                <w:szCs w:val="24"/>
              </w:rPr>
              <w:t>RW2wet</w:t>
            </w:r>
          </w:p>
        </w:tc>
        <w:tc>
          <w:tcPr>
            <w:tcW w:w="990" w:type="dxa"/>
            <w:tcMar>
              <w:top w:w="40" w:type="dxa"/>
              <w:left w:w="40" w:type="dxa"/>
              <w:bottom w:w="40" w:type="dxa"/>
              <w:right w:w="40" w:type="dxa"/>
            </w:tcMar>
            <w:vAlign w:val="bottom"/>
          </w:tcPr>
          <w:p w14:paraId="597D2D02"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323481AA"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235F2BBB"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151D57AA"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21B8C71D"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48BB5969"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5661DB9F"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033351BC"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5A8C4DEB" w14:textId="77777777">
        <w:trPr>
          <w:trHeight w:val="345"/>
        </w:trPr>
        <w:tc>
          <w:tcPr>
            <w:tcW w:w="2205" w:type="dxa"/>
            <w:tcMar>
              <w:top w:w="40" w:type="dxa"/>
              <w:left w:w="40" w:type="dxa"/>
              <w:bottom w:w="40" w:type="dxa"/>
              <w:right w:w="40" w:type="dxa"/>
            </w:tcMar>
            <w:vAlign w:val="bottom"/>
          </w:tcPr>
          <w:p w14:paraId="5F4378F5" w14:textId="77777777" w:rsidR="002E0C8E" w:rsidRDefault="004B55A1">
            <w:pPr>
              <w:widowControl w:val="0"/>
              <w:jc w:val="center"/>
              <w:rPr>
                <w:sz w:val="20"/>
                <w:szCs w:val="20"/>
              </w:rPr>
            </w:pPr>
            <w:r>
              <w:rPr>
                <w:rFonts w:ascii="Calibri" w:eastAsia="Calibri" w:hAnsi="Calibri" w:cs="Calibri"/>
                <w:sz w:val="24"/>
                <w:szCs w:val="24"/>
              </w:rPr>
              <w:t>RH2</w:t>
            </w:r>
          </w:p>
        </w:tc>
        <w:tc>
          <w:tcPr>
            <w:tcW w:w="990" w:type="dxa"/>
            <w:tcMar>
              <w:top w:w="40" w:type="dxa"/>
              <w:left w:w="40" w:type="dxa"/>
              <w:bottom w:w="40" w:type="dxa"/>
              <w:right w:w="40" w:type="dxa"/>
            </w:tcMar>
            <w:vAlign w:val="bottom"/>
          </w:tcPr>
          <w:p w14:paraId="3A842ACB"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7B6A74C6" w14:textId="77777777" w:rsidR="002E0C8E" w:rsidRDefault="004B55A1">
            <w:pPr>
              <w:widowControl w:val="0"/>
              <w:jc w:val="center"/>
              <w:rPr>
                <w:sz w:val="20"/>
                <w:szCs w:val="20"/>
              </w:rPr>
            </w:pPr>
            <w:r>
              <w:rPr>
                <w:rFonts w:ascii="Calibri" w:eastAsia="Calibri" w:hAnsi="Calibri" w:cs="Calibri"/>
                <w:sz w:val="24"/>
                <w:szCs w:val="24"/>
              </w:rPr>
              <w:t>90</w:t>
            </w:r>
          </w:p>
        </w:tc>
        <w:tc>
          <w:tcPr>
            <w:tcW w:w="495" w:type="dxa"/>
            <w:tcMar>
              <w:top w:w="40" w:type="dxa"/>
              <w:left w:w="40" w:type="dxa"/>
              <w:bottom w:w="40" w:type="dxa"/>
              <w:right w:w="40" w:type="dxa"/>
            </w:tcMar>
            <w:vAlign w:val="bottom"/>
          </w:tcPr>
          <w:p w14:paraId="3E0ED7A0" w14:textId="77777777" w:rsidR="002E0C8E" w:rsidRDefault="004B55A1">
            <w:pPr>
              <w:widowControl w:val="0"/>
              <w:jc w:val="center"/>
              <w:rPr>
                <w:sz w:val="20"/>
                <w:szCs w:val="20"/>
              </w:rPr>
            </w:pPr>
            <w:r>
              <w:rPr>
                <w:rFonts w:ascii="Calibri" w:eastAsia="Calibri" w:hAnsi="Calibri" w:cs="Calibri"/>
                <w:sz w:val="24"/>
                <w:szCs w:val="24"/>
              </w:rPr>
              <w:t>10</w:t>
            </w:r>
          </w:p>
        </w:tc>
        <w:tc>
          <w:tcPr>
            <w:tcW w:w="600" w:type="dxa"/>
            <w:tcMar>
              <w:top w:w="40" w:type="dxa"/>
              <w:left w:w="40" w:type="dxa"/>
              <w:bottom w:w="40" w:type="dxa"/>
              <w:right w:w="40" w:type="dxa"/>
            </w:tcMar>
            <w:vAlign w:val="bottom"/>
          </w:tcPr>
          <w:p w14:paraId="5A72ED2A" w14:textId="77777777" w:rsidR="002E0C8E" w:rsidRDefault="004B55A1">
            <w:pPr>
              <w:widowControl w:val="0"/>
              <w:jc w:val="center"/>
              <w:rPr>
                <w:sz w:val="20"/>
                <w:szCs w:val="20"/>
              </w:rPr>
            </w:pPr>
            <w:r>
              <w:rPr>
                <w:rFonts w:ascii="Calibri" w:eastAsia="Calibri" w:hAnsi="Calibri" w:cs="Calibri"/>
                <w:sz w:val="24"/>
                <w:szCs w:val="24"/>
              </w:rPr>
              <w:t>0</w:t>
            </w:r>
          </w:p>
        </w:tc>
        <w:tc>
          <w:tcPr>
            <w:tcW w:w="1020" w:type="dxa"/>
            <w:tcMar>
              <w:top w:w="40" w:type="dxa"/>
              <w:left w:w="40" w:type="dxa"/>
              <w:bottom w:w="40" w:type="dxa"/>
              <w:right w:w="40" w:type="dxa"/>
            </w:tcMar>
            <w:vAlign w:val="bottom"/>
          </w:tcPr>
          <w:p w14:paraId="06014E83" w14:textId="77777777" w:rsidR="002E0C8E" w:rsidRDefault="004B55A1">
            <w:pPr>
              <w:widowControl w:val="0"/>
              <w:jc w:val="center"/>
              <w:rPr>
                <w:sz w:val="20"/>
                <w:szCs w:val="20"/>
              </w:rPr>
            </w:pPr>
            <w:r>
              <w:rPr>
                <w:rFonts w:ascii="Calibri" w:eastAsia="Calibri" w:hAnsi="Calibri" w:cs="Calibri"/>
                <w:sz w:val="24"/>
                <w:szCs w:val="24"/>
              </w:rPr>
              <w:t>Dry</w:t>
            </w:r>
          </w:p>
        </w:tc>
        <w:tc>
          <w:tcPr>
            <w:tcW w:w="1320" w:type="dxa"/>
            <w:tcMar>
              <w:top w:w="40" w:type="dxa"/>
              <w:left w:w="40" w:type="dxa"/>
              <w:bottom w:w="40" w:type="dxa"/>
              <w:right w:w="40" w:type="dxa"/>
            </w:tcMar>
            <w:vAlign w:val="bottom"/>
          </w:tcPr>
          <w:p w14:paraId="7B2D9A6E"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1F8A598F" w14:textId="77777777" w:rsidR="002E0C8E" w:rsidRDefault="004B55A1">
            <w:pPr>
              <w:widowControl w:val="0"/>
              <w:jc w:val="center"/>
              <w:rPr>
                <w:sz w:val="20"/>
                <w:szCs w:val="20"/>
              </w:rPr>
            </w:pPr>
            <w:r>
              <w:rPr>
                <w:rFonts w:ascii="Calibri" w:eastAsia="Calibri" w:hAnsi="Calibri" w:cs="Calibri"/>
                <w:sz w:val="24"/>
                <w:szCs w:val="24"/>
              </w:rPr>
              <w:t>None</w:t>
            </w:r>
          </w:p>
        </w:tc>
        <w:tc>
          <w:tcPr>
            <w:tcW w:w="1035" w:type="dxa"/>
            <w:tcMar>
              <w:top w:w="40" w:type="dxa"/>
              <w:left w:w="40" w:type="dxa"/>
              <w:bottom w:w="40" w:type="dxa"/>
              <w:right w:w="40" w:type="dxa"/>
            </w:tcMar>
            <w:vAlign w:val="bottom"/>
          </w:tcPr>
          <w:p w14:paraId="199A967F"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1B36B1B6" w14:textId="77777777">
        <w:trPr>
          <w:trHeight w:val="615"/>
        </w:trPr>
        <w:tc>
          <w:tcPr>
            <w:tcW w:w="2205" w:type="dxa"/>
            <w:tcMar>
              <w:top w:w="40" w:type="dxa"/>
              <w:left w:w="40" w:type="dxa"/>
              <w:bottom w:w="40" w:type="dxa"/>
              <w:right w:w="40" w:type="dxa"/>
            </w:tcMar>
            <w:vAlign w:val="bottom"/>
          </w:tcPr>
          <w:p w14:paraId="53960AA9" w14:textId="77777777" w:rsidR="002E0C8E" w:rsidRDefault="004B55A1">
            <w:pPr>
              <w:widowControl w:val="0"/>
              <w:jc w:val="center"/>
              <w:rPr>
                <w:sz w:val="20"/>
                <w:szCs w:val="20"/>
              </w:rPr>
            </w:pPr>
            <w:r>
              <w:rPr>
                <w:rFonts w:ascii="Calibri" w:eastAsia="Calibri" w:hAnsi="Calibri" w:cs="Calibri"/>
                <w:sz w:val="24"/>
                <w:szCs w:val="24"/>
              </w:rPr>
              <w:t>RW2lakes</w:t>
            </w:r>
          </w:p>
        </w:tc>
        <w:tc>
          <w:tcPr>
            <w:tcW w:w="990" w:type="dxa"/>
            <w:tcMar>
              <w:top w:w="40" w:type="dxa"/>
              <w:left w:w="40" w:type="dxa"/>
              <w:bottom w:w="40" w:type="dxa"/>
              <w:right w:w="40" w:type="dxa"/>
            </w:tcMar>
            <w:vAlign w:val="bottom"/>
          </w:tcPr>
          <w:p w14:paraId="3E23CA83"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7E1CEA9D"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36617FDF"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55736B26"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47E2622D"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52DD3C3A"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0C5C5BC8" w14:textId="77777777" w:rsidR="002E0C8E" w:rsidRDefault="004B55A1">
            <w:pPr>
              <w:widowControl w:val="0"/>
              <w:jc w:val="center"/>
              <w:rPr>
                <w:sz w:val="20"/>
                <w:szCs w:val="20"/>
              </w:rPr>
            </w:pPr>
            <w:r>
              <w:rPr>
                <w:rFonts w:ascii="Calibri" w:eastAsia="Calibri" w:hAnsi="Calibri" w:cs="Calibri"/>
                <w:sz w:val="24"/>
                <w:szCs w:val="24"/>
              </w:rPr>
              <w:t>10m GEL Lakes</w:t>
            </w:r>
          </w:p>
        </w:tc>
        <w:tc>
          <w:tcPr>
            <w:tcW w:w="1035" w:type="dxa"/>
            <w:tcMar>
              <w:top w:w="40" w:type="dxa"/>
              <w:left w:w="40" w:type="dxa"/>
              <w:bottom w:w="40" w:type="dxa"/>
              <w:right w:w="40" w:type="dxa"/>
            </w:tcMar>
            <w:vAlign w:val="bottom"/>
          </w:tcPr>
          <w:p w14:paraId="4E39D1E9"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72688CF4" w14:textId="77777777">
        <w:trPr>
          <w:trHeight w:val="615"/>
        </w:trPr>
        <w:tc>
          <w:tcPr>
            <w:tcW w:w="2205" w:type="dxa"/>
            <w:tcMar>
              <w:top w:w="40" w:type="dxa"/>
              <w:left w:w="40" w:type="dxa"/>
              <w:bottom w:w="40" w:type="dxa"/>
              <w:right w:w="40" w:type="dxa"/>
            </w:tcMar>
            <w:vAlign w:val="bottom"/>
          </w:tcPr>
          <w:p w14:paraId="1C4C5355" w14:textId="77777777" w:rsidR="002E0C8E" w:rsidRDefault="004B55A1">
            <w:pPr>
              <w:widowControl w:val="0"/>
              <w:jc w:val="center"/>
              <w:rPr>
                <w:sz w:val="20"/>
                <w:szCs w:val="20"/>
              </w:rPr>
            </w:pPr>
            <w:r>
              <w:rPr>
                <w:rFonts w:ascii="Calibri" w:eastAsia="Calibri" w:hAnsi="Calibri" w:cs="Calibri"/>
                <w:sz w:val="24"/>
                <w:szCs w:val="24"/>
              </w:rPr>
              <w:t>RW2lakeso0</w:t>
            </w:r>
          </w:p>
        </w:tc>
        <w:tc>
          <w:tcPr>
            <w:tcW w:w="990" w:type="dxa"/>
            <w:tcMar>
              <w:top w:w="40" w:type="dxa"/>
              <w:left w:w="40" w:type="dxa"/>
              <w:bottom w:w="40" w:type="dxa"/>
              <w:right w:w="40" w:type="dxa"/>
            </w:tcMar>
            <w:vAlign w:val="bottom"/>
          </w:tcPr>
          <w:p w14:paraId="3725B0E8"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3C0083A2"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7AC69F09"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30D01D86"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B095DE5"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7163E737"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20AA1EB2" w14:textId="77777777" w:rsidR="002E0C8E" w:rsidRDefault="004B55A1">
            <w:pPr>
              <w:widowControl w:val="0"/>
              <w:jc w:val="center"/>
              <w:rPr>
                <w:sz w:val="20"/>
                <w:szCs w:val="20"/>
              </w:rPr>
            </w:pPr>
            <w:r>
              <w:rPr>
                <w:rFonts w:ascii="Calibri" w:eastAsia="Calibri" w:hAnsi="Calibri" w:cs="Calibri"/>
                <w:sz w:val="24"/>
                <w:szCs w:val="24"/>
              </w:rPr>
              <w:t>10m GEL Lakes</w:t>
            </w:r>
          </w:p>
        </w:tc>
        <w:tc>
          <w:tcPr>
            <w:tcW w:w="1035" w:type="dxa"/>
            <w:tcMar>
              <w:top w:w="40" w:type="dxa"/>
              <w:left w:w="40" w:type="dxa"/>
              <w:bottom w:w="40" w:type="dxa"/>
              <w:right w:w="40" w:type="dxa"/>
            </w:tcMar>
            <w:vAlign w:val="bottom"/>
          </w:tcPr>
          <w:p w14:paraId="396853ED" w14:textId="77777777" w:rsidR="002E0C8E" w:rsidRDefault="004B55A1">
            <w:pPr>
              <w:widowControl w:val="0"/>
              <w:jc w:val="center"/>
              <w:rPr>
                <w:sz w:val="20"/>
                <w:szCs w:val="20"/>
              </w:rPr>
            </w:pPr>
            <w:r>
              <w:rPr>
                <w:rFonts w:ascii="Calibri" w:eastAsia="Calibri" w:hAnsi="Calibri" w:cs="Calibri"/>
                <w:sz w:val="24"/>
                <w:szCs w:val="24"/>
              </w:rPr>
              <w:t>0°</w:t>
            </w:r>
          </w:p>
        </w:tc>
      </w:tr>
      <w:tr w:rsidR="002E0C8E" w14:paraId="416AFDA3" w14:textId="77777777">
        <w:trPr>
          <w:trHeight w:val="615"/>
        </w:trPr>
        <w:tc>
          <w:tcPr>
            <w:tcW w:w="2205" w:type="dxa"/>
            <w:tcMar>
              <w:top w:w="40" w:type="dxa"/>
              <w:left w:w="40" w:type="dxa"/>
              <w:bottom w:w="40" w:type="dxa"/>
              <w:right w:w="40" w:type="dxa"/>
            </w:tcMar>
            <w:vAlign w:val="bottom"/>
          </w:tcPr>
          <w:p w14:paraId="2FF44F06" w14:textId="77777777" w:rsidR="002E0C8E" w:rsidRDefault="004B55A1">
            <w:pPr>
              <w:widowControl w:val="0"/>
              <w:jc w:val="center"/>
              <w:rPr>
                <w:sz w:val="20"/>
                <w:szCs w:val="20"/>
              </w:rPr>
            </w:pPr>
            <w:r>
              <w:rPr>
                <w:rFonts w:ascii="Calibri" w:eastAsia="Calibri" w:hAnsi="Calibri" w:cs="Calibri"/>
                <w:sz w:val="24"/>
                <w:szCs w:val="24"/>
              </w:rPr>
              <w:t>RW2lakeso45</w:t>
            </w:r>
          </w:p>
        </w:tc>
        <w:tc>
          <w:tcPr>
            <w:tcW w:w="990" w:type="dxa"/>
            <w:tcMar>
              <w:top w:w="40" w:type="dxa"/>
              <w:left w:w="40" w:type="dxa"/>
              <w:bottom w:w="40" w:type="dxa"/>
              <w:right w:w="40" w:type="dxa"/>
            </w:tcMar>
            <w:vAlign w:val="bottom"/>
          </w:tcPr>
          <w:p w14:paraId="4A885FB0"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6CCBB9DA"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5EA5D502"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1AE98E76"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0D0B0B74"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7BC318A9"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0695FC17" w14:textId="77777777" w:rsidR="002E0C8E" w:rsidRDefault="004B55A1">
            <w:pPr>
              <w:widowControl w:val="0"/>
              <w:jc w:val="center"/>
              <w:rPr>
                <w:sz w:val="20"/>
                <w:szCs w:val="20"/>
              </w:rPr>
            </w:pPr>
            <w:r>
              <w:rPr>
                <w:rFonts w:ascii="Calibri" w:eastAsia="Calibri" w:hAnsi="Calibri" w:cs="Calibri"/>
                <w:sz w:val="24"/>
                <w:szCs w:val="24"/>
              </w:rPr>
              <w:t>10m GEL Lakes</w:t>
            </w:r>
          </w:p>
        </w:tc>
        <w:tc>
          <w:tcPr>
            <w:tcW w:w="1035" w:type="dxa"/>
            <w:tcMar>
              <w:top w:w="40" w:type="dxa"/>
              <w:left w:w="40" w:type="dxa"/>
              <w:bottom w:w="40" w:type="dxa"/>
              <w:right w:w="40" w:type="dxa"/>
            </w:tcMar>
            <w:vAlign w:val="bottom"/>
          </w:tcPr>
          <w:p w14:paraId="42F4B906" w14:textId="77777777" w:rsidR="002E0C8E" w:rsidRDefault="004B55A1">
            <w:pPr>
              <w:widowControl w:val="0"/>
              <w:jc w:val="center"/>
              <w:rPr>
                <w:sz w:val="20"/>
                <w:szCs w:val="20"/>
              </w:rPr>
            </w:pPr>
            <w:r>
              <w:rPr>
                <w:rFonts w:ascii="Calibri" w:eastAsia="Calibri" w:hAnsi="Calibri" w:cs="Calibri"/>
                <w:sz w:val="24"/>
                <w:szCs w:val="24"/>
              </w:rPr>
              <w:t>45°</w:t>
            </w:r>
          </w:p>
        </w:tc>
      </w:tr>
      <w:tr w:rsidR="002E0C8E" w14:paraId="621E8498" w14:textId="77777777">
        <w:trPr>
          <w:trHeight w:val="615"/>
        </w:trPr>
        <w:tc>
          <w:tcPr>
            <w:tcW w:w="2205" w:type="dxa"/>
            <w:tcMar>
              <w:top w:w="40" w:type="dxa"/>
              <w:left w:w="40" w:type="dxa"/>
              <w:bottom w:w="40" w:type="dxa"/>
              <w:right w:w="40" w:type="dxa"/>
            </w:tcMar>
            <w:vAlign w:val="bottom"/>
          </w:tcPr>
          <w:p w14:paraId="4091239E" w14:textId="77777777" w:rsidR="002E0C8E" w:rsidRDefault="004B55A1">
            <w:pPr>
              <w:widowControl w:val="0"/>
              <w:jc w:val="center"/>
              <w:rPr>
                <w:sz w:val="20"/>
                <w:szCs w:val="20"/>
              </w:rPr>
            </w:pPr>
            <w:r>
              <w:rPr>
                <w:rFonts w:ascii="Calibri" w:eastAsia="Calibri" w:hAnsi="Calibri" w:cs="Calibri"/>
                <w:sz w:val="24"/>
                <w:szCs w:val="24"/>
              </w:rPr>
              <w:t>RW2lakes100</w:t>
            </w:r>
          </w:p>
        </w:tc>
        <w:tc>
          <w:tcPr>
            <w:tcW w:w="990" w:type="dxa"/>
            <w:tcMar>
              <w:top w:w="40" w:type="dxa"/>
              <w:left w:w="40" w:type="dxa"/>
              <w:bottom w:w="40" w:type="dxa"/>
              <w:right w:w="40" w:type="dxa"/>
            </w:tcMar>
            <w:vAlign w:val="bottom"/>
          </w:tcPr>
          <w:p w14:paraId="1B10303A"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5716F404"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269C1A37"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4DA684E0"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08445780"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40DD7FF9"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0C834F53" w14:textId="77777777" w:rsidR="002E0C8E" w:rsidRDefault="004B55A1">
            <w:pPr>
              <w:widowControl w:val="0"/>
              <w:jc w:val="center"/>
              <w:rPr>
                <w:sz w:val="20"/>
                <w:szCs w:val="20"/>
              </w:rPr>
            </w:pPr>
            <w:r>
              <w:rPr>
                <w:rFonts w:ascii="Calibri" w:eastAsia="Calibri" w:hAnsi="Calibri" w:cs="Calibri"/>
                <w:sz w:val="24"/>
                <w:szCs w:val="24"/>
              </w:rPr>
              <w:t>100m GEL Lakes</w:t>
            </w:r>
          </w:p>
        </w:tc>
        <w:tc>
          <w:tcPr>
            <w:tcW w:w="1035" w:type="dxa"/>
            <w:tcMar>
              <w:top w:w="40" w:type="dxa"/>
              <w:left w:w="40" w:type="dxa"/>
              <w:bottom w:w="40" w:type="dxa"/>
              <w:right w:w="40" w:type="dxa"/>
            </w:tcMar>
            <w:vAlign w:val="bottom"/>
          </w:tcPr>
          <w:p w14:paraId="2486CACB"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6CAE0B90" w14:textId="77777777">
        <w:trPr>
          <w:trHeight w:val="615"/>
        </w:trPr>
        <w:tc>
          <w:tcPr>
            <w:tcW w:w="2205" w:type="dxa"/>
            <w:tcMar>
              <w:top w:w="40" w:type="dxa"/>
              <w:left w:w="40" w:type="dxa"/>
              <w:bottom w:w="40" w:type="dxa"/>
              <w:right w:w="40" w:type="dxa"/>
            </w:tcMar>
            <w:vAlign w:val="bottom"/>
          </w:tcPr>
          <w:p w14:paraId="47D1938F" w14:textId="77777777" w:rsidR="002E0C8E" w:rsidRDefault="004B55A1">
            <w:pPr>
              <w:widowControl w:val="0"/>
              <w:jc w:val="center"/>
              <w:rPr>
                <w:sz w:val="20"/>
                <w:szCs w:val="20"/>
              </w:rPr>
            </w:pPr>
            <w:r>
              <w:rPr>
                <w:rFonts w:ascii="Calibri" w:eastAsia="Calibri" w:hAnsi="Calibri" w:cs="Calibri"/>
                <w:sz w:val="24"/>
                <w:szCs w:val="24"/>
              </w:rPr>
              <w:t>RW2lakes100o0</w:t>
            </w:r>
          </w:p>
        </w:tc>
        <w:tc>
          <w:tcPr>
            <w:tcW w:w="990" w:type="dxa"/>
            <w:tcMar>
              <w:top w:w="40" w:type="dxa"/>
              <w:left w:w="40" w:type="dxa"/>
              <w:bottom w:w="40" w:type="dxa"/>
              <w:right w:w="40" w:type="dxa"/>
            </w:tcMar>
            <w:vAlign w:val="bottom"/>
          </w:tcPr>
          <w:p w14:paraId="4E16B4B5"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581F62D6"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471F98D6"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22373591"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B0EBDC3"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3F92C39F"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7C67862C" w14:textId="77777777" w:rsidR="002E0C8E" w:rsidRDefault="004B55A1">
            <w:pPr>
              <w:widowControl w:val="0"/>
              <w:jc w:val="center"/>
              <w:rPr>
                <w:sz w:val="20"/>
                <w:szCs w:val="20"/>
              </w:rPr>
            </w:pPr>
            <w:r>
              <w:rPr>
                <w:rFonts w:ascii="Calibri" w:eastAsia="Calibri" w:hAnsi="Calibri" w:cs="Calibri"/>
                <w:sz w:val="24"/>
                <w:szCs w:val="24"/>
              </w:rPr>
              <w:t>100m GEL Lakes</w:t>
            </w:r>
          </w:p>
        </w:tc>
        <w:tc>
          <w:tcPr>
            <w:tcW w:w="1035" w:type="dxa"/>
            <w:tcMar>
              <w:top w:w="40" w:type="dxa"/>
              <w:left w:w="40" w:type="dxa"/>
              <w:bottom w:w="40" w:type="dxa"/>
              <w:right w:w="40" w:type="dxa"/>
            </w:tcMar>
            <w:vAlign w:val="bottom"/>
          </w:tcPr>
          <w:p w14:paraId="2A9336E7" w14:textId="77777777" w:rsidR="002E0C8E" w:rsidRDefault="004B55A1">
            <w:pPr>
              <w:widowControl w:val="0"/>
              <w:jc w:val="center"/>
              <w:rPr>
                <w:sz w:val="20"/>
                <w:szCs w:val="20"/>
              </w:rPr>
            </w:pPr>
            <w:r>
              <w:rPr>
                <w:rFonts w:ascii="Calibri" w:eastAsia="Calibri" w:hAnsi="Calibri" w:cs="Calibri"/>
                <w:sz w:val="24"/>
                <w:szCs w:val="24"/>
              </w:rPr>
              <w:t>0°</w:t>
            </w:r>
          </w:p>
        </w:tc>
      </w:tr>
      <w:tr w:rsidR="002E0C8E" w14:paraId="70638D16" w14:textId="77777777">
        <w:trPr>
          <w:trHeight w:val="615"/>
        </w:trPr>
        <w:tc>
          <w:tcPr>
            <w:tcW w:w="2205" w:type="dxa"/>
            <w:tcMar>
              <w:top w:w="40" w:type="dxa"/>
              <w:left w:w="40" w:type="dxa"/>
              <w:bottom w:w="40" w:type="dxa"/>
              <w:right w:w="40" w:type="dxa"/>
            </w:tcMar>
            <w:vAlign w:val="bottom"/>
          </w:tcPr>
          <w:p w14:paraId="6BFE96BC" w14:textId="77777777" w:rsidR="002E0C8E" w:rsidRDefault="004B55A1">
            <w:pPr>
              <w:widowControl w:val="0"/>
              <w:jc w:val="center"/>
              <w:rPr>
                <w:sz w:val="20"/>
                <w:szCs w:val="20"/>
              </w:rPr>
            </w:pPr>
            <w:r>
              <w:rPr>
                <w:rFonts w:ascii="Calibri" w:eastAsia="Calibri" w:hAnsi="Calibri" w:cs="Calibri"/>
                <w:sz w:val="24"/>
                <w:szCs w:val="24"/>
              </w:rPr>
              <w:t>RW2lakes500</w:t>
            </w:r>
          </w:p>
        </w:tc>
        <w:tc>
          <w:tcPr>
            <w:tcW w:w="990" w:type="dxa"/>
            <w:tcMar>
              <w:top w:w="40" w:type="dxa"/>
              <w:left w:w="40" w:type="dxa"/>
              <w:bottom w:w="40" w:type="dxa"/>
              <w:right w:w="40" w:type="dxa"/>
            </w:tcMar>
            <w:vAlign w:val="bottom"/>
          </w:tcPr>
          <w:p w14:paraId="20E99B37"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3CF45CA1"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0592698E"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5CE810A0"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4DD2B220"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270853F6"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0589D226" w14:textId="77777777" w:rsidR="002E0C8E" w:rsidRDefault="004B55A1">
            <w:pPr>
              <w:widowControl w:val="0"/>
              <w:jc w:val="center"/>
              <w:rPr>
                <w:sz w:val="20"/>
                <w:szCs w:val="20"/>
              </w:rPr>
            </w:pPr>
            <w:r>
              <w:rPr>
                <w:rFonts w:ascii="Calibri" w:eastAsia="Calibri" w:hAnsi="Calibri" w:cs="Calibri"/>
                <w:sz w:val="24"/>
                <w:szCs w:val="24"/>
              </w:rPr>
              <w:t>500m GEL Lakes</w:t>
            </w:r>
          </w:p>
        </w:tc>
        <w:tc>
          <w:tcPr>
            <w:tcW w:w="1035" w:type="dxa"/>
            <w:tcMar>
              <w:top w:w="40" w:type="dxa"/>
              <w:left w:w="40" w:type="dxa"/>
              <w:bottom w:w="40" w:type="dxa"/>
              <w:right w:w="40" w:type="dxa"/>
            </w:tcMar>
            <w:vAlign w:val="bottom"/>
          </w:tcPr>
          <w:p w14:paraId="134F9DC0"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7EF5F22E" w14:textId="77777777">
        <w:trPr>
          <w:trHeight w:val="615"/>
        </w:trPr>
        <w:tc>
          <w:tcPr>
            <w:tcW w:w="2205" w:type="dxa"/>
            <w:tcMar>
              <w:top w:w="40" w:type="dxa"/>
              <w:left w:w="40" w:type="dxa"/>
              <w:bottom w:w="40" w:type="dxa"/>
              <w:right w:w="40" w:type="dxa"/>
            </w:tcMar>
            <w:vAlign w:val="bottom"/>
          </w:tcPr>
          <w:p w14:paraId="362889FE" w14:textId="77777777" w:rsidR="002E0C8E" w:rsidRDefault="004B55A1">
            <w:pPr>
              <w:widowControl w:val="0"/>
              <w:jc w:val="center"/>
              <w:rPr>
                <w:sz w:val="20"/>
                <w:szCs w:val="20"/>
              </w:rPr>
            </w:pPr>
            <w:r>
              <w:rPr>
                <w:rFonts w:ascii="Calibri" w:eastAsia="Calibri" w:hAnsi="Calibri" w:cs="Calibri"/>
                <w:sz w:val="24"/>
                <w:szCs w:val="24"/>
              </w:rPr>
              <w:t>RW2TPWlakes</w:t>
            </w:r>
          </w:p>
        </w:tc>
        <w:tc>
          <w:tcPr>
            <w:tcW w:w="990" w:type="dxa"/>
            <w:tcMar>
              <w:top w:w="40" w:type="dxa"/>
              <w:left w:w="40" w:type="dxa"/>
              <w:bottom w:w="40" w:type="dxa"/>
              <w:right w:w="40" w:type="dxa"/>
            </w:tcMar>
            <w:vAlign w:val="bottom"/>
          </w:tcPr>
          <w:p w14:paraId="4C4298A2"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31E66402"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6E975C71"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3FC25256"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1CDD8DAD"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7A90F6EB" w14:textId="77777777" w:rsidR="002E0C8E" w:rsidRDefault="004B55A1">
            <w:pPr>
              <w:widowControl w:val="0"/>
              <w:jc w:val="center"/>
              <w:rPr>
                <w:sz w:val="20"/>
                <w:szCs w:val="20"/>
              </w:rPr>
            </w:pPr>
            <w:r>
              <w:rPr>
                <w:rFonts w:ascii="Calibri" w:eastAsia="Calibri" w:hAnsi="Calibri" w:cs="Calibri"/>
                <w:sz w:val="24"/>
                <w:szCs w:val="24"/>
              </w:rPr>
              <w:t>Paleo</w:t>
            </w:r>
          </w:p>
        </w:tc>
        <w:tc>
          <w:tcPr>
            <w:tcW w:w="1260" w:type="dxa"/>
            <w:tcMar>
              <w:top w:w="40" w:type="dxa"/>
              <w:left w:w="40" w:type="dxa"/>
              <w:bottom w:w="40" w:type="dxa"/>
              <w:right w:w="40" w:type="dxa"/>
            </w:tcMar>
            <w:vAlign w:val="bottom"/>
          </w:tcPr>
          <w:p w14:paraId="265D83BE" w14:textId="77777777" w:rsidR="002E0C8E" w:rsidRDefault="004B55A1">
            <w:pPr>
              <w:widowControl w:val="0"/>
              <w:jc w:val="center"/>
              <w:rPr>
                <w:sz w:val="20"/>
                <w:szCs w:val="20"/>
              </w:rPr>
            </w:pPr>
            <w:r>
              <w:rPr>
                <w:rFonts w:ascii="Calibri" w:eastAsia="Calibri" w:hAnsi="Calibri" w:cs="Calibri"/>
                <w:sz w:val="24"/>
                <w:szCs w:val="24"/>
              </w:rPr>
              <w:t>10m GEL Lakes</w:t>
            </w:r>
          </w:p>
        </w:tc>
        <w:tc>
          <w:tcPr>
            <w:tcW w:w="1035" w:type="dxa"/>
            <w:tcMar>
              <w:top w:w="40" w:type="dxa"/>
              <w:left w:w="40" w:type="dxa"/>
              <w:bottom w:w="40" w:type="dxa"/>
              <w:right w:w="40" w:type="dxa"/>
            </w:tcMar>
            <w:vAlign w:val="bottom"/>
          </w:tcPr>
          <w:p w14:paraId="6C93D8ED"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24988DA2" w14:textId="77777777">
        <w:trPr>
          <w:trHeight w:val="615"/>
        </w:trPr>
        <w:tc>
          <w:tcPr>
            <w:tcW w:w="2205" w:type="dxa"/>
            <w:tcMar>
              <w:top w:w="40" w:type="dxa"/>
              <w:left w:w="40" w:type="dxa"/>
              <w:bottom w:w="40" w:type="dxa"/>
              <w:right w:w="40" w:type="dxa"/>
            </w:tcMar>
            <w:vAlign w:val="bottom"/>
          </w:tcPr>
          <w:p w14:paraId="3C58D91B" w14:textId="77777777" w:rsidR="002E0C8E" w:rsidRDefault="004B55A1">
            <w:pPr>
              <w:widowControl w:val="0"/>
              <w:jc w:val="center"/>
              <w:rPr>
                <w:sz w:val="20"/>
                <w:szCs w:val="20"/>
              </w:rPr>
            </w:pPr>
            <w:r>
              <w:rPr>
                <w:rFonts w:ascii="Calibri" w:eastAsia="Calibri" w:hAnsi="Calibri" w:cs="Calibri"/>
                <w:sz w:val="24"/>
                <w:szCs w:val="24"/>
              </w:rPr>
              <w:t>RW2TPWlakeso0</w:t>
            </w:r>
          </w:p>
        </w:tc>
        <w:tc>
          <w:tcPr>
            <w:tcW w:w="990" w:type="dxa"/>
            <w:tcMar>
              <w:top w:w="40" w:type="dxa"/>
              <w:left w:w="40" w:type="dxa"/>
              <w:bottom w:w="40" w:type="dxa"/>
              <w:right w:w="40" w:type="dxa"/>
            </w:tcMar>
            <w:vAlign w:val="bottom"/>
          </w:tcPr>
          <w:p w14:paraId="378DA72B"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5052E59A"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173F1BA4"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6B141C1F"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7D87BE47"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5B9BB515" w14:textId="77777777" w:rsidR="002E0C8E" w:rsidRDefault="004B55A1">
            <w:pPr>
              <w:widowControl w:val="0"/>
              <w:jc w:val="center"/>
              <w:rPr>
                <w:sz w:val="20"/>
                <w:szCs w:val="20"/>
              </w:rPr>
            </w:pPr>
            <w:r>
              <w:rPr>
                <w:rFonts w:ascii="Calibri" w:eastAsia="Calibri" w:hAnsi="Calibri" w:cs="Calibri"/>
                <w:sz w:val="24"/>
                <w:szCs w:val="24"/>
              </w:rPr>
              <w:t>Paleo</w:t>
            </w:r>
          </w:p>
        </w:tc>
        <w:tc>
          <w:tcPr>
            <w:tcW w:w="1260" w:type="dxa"/>
            <w:tcMar>
              <w:top w:w="40" w:type="dxa"/>
              <w:left w:w="40" w:type="dxa"/>
              <w:bottom w:w="40" w:type="dxa"/>
              <w:right w:w="40" w:type="dxa"/>
            </w:tcMar>
            <w:vAlign w:val="bottom"/>
          </w:tcPr>
          <w:p w14:paraId="7F7EDA3D" w14:textId="77777777" w:rsidR="002E0C8E" w:rsidRDefault="004B55A1">
            <w:pPr>
              <w:widowControl w:val="0"/>
              <w:jc w:val="center"/>
              <w:rPr>
                <w:sz w:val="20"/>
                <w:szCs w:val="20"/>
              </w:rPr>
            </w:pPr>
            <w:r>
              <w:rPr>
                <w:rFonts w:ascii="Calibri" w:eastAsia="Calibri" w:hAnsi="Calibri" w:cs="Calibri"/>
                <w:sz w:val="24"/>
                <w:szCs w:val="24"/>
              </w:rPr>
              <w:t>10m GEL Lakes</w:t>
            </w:r>
          </w:p>
        </w:tc>
        <w:tc>
          <w:tcPr>
            <w:tcW w:w="1035" w:type="dxa"/>
            <w:tcMar>
              <w:top w:w="40" w:type="dxa"/>
              <w:left w:w="40" w:type="dxa"/>
              <w:bottom w:w="40" w:type="dxa"/>
              <w:right w:w="40" w:type="dxa"/>
            </w:tcMar>
            <w:vAlign w:val="bottom"/>
          </w:tcPr>
          <w:p w14:paraId="408760C7" w14:textId="77777777" w:rsidR="002E0C8E" w:rsidRDefault="004B55A1">
            <w:pPr>
              <w:widowControl w:val="0"/>
              <w:jc w:val="center"/>
              <w:rPr>
                <w:sz w:val="20"/>
                <w:szCs w:val="20"/>
              </w:rPr>
            </w:pPr>
            <w:r>
              <w:rPr>
                <w:rFonts w:ascii="Calibri" w:eastAsia="Calibri" w:hAnsi="Calibri" w:cs="Calibri"/>
                <w:sz w:val="24"/>
                <w:szCs w:val="24"/>
              </w:rPr>
              <w:t>0°</w:t>
            </w:r>
          </w:p>
        </w:tc>
      </w:tr>
      <w:tr w:rsidR="002E0C8E" w14:paraId="3E6BFEE8" w14:textId="77777777">
        <w:trPr>
          <w:trHeight w:val="615"/>
        </w:trPr>
        <w:tc>
          <w:tcPr>
            <w:tcW w:w="2205" w:type="dxa"/>
            <w:tcMar>
              <w:top w:w="40" w:type="dxa"/>
              <w:left w:w="40" w:type="dxa"/>
              <w:bottom w:w="40" w:type="dxa"/>
              <w:right w:w="40" w:type="dxa"/>
            </w:tcMar>
            <w:vAlign w:val="bottom"/>
          </w:tcPr>
          <w:p w14:paraId="0B7E4371" w14:textId="77777777" w:rsidR="002E0C8E" w:rsidRDefault="004B55A1">
            <w:pPr>
              <w:widowControl w:val="0"/>
              <w:jc w:val="center"/>
              <w:rPr>
                <w:sz w:val="20"/>
                <w:szCs w:val="20"/>
              </w:rPr>
            </w:pPr>
            <w:r>
              <w:rPr>
                <w:rFonts w:ascii="Calibri" w:eastAsia="Calibri" w:hAnsi="Calibri" w:cs="Calibri"/>
                <w:sz w:val="24"/>
                <w:szCs w:val="24"/>
              </w:rPr>
              <w:t>RW2TPWlakeso45</w:t>
            </w:r>
          </w:p>
        </w:tc>
        <w:tc>
          <w:tcPr>
            <w:tcW w:w="990" w:type="dxa"/>
            <w:tcMar>
              <w:top w:w="40" w:type="dxa"/>
              <w:left w:w="40" w:type="dxa"/>
              <w:bottom w:w="40" w:type="dxa"/>
              <w:right w:w="40" w:type="dxa"/>
            </w:tcMar>
            <w:vAlign w:val="bottom"/>
          </w:tcPr>
          <w:p w14:paraId="05EDF363"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149ECC53"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2B1137D6"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4E97E29C"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3DD5AA8"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4DEBACA8" w14:textId="77777777" w:rsidR="002E0C8E" w:rsidRDefault="004B55A1">
            <w:pPr>
              <w:widowControl w:val="0"/>
              <w:jc w:val="center"/>
              <w:rPr>
                <w:sz w:val="20"/>
                <w:szCs w:val="20"/>
              </w:rPr>
            </w:pPr>
            <w:r>
              <w:rPr>
                <w:rFonts w:ascii="Calibri" w:eastAsia="Calibri" w:hAnsi="Calibri" w:cs="Calibri"/>
                <w:sz w:val="24"/>
                <w:szCs w:val="24"/>
              </w:rPr>
              <w:t>Paleo</w:t>
            </w:r>
          </w:p>
        </w:tc>
        <w:tc>
          <w:tcPr>
            <w:tcW w:w="1260" w:type="dxa"/>
            <w:tcMar>
              <w:top w:w="40" w:type="dxa"/>
              <w:left w:w="40" w:type="dxa"/>
              <w:bottom w:w="40" w:type="dxa"/>
              <w:right w:w="40" w:type="dxa"/>
            </w:tcMar>
            <w:vAlign w:val="bottom"/>
          </w:tcPr>
          <w:p w14:paraId="654B89C3" w14:textId="77777777" w:rsidR="002E0C8E" w:rsidRDefault="004B55A1">
            <w:pPr>
              <w:widowControl w:val="0"/>
              <w:jc w:val="center"/>
              <w:rPr>
                <w:sz w:val="20"/>
                <w:szCs w:val="20"/>
              </w:rPr>
            </w:pPr>
            <w:r>
              <w:rPr>
                <w:rFonts w:ascii="Calibri" w:eastAsia="Calibri" w:hAnsi="Calibri" w:cs="Calibri"/>
                <w:sz w:val="24"/>
                <w:szCs w:val="24"/>
              </w:rPr>
              <w:t>10m GEL Lakes</w:t>
            </w:r>
          </w:p>
        </w:tc>
        <w:tc>
          <w:tcPr>
            <w:tcW w:w="1035" w:type="dxa"/>
            <w:tcMar>
              <w:top w:w="40" w:type="dxa"/>
              <w:left w:w="40" w:type="dxa"/>
              <w:bottom w:w="40" w:type="dxa"/>
              <w:right w:w="40" w:type="dxa"/>
            </w:tcMar>
            <w:vAlign w:val="bottom"/>
          </w:tcPr>
          <w:p w14:paraId="1DF0EACA" w14:textId="77777777" w:rsidR="002E0C8E" w:rsidRDefault="004B55A1">
            <w:pPr>
              <w:widowControl w:val="0"/>
              <w:jc w:val="center"/>
              <w:rPr>
                <w:sz w:val="20"/>
                <w:szCs w:val="20"/>
              </w:rPr>
            </w:pPr>
            <w:r>
              <w:rPr>
                <w:rFonts w:ascii="Calibri" w:eastAsia="Calibri" w:hAnsi="Calibri" w:cs="Calibri"/>
                <w:sz w:val="24"/>
                <w:szCs w:val="24"/>
              </w:rPr>
              <w:t>45°</w:t>
            </w:r>
          </w:p>
        </w:tc>
      </w:tr>
      <w:tr w:rsidR="002E0C8E" w14:paraId="7180C966" w14:textId="77777777">
        <w:trPr>
          <w:trHeight w:val="615"/>
        </w:trPr>
        <w:tc>
          <w:tcPr>
            <w:tcW w:w="2205" w:type="dxa"/>
            <w:tcMar>
              <w:top w:w="40" w:type="dxa"/>
              <w:left w:w="40" w:type="dxa"/>
              <w:bottom w:w="40" w:type="dxa"/>
              <w:right w:w="40" w:type="dxa"/>
            </w:tcMar>
            <w:vAlign w:val="bottom"/>
          </w:tcPr>
          <w:p w14:paraId="501ED49C" w14:textId="77777777" w:rsidR="002E0C8E" w:rsidRDefault="004B55A1">
            <w:pPr>
              <w:widowControl w:val="0"/>
              <w:jc w:val="center"/>
              <w:rPr>
                <w:sz w:val="20"/>
                <w:szCs w:val="20"/>
              </w:rPr>
            </w:pPr>
            <w:r>
              <w:rPr>
                <w:rFonts w:ascii="Calibri" w:eastAsia="Calibri" w:hAnsi="Calibri" w:cs="Calibri"/>
                <w:sz w:val="24"/>
                <w:szCs w:val="24"/>
              </w:rPr>
              <w:t>RW2TPWlakes100</w:t>
            </w:r>
          </w:p>
        </w:tc>
        <w:tc>
          <w:tcPr>
            <w:tcW w:w="990" w:type="dxa"/>
            <w:tcMar>
              <w:top w:w="40" w:type="dxa"/>
              <w:left w:w="40" w:type="dxa"/>
              <w:bottom w:w="40" w:type="dxa"/>
              <w:right w:w="40" w:type="dxa"/>
            </w:tcMar>
            <w:vAlign w:val="bottom"/>
          </w:tcPr>
          <w:p w14:paraId="49CF45B4"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2FB1ECD9"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57D80E3B"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16A6DFA1"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1ADDD013"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4A841F4D" w14:textId="77777777" w:rsidR="002E0C8E" w:rsidRDefault="004B55A1">
            <w:pPr>
              <w:widowControl w:val="0"/>
              <w:jc w:val="center"/>
              <w:rPr>
                <w:sz w:val="20"/>
                <w:szCs w:val="20"/>
              </w:rPr>
            </w:pPr>
            <w:r>
              <w:rPr>
                <w:rFonts w:ascii="Calibri" w:eastAsia="Calibri" w:hAnsi="Calibri" w:cs="Calibri"/>
                <w:sz w:val="24"/>
                <w:szCs w:val="24"/>
              </w:rPr>
              <w:t>Paleo</w:t>
            </w:r>
          </w:p>
        </w:tc>
        <w:tc>
          <w:tcPr>
            <w:tcW w:w="1260" w:type="dxa"/>
            <w:tcMar>
              <w:top w:w="40" w:type="dxa"/>
              <w:left w:w="40" w:type="dxa"/>
              <w:bottom w:w="40" w:type="dxa"/>
              <w:right w:w="40" w:type="dxa"/>
            </w:tcMar>
            <w:vAlign w:val="bottom"/>
          </w:tcPr>
          <w:p w14:paraId="49B1A1DE" w14:textId="77777777" w:rsidR="002E0C8E" w:rsidRDefault="004B55A1">
            <w:pPr>
              <w:widowControl w:val="0"/>
              <w:jc w:val="center"/>
              <w:rPr>
                <w:sz w:val="20"/>
                <w:szCs w:val="20"/>
              </w:rPr>
            </w:pPr>
            <w:r>
              <w:rPr>
                <w:rFonts w:ascii="Calibri" w:eastAsia="Calibri" w:hAnsi="Calibri" w:cs="Calibri"/>
                <w:sz w:val="24"/>
                <w:szCs w:val="24"/>
              </w:rPr>
              <w:t>100m GEL Lakes</w:t>
            </w:r>
          </w:p>
        </w:tc>
        <w:tc>
          <w:tcPr>
            <w:tcW w:w="1035" w:type="dxa"/>
            <w:tcMar>
              <w:top w:w="40" w:type="dxa"/>
              <w:left w:w="40" w:type="dxa"/>
              <w:bottom w:w="40" w:type="dxa"/>
              <w:right w:w="40" w:type="dxa"/>
            </w:tcMar>
            <w:vAlign w:val="bottom"/>
          </w:tcPr>
          <w:p w14:paraId="3E9B93C5"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6858C441" w14:textId="77777777">
        <w:trPr>
          <w:trHeight w:val="615"/>
        </w:trPr>
        <w:tc>
          <w:tcPr>
            <w:tcW w:w="2205" w:type="dxa"/>
            <w:tcMar>
              <w:top w:w="40" w:type="dxa"/>
              <w:left w:w="40" w:type="dxa"/>
              <w:bottom w:w="40" w:type="dxa"/>
              <w:right w:w="40" w:type="dxa"/>
            </w:tcMar>
            <w:vAlign w:val="bottom"/>
          </w:tcPr>
          <w:p w14:paraId="74BB5047" w14:textId="77777777" w:rsidR="002E0C8E" w:rsidRDefault="004B55A1">
            <w:pPr>
              <w:widowControl w:val="0"/>
              <w:jc w:val="center"/>
              <w:rPr>
                <w:sz w:val="20"/>
                <w:szCs w:val="20"/>
              </w:rPr>
            </w:pPr>
            <w:r>
              <w:rPr>
                <w:rFonts w:ascii="Calibri" w:eastAsia="Calibri" w:hAnsi="Calibri" w:cs="Calibri"/>
                <w:sz w:val="24"/>
                <w:szCs w:val="24"/>
              </w:rPr>
              <w:lastRenderedPageBreak/>
              <w:t>RW2TPWlakes100o0</w:t>
            </w:r>
          </w:p>
        </w:tc>
        <w:tc>
          <w:tcPr>
            <w:tcW w:w="990" w:type="dxa"/>
            <w:tcMar>
              <w:top w:w="40" w:type="dxa"/>
              <w:left w:w="40" w:type="dxa"/>
              <w:bottom w:w="40" w:type="dxa"/>
              <w:right w:w="40" w:type="dxa"/>
            </w:tcMar>
            <w:vAlign w:val="bottom"/>
          </w:tcPr>
          <w:p w14:paraId="5103A84E"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145CA390"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40FB7C04"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0AD181D8"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226EED86"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149AEE0C" w14:textId="77777777" w:rsidR="002E0C8E" w:rsidRDefault="004B55A1">
            <w:pPr>
              <w:widowControl w:val="0"/>
              <w:jc w:val="center"/>
              <w:rPr>
                <w:sz w:val="20"/>
                <w:szCs w:val="20"/>
              </w:rPr>
            </w:pPr>
            <w:r>
              <w:rPr>
                <w:rFonts w:ascii="Calibri" w:eastAsia="Calibri" w:hAnsi="Calibri" w:cs="Calibri"/>
                <w:sz w:val="24"/>
                <w:szCs w:val="24"/>
              </w:rPr>
              <w:t>Paleo</w:t>
            </w:r>
          </w:p>
        </w:tc>
        <w:tc>
          <w:tcPr>
            <w:tcW w:w="1260" w:type="dxa"/>
            <w:tcMar>
              <w:top w:w="40" w:type="dxa"/>
              <w:left w:w="40" w:type="dxa"/>
              <w:bottom w:w="40" w:type="dxa"/>
              <w:right w:w="40" w:type="dxa"/>
            </w:tcMar>
            <w:vAlign w:val="bottom"/>
          </w:tcPr>
          <w:p w14:paraId="16AAF6F6" w14:textId="77777777" w:rsidR="002E0C8E" w:rsidRDefault="004B55A1">
            <w:pPr>
              <w:widowControl w:val="0"/>
              <w:jc w:val="center"/>
              <w:rPr>
                <w:sz w:val="20"/>
                <w:szCs w:val="20"/>
              </w:rPr>
            </w:pPr>
            <w:r>
              <w:rPr>
                <w:rFonts w:ascii="Calibri" w:eastAsia="Calibri" w:hAnsi="Calibri" w:cs="Calibri"/>
                <w:sz w:val="24"/>
                <w:szCs w:val="24"/>
              </w:rPr>
              <w:t>100m GEL Lakes</w:t>
            </w:r>
          </w:p>
        </w:tc>
        <w:tc>
          <w:tcPr>
            <w:tcW w:w="1035" w:type="dxa"/>
            <w:tcMar>
              <w:top w:w="40" w:type="dxa"/>
              <w:left w:w="40" w:type="dxa"/>
              <w:bottom w:w="40" w:type="dxa"/>
              <w:right w:w="40" w:type="dxa"/>
            </w:tcMar>
            <w:vAlign w:val="bottom"/>
          </w:tcPr>
          <w:p w14:paraId="37D1027A" w14:textId="77777777" w:rsidR="002E0C8E" w:rsidRDefault="004B55A1">
            <w:pPr>
              <w:widowControl w:val="0"/>
              <w:jc w:val="center"/>
              <w:rPr>
                <w:sz w:val="20"/>
                <w:szCs w:val="20"/>
              </w:rPr>
            </w:pPr>
            <w:r>
              <w:rPr>
                <w:rFonts w:ascii="Calibri" w:eastAsia="Calibri" w:hAnsi="Calibri" w:cs="Calibri"/>
                <w:sz w:val="24"/>
                <w:szCs w:val="24"/>
              </w:rPr>
              <w:t>0°</w:t>
            </w:r>
          </w:p>
        </w:tc>
      </w:tr>
      <w:tr w:rsidR="002E0C8E" w14:paraId="306C99B2" w14:textId="77777777">
        <w:trPr>
          <w:trHeight w:val="615"/>
        </w:trPr>
        <w:tc>
          <w:tcPr>
            <w:tcW w:w="2205" w:type="dxa"/>
            <w:tcMar>
              <w:top w:w="40" w:type="dxa"/>
              <w:left w:w="40" w:type="dxa"/>
              <w:bottom w:w="40" w:type="dxa"/>
              <w:right w:w="40" w:type="dxa"/>
            </w:tcMar>
            <w:vAlign w:val="bottom"/>
          </w:tcPr>
          <w:p w14:paraId="306DEBD3" w14:textId="77777777" w:rsidR="002E0C8E" w:rsidRDefault="004B55A1">
            <w:pPr>
              <w:widowControl w:val="0"/>
              <w:jc w:val="center"/>
              <w:rPr>
                <w:sz w:val="20"/>
                <w:szCs w:val="20"/>
              </w:rPr>
            </w:pPr>
            <w:r>
              <w:rPr>
                <w:rFonts w:ascii="Calibri" w:eastAsia="Calibri" w:hAnsi="Calibri" w:cs="Calibri"/>
                <w:sz w:val="24"/>
                <w:szCs w:val="24"/>
              </w:rPr>
              <w:t>RW2TPWlakes500</w:t>
            </w:r>
          </w:p>
        </w:tc>
        <w:tc>
          <w:tcPr>
            <w:tcW w:w="990" w:type="dxa"/>
            <w:tcMar>
              <w:top w:w="40" w:type="dxa"/>
              <w:left w:w="40" w:type="dxa"/>
              <w:bottom w:w="40" w:type="dxa"/>
              <w:right w:w="40" w:type="dxa"/>
            </w:tcMar>
            <w:vAlign w:val="bottom"/>
          </w:tcPr>
          <w:p w14:paraId="03FCBAF3"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119C9FB9"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40A82C76"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0EBE83CF"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DD366FA"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7222694C" w14:textId="77777777" w:rsidR="002E0C8E" w:rsidRDefault="004B55A1">
            <w:pPr>
              <w:widowControl w:val="0"/>
              <w:jc w:val="center"/>
              <w:rPr>
                <w:sz w:val="20"/>
                <w:szCs w:val="20"/>
              </w:rPr>
            </w:pPr>
            <w:r>
              <w:rPr>
                <w:rFonts w:ascii="Calibri" w:eastAsia="Calibri" w:hAnsi="Calibri" w:cs="Calibri"/>
                <w:sz w:val="24"/>
                <w:szCs w:val="24"/>
              </w:rPr>
              <w:t>Paleo</w:t>
            </w:r>
          </w:p>
        </w:tc>
        <w:tc>
          <w:tcPr>
            <w:tcW w:w="1260" w:type="dxa"/>
            <w:tcMar>
              <w:top w:w="40" w:type="dxa"/>
              <w:left w:w="40" w:type="dxa"/>
              <w:bottom w:w="40" w:type="dxa"/>
              <w:right w:w="40" w:type="dxa"/>
            </w:tcMar>
            <w:vAlign w:val="bottom"/>
          </w:tcPr>
          <w:p w14:paraId="2D2E78B4" w14:textId="77777777" w:rsidR="002E0C8E" w:rsidRDefault="004B55A1">
            <w:pPr>
              <w:widowControl w:val="0"/>
              <w:jc w:val="center"/>
              <w:rPr>
                <w:sz w:val="20"/>
                <w:szCs w:val="20"/>
              </w:rPr>
            </w:pPr>
            <w:r>
              <w:rPr>
                <w:rFonts w:ascii="Calibri" w:eastAsia="Calibri" w:hAnsi="Calibri" w:cs="Calibri"/>
                <w:sz w:val="24"/>
                <w:szCs w:val="24"/>
              </w:rPr>
              <w:t>500m GEL Lakes</w:t>
            </w:r>
          </w:p>
        </w:tc>
        <w:tc>
          <w:tcPr>
            <w:tcW w:w="1035" w:type="dxa"/>
            <w:tcMar>
              <w:top w:w="40" w:type="dxa"/>
              <w:left w:w="40" w:type="dxa"/>
              <w:bottom w:w="40" w:type="dxa"/>
              <w:right w:w="40" w:type="dxa"/>
            </w:tcMar>
            <w:vAlign w:val="bottom"/>
          </w:tcPr>
          <w:p w14:paraId="6AD9610A"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6E77D392" w14:textId="77777777">
        <w:trPr>
          <w:trHeight w:val="345"/>
        </w:trPr>
        <w:tc>
          <w:tcPr>
            <w:tcW w:w="2205" w:type="dxa"/>
            <w:tcMar>
              <w:top w:w="40" w:type="dxa"/>
              <w:left w:w="40" w:type="dxa"/>
              <w:bottom w:w="40" w:type="dxa"/>
              <w:right w:w="40" w:type="dxa"/>
            </w:tcMar>
            <w:vAlign w:val="bottom"/>
          </w:tcPr>
          <w:p w14:paraId="51510C38" w14:textId="77777777" w:rsidR="002E0C8E" w:rsidRDefault="004B55A1">
            <w:pPr>
              <w:widowControl w:val="0"/>
              <w:jc w:val="center"/>
              <w:rPr>
                <w:sz w:val="20"/>
                <w:szCs w:val="20"/>
              </w:rPr>
            </w:pPr>
            <w:r>
              <w:rPr>
                <w:rFonts w:ascii="Calibri" w:eastAsia="Calibri" w:hAnsi="Calibri" w:cs="Calibri"/>
                <w:sz w:val="24"/>
                <w:szCs w:val="24"/>
              </w:rPr>
              <w:t>NHOcean</w:t>
            </w:r>
          </w:p>
        </w:tc>
        <w:tc>
          <w:tcPr>
            <w:tcW w:w="990" w:type="dxa"/>
            <w:tcMar>
              <w:top w:w="40" w:type="dxa"/>
              <w:left w:w="40" w:type="dxa"/>
              <w:bottom w:w="40" w:type="dxa"/>
              <w:right w:w="40" w:type="dxa"/>
            </w:tcMar>
            <w:vAlign w:val="bottom"/>
          </w:tcPr>
          <w:p w14:paraId="2D4E8FEB"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39F40077"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60C2A3C1"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26110ABE"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76D5D683"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04936857"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261671C0" w14:textId="77777777" w:rsidR="002E0C8E" w:rsidRDefault="004B55A1">
            <w:pPr>
              <w:widowControl w:val="0"/>
              <w:jc w:val="center"/>
              <w:rPr>
                <w:sz w:val="20"/>
                <w:szCs w:val="20"/>
              </w:rPr>
            </w:pPr>
            <w:r>
              <w:rPr>
                <w:rFonts w:ascii="Calibri" w:eastAsia="Calibri" w:hAnsi="Calibri" w:cs="Calibri"/>
                <w:sz w:val="24"/>
                <w:szCs w:val="24"/>
              </w:rPr>
              <w:t>Ocean</w:t>
            </w:r>
          </w:p>
        </w:tc>
        <w:tc>
          <w:tcPr>
            <w:tcW w:w="1035" w:type="dxa"/>
            <w:tcMar>
              <w:top w:w="40" w:type="dxa"/>
              <w:left w:w="40" w:type="dxa"/>
              <w:bottom w:w="40" w:type="dxa"/>
              <w:right w:w="40" w:type="dxa"/>
            </w:tcMar>
            <w:vAlign w:val="bottom"/>
          </w:tcPr>
          <w:p w14:paraId="4616A9AB" w14:textId="77777777" w:rsidR="002E0C8E" w:rsidRDefault="004B55A1">
            <w:pPr>
              <w:widowControl w:val="0"/>
              <w:jc w:val="center"/>
              <w:rPr>
                <w:sz w:val="20"/>
                <w:szCs w:val="20"/>
              </w:rPr>
            </w:pPr>
            <w:r>
              <w:rPr>
                <w:rFonts w:ascii="Calibri" w:eastAsia="Calibri" w:hAnsi="Calibri" w:cs="Calibri"/>
                <w:sz w:val="24"/>
                <w:szCs w:val="24"/>
              </w:rPr>
              <w:t>25.19°</w:t>
            </w:r>
          </w:p>
        </w:tc>
      </w:tr>
      <w:tr w:rsidR="002E0C8E" w14:paraId="6324754D" w14:textId="77777777">
        <w:trPr>
          <w:trHeight w:val="345"/>
        </w:trPr>
        <w:tc>
          <w:tcPr>
            <w:tcW w:w="2205" w:type="dxa"/>
            <w:tcMar>
              <w:top w:w="40" w:type="dxa"/>
              <w:left w:w="40" w:type="dxa"/>
              <w:bottom w:w="40" w:type="dxa"/>
              <w:right w:w="40" w:type="dxa"/>
            </w:tcMar>
            <w:vAlign w:val="bottom"/>
          </w:tcPr>
          <w:p w14:paraId="05FC68B3" w14:textId="77777777" w:rsidR="002E0C8E" w:rsidRDefault="004B55A1">
            <w:pPr>
              <w:widowControl w:val="0"/>
              <w:jc w:val="center"/>
              <w:rPr>
                <w:sz w:val="20"/>
                <w:szCs w:val="20"/>
              </w:rPr>
            </w:pPr>
            <w:r>
              <w:rPr>
                <w:rFonts w:ascii="Calibri" w:eastAsia="Calibri" w:hAnsi="Calibri" w:cs="Calibri"/>
                <w:sz w:val="24"/>
                <w:szCs w:val="24"/>
              </w:rPr>
              <w:t>HOcean</w:t>
            </w:r>
          </w:p>
        </w:tc>
        <w:tc>
          <w:tcPr>
            <w:tcW w:w="990" w:type="dxa"/>
            <w:tcMar>
              <w:top w:w="40" w:type="dxa"/>
              <w:left w:w="40" w:type="dxa"/>
              <w:bottom w:w="40" w:type="dxa"/>
              <w:right w:w="40" w:type="dxa"/>
            </w:tcMar>
            <w:vAlign w:val="bottom"/>
          </w:tcPr>
          <w:p w14:paraId="3F495ACB" w14:textId="77777777" w:rsidR="002E0C8E" w:rsidRDefault="004B55A1">
            <w:pPr>
              <w:widowControl w:val="0"/>
              <w:jc w:val="center"/>
              <w:rPr>
                <w:sz w:val="20"/>
                <w:szCs w:val="20"/>
              </w:rPr>
            </w:pPr>
            <w:r>
              <w:rPr>
                <w:rFonts w:ascii="Calibri" w:eastAsia="Calibri" w:hAnsi="Calibri" w:cs="Calibri"/>
                <w:sz w:val="24"/>
                <w:szCs w:val="24"/>
              </w:rPr>
              <w:t>2</w:t>
            </w:r>
          </w:p>
        </w:tc>
        <w:tc>
          <w:tcPr>
            <w:tcW w:w="615" w:type="dxa"/>
            <w:tcMar>
              <w:top w:w="40" w:type="dxa"/>
              <w:left w:w="40" w:type="dxa"/>
              <w:bottom w:w="40" w:type="dxa"/>
              <w:right w:w="40" w:type="dxa"/>
            </w:tcMar>
            <w:vAlign w:val="bottom"/>
          </w:tcPr>
          <w:p w14:paraId="7C2CE753" w14:textId="77777777" w:rsidR="002E0C8E" w:rsidRDefault="004B55A1">
            <w:pPr>
              <w:widowControl w:val="0"/>
              <w:jc w:val="center"/>
              <w:rPr>
                <w:sz w:val="20"/>
                <w:szCs w:val="20"/>
              </w:rPr>
            </w:pPr>
            <w:r>
              <w:rPr>
                <w:rFonts w:ascii="Calibri" w:eastAsia="Calibri" w:hAnsi="Calibri" w:cs="Calibri"/>
                <w:sz w:val="24"/>
                <w:szCs w:val="24"/>
              </w:rPr>
              <w:t>94</w:t>
            </w:r>
          </w:p>
        </w:tc>
        <w:tc>
          <w:tcPr>
            <w:tcW w:w="495" w:type="dxa"/>
            <w:tcMar>
              <w:top w:w="40" w:type="dxa"/>
              <w:left w:w="40" w:type="dxa"/>
              <w:bottom w:w="40" w:type="dxa"/>
              <w:right w:w="40" w:type="dxa"/>
            </w:tcMar>
            <w:vAlign w:val="bottom"/>
          </w:tcPr>
          <w:p w14:paraId="61B3433A" w14:textId="77777777" w:rsidR="002E0C8E" w:rsidRDefault="004B55A1">
            <w:pPr>
              <w:widowControl w:val="0"/>
              <w:jc w:val="center"/>
              <w:rPr>
                <w:sz w:val="20"/>
                <w:szCs w:val="20"/>
              </w:rPr>
            </w:pPr>
            <w:r>
              <w:rPr>
                <w:rFonts w:ascii="Calibri" w:eastAsia="Calibri" w:hAnsi="Calibri" w:cs="Calibri"/>
                <w:sz w:val="24"/>
                <w:szCs w:val="24"/>
              </w:rPr>
              <w:t>5</w:t>
            </w:r>
          </w:p>
        </w:tc>
        <w:tc>
          <w:tcPr>
            <w:tcW w:w="600" w:type="dxa"/>
            <w:tcMar>
              <w:top w:w="40" w:type="dxa"/>
              <w:left w:w="40" w:type="dxa"/>
              <w:bottom w:w="40" w:type="dxa"/>
              <w:right w:w="40" w:type="dxa"/>
            </w:tcMar>
            <w:vAlign w:val="bottom"/>
          </w:tcPr>
          <w:p w14:paraId="3526ED73" w14:textId="77777777" w:rsidR="002E0C8E" w:rsidRDefault="004B55A1">
            <w:pPr>
              <w:widowControl w:val="0"/>
              <w:jc w:val="center"/>
              <w:rPr>
                <w:sz w:val="20"/>
                <w:szCs w:val="20"/>
              </w:rPr>
            </w:pPr>
            <w:r>
              <w:rPr>
                <w:rFonts w:ascii="Calibri" w:eastAsia="Calibri" w:hAnsi="Calibri" w:cs="Calibri"/>
                <w:sz w:val="24"/>
                <w:szCs w:val="24"/>
              </w:rPr>
              <w:t>1</w:t>
            </w:r>
          </w:p>
        </w:tc>
        <w:tc>
          <w:tcPr>
            <w:tcW w:w="1020" w:type="dxa"/>
            <w:tcMar>
              <w:top w:w="40" w:type="dxa"/>
              <w:left w:w="40" w:type="dxa"/>
              <w:bottom w:w="40" w:type="dxa"/>
              <w:right w:w="40" w:type="dxa"/>
            </w:tcMar>
            <w:vAlign w:val="bottom"/>
          </w:tcPr>
          <w:p w14:paraId="31702567" w14:textId="77777777" w:rsidR="002E0C8E" w:rsidRDefault="004B55A1">
            <w:pPr>
              <w:widowControl w:val="0"/>
              <w:jc w:val="center"/>
              <w:rPr>
                <w:sz w:val="20"/>
                <w:szCs w:val="20"/>
              </w:rPr>
            </w:pPr>
            <w:r>
              <w:rPr>
                <w:rFonts w:ascii="Calibri" w:eastAsia="Calibri" w:hAnsi="Calibri" w:cs="Calibri"/>
                <w:sz w:val="24"/>
                <w:szCs w:val="24"/>
              </w:rPr>
              <w:t>Wet</w:t>
            </w:r>
          </w:p>
        </w:tc>
        <w:tc>
          <w:tcPr>
            <w:tcW w:w="1320" w:type="dxa"/>
            <w:tcMar>
              <w:top w:w="40" w:type="dxa"/>
              <w:left w:w="40" w:type="dxa"/>
              <w:bottom w:w="40" w:type="dxa"/>
              <w:right w:w="40" w:type="dxa"/>
            </w:tcMar>
            <w:vAlign w:val="bottom"/>
          </w:tcPr>
          <w:p w14:paraId="3657A4FA" w14:textId="77777777" w:rsidR="002E0C8E" w:rsidRDefault="004B55A1">
            <w:pPr>
              <w:widowControl w:val="0"/>
              <w:jc w:val="center"/>
              <w:rPr>
                <w:sz w:val="20"/>
                <w:szCs w:val="20"/>
              </w:rPr>
            </w:pPr>
            <w:r>
              <w:rPr>
                <w:rFonts w:ascii="Calibri" w:eastAsia="Calibri" w:hAnsi="Calibri" w:cs="Calibri"/>
                <w:sz w:val="24"/>
                <w:szCs w:val="24"/>
              </w:rPr>
              <w:t>Modern</w:t>
            </w:r>
          </w:p>
        </w:tc>
        <w:tc>
          <w:tcPr>
            <w:tcW w:w="1260" w:type="dxa"/>
            <w:tcMar>
              <w:top w:w="40" w:type="dxa"/>
              <w:left w:w="40" w:type="dxa"/>
              <w:bottom w:w="40" w:type="dxa"/>
              <w:right w:w="40" w:type="dxa"/>
            </w:tcMar>
            <w:vAlign w:val="bottom"/>
          </w:tcPr>
          <w:p w14:paraId="5B60EC60" w14:textId="77777777" w:rsidR="002E0C8E" w:rsidRDefault="004B55A1">
            <w:pPr>
              <w:widowControl w:val="0"/>
              <w:jc w:val="center"/>
              <w:rPr>
                <w:sz w:val="20"/>
                <w:szCs w:val="20"/>
              </w:rPr>
            </w:pPr>
            <w:r>
              <w:rPr>
                <w:rFonts w:ascii="Calibri" w:eastAsia="Calibri" w:hAnsi="Calibri" w:cs="Calibri"/>
                <w:sz w:val="24"/>
                <w:szCs w:val="24"/>
              </w:rPr>
              <w:t>Ocean</w:t>
            </w:r>
          </w:p>
        </w:tc>
        <w:tc>
          <w:tcPr>
            <w:tcW w:w="1035" w:type="dxa"/>
            <w:tcMar>
              <w:top w:w="40" w:type="dxa"/>
              <w:left w:w="40" w:type="dxa"/>
              <w:bottom w:w="40" w:type="dxa"/>
              <w:right w:w="40" w:type="dxa"/>
            </w:tcMar>
            <w:vAlign w:val="bottom"/>
          </w:tcPr>
          <w:p w14:paraId="30590BBF" w14:textId="77777777" w:rsidR="002E0C8E" w:rsidRDefault="004B55A1">
            <w:pPr>
              <w:widowControl w:val="0"/>
              <w:jc w:val="center"/>
              <w:rPr>
                <w:sz w:val="20"/>
                <w:szCs w:val="20"/>
              </w:rPr>
            </w:pPr>
            <w:r>
              <w:rPr>
                <w:rFonts w:ascii="Calibri" w:eastAsia="Calibri" w:hAnsi="Calibri" w:cs="Calibri"/>
                <w:sz w:val="24"/>
                <w:szCs w:val="24"/>
              </w:rPr>
              <w:t>25.19°</w:t>
            </w:r>
          </w:p>
        </w:tc>
      </w:tr>
    </w:tbl>
    <w:p w14:paraId="08B4FFCA" w14:textId="77777777" w:rsidR="002E0C8E" w:rsidRDefault="002E0C8E">
      <w:pPr>
        <w:spacing w:line="480" w:lineRule="auto"/>
        <w:ind w:firstLine="720"/>
        <w:jc w:val="both"/>
        <w:rPr>
          <w:rFonts w:ascii="Times New Roman" w:eastAsia="Times New Roman" w:hAnsi="Times New Roman" w:cs="Times New Roman"/>
          <w:sz w:val="24"/>
          <w:szCs w:val="24"/>
        </w:rPr>
      </w:pPr>
    </w:p>
    <w:p w14:paraId="22C5A2AE" w14:textId="77777777" w:rsidR="002E0C8E" w:rsidRDefault="002E0C8E">
      <w:pPr>
        <w:ind w:firstLine="720"/>
        <w:jc w:val="both"/>
        <w:rPr>
          <w:rFonts w:ascii="Times New Roman" w:eastAsia="Times New Roman" w:hAnsi="Times New Roman" w:cs="Times New Roman"/>
          <w:sz w:val="24"/>
          <w:szCs w:val="24"/>
        </w:rPr>
      </w:pPr>
    </w:p>
    <w:p w14:paraId="12FEACD4" w14:textId="77777777" w:rsidR="002E0C8E" w:rsidRDefault="004B55A1">
      <w:pPr>
        <w:numPr>
          <w:ilvl w:val="0"/>
          <w:numId w:val="1"/>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p>
    <w:p w14:paraId="4F38FCA8" w14:textId="77777777" w:rsidR="002E0C8E" w:rsidRDefault="004B55A1">
      <w:pPr>
        <w:spacing w:line="480" w:lineRule="auto"/>
        <w:ind w:left="9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group our simulations into two categories:  those initiated with no surface liquid water and either dry or wet soil and those initiated with some inventory of surface liquid water.  We use the first group, which we generally term as “dry” simulations, to find gas mixtures and surface pressure values that are supportive of surface liquid water to use in the “wet” simulations (those initiated with surface liquid water).  </w:t>
      </w:r>
    </w:p>
    <w:p w14:paraId="5841A959" w14:textId="77777777" w:rsidR="002E0C8E" w:rsidRDefault="004B55A1">
      <w:pPr>
        <w:ind w:left="9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Dry Simulations</w:t>
      </w:r>
    </w:p>
    <w:p w14:paraId="6A0A9FE2" w14:textId="77777777" w:rsidR="002E0C8E" w:rsidRDefault="004B55A1">
      <w:pPr>
        <w:spacing w:line="480" w:lineRule="auto"/>
        <w:ind w:left="9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dry simulations all use surface pressures between 0.5 and 2 bar at intervals of 500 mb with a variety of gas mixtures.  All simulated atmospheres have 83-94%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0-6%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and any remainder to reach 100% is N</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(with the exception of the simulations detailed below that use gas mixtures described in the literature).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is treated as a trace gas in all simulations and is not assumed to ever make a substantive change to the mean molecular weight of the atmosphere.  In most of our “dry” simulations, the atmosphere has no water vapor at the beginning of the simulation and there is a small amount of soil moisture.  In a small subset of these simulations, there is a larger amount of initialized soil moisture.  </w:t>
      </w:r>
    </w:p>
    <w:p w14:paraId="00C89A82" w14:textId="4DAE9213" w:rsidR="004F3E58" w:rsidRDefault="004B55A1" w:rsidP="00593B87">
      <w:pPr>
        <w:spacing w:line="480" w:lineRule="auto"/>
        <w:ind w:left="90"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We also conducted a series of simulations with gas mixtures and pressures described in the literature</w:t>
      </w:r>
      <w:r w:rsidR="004F3E58">
        <w:rPr>
          <w:rFonts w:ascii="Times New Roman" w:eastAsia="Times New Roman" w:hAnsi="Times New Roman" w:cs="Times New Roman"/>
          <w:sz w:val="24"/>
          <w:szCs w:val="24"/>
        </w:rPr>
        <w:t xml:space="preserve"> for purposes of model intercomparison</w:t>
      </w:r>
      <w:r w:rsidR="006F5F92">
        <w:rPr>
          <w:rFonts w:ascii="Times New Roman" w:eastAsia="Times New Roman" w:hAnsi="Times New Roman" w:cs="Times New Roman"/>
          <w:sz w:val="24"/>
          <w:szCs w:val="24"/>
        </w:rPr>
        <w:t xml:space="preserve"> and to help put our results into context relative to the existing literature on ancient martian climate, particularly more recent work that </w:t>
      </w:r>
      <w:r w:rsidR="006F5F92">
        <w:rPr>
          <w:rFonts w:ascii="Times New Roman" w:eastAsia="Times New Roman" w:hAnsi="Times New Roman" w:cs="Times New Roman"/>
          <w:sz w:val="24"/>
          <w:szCs w:val="24"/>
        </w:rPr>
        <w:lastRenderedPageBreak/>
        <w:t>looks at the role of reducing greenhouse gases and CIA</w:t>
      </w:r>
      <w:r>
        <w:rPr>
          <w:rFonts w:ascii="Times New Roman" w:eastAsia="Times New Roman" w:hAnsi="Times New Roman" w:cs="Times New Roman"/>
          <w:sz w:val="24"/>
          <w:szCs w:val="24"/>
        </w:rPr>
        <w:t>. Specifically, we simulate some of the gas mixtures and pressures of Wordsworth et al. (2017), Kamada et al. (2020), and Haberle et al. (2019).  Wordsworth et al. (2017) used 94%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5%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1% CH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with surface pressures of 1</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2</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bar.  Kamada et al. (2020) used 97%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3%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(among others, but found some amount of seasonal melting began at that point) and we simulated that gas mixture with surface pressures of 1</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 1.5</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 and 2</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bar.  Haberle et al. (2019) used 90%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10%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(again</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among others) and that was</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again</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simulated with surface pressures of 1</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 1.5</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 and 2</w:t>
      </w:r>
      <w:r w:rsidR="004F3E58">
        <w:rPr>
          <w:rFonts w:ascii="Times New Roman" w:eastAsia="Times New Roman" w:hAnsi="Times New Roman" w:cs="Times New Roman"/>
          <w:sz w:val="24"/>
          <w:szCs w:val="24"/>
        </w:rPr>
        <w:t>-</w:t>
      </w:r>
      <w:r>
        <w:rPr>
          <w:rFonts w:ascii="Times New Roman" w:eastAsia="Times New Roman" w:hAnsi="Times New Roman" w:cs="Times New Roman"/>
          <w:sz w:val="24"/>
          <w:szCs w:val="24"/>
        </w:rPr>
        <w:t>bar.</w:t>
      </w:r>
    </w:p>
    <w:p w14:paraId="34A4982A" w14:textId="708A32B7" w:rsidR="002E0C8E" w:rsidRDefault="00593B87" w:rsidP="00593B87">
      <w:pPr>
        <w:spacing w:line="480" w:lineRule="auto"/>
        <w:ind w:left="90" w:firstLine="630"/>
        <w:rPr>
          <w:rFonts w:ascii="Times New Roman" w:eastAsia="Times New Roman" w:hAnsi="Times New Roman" w:cs="Times New Roman"/>
          <w:sz w:val="24"/>
          <w:szCs w:val="24"/>
        </w:rPr>
      </w:pPr>
      <w:r w:rsidRPr="00593B87">
        <w:rPr>
          <w:noProof/>
        </w:rPr>
        <w:t xml:space="preserve"> </w:t>
      </w:r>
      <w:r>
        <w:rPr>
          <w:noProof/>
        </w:rPr>
        <w:drawing>
          <wp:inline distT="114300" distB="114300" distL="114300" distR="114300" wp14:anchorId="72DE13F3" wp14:editId="20CCFDEA">
            <wp:extent cx="5943600" cy="4394200"/>
            <wp:effectExtent l="0" t="0" r="0" b="0"/>
            <wp:docPr id="3" name="image14.png" descr="Chart, scatter 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4.png" descr="Chart, scatter chart, box and whisker chart&#10;&#10;Description automatically generated"/>
                    <pic:cNvPicPr preferRelativeResize="0"/>
                  </pic:nvPicPr>
                  <pic:blipFill>
                    <a:blip r:embed="rId10"/>
                    <a:srcRect/>
                    <a:stretch>
                      <a:fillRect/>
                    </a:stretch>
                  </pic:blipFill>
                  <pic:spPr>
                    <a:xfrm>
                      <a:off x="0" y="0"/>
                      <a:ext cx="5943600" cy="4394200"/>
                    </a:xfrm>
                    <a:prstGeom prst="rect">
                      <a:avLst/>
                    </a:prstGeom>
                    <a:ln/>
                  </pic:spPr>
                </pic:pic>
              </a:graphicData>
            </a:graphic>
          </wp:inline>
        </w:drawing>
      </w:r>
    </w:p>
    <w:p w14:paraId="296E4ECA" w14:textId="08D0F42F" w:rsidR="002E0C8E" w:rsidRDefault="002E0C8E" w:rsidP="00593B87">
      <w:pPr>
        <w:ind w:left="2070"/>
      </w:pPr>
    </w:p>
    <w:p w14:paraId="07D15275" w14:textId="593D6AEB" w:rsidR="002E0C8E" w:rsidRDefault="004B55A1">
      <w:pPr>
        <w:jc w:val="both"/>
      </w:pPr>
      <w:r>
        <w:t>Figure 3:  Global mean annual surface temperatures (°C) of “dry” ROCKE</w:t>
      </w:r>
      <w:r w:rsidR="006C0439">
        <w:t>-</w:t>
      </w:r>
      <w:r>
        <w:t>3D simulations as a function of surface pressure and H</w:t>
      </w:r>
      <w:r>
        <w:rPr>
          <w:vertAlign w:val="subscript"/>
        </w:rPr>
        <w:t>2</w:t>
      </w:r>
      <w:r>
        <w:t xml:space="preserve"> abundance.  Our gas mixtures are identified with circles, squares represent simulations using gas mixtures described by Haberle et al. (2019), stars represent simulations using Kamada et al. (2020) gas mixtures, and triangles represent </w:t>
      </w:r>
      <w:r>
        <w:lastRenderedPageBreak/>
        <w:t>Wordsworth et al. (2017) gas mixtures.  Some simulations with similar surface pressures and H</w:t>
      </w:r>
      <w:r>
        <w:rPr>
          <w:vertAlign w:val="subscript"/>
        </w:rPr>
        <w:t>2</w:t>
      </w:r>
      <w:r>
        <w:t xml:space="preserve"> abundances are indicated with smaller symbols and slightly offset in pressure for clarity.  </w:t>
      </w:r>
    </w:p>
    <w:p w14:paraId="04551964" w14:textId="77777777" w:rsidR="002E0C8E" w:rsidRDefault="002E0C8E">
      <w:pPr>
        <w:jc w:val="both"/>
      </w:pPr>
    </w:p>
    <w:p w14:paraId="4FBBBE5C" w14:textId="1248F504" w:rsidR="002E0C8E" w:rsidRDefault="004B55A1">
      <w:pPr>
        <w:spacing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Figure 3 shows global mean annual surface temperatures of 19 ROCKE</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3D simulations.  A couple </w:t>
      </w:r>
      <w:r w:rsidR="00A324CA">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conclusions are immediately apparent from looking at Figure 3.  First, without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(and the associated CIA), even 2</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pure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surface pressures are insufficient to produce global mean annual surface temperatures above the freezing point of water.  In fact, the 2 bar 0%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simulation (Simulation 2H0 from Table 1) has a global mean annual surface temperature of -29.1°C.  This is substantially warmer than a comparable atmosphere and pressure presented in Forget et al. (2013), possibly due to the lack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condensation in ROCKE-3D which would serve to warm the middle atmosphere.  Increasing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abundance to 3-5% produces temperatures near freezing or slightly above freezing for Simulations 2H3, RW2, and AK2.  The other immediate conclusion from Figure 3 is that 1</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 surface pressure is insufficient for global mean annual surface temperatures above freezing</w:t>
      </w:r>
      <w:r w:rsidR="00724D68">
        <w:rPr>
          <w:rFonts w:ascii="Times New Roman" w:eastAsia="Times New Roman" w:hAnsi="Times New Roman" w:cs="Times New Roman"/>
          <w:sz w:val="24"/>
          <w:szCs w:val="24"/>
        </w:rPr>
        <w:t xml:space="preserve"> in ROCKE-3D simulations</w:t>
      </w:r>
      <w:r>
        <w:rPr>
          <w:rFonts w:ascii="Times New Roman" w:eastAsia="Times New Roman" w:hAnsi="Times New Roman" w:cs="Times New Roman"/>
          <w:sz w:val="24"/>
          <w:szCs w:val="24"/>
        </w:rPr>
        <w:t>, even with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abundances of 10% as in Simulation RH1.      </w:t>
      </w:r>
    </w:p>
    <w:p w14:paraId="3C173256" w14:textId="54ECAFA1" w:rsidR="00593B87"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Compared to the published results that we have used as guidance for some gas mixtures and pressures, we find generally good agreement.  Wordsworth et al. (2017) used a line-by-line spectral code to evaluate the climate impact of their </w:t>
      </w:r>
      <w:r>
        <w:rPr>
          <w:rFonts w:ascii="Times New Roman" w:eastAsia="Times New Roman" w:hAnsi="Times New Roman" w:cs="Times New Roman"/>
          <w:i/>
          <w:sz w:val="24"/>
          <w:szCs w:val="24"/>
        </w:rPr>
        <w:t xml:space="preserve">ab initio </w:t>
      </w:r>
      <w:r>
        <w:rPr>
          <w:rFonts w:ascii="Times New Roman" w:eastAsia="Times New Roman" w:hAnsi="Times New Roman" w:cs="Times New Roman"/>
          <w:sz w:val="24"/>
          <w:szCs w:val="24"/>
        </w:rPr>
        <w:t>calculations of CIA and found that CO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mixtures reached </w:t>
      </w:r>
      <w:r w:rsidR="00D442FB">
        <w:rPr>
          <w:rFonts w:ascii="Times New Roman" w:eastAsia="Times New Roman" w:hAnsi="Times New Roman" w:cs="Times New Roman"/>
          <w:sz w:val="24"/>
          <w:szCs w:val="24"/>
        </w:rPr>
        <w:t>0°C</w:t>
      </w:r>
      <w:r>
        <w:rPr>
          <w:rFonts w:ascii="Times New Roman" w:eastAsia="Times New Roman" w:hAnsi="Times New Roman" w:cs="Times New Roman"/>
          <w:sz w:val="24"/>
          <w:szCs w:val="24"/>
        </w:rPr>
        <w:t xml:space="preserve"> with approximately 3%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for 2</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 pressures and 5%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at 1.5</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 pressures.  Adding CH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reduced the amount of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necessary for above</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freezing conditions.  As seen in Table 1, our simulations following Wordsworth et al. (2017) (RW simulations) all have 1% CH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and 5%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The resulting global mean annual surface temperatures are quite comparable to those shown by Wordsworth et al. (2017), with Simulation RW1 having a temperature of -24.5°C, Simulation RW2 having a temperature of 14.0°C, and Simulation RW2wet (with higher initial soil moisture) having a temperature of 15.7°C.  The slightly warmer temperature for wetter </w:t>
      </w:r>
      <w:r>
        <w:rPr>
          <w:rFonts w:ascii="Times New Roman" w:eastAsia="Times New Roman" w:hAnsi="Times New Roman" w:cs="Times New Roman"/>
          <w:sz w:val="24"/>
          <w:szCs w:val="24"/>
        </w:rPr>
        <w:lastRenderedPageBreak/>
        <w:t>soil conditions is due to the higher water vapor amounts in the atmosphere.  Haberle et al. (2019)</w:t>
      </w:r>
      <w:r w:rsidR="00724D68">
        <w:rPr>
          <w:rFonts w:ascii="Times New Roman" w:eastAsia="Times New Roman" w:hAnsi="Times New Roman" w:cs="Times New Roman"/>
          <w:sz w:val="24"/>
          <w:szCs w:val="24"/>
        </w:rPr>
        <w:t>, extrapolating from the 1D model of Wordsworth et al. (2017),</w:t>
      </w:r>
      <w:r>
        <w:rPr>
          <w:rFonts w:ascii="Times New Roman" w:eastAsia="Times New Roman" w:hAnsi="Times New Roman" w:cs="Times New Roman"/>
          <w:sz w:val="24"/>
          <w:szCs w:val="24"/>
        </w:rPr>
        <w:t xml:space="preserve"> found that large impacts of iron-rich meteorites could degas substantial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and that mixing ratios of 10% or more produce temperatures above </w:t>
      </w:r>
      <w:r w:rsidR="00D442FB">
        <w:rPr>
          <w:rFonts w:ascii="Times New Roman" w:eastAsia="Times New Roman" w:hAnsi="Times New Roman" w:cs="Times New Roman"/>
          <w:sz w:val="24"/>
          <w:szCs w:val="24"/>
        </w:rPr>
        <w:t xml:space="preserve">0°C </w:t>
      </w:r>
      <w:r>
        <w:rPr>
          <w:rFonts w:ascii="Times New Roman" w:eastAsia="Times New Roman" w:hAnsi="Times New Roman" w:cs="Times New Roman"/>
          <w:sz w:val="24"/>
          <w:szCs w:val="24"/>
        </w:rPr>
        <w:t>for 1</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 or thicker atmospheres.  Our 1</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 simulation, Simulation RH1 (90%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&amp; 10%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has a global mean annual surface temperature of -13.5°C, but the simulations with thicker atmospheres, Simulations RH15 and RH2, have temperatures of 8.5°C and 23.9°C, respectively.  </w:t>
      </w:r>
      <w:r w:rsidR="00724D68">
        <w:rPr>
          <w:rFonts w:ascii="Times New Roman" w:eastAsia="Times New Roman" w:hAnsi="Times New Roman" w:cs="Times New Roman"/>
          <w:sz w:val="24"/>
          <w:szCs w:val="24"/>
        </w:rPr>
        <w:t xml:space="preserve">Our generally good match to Wordsworth et al. (2017) at 1-bar and poorer match to Haberle et al. (2019) suggests that 3D simulations are needed to account for additional effects such as cloud albedo (e.g., Figure 7).  </w:t>
      </w:r>
      <w:r>
        <w:rPr>
          <w:rFonts w:ascii="Times New Roman" w:eastAsia="Times New Roman" w:hAnsi="Times New Roman" w:cs="Times New Roman"/>
          <w:sz w:val="24"/>
          <w:szCs w:val="24"/>
        </w:rPr>
        <w:t>Our simulations following Kamada et al. (2020) are similar to their “Dry-Mars” simulations with 3%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and result in temperatures quite similar to theirs, with all three simulations (Simulations AK1, AK15, and AK2) having global mean annual surface temperatures below freezing.  Indeed, on balance, our simulation temperatures compare quite favorably with the “Dry-Mars” simulations by Kamada et al. (2020), even for other mixing ratios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accounting for their higher (our lower) mixing ratios of CO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and our inclusion of 1%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p>
    <w:p w14:paraId="7082AFA1" w14:textId="171A93EC" w:rsidR="002E0C8E" w:rsidRDefault="002C0D03">
      <w:pPr>
        <w:spacing w:line="480" w:lineRule="auto"/>
        <w:jc w:val="both"/>
        <w:rPr>
          <w:rFonts w:ascii="Times New Roman" w:eastAsia="Times New Roman" w:hAnsi="Times New Roman" w:cs="Times New Roman"/>
          <w:sz w:val="24"/>
          <w:szCs w:val="24"/>
        </w:rPr>
      </w:pPr>
      <w:r w:rsidRPr="002C0D03">
        <w:rPr>
          <w:noProof/>
        </w:rPr>
        <w:lastRenderedPageBreak/>
        <w:t xml:space="preserve"> </w:t>
      </w:r>
      <w:r w:rsidRPr="002C0D03">
        <w:rPr>
          <w:rFonts w:ascii="Times New Roman" w:eastAsia="Times New Roman" w:hAnsi="Times New Roman" w:cs="Times New Roman"/>
          <w:noProof/>
          <w:sz w:val="24"/>
          <w:szCs w:val="24"/>
        </w:rPr>
        <w:drawing>
          <wp:inline distT="0" distB="0" distL="0" distR="0" wp14:anchorId="011C709C" wp14:editId="74E024F4">
            <wp:extent cx="5943600" cy="4674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5943600" cy="4674870"/>
                    </a:xfrm>
                    <a:prstGeom prst="rect">
                      <a:avLst/>
                    </a:prstGeom>
                  </pic:spPr>
                </pic:pic>
              </a:graphicData>
            </a:graphic>
          </wp:inline>
        </w:drawing>
      </w:r>
    </w:p>
    <w:p w14:paraId="60989604" w14:textId="0271CB3B" w:rsidR="002E0C8E" w:rsidRDefault="002E0C8E">
      <w:pPr>
        <w:ind w:left="2070"/>
        <w:jc w:val="both"/>
      </w:pPr>
    </w:p>
    <w:p w14:paraId="407F7746" w14:textId="77777777" w:rsidR="00593B87" w:rsidRDefault="004B55A1">
      <w:pPr>
        <w:jc w:val="both"/>
      </w:pPr>
      <w:r>
        <w:t>Figure 4.  Mean annual surface temperatures (°C) for 10 ROCKE-3D simulations with surface pressures and CO</w:t>
      </w:r>
      <w:r>
        <w:rPr>
          <w:vertAlign w:val="subscript"/>
        </w:rPr>
        <w:t xml:space="preserve">2 </w:t>
      </w:r>
      <w:r>
        <w:t>and H</w:t>
      </w:r>
      <w:r>
        <w:rPr>
          <w:vertAlign w:val="subscript"/>
        </w:rPr>
        <w:t>2</w:t>
      </w:r>
      <w:r>
        <w:t xml:space="preserve"> mixing ratios identified in the panel title.  All simulations incorporate dry soil.  The black line indicates the freezing point of water.  </w:t>
      </w:r>
    </w:p>
    <w:p w14:paraId="58C01242" w14:textId="2554C7BD" w:rsidR="002E0C8E" w:rsidRDefault="00593B87">
      <w:pPr>
        <w:jc w:val="both"/>
      </w:pPr>
      <w:r>
        <w:rPr>
          <w:noProof/>
        </w:rPr>
        <w:lastRenderedPageBreak/>
        <w:drawing>
          <wp:inline distT="114300" distB="114300" distL="114300" distR="114300" wp14:anchorId="101D989D" wp14:editId="6D41C643">
            <wp:extent cx="5943600" cy="4838700"/>
            <wp:effectExtent l="0" t="0" r="0" b="0"/>
            <wp:docPr id="10"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png" descr="A picture containing text&#10;&#10;Description automatically generated"/>
                    <pic:cNvPicPr preferRelativeResize="0"/>
                  </pic:nvPicPr>
                  <pic:blipFill>
                    <a:blip r:embed="rId12"/>
                    <a:srcRect/>
                    <a:stretch>
                      <a:fillRect/>
                    </a:stretch>
                  </pic:blipFill>
                  <pic:spPr>
                    <a:xfrm>
                      <a:off x="0" y="0"/>
                      <a:ext cx="5943600" cy="4838700"/>
                    </a:xfrm>
                    <a:prstGeom prst="rect">
                      <a:avLst/>
                    </a:prstGeom>
                    <a:ln/>
                  </pic:spPr>
                </pic:pic>
              </a:graphicData>
            </a:graphic>
          </wp:inline>
        </w:drawing>
      </w:r>
    </w:p>
    <w:p w14:paraId="5B896303" w14:textId="77777777" w:rsidR="002E0C8E" w:rsidRDefault="002E0C8E">
      <w:pPr>
        <w:jc w:val="both"/>
      </w:pPr>
    </w:p>
    <w:p w14:paraId="40A85FA7" w14:textId="3C70CD34" w:rsidR="002E0C8E" w:rsidRDefault="002E0C8E">
      <w:pPr>
        <w:ind w:left="2070"/>
        <w:jc w:val="both"/>
      </w:pPr>
    </w:p>
    <w:p w14:paraId="166A6349" w14:textId="77777777" w:rsidR="002E0C8E" w:rsidRDefault="004B55A1">
      <w:pPr>
        <w:jc w:val="both"/>
      </w:pPr>
      <w:r>
        <w:t xml:space="preserve">Figure 5.  Same as in Figure 4, except for gas mixtures described in the literature as delineated above.  </w:t>
      </w:r>
    </w:p>
    <w:p w14:paraId="0A6FA44A" w14:textId="77777777" w:rsidR="002E0C8E" w:rsidRDefault="002E0C8E">
      <w:pPr>
        <w:jc w:val="both"/>
      </w:pPr>
    </w:p>
    <w:p w14:paraId="77FE6A45" w14:textId="4BDCE429" w:rsidR="002E0C8E" w:rsidRDefault="004B55A1">
      <w:pPr>
        <w:spacing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In Figures 4 and 5</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take a global view to see how temperatures vary.  The same points discussed with Figure 3 generally continue to hold.  Namely, even at 1</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 surface pressures, most or all of the planet sees annual average temperatures below freezing.  With 5-6%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small regions of Hellas Basin see above freezing annual average temperatures</w:t>
      </w:r>
      <w:r w:rsidR="008205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2054F">
        <w:rPr>
          <w:rFonts w:ascii="Times New Roman" w:eastAsia="Times New Roman" w:hAnsi="Times New Roman" w:cs="Times New Roman"/>
          <w:sz w:val="24"/>
          <w:szCs w:val="24"/>
        </w:rPr>
        <w:t>I</w:t>
      </w:r>
      <w:r>
        <w:rPr>
          <w:rFonts w:ascii="Times New Roman" w:eastAsia="Times New Roman" w:hAnsi="Times New Roman" w:cs="Times New Roman"/>
          <w:sz w:val="24"/>
          <w:szCs w:val="24"/>
        </w:rPr>
        <w:t>ncreasing that to 10%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in Simulation RH1 expands that to portions of the northern hemisphere lowlands.  Second, some amount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is necessary to have any portion of the planet experience annual average temperatures above the freezing point of water.  Simulation 2H0 (bottom left panel of Figure 4) </w:t>
      </w:r>
      <w:r>
        <w:rPr>
          <w:rFonts w:ascii="Times New Roman" w:eastAsia="Times New Roman" w:hAnsi="Times New Roman" w:cs="Times New Roman"/>
          <w:sz w:val="24"/>
          <w:szCs w:val="24"/>
        </w:rPr>
        <w:lastRenderedPageBreak/>
        <w:t>shows no regions of the planet above freezing despite a 2</w:t>
      </w:r>
      <w:r w:rsidR="006C0439">
        <w:rPr>
          <w:rFonts w:ascii="Times New Roman" w:eastAsia="Times New Roman" w:hAnsi="Times New Roman" w:cs="Times New Roman"/>
          <w:sz w:val="24"/>
          <w:szCs w:val="24"/>
        </w:rPr>
        <w:t>-</w:t>
      </w:r>
      <w:r>
        <w:rPr>
          <w:rFonts w:ascii="Times New Roman" w:eastAsia="Times New Roman" w:hAnsi="Times New Roman" w:cs="Times New Roman"/>
          <w:sz w:val="24"/>
          <w:szCs w:val="24"/>
        </w:rPr>
        <w:t>bar atmosphere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All planets with global mean annual average temperatures above -25°C have some region of the planet above freezing on an annual average basis.  Simulations with increasing surface pressure and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amounts eventually reach a point where most of the planet is above freezing (e.g., Simulation RH2) although the high elevations of the Tharsis Montes and plateau remain below freezing in all simulations.  This is particularly relevant for cold-trapping of water, as will be discussed below.   </w:t>
      </w:r>
    </w:p>
    <w:p w14:paraId="31DD9F7A" w14:textId="01755FC5" w:rsidR="00593B87"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Not surprisingly, but worth mentioning, is that the regions that preferentially experience above freezing annual average temperatures are the topographic low spots in Hellas Basin and the northern lowlands.  The gradient in temperature with topography is due to adiabatic effects (Wordsworth et al., 2013), which modern Mars does not experience due to its thin atmosphere.  These are not the locations that have the highest density of valley networks and outflow channels, which fall near the topographic dichotomy boundary and in the southern hemisphere highlands (Hynek et al., 2010).  This disparity is well-known from studies of possible ancient martian climates (e.g., Palumbo and Head, 2018).    </w:t>
      </w:r>
    </w:p>
    <w:p w14:paraId="763FCC87" w14:textId="0EE7B2C1" w:rsidR="002E0C8E" w:rsidRDefault="000D1ED6">
      <w:pPr>
        <w:spacing w:line="480" w:lineRule="auto"/>
        <w:jc w:val="both"/>
        <w:rPr>
          <w:rFonts w:ascii="Times New Roman" w:eastAsia="Times New Roman" w:hAnsi="Times New Roman" w:cs="Times New Roman"/>
          <w:sz w:val="24"/>
          <w:szCs w:val="24"/>
        </w:rPr>
      </w:pPr>
      <w:r w:rsidRPr="000D1ED6">
        <w:rPr>
          <w:noProof/>
        </w:rPr>
        <w:lastRenderedPageBreak/>
        <w:t xml:space="preserve"> </w:t>
      </w:r>
      <w:r w:rsidR="00D15BC8" w:rsidRPr="00D15BC8">
        <w:rPr>
          <w:noProof/>
        </w:rPr>
        <w:drawing>
          <wp:inline distT="0" distB="0" distL="0" distR="0" wp14:anchorId="0C4894FE" wp14:editId="76D802BE">
            <wp:extent cx="5943600" cy="4802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5943600" cy="4802505"/>
                    </a:xfrm>
                    <a:prstGeom prst="rect">
                      <a:avLst/>
                    </a:prstGeom>
                  </pic:spPr>
                </pic:pic>
              </a:graphicData>
            </a:graphic>
          </wp:inline>
        </w:drawing>
      </w:r>
    </w:p>
    <w:p w14:paraId="089653CD" w14:textId="38D6E38C" w:rsidR="002E0C8E" w:rsidRDefault="002E0C8E">
      <w:pPr>
        <w:ind w:left="2070"/>
        <w:jc w:val="both"/>
      </w:pPr>
    </w:p>
    <w:p w14:paraId="0A19A396" w14:textId="726D9DF3" w:rsidR="002E0C8E" w:rsidRDefault="004B55A1">
      <w:pPr>
        <w:jc w:val="both"/>
      </w:pPr>
      <w:r>
        <w:t xml:space="preserve">Figure 6.  Percent of </w:t>
      </w:r>
      <w:r w:rsidR="00D15BC8">
        <w:t xml:space="preserve">the year </w:t>
      </w:r>
      <w:r>
        <w:t xml:space="preserve">with above freezing </w:t>
      </w:r>
      <w:r w:rsidR="00D15BC8">
        <w:t>hourly minimum</w:t>
      </w:r>
      <w:r>
        <w:t xml:space="preserve"> temperatures for 10 ROCKE-3D simulations with surface pressures and CO</w:t>
      </w:r>
      <w:r>
        <w:rPr>
          <w:vertAlign w:val="subscript"/>
        </w:rPr>
        <w:t xml:space="preserve">2 </w:t>
      </w:r>
      <w:r>
        <w:t>and H</w:t>
      </w:r>
      <w:r>
        <w:rPr>
          <w:vertAlign w:val="subscript"/>
        </w:rPr>
        <w:t>2</w:t>
      </w:r>
      <w:r>
        <w:t xml:space="preserve"> mixing ratios identified in the panel title.  All simulations incorporate dry soil.  The black line encloses the areas with 100%.  </w:t>
      </w:r>
    </w:p>
    <w:p w14:paraId="14A5693E" w14:textId="77777777" w:rsidR="002E0C8E" w:rsidRDefault="002E0C8E">
      <w:pPr>
        <w:jc w:val="both"/>
      </w:pPr>
    </w:p>
    <w:p w14:paraId="5C66EF56" w14:textId="013DC560" w:rsidR="00593B87"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Looking at seasonal temperatures, we see in Figure 6 that 1</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bar (with some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present in the atmosphere) or higher</w:t>
      </w:r>
      <w:r w:rsidR="008205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pressure simulations all </w:t>
      </w:r>
      <w:r w:rsidR="00F01189">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 xml:space="preserve">some regions of the planet with </w:t>
      </w:r>
      <w:r w:rsidR="0049580E">
        <w:rPr>
          <w:rFonts w:ascii="Times New Roman" w:eastAsia="Times New Roman" w:hAnsi="Times New Roman" w:cs="Times New Roman"/>
          <w:sz w:val="24"/>
          <w:szCs w:val="24"/>
        </w:rPr>
        <w:t>portion of the year with hourly minimum temperatures</w:t>
      </w:r>
      <w:r>
        <w:rPr>
          <w:rFonts w:ascii="Times New Roman" w:eastAsia="Times New Roman" w:hAnsi="Times New Roman" w:cs="Times New Roman"/>
          <w:sz w:val="24"/>
          <w:szCs w:val="24"/>
        </w:rPr>
        <w:t xml:space="preserve"> above freezing, again</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predominantly in Hellas </w:t>
      </w:r>
      <w:r w:rsidR="00F01189">
        <w:rPr>
          <w:rFonts w:ascii="Times New Roman" w:eastAsia="Times New Roman" w:hAnsi="Times New Roman" w:cs="Times New Roman"/>
          <w:sz w:val="24"/>
          <w:szCs w:val="24"/>
        </w:rPr>
        <w:t xml:space="preserve">basin </w:t>
      </w:r>
      <w:r>
        <w:rPr>
          <w:rFonts w:ascii="Times New Roman" w:eastAsia="Times New Roman" w:hAnsi="Times New Roman" w:cs="Times New Roman"/>
          <w:sz w:val="24"/>
          <w:szCs w:val="24"/>
        </w:rPr>
        <w:lastRenderedPageBreak/>
        <w:t>or the northern lowlands.  In the highest pressure and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mixing ratio, and thus warmest, simulations (bottom right two panels of Figure 6) the northern lowlands and Hellas </w:t>
      </w:r>
      <w:r w:rsidR="00F01189">
        <w:rPr>
          <w:rFonts w:ascii="Times New Roman" w:eastAsia="Times New Roman" w:hAnsi="Times New Roman" w:cs="Times New Roman"/>
          <w:sz w:val="24"/>
          <w:szCs w:val="24"/>
        </w:rPr>
        <w:t xml:space="preserve">basin </w:t>
      </w:r>
      <w:r>
        <w:rPr>
          <w:rFonts w:ascii="Times New Roman" w:eastAsia="Times New Roman" w:hAnsi="Times New Roman" w:cs="Times New Roman"/>
          <w:sz w:val="24"/>
          <w:szCs w:val="24"/>
        </w:rPr>
        <w:t>are above freezing year-round.  Interestingly, however, even parts of the southern hemisphere highlands (e.g., Aonia Terra and Terra Sirenum</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both south of the Tharsis plateau) experience seasonally warm temperatures and some of those regions do exhibit high density of valley networks as shown by Hynek et al. (2010). That is also true of areas near the topographic dichotomy boundary in the eastern hemisphere, although the Terra Sabaea and Tyrrhena Terra regions (both with numerous valley networks) north of Hellas remain below freezing all year.  </w:t>
      </w:r>
    </w:p>
    <w:p w14:paraId="28C32865" w14:textId="39C9961E" w:rsidR="002E0C8E" w:rsidRDefault="00E92714">
      <w:pPr>
        <w:spacing w:line="480" w:lineRule="auto"/>
        <w:jc w:val="both"/>
        <w:rPr>
          <w:rFonts w:ascii="Times New Roman" w:eastAsia="Times New Roman" w:hAnsi="Times New Roman" w:cs="Times New Roman"/>
          <w:sz w:val="24"/>
          <w:szCs w:val="24"/>
        </w:rPr>
      </w:pPr>
      <w:r w:rsidRPr="00E92714">
        <w:rPr>
          <w:noProof/>
        </w:rPr>
        <w:lastRenderedPageBreak/>
        <w:t xml:space="preserve"> </w:t>
      </w:r>
      <w:r w:rsidRPr="00E92714">
        <w:rPr>
          <w:rFonts w:ascii="Times New Roman" w:eastAsia="Times New Roman" w:hAnsi="Times New Roman" w:cs="Times New Roman"/>
          <w:noProof/>
          <w:sz w:val="24"/>
          <w:szCs w:val="24"/>
        </w:rPr>
        <w:drawing>
          <wp:inline distT="0" distB="0" distL="0" distR="0" wp14:anchorId="37787511" wp14:editId="3C6DDFBF">
            <wp:extent cx="5943600" cy="4529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5943600" cy="4529455"/>
                    </a:xfrm>
                    <a:prstGeom prst="rect">
                      <a:avLst/>
                    </a:prstGeom>
                  </pic:spPr>
                </pic:pic>
              </a:graphicData>
            </a:graphic>
          </wp:inline>
        </w:drawing>
      </w:r>
    </w:p>
    <w:p w14:paraId="61F17F5C" w14:textId="58687481" w:rsidR="002E0C8E" w:rsidRDefault="002E0C8E">
      <w:pPr>
        <w:ind w:left="2070"/>
        <w:jc w:val="both"/>
      </w:pPr>
    </w:p>
    <w:p w14:paraId="08AFD001" w14:textId="19949FEC" w:rsidR="002E0C8E" w:rsidRDefault="004B55A1">
      <w:pPr>
        <w:jc w:val="both"/>
      </w:pPr>
      <w:r>
        <w:t>Figure 7.  Annual</w:t>
      </w:r>
      <w:r w:rsidR="00F01189">
        <w:t>-</w:t>
      </w:r>
      <w:r>
        <w:t>average cloud cover for 10 ROCKE-3D simulations with surface pressures and CO</w:t>
      </w:r>
      <w:r>
        <w:rPr>
          <w:vertAlign w:val="subscript"/>
        </w:rPr>
        <w:t xml:space="preserve">2 </w:t>
      </w:r>
      <w:r>
        <w:t>and H</w:t>
      </w:r>
      <w:r>
        <w:rPr>
          <w:vertAlign w:val="subscript"/>
        </w:rPr>
        <w:t>2</w:t>
      </w:r>
      <w:r>
        <w:t xml:space="preserve"> mixing ratios identified in the panel title.  All simulations incorporate dry soil</w:t>
      </w:r>
      <w:r w:rsidR="00D442FB">
        <w:t xml:space="preserve"> and 1% CH</w:t>
      </w:r>
      <w:r w:rsidR="00D442FB" w:rsidRPr="00EF09FF">
        <w:rPr>
          <w:vertAlign w:val="subscript"/>
        </w:rPr>
        <w:t>4</w:t>
      </w:r>
      <w:r w:rsidR="00D442FB">
        <w:t xml:space="preserve"> in their atmospheres</w:t>
      </w:r>
      <w:r>
        <w:t>.</w:t>
      </w:r>
    </w:p>
    <w:p w14:paraId="5BCB7933" w14:textId="77777777" w:rsidR="002E0C8E" w:rsidRDefault="002E0C8E">
      <w:pPr>
        <w:jc w:val="both"/>
        <w:rPr>
          <w:rFonts w:ascii="Times New Roman" w:eastAsia="Times New Roman" w:hAnsi="Times New Roman" w:cs="Times New Roman"/>
          <w:sz w:val="24"/>
          <w:szCs w:val="24"/>
        </w:rPr>
      </w:pPr>
    </w:p>
    <w:p w14:paraId="27F57444" w14:textId="0EF3E3FB"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stated above, our “dry” simulations (nearly) all use initial soil moisture conditions that have a small amount of water present in the soil that is then moved through the climate system following the water cycle parameterizations in the GCM.  </w:t>
      </w:r>
      <w:r w:rsidR="0082054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espite the comparatively small amount </w:t>
      </w:r>
      <w:r>
        <w:rPr>
          <w:rFonts w:ascii="Times New Roman" w:eastAsia="Times New Roman" w:hAnsi="Times New Roman" w:cs="Times New Roman"/>
          <w:sz w:val="24"/>
          <w:szCs w:val="24"/>
        </w:rPr>
        <w:lastRenderedPageBreak/>
        <w:t xml:space="preserve">of water (relative to the simulations described below in Section 3.2) in the system, the simulations do produce water cloud cover.  Even for modern terrestrial climate studies, understanding the complete climatic influence of clouds remains an area of ongoing research and much work has been done </w:t>
      </w:r>
      <w:r w:rsidR="0082054F">
        <w:rPr>
          <w:rFonts w:ascii="Times New Roman" w:eastAsia="Times New Roman" w:hAnsi="Times New Roman" w:cs="Times New Roman"/>
          <w:sz w:val="24"/>
          <w:szCs w:val="24"/>
        </w:rPr>
        <w:t xml:space="preserve">regarding </w:t>
      </w:r>
      <w:r>
        <w:rPr>
          <w:rFonts w:ascii="Times New Roman" w:eastAsia="Times New Roman" w:hAnsi="Times New Roman" w:cs="Times New Roman"/>
          <w:sz w:val="24"/>
          <w:szCs w:val="24"/>
        </w:rPr>
        <w:t>how clouds (both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and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may have impacted the ancient climate of Mars (e.g., Forget et al., 2013).  </w:t>
      </w:r>
    </w:p>
    <w:p w14:paraId="7404976B" w14:textId="12CECCAF" w:rsidR="00593B87"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shows that substantial clouds are found in the tropics.  Although some convective-type clouds occur over Tharsis, the bulk of the clouds are thin</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cirrus-like water ice clouds.  The coldest simulations (low pressure and lower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mixing ratios) have generally clear atmospheres, with infrequent tropical clouds as well as seasonal clouds over the south pole.  Warmer simulations (high pressure and higher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mixing ratios) have a well-defined tropical cloud belt between 30°S and 30°N with little longitudinal variation.  Some simulations (e.g., Simulation 2H0, bottom left panel of Figure 7) additionally suggest that Hellas basin sees some amount of cloud cover, which is true even in the modern climate.   </w:t>
      </w:r>
    </w:p>
    <w:p w14:paraId="0E7A2D46" w14:textId="146EA6E0" w:rsidR="002E0C8E" w:rsidRDefault="00593B87">
      <w:pPr>
        <w:spacing w:line="480" w:lineRule="auto"/>
        <w:ind w:firstLine="720"/>
        <w:jc w:val="both"/>
        <w:rPr>
          <w:rFonts w:ascii="Times New Roman" w:eastAsia="Times New Roman" w:hAnsi="Times New Roman" w:cs="Times New Roman"/>
          <w:sz w:val="24"/>
          <w:szCs w:val="24"/>
        </w:rPr>
      </w:pPr>
      <w:r>
        <w:rPr>
          <w:noProof/>
        </w:rPr>
        <w:lastRenderedPageBreak/>
        <w:drawing>
          <wp:inline distT="114300" distB="114300" distL="114300" distR="114300" wp14:anchorId="6F90DDDF" wp14:editId="5B12901D">
            <wp:extent cx="5943600" cy="4813300"/>
            <wp:effectExtent l="0" t="0" r="0" b="0"/>
            <wp:docPr id="11" name="image3.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3.png" descr="A picture containing graphical user interface&#10;&#10;Description automatically generated"/>
                    <pic:cNvPicPr preferRelativeResize="0"/>
                  </pic:nvPicPr>
                  <pic:blipFill>
                    <a:blip r:embed="rId15"/>
                    <a:srcRect/>
                    <a:stretch>
                      <a:fillRect/>
                    </a:stretch>
                  </pic:blipFill>
                  <pic:spPr>
                    <a:xfrm>
                      <a:off x="0" y="0"/>
                      <a:ext cx="5943600" cy="4813300"/>
                    </a:xfrm>
                    <a:prstGeom prst="rect">
                      <a:avLst/>
                    </a:prstGeom>
                    <a:ln/>
                  </pic:spPr>
                </pic:pic>
              </a:graphicData>
            </a:graphic>
          </wp:inline>
        </w:drawing>
      </w:r>
    </w:p>
    <w:p w14:paraId="00277E5F" w14:textId="3BE449F1" w:rsidR="002E0C8E" w:rsidRDefault="002E0C8E">
      <w:pPr>
        <w:ind w:left="2070"/>
        <w:jc w:val="both"/>
      </w:pPr>
    </w:p>
    <w:p w14:paraId="0627AEE0" w14:textId="3D7DD18D" w:rsidR="002E0C8E" w:rsidRDefault="004B55A1">
      <w:pPr>
        <w:jc w:val="both"/>
      </w:pPr>
      <w:r>
        <w:t xml:space="preserve">Figure 8.  Same as in Figure 7, except for gas mixtures described in the literature as </w:t>
      </w:r>
      <w:r w:rsidR="00F01189">
        <w:t xml:space="preserve">denoted </w:t>
      </w:r>
      <w:r>
        <w:t>above.</w:t>
      </w:r>
      <w:r w:rsidR="00D442FB">
        <w:t xml:space="preserve">  Wordsworth simulations include 1% CH</w:t>
      </w:r>
      <w:r w:rsidR="00D442FB" w:rsidRPr="00EF09FF">
        <w:rPr>
          <w:vertAlign w:val="subscript"/>
        </w:rPr>
        <w:t>4</w:t>
      </w:r>
      <w:r w:rsidR="00D442FB">
        <w:t xml:space="preserve">.  </w:t>
      </w:r>
      <w:r>
        <w:t xml:space="preserve">  </w:t>
      </w:r>
    </w:p>
    <w:p w14:paraId="3B6C68DF" w14:textId="77777777" w:rsidR="002E0C8E" w:rsidRDefault="002E0C8E">
      <w:pPr>
        <w:jc w:val="both"/>
        <w:rPr>
          <w:rFonts w:ascii="Times New Roman" w:eastAsia="Times New Roman" w:hAnsi="Times New Roman" w:cs="Times New Roman"/>
          <w:sz w:val="24"/>
          <w:szCs w:val="24"/>
        </w:rPr>
      </w:pPr>
    </w:p>
    <w:p w14:paraId="48FFFC47" w14:textId="7BE85B60"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depiction of clouds in the dry simulations is more complicated than seen in Figure 7, however, as shown in Figure 8.  Whereas the 1</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bar simulations in Figure 7 all have generally clear atmospheres, Figure 8 shows that Simulations AK1 and RH1 are much cloudier, more so even than the 2</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bar simulations in Figure </w:t>
      </w:r>
      <w:r w:rsidR="00F01189">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In all cases (Figures 7 and 8), the clouds depicted are thin cirrus-like water ice clouds and have peak ice mixing ratios in the 100-200 mb pressure </w:t>
      </w:r>
      <w:r w:rsidR="00F01189">
        <w:rPr>
          <w:rFonts w:ascii="Times New Roman" w:eastAsia="Times New Roman" w:hAnsi="Times New Roman" w:cs="Times New Roman"/>
          <w:sz w:val="24"/>
          <w:szCs w:val="24"/>
        </w:rPr>
        <w:t xml:space="preserve">range </w:t>
      </w:r>
      <w:r>
        <w:rPr>
          <w:rFonts w:ascii="Times New Roman" w:eastAsia="Times New Roman" w:hAnsi="Times New Roman" w:cs="Times New Roman"/>
          <w:sz w:val="24"/>
          <w:szCs w:val="24"/>
        </w:rPr>
        <w:t>(see also Figure 9).  Despite their broad coverage, they have minimal net radiative effect (~O(1) W/m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8C1161">
        <w:rPr>
          <w:rFonts w:ascii="Times New Roman" w:eastAsia="Times New Roman" w:hAnsi="Times New Roman" w:cs="Times New Roman"/>
          <w:sz w:val="24"/>
          <w:szCs w:val="24"/>
        </w:rPr>
        <w:t xml:space="preserve">  </w:t>
      </w:r>
      <w:r w:rsidR="008C1161">
        <w:rPr>
          <w:rFonts w:ascii="Times New Roman" w:eastAsia="Times New Roman" w:hAnsi="Times New Roman" w:cs="Times New Roman"/>
          <w:sz w:val="24"/>
          <w:szCs w:val="24"/>
        </w:rPr>
        <w:lastRenderedPageBreak/>
        <w:t>Indeed, even the few areas of convective clouds (predominantly over Tharsis) only have longwave and shortwave cloud radiative forcings of ~3 W/m</w:t>
      </w:r>
      <w:r w:rsidR="008C1161">
        <w:rPr>
          <w:rFonts w:ascii="Times New Roman" w:eastAsia="Times New Roman" w:hAnsi="Times New Roman" w:cs="Times New Roman"/>
          <w:sz w:val="24"/>
          <w:szCs w:val="24"/>
          <w:vertAlign w:val="superscript"/>
        </w:rPr>
        <w:t>2</w:t>
      </w:r>
      <w:r w:rsidR="008C11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F7E0B82" w14:textId="5A98993D" w:rsidR="002E0C8E" w:rsidRDefault="00F0118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B55A1">
        <w:rPr>
          <w:rFonts w:ascii="Times New Roman" w:eastAsia="Times New Roman" w:hAnsi="Times New Roman" w:cs="Times New Roman"/>
          <w:sz w:val="24"/>
          <w:szCs w:val="24"/>
        </w:rPr>
        <w:t>pattern of the Kamada and Haberle simulations being both much cloudier than the Wordsworth simulations and those in Figure 7, even when adding in a wetter soil moisture initial condition (Simulation RW2wet, bottom center panel of Figure 8), continues at higher pressures as well.  The reason is ultimately their disparate atmospheric gas compositions.  All simulations in Figure 7 and the Wordsworth simulations in Figure 8 all include 1% CH</w:t>
      </w:r>
      <w:r w:rsidR="004B55A1">
        <w:rPr>
          <w:rFonts w:ascii="Times New Roman" w:eastAsia="Times New Roman" w:hAnsi="Times New Roman" w:cs="Times New Roman"/>
          <w:sz w:val="24"/>
          <w:szCs w:val="24"/>
          <w:vertAlign w:val="subscript"/>
        </w:rPr>
        <w:t>4</w:t>
      </w:r>
      <w:r w:rsidR="004B55A1">
        <w:rPr>
          <w:rFonts w:ascii="Times New Roman" w:eastAsia="Times New Roman" w:hAnsi="Times New Roman" w:cs="Times New Roman"/>
          <w:sz w:val="24"/>
          <w:szCs w:val="24"/>
        </w:rPr>
        <w:t xml:space="preserve">.  As shown by Bryne and Goldblatt (2015) for the Archean Earth, 0.1% and higher mixing </w:t>
      </w: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r w:rsidR="004B55A1">
        <w:rPr>
          <w:rFonts w:ascii="Times New Roman" w:eastAsia="Times New Roman" w:hAnsi="Times New Roman" w:cs="Times New Roman"/>
          <w:sz w:val="24"/>
          <w:szCs w:val="24"/>
        </w:rPr>
        <w:t>ratios facilitate strong shortwave absorption in the troposphere and stratosphere.  Wordsworth et al. (2017) also saw this higher</w:t>
      </w:r>
      <w:r>
        <w:rPr>
          <w:rFonts w:ascii="Times New Roman" w:eastAsia="Times New Roman" w:hAnsi="Times New Roman" w:cs="Times New Roman"/>
          <w:sz w:val="24"/>
          <w:szCs w:val="24"/>
        </w:rPr>
        <w:t>-</w:t>
      </w:r>
      <w:r w:rsidR="004B55A1">
        <w:rPr>
          <w:rFonts w:ascii="Times New Roman" w:eastAsia="Times New Roman" w:hAnsi="Times New Roman" w:cs="Times New Roman"/>
          <w:sz w:val="24"/>
          <w:szCs w:val="24"/>
        </w:rPr>
        <w:t>altitude warming from CH</w:t>
      </w:r>
      <w:r w:rsidR="004B55A1">
        <w:rPr>
          <w:rFonts w:ascii="Times New Roman" w:eastAsia="Times New Roman" w:hAnsi="Times New Roman" w:cs="Times New Roman"/>
          <w:sz w:val="24"/>
          <w:szCs w:val="24"/>
          <w:vertAlign w:val="subscript"/>
        </w:rPr>
        <w:t xml:space="preserve">4. </w:t>
      </w:r>
      <w:r w:rsidR="004B55A1">
        <w:rPr>
          <w:rFonts w:ascii="Times New Roman" w:eastAsia="Times New Roman" w:hAnsi="Times New Roman" w:cs="Times New Roman"/>
          <w:sz w:val="24"/>
          <w:szCs w:val="24"/>
        </w:rPr>
        <w:t xml:space="preserve"> This stronger shortwave absorption is reflected in the most recent updates of the HITRAN database that ROCKE-3D uses (e.g., Rothman et al., 2013; Brown et al., 2013), but was not reflected in earlier versions.  Higher CH</w:t>
      </w:r>
      <w:r w:rsidR="004B55A1">
        <w:rPr>
          <w:rFonts w:ascii="Times New Roman" w:eastAsia="Times New Roman" w:hAnsi="Times New Roman" w:cs="Times New Roman"/>
          <w:sz w:val="24"/>
          <w:szCs w:val="24"/>
          <w:vertAlign w:val="subscript"/>
        </w:rPr>
        <w:t>4</w:t>
      </w:r>
      <w:r w:rsidR="004B55A1">
        <w:rPr>
          <w:rFonts w:ascii="Times New Roman" w:eastAsia="Times New Roman" w:hAnsi="Times New Roman" w:cs="Times New Roman"/>
          <w:sz w:val="24"/>
          <w:szCs w:val="24"/>
        </w:rPr>
        <w:t xml:space="preserve"> mixing ratios produce sufficient absorption to create a distinct tropopause, and this is precisely what we see when looking at our simulations (Figure 9).  Despite higher specific humidities in the Wordsworth simulations and those in Figure 7, the warmer upper troposphere temperature and reduced tropospheric relative humidity limit the cloud production (see Figure 9), relative to the Kamada (AK1) and Haberle (RH1) simulations without CH</w:t>
      </w:r>
      <w:r w:rsidR="004B55A1">
        <w:rPr>
          <w:rFonts w:ascii="Times New Roman" w:eastAsia="Times New Roman" w:hAnsi="Times New Roman" w:cs="Times New Roman"/>
          <w:sz w:val="24"/>
          <w:szCs w:val="24"/>
          <w:vertAlign w:val="subscript"/>
        </w:rPr>
        <w:t>4</w:t>
      </w:r>
      <w:r w:rsidR="004B55A1">
        <w:rPr>
          <w:rFonts w:ascii="Times New Roman" w:eastAsia="Times New Roman" w:hAnsi="Times New Roman" w:cs="Times New Roman"/>
          <w:sz w:val="24"/>
          <w:szCs w:val="24"/>
        </w:rPr>
        <w:t>.  Increased static stability limiting cloud production in our simulations with CH</w:t>
      </w:r>
      <w:r w:rsidR="004B55A1">
        <w:rPr>
          <w:rFonts w:ascii="Times New Roman" w:eastAsia="Times New Roman" w:hAnsi="Times New Roman" w:cs="Times New Roman"/>
          <w:sz w:val="24"/>
          <w:szCs w:val="24"/>
          <w:vertAlign w:val="subscript"/>
        </w:rPr>
        <w:t>4</w:t>
      </w:r>
      <w:r w:rsidR="004B55A1">
        <w:rPr>
          <w:rFonts w:ascii="Times New Roman" w:eastAsia="Times New Roman" w:hAnsi="Times New Roman" w:cs="Times New Roman"/>
          <w:sz w:val="24"/>
          <w:szCs w:val="24"/>
        </w:rPr>
        <w:t xml:space="preserve"> is analogous to similar studies of Archean Earth that removed O</w:t>
      </w:r>
      <w:r w:rsidR="004B55A1">
        <w:rPr>
          <w:rFonts w:ascii="Times New Roman" w:eastAsia="Times New Roman" w:hAnsi="Times New Roman" w:cs="Times New Roman"/>
          <w:sz w:val="24"/>
          <w:szCs w:val="24"/>
          <w:vertAlign w:val="subscript"/>
        </w:rPr>
        <w:t>2</w:t>
      </w:r>
      <w:r w:rsidR="004B55A1">
        <w:rPr>
          <w:rFonts w:ascii="Times New Roman" w:eastAsia="Times New Roman" w:hAnsi="Times New Roman" w:cs="Times New Roman"/>
          <w:sz w:val="24"/>
          <w:szCs w:val="24"/>
        </w:rPr>
        <w:t xml:space="preserve"> and O</w:t>
      </w:r>
      <w:r w:rsidR="004B55A1">
        <w:rPr>
          <w:rFonts w:ascii="Times New Roman" w:eastAsia="Times New Roman" w:hAnsi="Times New Roman" w:cs="Times New Roman"/>
          <w:sz w:val="24"/>
          <w:szCs w:val="24"/>
          <w:vertAlign w:val="subscript"/>
        </w:rPr>
        <w:t xml:space="preserve">3 </w:t>
      </w:r>
      <w:r w:rsidR="004B55A1">
        <w:rPr>
          <w:rFonts w:ascii="Times New Roman" w:eastAsia="Times New Roman" w:hAnsi="Times New Roman" w:cs="Times New Roman"/>
          <w:sz w:val="24"/>
          <w:szCs w:val="24"/>
        </w:rPr>
        <w:t xml:space="preserve">and noted this resulted in decreased cloud production (e.g., Wolf and Toon, 2013).  </w:t>
      </w:r>
    </w:p>
    <w:p w14:paraId="418C3A4A" w14:textId="77777777"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From the perspective of these simulations, the difference in cloud cover is ultimately due to warmer upper tropospheric temperatures. In all variables relevant to cloud production, the simulations without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are distinct from simulations with it (Figure 9).  Simulations AK1 and RH1, without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exhibit cooler upper tropospheric temperatures and produce both thicker and </w:t>
      </w:r>
      <w:r>
        <w:rPr>
          <w:rFonts w:ascii="Times New Roman" w:eastAsia="Times New Roman" w:hAnsi="Times New Roman" w:cs="Times New Roman"/>
          <w:sz w:val="24"/>
          <w:szCs w:val="24"/>
        </w:rPr>
        <w:lastRenderedPageBreak/>
        <w:t>more widespread cloud cover.  Despite the simulations with CH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having a distinct tropopause, the temperature inversion is weak and water is not substantially cold-trapped.  Indeed, specific humidity values only slightly reflect the temperature inversion in the simulations with CH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(Figure 9).  This “leaky” tropopause is similar to that on Titan, where CH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still mixes into the stratosphere and mesosphere and is eventually photodissociated and destroyed (e.g., Roe, 2012).  Indeed, a hygropause is more efficiently produced by the thick cloud cover preventing vertical water transport (see Simulation AK1 in Figure 9).  Water ice clouds also limit vertical water transport in the modern martian climate system (Clancy et al., 1996; Navarro et al., 2014).  This result suggests that comparatively subtle features such as trace gas mixing ratios (i.e., CH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in this case) and cloud cover may have been important for water loss in the early martian climate system.  </w:t>
      </w:r>
    </w:p>
    <w:p w14:paraId="3BA50E56"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14610F8E" wp14:editId="6A9E752D">
            <wp:extent cx="5643563" cy="4690633"/>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43563" cy="4690633"/>
                    </a:xfrm>
                    <a:prstGeom prst="rect">
                      <a:avLst/>
                    </a:prstGeom>
                    <a:ln/>
                  </pic:spPr>
                </pic:pic>
              </a:graphicData>
            </a:graphic>
          </wp:inline>
        </w:drawing>
      </w:r>
    </w:p>
    <w:p w14:paraId="4623D0D5" w14:textId="77777777" w:rsidR="002E0C8E" w:rsidRDefault="004B55A1">
      <w:pPr>
        <w:spacing w:line="240" w:lineRule="auto"/>
        <w:jc w:val="both"/>
      </w:pPr>
      <w:r>
        <w:t xml:space="preserve">Figure 9.   Average vertical profiles of cloud mass mixing ratio, temperature, specific humidity, and relative humidity for the 30°S-30°N latitude band for 6 ROCKE-3D simulations (as identified in the relative humidity panel).  </w:t>
      </w:r>
    </w:p>
    <w:p w14:paraId="670F622E" w14:textId="77777777" w:rsidR="002E0C8E" w:rsidRDefault="002E0C8E">
      <w:pPr>
        <w:spacing w:line="240" w:lineRule="auto"/>
        <w:jc w:val="both"/>
      </w:pPr>
    </w:p>
    <w:p w14:paraId="543660A4" w14:textId="2B3B9AB8" w:rsidR="002E0C8E" w:rsidRDefault="004B55A1">
      <w:pPr>
        <w:ind w:left="90" w:firstLine="630"/>
        <w:jc w:val="both"/>
      </w:pPr>
      <w:r>
        <w:rPr>
          <w:rFonts w:ascii="Times New Roman" w:eastAsia="Times New Roman" w:hAnsi="Times New Roman" w:cs="Times New Roman"/>
          <w:sz w:val="24"/>
          <w:szCs w:val="24"/>
        </w:rPr>
        <w:t>3.</w:t>
      </w:r>
      <w:r w:rsidR="00F01189">
        <w:rPr>
          <w:rFonts w:ascii="Times New Roman" w:eastAsia="Times New Roman" w:hAnsi="Times New Roman" w:cs="Times New Roman"/>
          <w:sz w:val="24"/>
          <w:szCs w:val="24"/>
        </w:rPr>
        <w:t>2</w:t>
      </w:r>
      <w:r>
        <w:rPr>
          <w:rFonts w:ascii="Times New Roman" w:eastAsia="Times New Roman" w:hAnsi="Times New Roman" w:cs="Times New Roman"/>
          <w:sz w:val="24"/>
          <w:szCs w:val="24"/>
        </w:rPr>
        <w:t>.  Wet Simulations</w:t>
      </w:r>
    </w:p>
    <w:p w14:paraId="45265CED" w14:textId="0AFCCF2D"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next set of simulations are initialized with surface liquid water in the form of active lakes.  Those lakes are then depleted or replenished based on the precipitation and evaporation patterns within the simulation.  The first set of these “wet” simulations uses the RW2 simulation gas mixture (94%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5%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&amp; 1%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and modern topography.  Each simulation is run until hydrologic</w:t>
      </w:r>
      <w:r w:rsidR="00DA49A6">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equilibrium is reached, which always takes much longer than radiative equilibrium.  We define hydrologic</w:t>
      </w:r>
      <w:r w:rsidR="00DA49A6">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equilibrium as the point where hydrologic</w:t>
      </w:r>
      <w:r w:rsidR="00DA49A6">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variables (e.g., mass of water </w:t>
      </w:r>
      <w:r>
        <w:rPr>
          <w:rFonts w:ascii="Times New Roman" w:eastAsia="Times New Roman" w:hAnsi="Times New Roman" w:cs="Times New Roman"/>
          <w:sz w:val="24"/>
          <w:szCs w:val="24"/>
        </w:rPr>
        <w:lastRenderedPageBreak/>
        <w:t xml:space="preserve">in lakes, mass of ground water, mass of ground ice, snow depth, and ocean ice fraction) are in steady-state.  </w:t>
      </w:r>
    </w:p>
    <w:p w14:paraId="6BC7D8C5" w14:textId="6ED2F8B4"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Using modern topography, hydrologic</w:t>
      </w:r>
      <w:r w:rsidR="00DA49A6">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equilibrium is always reached with all lakes on the planet being completely depleted and the remaining water in the climate system consisting of surface and subsurface snow and ice and ground water.  This is due to the cold trapping of nearly all the planet’s water on Tharsis, and</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a lesser degree, the south pole.  Wordsworth et al. </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also describe this cold-trapping at Tharsis and the poles with modern topography (see also Palumbo and Head </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2018</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annual precipitation patterns for this first set of six simulations is shown in Figure 10.  The heaviest precipitation consistently falls on the upwind (westward) side of Tharsis, particularly Arsia Mons, for every simulation except those with 0° obliquity.  In fact, the maximum </w:t>
      </w:r>
      <w:r w:rsidR="0082054F">
        <w:rPr>
          <w:rFonts w:ascii="Times New Roman" w:eastAsia="Times New Roman" w:hAnsi="Times New Roman" w:cs="Times New Roman"/>
          <w:sz w:val="24"/>
          <w:szCs w:val="24"/>
        </w:rPr>
        <w:t xml:space="preserve">total </w:t>
      </w:r>
      <w:r>
        <w:rPr>
          <w:rFonts w:ascii="Times New Roman" w:eastAsia="Times New Roman" w:hAnsi="Times New Roman" w:cs="Times New Roman"/>
          <w:sz w:val="24"/>
          <w:szCs w:val="24"/>
        </w:rPr>
        <w:t>annual precipitation (707 mm) occurs in the RW2lakes simulation (upper left panel of Figure 10), with only 10 m of GEL water.</w:t>
      </w:r>
    </w:p>
    <w:p w14:paraId="6CE33B45" w14:textId="306DB33B" w:rsidR="00593B87"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simulations with modern obliquity or 45° obliquity, there is a prominent rain shadow east of Tharsis (see also Wordsworth et al. (2015)).  Comparing with Figure 11, which only shows liquid precipitation, indicates that much of the precipitation that falls over Tharsis and the south pole falls as snow.  However, the simulations with 0° obliquity are distinctly different (middle two panels of Figure 10 and 11).  Simulations with 0° obliquity show much more widespread precipitation, with precipitation on both sides of Tharsis, across the topographic dichotomy boundary and through the southern highlands.  Maximum precipitation at a given location (also in Tharsis) is somewhat less, however, at ~500 mm per year.  Notably, the simulations with 0° obliquity have much more </w:t>
      </w:r>
      <w:r>
        <w:rPr>
          <w:rFonts w:ascii="Times New Roman" w:eastAsia="Times New Roman" w:hAnsi="Times New Roman" w:cs="Times New Roman"/>
          <w:i/>
          <w:sz w:val="24"/>
          <w:szCs w:val="24"/>
        </w:rPr>
        <w:t xml:space="preserve">liquid </w:t>
      </w:r>
      <w:r>
        <w:rPr>
          <w:rFonts w:ascii="Times New Roman" w:eastAsia="Times New Roman" w:hAnsi="Times New Roman" w:cs="Times New Roman"/>
          <w:sz w:val="24"/>
          <w:szCs w:val="24"/>
        </w:rPr>
        <w:t xml:space="preserve">precipitation than those with 25° or 45° and it is fairly evenly distributed across the low and middle latitudes including across locations with valley network formations </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Hynek et al., 2010</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CD3F440" w14:textId="134C303C" w:rsidR="002E0C8E" w:rsidRDefault="00593B87">
      <w:pPr>
        <w:spacing w:line="480" w:lineRule="auto"/>
        <w:ind w:firstLine="720"/>
        <w:jc w:val="both"/>
        <w:rPr>
          <w:rFonts w:ascii="Times New Roman" w:eastAsia="Times New Roman" w:hAnsi="Times New Roman" w:cs="Times New Roman"/>
          <w:sz w:val="24"/>
          <w:szCs w:val="24"/>
        </w:rPr>
      </w:pPr>
      <w:r>
        <w:rPr>
          <w:noProof/>
        </w:rPr>
        <w:lastRenderedPageBreak/>
        <w:drawing>
          <wp:inline distT="114300" distB="114300" distL="114300" distR="114300" wp14:anchorId="19CD1E83" wp14:editId="5A9EC7F7">
            <wp:extent cx="5943600" cy="3035300"/>
            <wp:effectExtent l="0" t="0" r="0" b="0"/>
            <wp:docPr id="4" name="image9.png" descr="A picture containing tex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9.png" descr="A picture containing text, screenshot&#10;&#10;Description automatically generated"/>
                    <pic:cNvPicPr preferRelativeResize="0"/>
                  </pic:nvPicPr>
                  <pic:blipFill>
                    <a:blip r:embed="rId17"/>
                    <a:srcRect/>
                    <a:stretch>
                      <a:fillRect/>
                    </a:stretch>
                  </pic:blipFill>
                  <pic:spPr>
                    <a:xfrm>
                      <a:off x="0" y="0"/>
                      <a:ext cx="5943600" cy="3035300"/>
                    </a:xfrm>
                    <a:prstGeom prst="rect">
                      <a:avLst/>
                    </a:prstGeom>
                    <a:ln/>
                  </pic:spPr>
                </pic:pic>
              </a:graphicData>
            </a:graphic>
          </wp:inline>
        </w:drawing>
      </w:r>
    </w:p>
    <w:p w14:paraId="1A4E30AA" w14:textId="0CCC5E79" w:rsidR="002E0C8E" w:rsidRDefault="002E0C8E" w:rsidP="00593B87">
      <w:pPr>
        <w:ind w:left="2070"/>
        <w:jc w:val="center"/>
      </w:pPr>
    </w:p>
    <w:p w14:paraId="5E5CB548" w14:textId="77777777" w:rsidR="00593B87" w:rsidRDefault="004B55A1">
      <w:pPr>
        <w:spacing w:line="240" w:lineRule="auto"/>
        <w:jc w:val="both"/>
      </w:pPr>
      <w:r>
        <w:t xml:space="preserve">Figure 10.   Annual total precipitation (mm) for 6 ROCKE-3D simulations distinguished by total initial water inventory and obliquity.  All water is initialized in lakes and then moved through the climate system.    </w:t>
      </w:r>
    </w:p>
    <w:p w14:paraId="44ADB583" w14:textId="464EF6BE" w:rsidR="002E0C8E" w:rsidRDefault="00593B87">
      <w:pPr>
        <w:spacing w:line="240" w:lineRule="auto"/>
        <w:jc w:val="both"/>
      </w:pPr>
      <w:r>
        <w:rPr>
          <w:noProof/>
        </w:rPr>
        <w:drawing>
          <wp:inline distT="114300" distB="114300" distL="114300" distR="114300" wp14:anchorId="59DEF70C" wp14:editId="4C810B10">
            <wp:extent cx="5943600" cy="3022600"/>
            <wp:effectExtent l="0" t="0" r="0" b="0"/>
            <wp:docPr id="8"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4.png" descr="A picture containing text&#10;&#10;Description automatically generated"/>
                    <pic:cNvPicPr preferRelativeResize="0"/>
                  </pic:nvPicPr>
                  <pic:blipFill>
                    <a:blip r:embed="rId18"/>
                    <a:srcRect/>
                    <a:stretch>
                      <a:fillRect/>
                    </a:stretch>
                  </pic:blipFill>
                  <pic:spPr>
                    <a:xfrm>
                      <a:off x="0" y="0"/>
                      <a:ext cx="5943600" cy="3022600"/>
                    </a:xfrm>
                    <a:prstGeom prst="rect">
                      <a:avLst/>
                    </a:prstGeom>
                    <a:ln/>
                  </pic:spPr>
                </pic:pic>
              </a:graphicData>
            </a:graphic>
          </wp:inline>
        </w:drawing>
      </w:r>
    </w:p>
    <w:p w14:paraId="57192E91" w14:textId="3AF5C3F0" w:rsidR="002E0C8E" w:rsidRDefault="002E0C8E">
      <w:pPr>
        <w:ind w:left="2070"/>
        <w:jc w:val="both"/>
      </w:pPr>
    </w:p>
    <w:p w14:paraId="7C1C518E" w14:textId="77777777" w:rsidR="002E0C8E" w:rsidRDefault="004B55A1">
      <w:pPr>
        <w:spacing w:line="240" w:lineRule="auto"/>
        <w:jc w:val="both"/>
      </w:pPr>
      <w:r>
        <w:t xml:space="preserve">Figure 11.   Same as Figure 10 except for annual total liquid precipitation (mm).  </w:t>
      </w:r>
    </w:p>
    <w:p w14:paraId="6571AF77" w14:textId="77777777" w:rsidR="002E0C8E" w:rsidRDefault="002E0C8E">
      <w:pPr>
        <w:spacing w:line="240" w:lineRule="auto"/>
        <w:jc w:val="both"/>
      </w:pPr>
    </w:p>
    <w:p w14:paraId="5565643C" w14:textId="75906C11" w:rsidR="002E0C8E" w:rsidRDefault="004B55A1">
      <w:pPr>
        <w:spacing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Simulations with modern or 45° obliquity show little precipitation in areas with valley network formations, regardless of the planet’s initial water inventory.  In fact, </w:t>
      </w:r>
      <w:r w:rsidR="00AC7A2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simulation</w:t>
      </w:r>
      <w:r w:rsidR="00AC7A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lastRenderedPageBreak/>
        <w:t xml:space="preserve">45° obliquity (often suggested to be a “warmer” climate state in the literature </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Palumbo and Head, 2018</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the driest simulation over the southern highlands where valley networks are seen.  </w:t>
      </w:r>
      <w:r w:rsidR="00AC7A2A">
        <w:rPr>
          <w:rFonts w:ascii="Times New Roman" w:eastAsia="Times New Roman" w:hAnsi="Times New Roman" w:cs="Times New Roman"/>
          <w:sz w:val="24"/>
          <w:szCs w:val="24"/>
        </w:rPr>
        <w:t>However, note again that the 0° obliquity simulations experience substantially more rainfall with a broader distribution than either 25° or 45° obliquity simulations.  Again, t</w:t>
      </w:r>
      <w:r>
        <w:rPr>
          <w:rFonts w:ascii="Times New Roman" w:eastAsia="Times New Roman" w:hAnsi="Times New Roman" w:cs="Times New Roman"/>
          <w:sz w:val="24"/>
          <w:szCs w:val="24"/>
        </w:rPr>
        <w:t>here is minimal change to precipitation in the 0° obliquity simulations based on initial water inventory, but there is a slight increase with 100</w:t>
      </w:r>
      <w:r w:rsidR="00AC7A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 GEL (bottom middle panel of Figures 10 and 11) relative to the 10</w:t>
      </w:r>
      <w:r w:rsidR="00AC7A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 GEL simulation (top middle panel of Figures 10 and 11).  </w:t>
      </w:r>
    </w:p>
    <w:p w14:paraId="2DC3433D" w14:textId="198E7CDA"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A5998">
        <w:rPr>
          <w:rFonts w:ascii="Times New Roman" w:eastAsia="Times New Roman" w:hAnsi="Times New Roman" w:cs="Times New Roman"/>
          <w:sz w:val="24"/>
          <w:szCs w:val="24"/>
        </w:rPr>
        <w:t xml:space="preserve">Recall </w:t>
      </w:r>
      <w:r>
        <w:rPr>
          <w:rFonts w:ascii="Times New Roman" w:eastAsia="Times New Roman" w:hAnsi="Times New Roman" w:cs="Times New Roman"/>
          <w:sz w:val="24"/>
          <w:szCs w:val="24"/>
        </w:rPr>
        <w:t>this version of ROCKE-3D does not have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condensation physics, as mentioned above, but annual </w:t>
      </w:r>
      <w:r w:rsidR="004311DC">
        <w:rPr>
          <w:rFonts w:ascii="Times New Roman" w:eastAsia="Times New Roman" w:hAnsi="Times New Roman" w:cs="Times New Roman"/>
          <w:sz w:val="24"/>
          <w:szCs w:val="24"/>
        </w:rPr>
        <w:t xml:space="preserve">minimum </w:t>
      </w:r>
      <w:r>
        <w:rPr>
          <w:rFonts w:ascii="Times New Roman" w:eastAsia="Times New Roman" w:hAnsi="Times New Roman" w:cs="Times New Roman"/>
          <w:sz w:val="24"/>
          <w:szCs w:val="24"/>
        </w:rPr>
        <w:t>temperatures in this simulation are well above the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frost point </w:t>
      </w:r>
      <w:r w:rsidR="004311DC">
        <w:rPr>
          <w:rFonts w:ascii="Times New Roman" w:eastAsia="Times New Roman" w:hAnsi="Times New Roman" w:cs="Times New Roman"/>
          <w:sz w:val="24"/>
          <w:szCs w:val="24"/>
        </w:rPr>
        <w:t xml:space="preserve">(typically -35°C to -25°C in the coldest location in the Tharsis Montes) </w:t>
      </w:r>
      <w:r>
        <w:rPr>
          <w:rFonts w:ascii="Times New Roman" w:eastAsia="Times New Roman" w:hAnsi="Times New Roman" w:cs="Times New Roman"/>
          <w:sz w:val="24"/>
          <w:szCs w:val="24"/>
        </w:rPr>
        <w:t xml:space="preserve">at all locations on the surface and the obliquity drives minimal seasonal variation.  Our simulations show that 0° obliquity is the most plausible for producing rainfall and associated runoff and erosion capable of creating the valley network formations.  We show this in more detail in Figure 12.  We plot “monthly” (approximately 30° of solar longitude) rainfall using three sample areas from Hynek et al. </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2010</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that have high drainage density across the planet.  All three locations show modest rainfall throughout the martian year.  As stated above, increasing the initial water inventory of the planet does not substantially alter the final hydrological balance when the simulations use modern topography.  Note</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that there is not perfect congruence between valley network formation locations and predicted rainfall in our simulations with 0° obliquity.  For example, locations south of Tharsis such as the highlands of Solis Planum, see near-zero rainfall in our simulations.  Those locations such as Solis Planum do see snowfall</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and annual average temperature there is near freezing</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some seasonal melting is plausible.  Episodic snowmelt and runoff is another </w:t>
      </w:r>
      <w:r>
        <w:rPr>
          <w:rFonts w:ascii="Times New Roman" w:eastAsia="Times New Roman" w:hAnsi="Times New Roman" w:cs="Times New Roman"/>
          <w:sz w:val="24"/>
          <w:szCs w:val="24"/>
        </w:rPr>
        <w:lastRenderedPageBreak/>
        <w:t xml:space="preserve">plausible formation mechanism for some valley network formations (e.g., Wordsworth et al., 2015; Palumbo et al., 2020).    </w:t>
      </w:r>
    </w:p>
    <w:p w14:paraId="36F75526" w14:textId="77777777" w:rsidR="002E0C8E" w:rsidRDefault="002E0C8E">
      <w:pPr>
        <w:spacing w:line="480" w:lineRule="auto"/>
        <w:jc w:val="both"/>
        <w:rPr>
          <w:rFonts w:ascii="Times New Roman" w:eastAsia="Times New Roman" w:hAnsi="Times New Roman" w:cs="Times New Roman"/>
          <w:sz w:val="24"/>
          <w:szCs w:val="24"/>
        </w:rPr>
      </w:pPr>
    </w:p>
    <w:p w14:paraId="498A726A" w14:textId="77777777"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7AE6DEE" wp14:editId="69BC167B">
            <wp:extent cx="5791200" cy="231457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91200" cy="2314575"/>
                    </a:xfrm>
                    <a:prstGeom prst="rect">
                      <a:avLst/>
                    </a:prstGeom>
                    <a:ln/>
                  </pic:spPr>
                </pic:pic>
              </a:graphicData>
            </a:graphic>
          </wp:inline>
        </w:drawing>
      </w:r>
      <w:r>
        <w:rPr>
          <w:rFonts w:ascii="Times New Roman" w:eastAsia="Times New Roman" w:hAnsi="Times New Roman" w:cs="Times New Roman"/>
          <w:sz w:val="24"/>
          <w:szCs w:val="24"/>
        </w:rPr>
        <w:t xml:space="preserve">  </w:t>
      </w:r>
    </w:p>
    <w:p w14:paraId="5F541DA7" w14:textId="01A7249F" w:rsidR="002E0C8E" w:rsidRDefault="004B55A1">
      <w:pPr>
        <w:spacing w:line="240" w:lineRule="auto"/>
        <w:jc w:val="both"/>
      </w:pPr>
      <w:r>
        <w:t xml:space="preserve">Figure 12.   Simulated annual rainfall at three locations with high drainage density per Hynek et al. </w:t>
      </w:r>
      <w:r w:rsidR="00F01189">
        <w:t>(</w:t>
      </w:r>
      <w:r>
        <w:t>2010</w:t>
      </w:r>
      <w:r w:rsidR="00F01189">
        <w:t>)</w:t>
      </w:r>
      <w:r>
        <w:t xml:space="preserve">.  Solid lines indicate simulation RW2lakeso0 with 10m GEL initial water inventory and dashed line indicates simulation RW2lakes100o0 with 100m GEL initial water inventory.  Locations are specified in the figure.    </w:t>
      </w:r>
    </w:p>
    <w:p w14:paraId="39028502" w14:textId="77777777" w:rsidR="002E0C8E" w:rsidRDefault="002E0C8E">
      <w:pPr>
        <w:spacing w:line="240" w:lineRule="auto"/>
        <w:jc w:val="both"/>
        <w:rPr>
          <w:sz w:val="24"/>
          <w:szCs w:val="24"/>
        </w:rPr>
      </w:pPr>
    </w:p>
    <w:p w14:paraId="30B56270" w14:textId="77777777" w:rsidR="002E0C8E" w:rsidRDefault="002E0C8E">
      <w:pPr>
        <w:spacing w:line="240" w:lineRule="auto"/>
        <w:jc w:val="both"/>
        <w:rPr>
          <w:rFonts w:ascii="Calibri" w:eastAsia="Calibri" w:hAnsi="Calibri" w:cs="Calibri"/>
          <w:sz w:val="24"/>
          <w:szCs w:val="24"/>
        </w:rPr>
      </w:pPr>
    </w:p>
    <w:p w14:paraId="398E2BD1" w14:textId="290AEF62" w:rsidR="002E0C8E" w:rsidRDefault="004B55A1">
      <w:pPr>
        <w:spacing w:line="480" w:lineRule="auto"/>
        <w:jc w:val="both"/>
        <w:rPr>
          <w:rFonts w:ascii="Times New Roman" w:eastAsia="Times New Roman" w:hAnsi="Times New Roman" w:cs="Times New Roman"/>
          <w:sz w:val="24"/>
          <w:szCs w:val="24"/>
        </w:rPr>
      </w:pPr>
      <w:r>
        <w:rPr>
          <w:rFonts w:ascii="Calibri" w:eastAsia="Calibri" w:hAnsi="Calibri" w:cs="Calibri"/>
          <w:sz w:val="24"/>
          <w:szCs w:val="24"/>
        </w:rPr>
        <w:tab/>
      </w:r>
      <w:r>
        <w:rPr>
          <w:rFonts w:ascii="Times New Roman" w:eastAsia="Times New Roman" w:hAnsi="Times New Roman" w:cs="Times New Roman"/>
          <w:sz w:val="24"/>
          <w:szCs w:val="24"/>
        </w:rPr>
        <w:t>Our second set of “wet” simulations also uses the RW2 simulation gas mixture, but uses a</w:t>
      </w:r>
      <w:r w:rsidR="00F0118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00F01189">
        <w:rPr>
          <w:rFonts w:ascii="Times New Roman" w:eastAsia="Times New Roman" w:hAnsi="Times New Roman" w:cs="Times New Roman"/>
          <w:sz w:val="24"/>
          <w:szCs w:val="24"/>
        </w:rPr>
        <w:t>inferred</w:t>
      </w:r>
      <w:r>
        <w:rPr>
          <w:rFonts w:ascii="Times New Roman" w:eastAsia="Times New Roman" w:hAnsi="Times New Roman" w:cs="Times New Roman"/>
          <w:sz w:val="24"/>
          <w:szCs w:val="24"/>
        </w:rPr>
        <w:t xml:space="preserve"> topographic map before the formation of Tharsis and associated true polar wander.  We use the map from Bouley et al. (2016) (see also Matsuyama and Manga, 2010). The timing of the formation of Tharsis relative to the formation of the valley networks and lake systems on Mars is critical for understanding the plausible climate of the late Noachian</w:t>
      </w:r>
      <w:r w:rsidR="00A84937">
        <w:rPr>
          <w:rFonts w:ascii="Times New Roman" w:eastAsia="Times New Roman" w:hAnsi="Times New Roman" w:cs="Times New Roman"/>
          <w:sz w:val="24"/>
          <w:szCs w:val="24"/>
        </w:rPr>
        <w:t xml:space="preserve"> (also see Citron et al. (2018) regarding putative ocean shorelines as it relates to Tharsis formation)</w:t>
      </w:r>
      <w:r>
        <w:rPr>
          <w:rFonts w:ascii="Times New Roman" w:eastAsia="Times New Roman" w:hAnsi="Times New Roman" w:cs="Times New Roman"/>
          <w:sz w:val="24"/>
          <w:szCs w:val="24"/>
        </w:rPr>
        <w:t xml:space="preserve">.  The lack of Tharsis to serve as a strong cold trap produces a much more robust hydrological cycle.  Using the </w:t>
      </w:r>
      <w:r w:rsidR="00F01189">
        <w:rPr>
          <w:rFonts w:ascii="Times New Roman" w:eastAsia="Times New Roman" w:hAnsi="Times New Roman" w:cs="Times New Roman"/>
          <w:sz w:val="24"/>
          <w:szCs w:val="24"/>
        </w:rPr>
        <w:t xml:space="preserve">assumed </w:t>
      </w:r>
      <w:r>
        <w:rPr>
          <w:rFonts w:ascii="Times New Roman" w:eastAsia="Times New Roman" w:hAnsi="Times New Roman" w:cs="Times New Roman"/>
          <w:sz w:val="24"/>
          <w:szCs w:val="24"/>
        </w:rPr>
        <w:t>paleotopography, annual mean surface temperatures are comparable or slightly cooler (1-2 K) than the same simulation using modern topography (Figure 13).  However, the coldest mean annual surface temperatures on the planet are ~10</w:t>
      </w:r>
      <w:r w:rsidR="00D442F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warmer in the paleotopography simulations.  This is sufficient to prevent the extreme cold trapping of water that is seen on the Tharsis plateau when </w:t>
      </w:r>
      <w:r>
        <w:rPr>
          <w:rFonts w:ascii="Times New Roman" w:eastAsia="Times New Roman" w:hAnsi="Times New Roman" w:cs="Times New Roman"/>
          <w:sz w:val="24"/>
          <w:szCs w:val="24"/>
        </w:rPr>
        <w:lastRenderedPageBreak/>
        <w:t>using modern topography.  Additionally, because water is not as extensively cold trapped</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more is actively circulating hydrologically, the global mean surface temperature is slightly dependent on the initial water inventory.  Simulations initialized with 100 m or 500 m GEL water inventories are 5-9</w:t>
      </w:r>
      <w:r w:rsidR="00D442FB">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colder than equivalent simulations with 10 m GEL initial water inventory.  This is due to increased snow and ice coverage and more widespread clouds in simulations with greater water inventories.  Notably, the simulations with 0° obliquity are</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again</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warmest.  For example, the three simulations with 10 m GEL water inventory and obliquities of 0°, 25.19°, and 45° have global annual mean surface temperatures of: 13°C, 11.8°C, and 9.9°C, respectively.    </w:t>
      </w:r>
    </w:p>
    <w:p w14:paraId="0E30A7AF" w14:textId="27F70C1C" w:rsidR="00A810D3" w:rsidRDefault="00A810D3">
      <w:pPr>
        <w:spacing w:line="480" w:lineRule="auto"/>
        <w:jc w:val="both"/>
        <w:rPr>
          <w:rFonts w:ascii="Times New Roman" w:eastAsia="Times New Roman" w:hAnsi="Times New Roman" w:cs="Times New Roman"/>
          <w:sz w:val="24"/>
          <w:szCs w:val="24"/>
        </w:rPr>
      </w:pPr>
      <w:r w:rsidRPr="00A810D3">
        <w:rPr>
          <w:rFonts w:ascii="Times New Roman" w:eastAsia="Times New Roman" w:hAnsi="Times New Roman" w:cs="Times New Roman"/>
          <w:noProof/>
          <w:sz w:val="24"/>
          <w:szCs w:val="24"/>
        </w:rPr>
        <w:drawing>
          <wp:inline distT="0" distB="0" distL="0" distR="0" wp14:anchorId="197B896D" wp14:editId="32341554">
            <wp:extent cx="3276876" cy="63842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3287568" cy="6405123"/>
                    </a:xfrm>
                    <a:prstGeom prst="rect">
                      <a:avLst/>
                    </a:prstGeom>
                  </pic:spPr>
                </pic:pic>
              </a:graphicData>
            </a:graphic>
          </wp:inline>
        </w:drawing>
      </w:r>
    </w:p>
    <w:p w14:paraId="1E33D58F" w14:textId="7A8282A3" w:rsidR="002E0C8E" w:rsidRDefault="004B55A1">
      <w:pPr>
        <w:spacing w:line="480" w:lineRule="auto"/>
        <w:jc w:val="both"/>
      </w:pPr>
      <w:r>
        <w:rPr>
          <w:rFonts w:ascii="Times New Roman" w:eastAsia="Times New Roman" w:hAnsi="Times New Roman" w:cs="Times New Roman"/>
          <w:sz w:val="24"/>
          <w:szCs w:val="24"/>
        </w:rPr>
        <w:t xml:space="preserve"> </w:t>
      </w:r>
      <w:r>
        <w:t xml:space="preserve">Figure 13.   Mean annual surface temperatures (°C) for 6 ROCKE-3D simulations using the martian paleotopography of Bouley et al. </w:t>
      </w:r>
      <w:r w:rsidR="00F01189">
        <w:t>(</w:t>
      </w:r>
      <w:r>
        <w:t>2016</w:t>
      </w:r>
      <w:r w:rsidR="00F01189">
        <w:t>)</w:t>
      </w:r>
      <w:r>
        <w:t xml:space="preserve"> and distinguished by total initial water inventory and obliquity. The black line indicates the freezing point of water.  See Table 1 for descriptions of each simulation.    </w:t>
      </w:r>
    </w:p>
    <w:p w14:paraId="45948041" w14:textId="77777777" w:rsidR="002E0C8E" w:rsidRDefault="002E0C8E">
      <w:pPr>
        <w:spacing w:line="480" w:lineRule="auto"/>
        <w:jc w:val="both"/>
      </w:pPr>
    </w:p>
    <w:p w14:paraId="6D090504" w14:textId="4F2D54DD" w:rsidR="002E0C8E" w:rsidRDefault="004B55A1">
      <w:pPr>
        <w:spacing w:line="480" w:lineRule="auto"/>
        <w:jc w:val="both"/>
        <w:rPr>
          <w:rFonts w:ascii="Times New Roman" w:eastAsia="Times New Roman" w:hAnsi="Times New Roman" w:cs="Times New Roman"/>
          <w:sz w:val="24"/>
          <w:szCs w:val="24"/>
        </w:rPr>
      </w:pPr>
      <w:r>
        <w:lastRenderedPageBreak/>
        <w:tab/>
      </w:r>
      <w:r>
        <w:rPr>
          <w:rFonts w:ascii="Times New Roman" w:eastAsia="Times New Roman" w:hAnsi="Times New Roman" w:cs="Times New Roman"/>
          <w:sz w:val="24"/>
          <w:szCs w:val="24"/>
        </w:rPr>
        <w:t xml:space="preserve">Assuming the valley networks formed prior to Tharsis formation and associated true polar wander, they would be placed in an east-west oriented band centered in the southern low latitudes near 24°S </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Bouley et al., 2016</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By eye it can be seen from Figure 13 that the western portion of this band is higher (and hence colder) terrain while the center and eastern band is lower (and hence warmer) terrain.  Figures 14 and 15 display annual total precipitation and annual total liquid precipitation for six simulations using the paleotopography and can be directly compared with Figures 10 and 11, which use modern topography.  However, note that the scales of those two sets of figures are different to better highlight areas of higher precipitation in the paleotopography simulations.  </w:t>
      </w:r>
    </w:p>
    <w:p w14:paraId="0E126EA1" w14:textId="77777777"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Simply, there is far more precipitation in simulations with paleotopography.  Each simulation with paleotopography has higher maximum precipitation than the comparable simulation with modern topography.  However, as can be seen by comparing Figures 14 and 15, those maxima occur as snowfall over the high terrain in the southwest hemisphere of the planet.  Unlike the simulations with modern topography, precipitation increases with increasing global water inventory.  Simulations with 100 m or 500 m GEL water inventories see far more precipitation in the northern hemisphere due to the more abundant surface liquid water (in the form of lakes) in the northern hemisphere lowlands in those simulations.        </w:t>
      </w:r>
    </w:p>
    <w:p w14:paraId="742AD9D9" w14:textId="24B0EEB0" w:rsidR="002E0C8E" w:rsidRDefault="00F25855">
      <w:pPr>
        <w:spacing w:line="480" w:lineRule="auto"/>
        <w:jc w:val="both"/>
      </w:pPr>
      <w:r w:rsidRPr="00F25855">
        <w:rPr>
          <w:noProof/>
        </w:rPr>
        <w:lastRenderedPageBreak/>
        <w:drawing>
          <wp:inline distT="0" distB="0" distL="0" distR="0" wp14:anchorId="32C1927B" wp14:editId="3E39F53B">
            <wp:extent cx="3132676" cy="61645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3136978" cy="6172978"/>
                    </a:xfrm>
                    <a:prstGeom prst="rect">
                      <a:avLst/>
                    </a:prstGeom>
                  </pic:spPr>
                </pic:pic>
              </a:graphicData>
            </a:graphic>
          </wp:inline>
        </w:drawing>
      </w:r>
    </w:p>
    <w:p w14:paraId="2AF43EFD" w14:textId="47116965" w:rsidR="002E0C8E" w:rsidRDefault="002E0C8E">
      <w:pPr>
        <w:spacing w:line="480" w:lineRule="auto"/>
        <w:jc w:val="both"/>
      </w:pPr>
    </w:p>
    <w:p w14:paraId="77212BC6" w14:textId="77777777" w:rsidR="002E0C8E" w:rsidRDefault="004B55A1">
      <w:pPr>
        <w:spacing w:line="240" w:lineRule="auto"/>
        <w:jc w:val="both"/>
      </w:pPr>
      <w:r>
        <w:t xml:space="preserve">Figure 14.   Annual total precipitation (mm) for 6 ROCKE-3D simulations distinguished by total initial water inventory and obliquity and using martian paleotopography.  All water is initialized in lakes and then moved through the climate system.  Note the different scale relative to Figure 10.  See Table 1 for descriptions of each simulation.    </w:t>
      </w:r>
    </w:p>
    <w:p w14:paraId="4E995027" w14:textId="77777777" w:rsidR="002E0C8E" w:rsidRDefault="004B55A1">
      <w:pPr>
        <w:spacing w:line="240" w:lineRule="auto"/>
        <w:jc w:val="both"/>
      </w:pPr>
      <w:r>
        <w:t xml:space="preserve">    </w:t>
      </w:r>
    </w:p>
    <w:p w14:paraId="6AA4C082" w14:textId="2F82B276" w:rsidR="002E0C8E" w:rsidRDefault="000F3C81">
      <w:pPr>
        <w:spacing w:line="480" w:lineRule="auto"/>
        <w:jc w:val="both"/>
      </w:pPr>
      <w:r w:rsidRPr="000F3C81">
        <w:rPr>
          <w:noProof/>
        </w:rPr>
        <w:t xml:space="preserve"> </w:t>
      </w:r>
      <w:r w:rsidRPr="000F3C81">
        <w:rPr>
          <w:noProof/>
        </w:rPr>
        <w:drawing>
          <wp:inline distT="0" distB="0" distL="0" distR="0" wp14:anchorId="1C3DF57C" wp14:editId="63B7B05E">
            <wp:extent cx="3286402" cy="6374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3291989" cy="6384942"/>
                    </a:xfrm>
                    <a:prstGeom prst="rect">
                      <a:avLst/>
                    </a:prstGeom>
                  </pic:spPr>
                </pic:pic>
              </a:graphicData>
            </a:graphic>
          </wp:inline>
        </w:drawing>
      </w:r>
    </w:p>
    <w:p w14:paraId="4D7A1AFC" w14:textId="77777777" w:rsidR="002E0C8E" w:rsidRDefault="004B55A1">
      <w:pPr>
        <w:spacing w:line="240" w:lineRule="auto"/>
        <w:jc w:val="both"/>
      </w:pPr>
      <w:r>
        <w:lastRenderedPageBreak/>
        <w:t xml:space="preserve">Figure 15.   Same as Figure 14 except for annual total liquid precipitation (mm).  </w:t>
      </w:r>
    </w:p>
    <w:p w14:paraId="606A14A1" w14:textId="77777777" w:rsidR="002E0C8E" w:rsidRDefault="002E0C8E">
      <w:pPr>
        <w:spacing w:line="240" w:lineRule="auto"/>
        <w:jc w:val="both"/>
      </w:pPr>
    </w:p>
    <w:p w14:paraId="60A65195" w14:textId="479DD957" w:rsidR="002E0C8E" w:rsidRDefault="004B55A1">
      <w:pPr>
        <w:spacing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Figure 15 shows that the planet is strongly divided between locations with predominant snowfall and those with predominant rainfall in the paleotopography simulations.  Comparing Figure 15 to Figure 13 shows that areas with annual mean temperatures below freezing see very little or no rainfall.  Much of the rainfall occurs in the northern hemisphere in all the simulations, but there is rainfall in the southern hemisphere low latitudes, particularly from 60°W to 180°E.  This partially overlaps the expected region of the valley network formations if they formed prior to Tharsis and associated true polar wander </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Bouley et al., 2016</w:t>
      </w:r>
      <w:r w:rsidR="00F011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the western portion of this region does not have any significant rainfall in any of our simulations.  Using the paleotopography, the simulations with either 0° or modern (25.19°) obliquity produce rainfall in this latitude band, with slightly more rainfall in the simulations with modern obliquity.  Again, 45° obliquity is not consistent with rainfall over locations with valley network formations.  </w:t>
      </w:r>
    </w:p>
    <w:p w14:paraId="6794ACF3" w14:textId="0DA7B0BB"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01189">
        <w:rPr>
          <w:rFonts w:ascii="Times New Roman" w:eastAsia="Times New Roman" w:hAnsi="Times New Roman" w:cs="Times New Roman"/>
          <w:sz w:val="24"/>
          <w:szCs w:val="24"/>
        </w:rPr>
        <w:t>3</w:t>
      </w:r>
      <w:r>
        <w:rPr>
          <w:rFonts w:ascii="Times New Roman" w:eastAsia="Times New Roman" w:hAnsi="Times New Roman" w:cs="Times New Roman"/>
          <w:sz w:val="24"/>
          <w:szCs w:val="24"/>
        </w:rPr>
        <w:t>. Ocean Simulations</w:t>
      </w:r>
    </w:p>
    <w:p w14:paraId="4DBBCEBA" w14:textId="7533AC6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final set of simulations uses ROCKE-3D’s fully coupled dynamic ocean capability.  Most other published ancient Mars ocean simulations used mixed layer oceans (e.g., Kamada et al. (2020)).   All previously discussed simulations with surface liquid water use dynamic lakes that form or evaporate based on precipitation patterns.  In these simulations, water is initialized in oceans.  We began a wide spectrum of such simulations, but the majority did not reach radiative and hydrological equilibrium before a shallow point of the ocean froze across the full depth.  This freezing crashes the model and ends the simulation.  Two ocean simulations did reach equilibrium, using modern topography and obliquity values.  Following a long history of research discussing the possibility of an ancient martian northern hemisphere ocean (e.g., Di Achille and Hynek, 2010), we simulate such a northern ocean.  Additionally, since Hellas basin is the lowest topographic point on the planet, we conduct a simulation with a Hellas ocean.  Here</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introduce the impacts </w:t>
      </w:r>
      <w:r>
        <w:rPr>
          <w:rFonts w:ascii="Times New Roman" w:eastAsia="Times New Roman" w:hAnsi="Times New Roman" w:cs="Times New Roman"/>
          <w:sz w:val="24"/>
          <w:szCs w:val="24"/>
        </w:rPr>
        <w:lastRenderedPageBreak/>
        <w:t xml:space="preserve">of these oceans on the broader planetary climate and reserve more in-depth analysis (hopefully with additional successful simulations) to future work.  </w:t>
      </w:r>
    </w:p>
    <w:p w14:paraId="38F6975A" w14:textId="67DFF999"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provides an initial orientation to our two simulations with fully coupled dynamic oceans.  The northern hemisphere ocean fills the northern lowlands Arcadia, Acidalia, and Utopia Planitae to the -3900 m isohypse, whereas the Hellas ocean fills much of that basin to the same level.  </w:t>
      </w:r>
      <w:r w:rsidR="00AC6DFC">
        <w:rPr>
          <w:rFonts w:ascii="Times New Roman" w:eastAsia="Times New Roman" w:hAnsi="Times New Roman" w:cs="Times New Roman"/>
          <w:sz w:val="24"/>
          <w:szCs w:val="24"/>
        </w:rPr>
        <w:t xml:space="preserve">Hence, the northern ocean has a maximum depth of ~1200 m (corresponding to northern Acidalia Planitia) and the Hellas ocean has a maximum depth of ~3000 m.  </w:t>
      </w:r>
      <w:r>
        <w:rPr>
          <w:rFonts w:ascii="Times New Roman" w:eastAsia="Times New Roman" w:hAnsi="Times New Roman" w:cs="Times New Roman"/>
          <w:sz w:val="24"/>
          <w:szCs w:val="24"/>
        </w:rPr>
        <w:t xml:space="preserve">The bottom two panels of Figure 16 should look quite similar to those of the bottom middle two panels of Figure 5 since they use the same atmospheric gas composition.  The subtle differences relate to the moderating influence of the oceans.  The ocean basins are cooler than equivalent land surfaces in comparable simulations.  </w:t>
      </w:r>
    </w:p>
    <w:p w14:paraId="6719331B" w14:textId="77777777" w:rsidR="002E0C8E" w:rsidRDefault="002E0C8E">
      <w:pPr>
        <w:spacing w:line="480" w:lineRule="auto"/>
        <w:ind w:firstLine="720"/>
        <w:jc w:val="both"/>
        <w:rPr>
          <w:rFonts w:ascii="Times New Roman" w:eastAsia="Times New Roman" w:hAnsi="Times New Roman" w:cs="Times New Roman"/>
          <w:sz w:val="24"/>
          <w:szCs w:val="24"/>
        </w:rPr>
      </w:pPr>
    </w:p>
    <w:p w14:paraId="4CCA83BA" w14:textId="77777777" w:rsidR="002E0C8E" w:rsidRDefault="004B55A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256264" wp14:editId="173C6036">
            <wp:extent cx="5943600" cy="32004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43600" cy="3200400"/>
                    </a:xfrm>
                    <a:prstGeom prst="rect">
                      <a:avLst/>
                    </a:prstGeom>
                    <a:ln/>
                  </pic:spPr>
                </pic:pic>
              </a:graphicData>
            </a:graphic>
          </wp:inline>
        </w:drawing>
      </w:r>
    </w:p>
    <w:p w14:paraId="102C4626" w14:textId="77777777" w:rsidR="002E0C8E" w:rsidRDefault="004B55A1">
      <w:pPr>
        <w:spacing w:line="240" w:lineRule="auto"/>
        <w:jc w:val="both"/>
      </w:pPr>
      <w:r>
        <w:t xml:space="preserve">Figure 16.   The location of the northern hemisphere ocean and Hellas ocean (dark fill) and planetary topography (lines contoured at -2000, 0, and 2000 m; top row).  The annual average surface temperatures for those two simulations (°C; bottom row).  </w:t>
      </w:r>
    </w:p>
    <w:p w14:paraId="0D8BCF8A" w14:textId="77777777" w:rsidR="002E0C8E" w:rsidRDefault="002E0C8E">
      <w:pPr>
        <w:spacing w:line="240" w:lineRule="auto"/>
        <w:jc w:val="both"/>
      </w:pPr>
    </w:p>
    <w:p w14:paraId="47A5894B" w14:textId="0E06DA82" w:rsidR="002E0C8E" w:rsidRDefault="004B55A1">
      <w:pPr>
        <w:spacing w:line="480" w:lineRule="auto"/>
        <w:jc w:val="both"/>
        <w:rPr>
          <w:rFonts w:ascii="Times New Roman" w:eastAsia="Times New Roman" w:hAnsi="Times New Roman" w:cs="Times New Roman"/>
          <w:sz w:val="24"/>
          <w:szCs w:val="24"/>
        </w:rPr>
      </w:pPr>
      <w:r>
        <w:lastRenderedPageBreak/>
        <w:tab/>
      </w:r>
      <w:r>
        <w:rPr>
          <w:rFonts w:ascii="Times New Roman" w:eastAsia="Times New Roman" w:hAnsi="Times New Roman" w:cs="Times New Roman"/>
          <w:sz w:val="24"/>
          <w:szCs w:val="24"/>
        </w:rPr>
        <w:t xml:space="preserve">Our goal for the ocean simulations </w:t>
      </w:r>
      <w:r w:rsidR="00991DDE">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to see if the </w:t>
      </w:r>
      <w:r w:rsidR="00991DDE">
        <w:rPr>
          <w:rFonts w:ascii="Times New Roman" w:eastAsia="Times New Roman" w:hAnsi="Times New Roman" w:cs="Times New Roman"/>
          <w:sz w:val="24"/>
          <w:szCs w:val="24"/>
        </w:rPr>
        <w:t xml:space="preserve">ability </w:t>
      </w:r>
      <w:r>
        <w:rPr>
          <w:rFonts w:ascii="Times New Roman" w:eastAsia="Times New Roman" w:hAnsi="Times New Roman" w:cs="Times New Roman"/>
          <w:sz w:val="24"/>
          <w:szCs w:val="24"/>
        </w:rPr>
        <w:t>of oceans to alter planetary climates through ocean heat transport, their great</w:t>
      </w:r>
      <w:r w:rsidR="00991DDE">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thermal inertia, and </w:t>
      </w:r>
      <w:r w:rsidR="00991DDE">
        <w:rPr>
          <w:rFonts w:ascii="Times New Roman" w:eastAsia="Times New Roman" w:hAnsi="Times New Roman" w:cs="Times New Roman"/>
          <w:sz w:val="24"/>
          <w:szCs w:val="24"/>
        </w:rPr>
        <w:t xml:space="preserve">effect on </w:t>
      </w:r>
      <w:r>
        <w:rPr>
          <w:rFonts w:ascii="Times New Roman" w:eastAsia="Times New Roman" w:hAnsi="Times New Roman" w:cs="Times New Roman"/>
          <w:sz w:val="24"/>
          <w:szCs w:val="24"/>
        </w:rPr>
        <w:t>atmospheric flows and precipitation patterns could be manifested in a way that would make a temperate Noachian climate on Mars more durable.  In other words, would the creation of a Noachian ocean on Mars help stabilize and warm the climate in a way that would help perpetuate that temperature climate for a longer duration than might otherwise be true?  To diagnose this, we compare our two ocean simulations with the RW2lakes simulation.  The ocean simulations have identical atmospheric pressure and gas compositions to the RW2lakes simulation as well as using modern topography and obliquity.  As noted earlier, when using modern topography, the initial water inventory of the planet did not alter the final stable end climactic state, so no significant difference would be found in comparing the ocean simulations to the RW2lakes500 (with 500 m GEL water), for example.</w:t>
      </w:r>
    </w:p>
    <w:p w14:paraId="3490E9DF" w14:textId="37F956F6"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17 demonstrates how the two ocean configurations alter the simulated climate.  As seen in the top row, there is very little difference (&lt;1°C) in annual average surface temperature for most of the planet if an ocean is present.  Only the ocean itself, which is notably cooler than open dry ground, produces a change to annual average temperatures.  This</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alone</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answers one of our questions regarding the influence of an ancient ocean on Noachian martian climate.  Both a northern hemisphere or Hellas ocean are inefficiently distributed to allow substantial meridional heat transport which could help warm the planet and redistribute energy through the climate system.  Hence, there is a marginal effect on planetary surface temperature.  Note</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that a 2</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bar martian atmosphere does have very efficient </w:t>
      </w:r>
      <w:r>
        <w:rPr>
          <w:rFonts w:ascii="Times New Roman" w:eastAsia="Times New Roman" w:hAnsi="Times New Roman" w:cs="Times New Roman"/>
          <w:i/>
          <w:sz w:val="24"/>
          <w:szCs w:val="24"/>
        </w:rPr>
        <w:t>atmospheric</w:t>
      </w:r>
      <w:r>
        <w:rPr>
          <w:rFonts w:ascii="Times New Roman" w:eastAsia="Times New Roman" w:hAnsi="Times New Roman" w:cs="Times New Roman"/>
          <w:sz w:val="24"/>
          <w:szCs w:val="24"/>
        </w:rPr>
        <w:t xml:space="preserve"> meridional heat transport due to the greater mass per unit area relative to Earth.  The effect of atmospheric density on heat transport is discussed in the context of tidally-locked planets around M-stars by, e.g., Joshi et al. (1997) and Wordsworth (2015).   </w:t>
      </w:r>
    </w:p>
    <w:p w14:paraId="3668F1DE" w14:textId="7389FBDF"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There is</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notable change in precipitation patterns around the planet.  This is expected due to the larger surface liquid water inventory allowing increased evaporation and more available liquid water in the climate system.  Recall that one key finding of the simulations with surface liquid water initialized in active lakes is that water is cold-trapped on Tharsis.  The ocean simulations do produce widespread snow and ice cover on Tharsis, as did those with active lakes, but the simulation cannot evaporate the ocean and redeposit it as snow on Tharsis as may happen over geologic time in such a situation.  These ocean simulations are hydrologically equilibrated, but it is reasonable to assume that ocean depth would drop slowly through time as water is deposited at the south pole and Tharsis.  Indeed, as shown in Figure 17, precipitation near Tharsis is increased in these simulations, particularly for the northern hemisphere ocean simulation (to be expected given the proximity of the ocean to the Tharsis highlands).  The Hellas ocean sees increased precipitation throughout the southern hemisphere, while the greatest change for the northern hemisphere ocean simulation is over that ocean itself.       </w:t>
      </w:r>
    </w:p>
    <w:p w14:paraId="7313B407" w14:textId="77777777"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Most notably, rainfall increases throughout the southern hemisphere and along the dichotomy boundary, including over many locations with valley network formations, with the Hellas ocean simulation.  In the northern hemisphere ocean simulation, there is also a modest increase of rainfall along the dichotomy boundary (particularly from 60-150°E).  There is also much more rainfall near Elysium Mons (25°N, 140°W).   </w:t>
      </w:r>
    </w:p>
    <w:p w14:paraId="55EE5D56" w14:textId="77777777" w:rsidR="002E0C8E" w:rsidRDefault="004B55A1">
      <w:pPr>
        <w:spacing w:line="480" w:lineRule="auto"/>
        <w:jc w:val="both"/>
      </w:pPr>
      <w:r>
        <w:rPr>
          <w:noProof/>
        </w:rPr>
        <w:lastRenderedPageBreak/>
        <w:drawing>
          <wp:inline distT="114300" distB="114300" distL="114300" distR="114300" wp14:anchorId="0243AED8" wp14:editId="799742EC">
            <wp:extent cx="5943600" cy="47879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4787900"/>
                    </a:xfrm>
                    <a:prstGeom prst="rect">
                      <a:avLst/>
                    </a:prstGeom>
                    <a:ln/>
                  </pic:spPr>
                </pic:pic>
              </a:graphicData>
            </a:graphic>
          </wp:inline>
        </w:drawing>
      </w:r>
    </w:p>
    <w:p w14:paraId="347FA28E" w14:textId="77777777" w:rsidR="002E0C8E" w:rsidRDefault="004B55A1">
      <w:pPr>
        <w:spacing w:line="240" w:lineRule="auto"/>
        <w:jc w:val="both"/>
      </w:pPr>
      <w:r>
        <w:t xml:space="preserve">Figure 17.   Change in annual average surface temperature (°C, top row), change in annual precipitation (mm, middle row), and chance in annual rainfall (mm, bottom row) when comparing the RW2lakes simulation to the northern hemisphere ocean simulation (left column) and Hellas ocean simulation (right column). </w:t>
      </w:r>
    </w:p>
    <w:p w14:paraId="1F8BF429" w14:textId="77777777" w:rsidR="002E0C8E" w:rsidRDefault="002E0C8E">
      <w:pPr>
        <w:spacing w:line="240" w:lineRule="auto"/>
        <w:jc w:val="both"/>
      </w:pPr>
    </w:p>
    <w:p w14:paraId="572282D0" w14:textId="77777777" w:rsidR="002E0C8E" w:rsidRDefault="004B55A1">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CONCLUSIONS</w:t>
      </w:r>
    </w:p>
    <w:p w14:paraId="62014F0F" w14:textId="77777777" w:rsidR="002E0C8E" w:rsidRDefault="002E0C8E">
      <w:pPr>
        <w:spacing w:line="240" w:lineRule="auto"/>
        <w:jc w:val="both"/>
        <w:rPr>
          <w:rFonts w:ascii="Times New Roman" w:eastAsia="Times New Roman" w:hAnsi="Times New Roman" w:cs="Times New Roman"/>
          <w:sz w:val="24"/>
          <w:szCs w:val="24"/>
        </w:rPr>
      </w:pPr>
    </w:p>
    <w:p w14:paraId="6742E90F" w14:textId="0F90986B"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this work we </w:t>
      </w:r>
      <w:r w:rsidR="00991DDE">
        <w:rPr>
          <w:rFonts w:ascii="Times New Roman" w:eastAsia="Times New Roman" w:hAnsi="Times New Roman" w:cs="Times New Roman"/>
          <w:sz w:val="24"/>
          <w:szCs w:val="24"/>
        </w:rPr>
        <w:t xml:space="preserve">seek </w:t>
      </w:r>
      <w:r>
        <w:rPr>
          <w:rFonts w:ascii="Times New Roman" w:eastAsia="Times New Roman" w:hAnsi="Times New Roman" w:cs="Times New Roman"/>
          <w:sz w:val="24"/>
          <w:szCs w:val="24"/>
        </w:rPr>
        <w:t>to test whether the climate on Noachian Mars could have maintained “warm and wet” conditions with reasonable constraints on surface air pressure (2 bar or less) and the possible availability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collision-induced absorption using ROCKE-3D, a capable and flexible GCM.  With ROCKE-3D, the answer to this question is “yes.”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-dominated atmospheres with surface pressures </w:t>
      </w:r>
      <w:r w:rsidRPr="004B58D9">
        <w:rPr>
          <w:rFonts w:ascii="Times New Roman" w:eastAsia="Times New Roman" w:hAnsi="Times New Roman" w:cs="Times New Roman"/>
          <w:sz w:val="24"/>
          <w:szCs w:val="24"/>
        </w:rPr>
        <w:t>above ~1.5 bar and H</w:t>
      </w:r>
      <w:r w:rsidRPr="004B58D9">
        <w:rPr>
          <w:rFonts w:ascii="Times New Roman" w:eastAsia="Times New Roman" w:hAnsi="Times New Roman" w:cs="Times New Roman"/>
          <w:sz w:val="24"/>
          <w:szCs w:val="24"/>
          <w:vertAlign w:val="subscript"/>
        </w:rPr>
        <w:t>2</w:t>
      </w:r>
      <w:r w:rsidRPr="004B58D9">
        <w:rPr>
          <w:rFonts w:ascii="Times New Roman" w:eastAsia="Gungsuh" w:hAnsi="Times New Roman" w:cs="Times New Roman"/>
          <w:sz w:val="24"/>
          <w:szCs w:val="24"/>
        </w:rPr>
        <w:t xml:space="preserve"> mixing ratios of ≥3% produce global </w:t>
      </w:r>
      <w:r w:rsidRPr="004B58D9">
        <w:rPr>
          <w:rFonts w:ascii="Times New Roman" w:eastAsia="Gungsuh" w:hAnsi="Times New Roman" w:cs="Times New Roman"/>
          <w:sz w:val="24"/>
          <w:szCs w:val="24"/>
        </w:rPr>
        <w:lastRenderedPageBreak/>
        <w:t>mean surface temperatures above the freezing point of water.  Our work is agnostic to the source of the H</w:t>
      </w:r>
      <w:r w:rsidRPr="004B58D9">
        <w:rPr>
          <w:rFonts w:ascii="Times New Roman" w:eastAsia="Times New Roman" w:hAnsi="Times New Roman" w:cs="Times New Roman"/>
          <w:sz w:val="24"/>
          <w:szCs w:val="24"/>
          <w:vertAlign w:val="subscript"/>
        </w:rPr>
        <w:t xml:space="preserve">2 </w:t>
      </w:r>
      <w:r w:rsidRPr="004B58D9">
        <w:rPr>
          <w:rFonts w:ascii="Times New Roman" w:eastAsia="Times New Roman" w:hAnsi="Times New Roman" w:cs="Times New Roman"/>
          <w:sz w:val="24"/>
          <w:szCs w:val="24"/>
        </w:rPr>
        <w:t>and its duration in the atmosphere</w:t>
      </w:r>
      <w:r>
        <w:rPr>
          <w:rFonts w:ascii="Times New Roman" w:eastAsia="Times New Roman" w:hAnsi="Times New Roman" w:cs="Times New Roman"/>
          <w:sz w:val="24"/>
          <w:szCs w:val="24"/>
        </w:rPr>
        <w:t xml:space="preserve">.      </w:t>
      </w:r>
    </w:p>
    <w:p w14:paraId="0CF3D2E6" w14:textId="0EEFDC04"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that in these initial simulations without significant amounts of water (indeed, with a global water inventory more akin to modern Mars), the warmest locations are in the northern hemisphere lowlands and Hellas basins.  These are both locations far removed from the places with geologic evidence of past fluvial activity in the southern hemisphere highlands near the topographic dichotomy boundary and elsewhere.  Much of the southern hemisphere and Tharsis region have annual average temperatures well below freezing.    </w:t>
      </w:r>
    </w:p>
    <w:p w14:paraId="00EE6AFF" w14:textId="720675F2"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Additionally, some of our tested atmospheric gas mixtures include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We </w:t>
      </w:r>
      <w:r w:rsidR="00991DDE">
        <w:rPr>
          <w:rFonts w:ascii="Times New Roman" w:eastAsia="Times New Roman" w:hAnsi="Times New Roman" w:cs="Times New Roman"/>
          <w:sz w:val="24"/>
          <w:szCs w:val="24"/>
        </w:rPr>
        <w:t xml:space="preserve">find </w:t>
      </w:r>
      <w:r>
        <w:rPr>
          <w:rFonts w:ascii="Times New Roman" w:eastAsia="Times New Roman" w:hAnsi="Times New Roman" w:cs="Times New Roman"/>
          <w:sz w:val="24"/>
          <w:szCs w:val="24"/>
        </w:rPr>
        <w:t>that a small amount of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1% in our simulations, could have had important implications for ancient water loss on Mars.  Simulations that include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produce a weak and leaky stratosphere, where warming temperatures limit water cloud formation, but where the upper tropospheric cold trap is insufficient to limit vertical transport of water into the stratosphere where it could be photodissociated and lost to space.  Simulations without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have thicker water clouds in the upper troposphere</w:t>
      </w:r>
      <w:r w:rsidR="00991DDE">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acts as a more efficient hygropause, reducing water flux into the upper atmosphere.  Future work should address the implications of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and water ice clouds on water loss from Noachian Mars in more detail.    </w:t>
      </w:r>
    </w:p>
    <w:p w14:paraId="558B56E8" w14:textId="1C8336DE"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finding an atmospheric gas mixture that produced global mean temperatures above freezing (RW2 = 94%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5%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1% 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following Wordsworth et al.</w:t>
      </w:r>
      <w:r w:rsidR="008205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 our second set of simulations </w:t>
      </w:r>
      <w:r w:rsidR="00991DDE">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 xml:space="preserve">looked at the hydrological cycle of the planet under these possible warm and wet conditions.  Using modern topography, the vast majority of water on the planet, regardless of the initial water inventory, is cold-trapped on the high and frigid Tharsis plateau.  ROCKE-3D does not have a land ice or glacier parameterization that could simulate the eventual flow of these </w:t>
      </w:r>
      <w:r>
        <w:rPr>
          <w:rFonts w:ascii="Times New Roman" w:eastAsia="Times New Roman" w:hAnsi="Times New Roman" w:cs="Times New Roman"/>
          <w:sz w:val="24"/>
          <w:szCs w:val="24"/>
        </w:rPr>
        <w:lastRenderedPageBreak/>
        <w:t>glaciers and determine how glacial melt could recharge the system. But</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regardless, the planet is left with comparatively little water </w:t>
      </w:r>
      <w:r w:rsidR="00991DDE">
        <w:rPr>
          <w:rFonts w:ascii="Times New Roman" w:eastAsia="Times New Roman" w:hAnsi="Times New Roman" w:cs="Times New Roman"/>
          <w:sz w:val="24"/>
          <w:szCs w:val="24"/>
        </w:rPr>
        <w:t>actively cycling</w:t>
      </w:r>
      <w:r>
        <w:rPr>
          <w:rFonts w:ascii="Times New Roman" w:eastAsia="Times New Roman" w:hAnsi="Times New Roman" w:cs="Times New Roman"/>
          <w:sz w:val="24"/>
          <w:szCs w:val="24"/>
        </w:rPr>
        <w:t>.  We find planetary obliquity is key to determining where precipitation falls as rain or snow in these simulations.  Simulations with 0° obliquity produce greater rainfall near locations with valley network formations.  Simulations with 45° obliquity are slightly cooler than those with either modern or 0° obliquity and have rainfall patterns that are inconsistent with the geologic evidence for fluvial activity on Noachian Mars.  Note our simulations do not include the physics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condensation.  But</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importantly, many of our simulations that included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had surface temperatures remain above the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condensation temperature, regardless of obliquity.  </w:t>
      </w:r>
    </w:p>
    <w:p w14:paraId="5D91EACE" w14:textId="593BBE03"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timing of the formation of Tharsis relative to the valley network formations is critical to understanding the climatic conditions under which they formed.  Simulations using a plausible paleotopography (see Bouley et al. </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2016</w:t>
      </w:r>
      <w:r w:rsidR="00991D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increased amounts of precipitation globally due to the lack of Tharsis acting as a cold trap for snow and ice.  Again, simulations with modern or 0° obliquity are more consistent with rainfall over locations with valley network formations than 45° obliquity.  </w:t>
      </w:r>
    </w:p>
    <w:p w14:paraId="41E9D50D"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Noachian Mars had oceans (following Tharsis emplacement with modern topography), the most plausible locations for those oceans in the northern hemisphere lowlands and Hellas basin are inefficient for meridional heat transport.  The global climate is no warmer when an ocean is present than when it is absent, assuming the background atmospheric composition is supportive of surface liquid water already.  The presence of oceans does alter precipitation patterns, however, and precipitation and rainfall are increased over much of the planet.  A Hellas ocean in particular produces increased rainfall in many locations where valley network formations and paleolakes are seen in the modern surface geology.</w:t>
      </w:r>
    </w:p>
    <w:p w14:paraId="429F22FF" w14:textId="77777777" w:rsidR="002E0C8E" w:rsidRDefault="002E0C8E">
      <w:pPr>
        <w:spacing w:line="480" w:lineRule="auto"/>
        <w:ind w:firstLine="720"/>
        <w:jc w:val="both"/>
        <w:rPr>
          <w:rFonts w:ascii="Times New Roman" w:eastAsia="Times New Roman" w:hAnsi="Times New Roman" w:cs="Times New Roman"/>
          <w:sz w:val="24"/>
          <w:szCs w:val="24"/>
        </w:rPr>
      </w:pPr>
    </w:p>
    <w:p w14:paraId="6E0E7138" w14:textId="77777777"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14:paraId="3B1A505A" w14:textId="57797F30" w:rsidR="002E0C8E" w:rsidRDefault="004B55A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Guzewich, Way, Del Genio, Aleinov, Wolf, and Tsigaridis were supported by the NASA Nexus for Exoplanet System Science program that helped develop the ROCKE-3D GCM.  </w:t>
      </w:r>
      <w:r w:rsidR="0082054F">
        <w:rPr>
          <w:rFonts w:ascii="Times New Roman" w:eastAsia="Times New Roman" w:hAnsi="Times New Roman" w:cs="Times New Roman"/>
          <w:sz w:val="24"/>
          <w:szCs w:val="24"/>
        </w:rPr>
        <w:t xml:space="preserve">Guzewich, </w:t>
      </w:r>
      <w:r w:rsidR="0082054F">
        <w:rPr>
          <w:rFonts w:ascii="Times New Roman" w:hAnsi="Times New Roman" w:cs="Times New Roman"/>
          <w:sz w:val="24"/>
          <w:szCs w:val="24"/>
          <w:lang w:val="en-US"/>
        </w:rPr>
        <w:t>Way, Aleinov, Wolf, and Tsigaridis</w:t>
      </w:r>
      <w:r w:rsidR="0082054F" w:rsidRPr="00BB107D">
        <w:rPr>
          <w:rFonts w:ascii="Times New Roman" w:hAnsi="Times New Roman" w:cs="Times New Roman"/>
          <w:sz w:val="24"/>
          <w:szCs w:val="24"/>
          <w:lang w:val="en-US"/>
        </w:rPr>
        <w:t xml:space="preserve"> acknowledge support from the GSFC Sellers Exoplanet Environments Collaboration (SEEC), which is funded by the NASA Planetary Science Division's Internal Scientist Funding Model. Resources supporting</w:t>
      </w:r>
      <w:r w:rsidR="0082054F">
        <w:rPr>
          <w:rFonts w:ascii="Times New Roman" w:hAnsi="Times New Roman" w:cs="Times New Roman"/>
          <w:sz w:val="24"/>
          <w:szCs w:val="24"/>
          <w:lang w:val="en-US"/>
        </w:rPr>
        <w:t xml:space="preserve"> </w:t>
      </w:r>
      <w:r w:rsidR="0082054F" w:rsidRPr="00BB107D">
        <w:rPr>
          <w:rFonts w:ascii="Times New Roman" w:hAnsi="Times New Roman" w:cs="Times New Roman"/>
          <w:sz w:val="24"/>
          <w:szCs w:val="24"/>
          <w:lang w:val="en-US"/>
        </w:rPr>
        <w:t>this work were provided by the NASA High-End Computing (HEC) Program through the NASA Center for Climate Simulation (NCCS) at Goddard Space</w:t>
      </w:r>
      <w:r w:rsidR="0082054F" w:rsidRPr="00314C0F">
        <w:rPr>
          <w:rFonts w:ascii="Times New Roman" w:hAnsi="Times New Roman" w:cs="Times New Roman"/>
          <w:sz w:val="24"/>
          <w:szCs w:val="24"/>
          <w:lang w:val="en-US"/>
        </w:rPr>
        <w:t xml:space="preserve"> </w:t>
      </w:r>
      <w:r w:rsidR="0082054F" w:rsidRPr="00BB107D">
        <w:rPr>
          <w:rFonts w:ascii="Times New Roman" w:hAnsi="Times New Roman" w:cs="Times New Roman"/>
          <w:sz w:val="24"/>
          <w:szCs w:val="24"/>
          <w:lang w:val="en-US"/>
        </w:rPr>
        <w:t>Flight Center.</w:t>
      </w:r>
      <w:r w:rsidR="0082054F">
        <w:rPr>
          <w:rFonts w:ascii="Times New Roman" w:hAnsi="Times New Roman" w:cs="Times New Roman"/>
          <w:sz w:val="14"/>
          <w:szCs w:val="14"/>
          <w:lang w:val="en-US"/>
        </w:rPr>
        <w:t xml:space="preserve"> </w:t>
      </w:r>
      <w:r w:rsidR="00820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thank Bouley et al. (2016) for helpfully including the paleotopographic file in their supplemental material to make some of these simulations plausible.  </w:t>
      </w:r>
      <w:r w:rsidR="00E17FF8">
        <w:rPr>
          <w:rFonts w:ascii="Times New Roman" w:eastAsia="Times New Roman" w:hAnsi="Times New Roman" w:cs="Times New Roman"/>
          <w:sz w:val="24"/>
          <w:szCs w:val="24"/>
        </w:rPr>
        <w:t xml:space="preserve">We thank Michael Mischna and an anonymous reviewer for their helpful comments that improved this manuscript.  </w:t>
      </w:r>
      <w:r>
        <w:rPr>
          <w:rFonts w:ascii="Times New Roman" w:eastAsia="Times New Roman" w:hAnsi="Times New Roman" w:cs="Times New Roman"/>
          <w:sz w:val="24"/>
          <w:szCs w:val="24"/>
        </w:rPr>
        <w:t xml:space="preserve">Model input and boundary condition files, rundecks (simulation setup files), and final output files are available here: </w:t>
      </w:r>
      <w:r w:rsidR="001F1DF3">
        <w:rPr>
          <w:rFonts w:ascii="Times New Roman" w:eastAsia="Times New Roman" w:hAnsi="Times New Roman" w:cs="Times New Roman"/>
          <w:sz w:val="24"/>
          <w:szCs w:val="24"/>
        </w:rPr>
        <w:t xml:space="preserve">doi: </w:t>
      </w:r>
      <w:r w:rsidR="006242C6" w:rsidRPr="006242C6">
        <w:rPr>
          <w:rFonts w:ascii="Times New Roman" w:eastAsia="Times New Roman" w:hAnsi="Times New Roman" w:cs="Times New Roman"/>
          <w:sz w:val="24"/>
          <w:szCs w:val="24"/>
        </w:rPr>
        <w:t>10.5281/zenodo.4926123</w:t>
      </w:r>
      <w:r w:rsidR="006242C6" w:rsidRPr="006242C6" w:rsidDel="006242C6">
        <w:rPr>
          <w:rFonts w:ascii="Times New Roman" w:eastAsia="Times New Roman" w:hAnsi="Times New Roman" w:cs="Times New Roman"/>
          <w:sz w:val="24"/>
          <w:szCs w:val="24"/>
        </w:rPr>
        <w:t xml:space="preserve"> </w:t>
      </w:r>
      <w:r w:rsidR="001F1DF3">
        <w:rPr>
          <w:rFonts w:ascii="Times New Roman" w:eastAsia="Times New Roman" w:hAnsi="Times New Roman" w:cs="Times New Roman"/>
          <w:sz w:val="24"/>
          <w:szCs w:val="24"/>
        </w:rPr>
        <w:t>(Guzewich et al., 2021)</w:t>
      </w:r>
      <w:r>
        <w:rPr>
          <w:rFonts w:ascii="Times New Roman" w:eastAsia="Times New Roman" w:hAnsi="Times New Roman" w:cs="Times New Roman"/>
          <w:sz w:val="24"/>
          <w:szCs w:val="24"/>
        </w:rPr>
        <w:t>.</w:t>
      </w:r>
      <w:r w:rsidR="004B58D9">
        <w:rPr>
          <w:rFonts w:ascii="Times New Roman" w:eastAsia="Times New Roman" w:hAnsi="Times New Roman" w:cs="Times New Roman"/>
          <w:sz w:val="24"/>
          <w:szCs w:val="24"/>
        </w:rPr>
        <w:t xml:space="preserve">  </w:t>
      </w:r>
    </w:p>
    <w:p w14:paraId="7B8972D2" w14:textId="77777777" w:rsidR="002E0C8E" w:rsidRDefault="004B55A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06D23B"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17BC09A9" w14:textId="77777777" w:rsidR="002E0C8E" w:rsidRDefault="002E0C8E">
      <w:pPr>
        <w:rPr>
          <w:rFonts w:ascii="Times New Roman" w:eastAsia="Times New Roman" w:hAnsi="Times New Roman" w:cs="Times New Roman"/>
          <w:sz w:val="24"/>
          <w:szCs w:val="24"/>
        </w:rPr>
      </w:pPr>
    </w:p>
    <w:p w14:paraId="23CB6546"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Abramopoulos, F., Rosenzweig, C., &amp; Choudhury, B. (1988). Improved Ground Hydrology Calculations for Global Climate Models (GCMs): Soil Water Movement and Evapotranspiration, Journal of Climate, 1(9), 921-941. doi:10.1175/1520-0442(1988)001&lt;0921:IGHCFG&gt;2.0.CO;2</w:t>
      </w:r>
    </w:p>
    <w:p w14:paraId="4CF8EFD7" w14:textId="77777777" w:rsidR="002E0C8E" w:rsidRDefault="002E0C8E">
      <w:pPr>
        <w:rPr>
          <w:rFonts w:ascii="Times New Roman" w:eastAsia="Times New Roman" w:hAnsi="Times New Roman" w:cs="Times New Roman"/>
          <w:sz w:val="24"/>
          <w:szCs w:val="24"/>
        </w:rPr>
      </w:pPr>
    </w:p>
    <w:p w14:paraId="0515FAE7"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Batalha, N., S.D. Domagal-Goldman, R. Ramirez and J.F. Kasting (2015), Testing the early Mars H2–CO2 greenhouse hypothesis with a 1-D photochemical model, Icarus, 258, 337-349, </w:t>
      </w:r>
      <w:hyperlink r:id="rId25">
        <w:r>
          <w:rPr>
            <w:rFonts w:ascii="Times New Roman" w:eastAsia="Times New Roman" w:hAnsi="Times New Roman" w:cs="Times New Roman"/>
            <w:sz w:val="24"/>
            <w:szCs w:val="24"/>
            <w:highlight w:val="white"/>
          </w:rPr>
          <w:t>https://doi.org/10.1016/j.icarus.2015.06.016</w:t>
        </w:r>
      </w:hyperlink>
      <w:r>
        <w:rPr>
          <w:rFonts w:ascii="Times New Roman" w:eastAsia="Times New Roman" w:hAnsi="Times New Roman" w:cs="Times New Roman"/>
          <w:sz w:val="24"/>
          <w:szCs w:val="24"/>
          <w:highlight w:val="white"/>
        </w:rPr>
        <w:t>.</w:t>
      </w:r>
    </w:p>
    <w:p w14:paraId="374723B2" w14:textId="77777777" w:rsidR="002E0C8E" w:rsidRDefault="002E0C8E">
      <w:pPr>
        <w:rPr>
          <w:rFonts w:ascii="Times New Roman" w:eastAsia="Times New Roman" w:hAnsi="Times New Roman" w:cs="Times New Roman"/>
          <w:sz w:val="24"/>
          <w:szCs w:val="24"/>
          <w:highlight w:val="white"/>
        </w:rPr>
      </w:pPr>
    </w:p>
    <w:p w14:paraId="3F312AD9"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Bouley, S., Baratoux, D., Matsuyama, 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(2016).</w:t>
      </w:r>
      <w:r>
        <w:rPr>
          <w:rFonts w:ascii="Times New Roman" w:eastAsia="Times New Roman" w:hAnsi="Times New Roman" w:cs="Times New Roman"/>
          <w:sz w:val="24"/>
          <w:szCs w:val="24"/>
          <w:highlight w:val="white"/>
        </w:rPr>
        <w:t xml:space="preserve"> Late Tharsis formation and implications for early Mars,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531, </w:t>
      </w:r>
      <w:r>
        <w:rPr>
          <w:rFonts w:ascii="Times New Roman" w:eastAsia="Times New Roman" w:hAnsi="Times New Roman" w:cs="Times New Roman"/>
          <w:sz w:val="24"/>
          <w:szCs w:val="24"/>
          <w:highlight w:val="white"/>
        </w:rPr>
        <w:t xml:space="preserve">344–34, </w:t>
      </w:r>
      <w:hyperlink r:id="rId26">
        <w:r>
          <w:rPr>
            <w:rFonts w:ascii="Times New Roman" w:eastAsia="Times New Roman" w:hAnsi="Times New Roman" w:cs="Times New Roman"/>
            <w:sz w:val="24"/>
            <w:szCs w:val="24"/>
            <w:highlight w:val="white"/>
          </w:rPr>
          <w:t>https://doi.org/10.1038/nature17171</w:t>
        </w:r>
      </w:hyperlink>
      <w:r>
        <w:rPr>
          <w:rFonts w:ascii="Times New Roman" w:eastAsia="Times New Roman" w:hAnsi="Times New Roman" w:cs="Times New Roman"/>
          <w:sz w:val="24"/>
          <w:szCs w:val="24"/>
          <w:highlight w:val="white"/>
        </w:rPr>
        <w:t>.</w:t>
      </w:r>
    </w:p>
    <w:p w14:paraId="5C458FBC" w14:textId="77777777" w:rsidR="002E0C8E" w:rsidRDefault="002E0C8E">
      <w:pPr>
        <w:rPr>
          <w:rFonts w:ascii="Times New Roman" w:eastAsia="Times New Roman" w:hAnsi="Times New Roman" w:cs="Times New Roman"/>
          <w:sz w:val="24"/>
          <w:szCs w:val="24"/>
          <w:highlight w:val="white"/>
        </w:rPr>
      </w:pPr>
    </w:p>
    <w:p w14:paraId="73A81562"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Bouley, S., Baratoux, D., Paulien, N., Missenard, Y., Saint-Bézar, B. (2017), The revised tectonic history of Tharsis, Earth and Planetary Science Letters, 488, 126-133, </w:t>
      </w:r>
      <w:hyperlink r:id="rId27">
        <w:r>
          <w:rPr>
            <w:rFonts w:ascii="Times New Roman" w:eastAsia="Times New Roman" w:hAnsi="Times New Roman" w:cs="Times New Roman"/>
            <w:sz w:val="24"/>
            <w:szCs w:val="24"/>
            <w:highlight w:val="white"/>
          </w:rPr>
          <w:t>https://doi.org/10.1016/j.epsl.2018.02.019</w:t>
        </w:r>
      </w:hyperlink>
      <w:r>
        <w:rPr>
          <w:rFonts w:ascii="Times New Roman" w:eastAsia="Times New Roman" w:hAnsi="Times New Roman" w:cs="Times New Roman"/>
          <w:sz w:val="24"/>
          <w:szCs w:val="24"/>
          <w:highlight w:val="white"/>
        </w:rPr>
        <w:t xml:space="preserve">.  </w:t>
      </w:r>
    </w:p>
    <w:p w14:paraId="124934A2" w14:textId="77777777" w:rsidR="002E0C8E" w:rsidRDefault="002E0C8E">
      <w:pPr>
        <w:rPr>
          <w:rFonts w:ascii="Times New Roman" w:eastAsia="Times New Roman" w:hAnsi="Times New Roman" w:cs="Times New Roman"/>
          <w:b/>
          <w:sz w:val="24"/>
          <w:szCs w:val="24"/>
          <w:highlight w:val="white"/>
        </w:rPr>
      </w:pPr>
    </w:p>
    <w:p w14:paraId="1D74F13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Bryne, B., and C. Goldblatt (2015), Diminished greenhouse warming from Archean methane due to solar absorption lines, Climate of the Past, 11, 559-570, doi:10.5194/cp-11-559-2015.</w:t>
      </w:r>
    </w:p>
    <w:p w14:paraId="2A566D99" w14:textId="77777777" w:rsidR="002E0C8E" w:rsidRDefault="002E0C8E">
      <w:pPr>
        <w:rPr>
          <w:rFonts w:ascii="Times New Roman" w:eastAsia="Times New Roman" w:hAnsi="Times New Roman" w:cs="Times New Roman"/>
          <w:sz w:val="24"/>
          <w:szCs w:val="24"/>
          <w:highlight w:val="white"/>
        </w:rPr>
      </w:pPr>
    </w:p>
    <w:p w14:paraId="50B75D4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Cassata, W., D.L. Schuster, P.R. Renne, and B.P. Weiss (2012), Trapped Ar isotopes in meteorite ALH 84001 indicate Mars did not have a thick ancient atmosphere. </w:t>
      </w:r>
      <w:r>
        <w:rPr>
          <w:rFonts w:ascii="Times New Roman" w:eastAsia="Times New Roman" w:hAnsi="Times New Roman" w:cs="Times New Roman"/>
          <w:i/>
          <w:color w:val="222222"/>
          <w:sz w:val="24"/>
          <w:szCs w:val="24"/>
        </w:rPr>
        <w:t xml:space="preserve">Icarus, </w:t>
      </w:r>
      <w:r>
        <w:rPr>
          <w:rFonts w:ascii="Times New Roman" w:eastAsia="Times New Roman" w:hAnsi="Times New Roman" w:cs="Times New Roman"/>
          <w:color w:val="222222"/>
          <w:sz w:val="24"/>
          <w:szCs w:val="24"/>
        </w:rPr>
        <w:t>221</w:t>
      </w:r>
      <w:r>
        <w:rPr>
          <w:rFonts w:ascii="Times New Roman" w:eastAsia="Times New Roman" w:hAnsi="Times New Roman" w:cs="Times New Roman"/>
          <w:color w:val="222222"/>
          <w:sz w:val="24"/>
          <w:szCs w:val="24"/>
          <w:highlight w:val="white"/>
        </w:rPr>
        <w:t xml:space="preserve">, 461–465, </w:t>
      </w:r>
      <w:hyperlink r:id="rId28">
        <w:r>
          <w:rPr>
            <w:rFonts w:ascii="Times New Roman" w:eastAsia="Times New Roman" w:hAnsi="Times New Roman" w:cs="Times New Roman"/>
            <w:sz w:val="24"/>
            <w:szCs w:val="24"/>
            <w:highlight w:val="white"/>
          </w:rPr>
          <w:t>https://doi.org/10.1016/j.icarus.2012.05.005</w:t>
        </w:r>
      </w:hyperlink>
      <w:r>
        <w:rPr>
          <w:rFonts w:ascii="Times New Roman" w:eastAsia="Times New Roman" w:hAnsi="Times New Roman" w:cs="Times New Roman"/>
          <w:sz w:val="24"/>
          <w:szCs w:val="24"/>
          <w:highlight w:val="white"/>
        </w:rPr>
        <w:t xml:space="preserve">.  </w:t>
      </w:r>
    </w:p>
    <w:p w14:paraId="25822657" w14:textId="77777777" w:rsidR="002E0C8E" w:rsidRDefault="002E0C8E">
      <w:pPr>
        <w:rPr>
          <w:rFonts w:ascii="Lora" w:eastAsia="Lora" w:hAnsi="Lora" w:cs="Lora"/>
          <w:color w:val="222222"/>
          <w:sz w:val="24"/>
          <w:szCs w:val="24"/>
          <w:highlight w:val="white"/>
        </w:rPr>
      </w:pPr>
    </w:p>
    <w:p w14:paraId="0D059E44" w14:textId="77777777" w:rsidR="002E0C8E" w:rsidRDefault="004B55A1">
      <w:pPr>
        <w:rPr>
          <w:rFonts w:ascii="Times New Roman" w:eastAsia="Times New Roman" w:hAnsi="Times New Roman" w:cs="Times New Roman"/>
          <w:color w:val="1C1D1E"/>
          <w:sz w:val="24"/>
          <w:szCs w:val="24"/>
        </w:rPr>
      </w:pPr>
      <w:r>
        <w:rPr>
          <w:rFonts w:ascii="Times New Roman" w:eastAsia="Times New Roman" w:hAnsi="Times New Roman" w:cs="Times New Roman"/>
          <w:color w:val="1C1D1E"/>
          <w:sz w:val="24"/>
          <w:szCs w:val="24"/>
        </w:rPr>
        <w:t xml:space="preserve">Carr, M. H. (1996), </w:t>
      </w:r>
      <w:r>
        <w:rPr>
          <w:rFonts w:ascii="Times New Roman" w:eastAsia="Times New Roman" w:hAnsi="Times New Roman" w:cs="Times New Roman"/>
          <w:i/>
          <w:color w:val="1C1D1E"/>
          <w:sz w:val="24"/>
          <w:szCs w:val="24"/>
        </w:rPr>
        <w:t>Water on Mars</w:t>
      </w:r>
      <w:r>
        <w:rPr>
          <w:rFonts w:ascii="Times New Roman" w:eastAsia="Times New Roman" w:hAnsi="Times New Roman" w:cs="Times New Roman"/>
          <w:color w:val="1C1D1E"/>
          <w:sz w:val="24"/>
          <w:szCs w:val="24"/>
        </w:rPr>
        <w:t>, 229 pp., Oxford Univ. Press, New York.</w:t>
      </w:r>
    </w:p>
    <w:p w14:paraId="2B955532" w14:textId="77777777" w:rsidR="002E0C8E" w:rsidRDefault="002E0C8E">
      <w:pPr>
        <w:rPr>
          <w:color w:val="1C1D1E"/>
          <w:sz w:val="21"/>
          <w:szCs w:val="21"/>
          <w:shd w:val="clear" w:color="auto" w:fill="EFEFF0"/>
        </w:rPr>
      </w:pPr>
    </w:p>
    <w:p w14:paraId="1AF22560"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Carter, J., Poulet, F., Bibring, J.‐P., Mangold, N., and Murchie, S. ( 2013),  Hydrous minerals on Mars as seen by the CRISM and OMEGA imaging spectrometers: Updated global view, </w:t>
      </w:r>
      <w:r>
        <w:rPr>
          <w:rFonts w:ascii="Times New Roman" w:eastAsia="Times New Roman" w:hAnsi="Times New Roman" w:cs="Times New Roman"/>
          <w:i/>
          <w:sz w:val="24"/>
          <w:szCs w:val="24"/>
          <w:highlight w:val="white"/>
        </w:rPr>
        <w:t>J. Geophys. Res. Planets</w:t>
      </w:r>
      <w:r>
        <w:rPr>
          <w:rFonts w:ascii="Times New Roman" w:eastAsia="Times New Roman" w:hAnsi="Times New Roman" w:cs="Times New Roman"/>
          <w:sz w:val="24"/>
          <w:szCs w:val="24"/>
          <w:highlight w:val="white"/>
        </w:rPr>
        <w:t xml:space="preserve">, 118,  831– 858, doi: </w:t>
      </w:r>
      <w:hyperlink r:id="rId29">
        <w:r>
          <w:rPr>
            <w:rFonts w:ascii="Times New Roman" w:eastAsia="Times New Roman" w:hAnsi="Times New Roman" w:cs="Times New Roman"/>
            <w:sz w:val="24"/>
            <w:szCs w:val="24"/>
            <w:highlight w:val="white"/>
          </w:rPr>
          <w:t>10.1029/2012JE004145</w:t>
        </w:r>
      </w:hyperlink>
      <w:r>
        <w:rPr>
          <w:rFonts w:ascii="Times New Roman" w:eastAsia="Times New Roman" w:hAnsi="Times New Roman" w:cs="Times New Roman"/>
          <w:sz w:val="24"/>
          <w:szCs w:val="24"/>
          <w:highlight w:val="white"/>
        </w:rPr>
        <w:t>.</w:t>
      </w:r>
    </w:p>
    <w:p w14:paraId="56908EEB" w14:textId="77777777" w:rsidR="002E0C8E" w:rsidRDefault="002E0C8E">
      <w:pPr>
        <w:rPr>
          <w:color w:val="1C1D1E"/>
          <w:sz w:val="21"/>
          <w:szCs w:val="21"/>
          <w:highlight w:val="white"/>
        </w:rPr>
      </w:pPr>
    </w:p>
    <w:p w14:paraId="02C7AC4F"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Cassanelli JP, Head JW III (2015), Firn densification in a Late Noachian “icy highlands” Mars: implications for ice sheet evolution and thermal response, </w:t>
      </w:r>
      <w:r>
        <w:rPr>
          <w:rFonts w:ascii="Times New Roman" w:eastAsia="Times New Roman" w:hAnsi="Times New Roman" w:cs="Times New Roman"/>
          <w:i/>
          <w:color w:val="333333"/>
          <w:sz w:val="24"/>
          <w:szCs w:val="24"/>
          <w:highlight w:val="white"/>
        </w:rPr>
        <w:t>Icarus</w:t>
      </w:r>
      <w:r>
        <w:rPr>
          <w:rFonts w:ascii="Times New Roman" w:eastAsia="Times New Roman" w:hAnsi="Times New Roman" w:cs="Times New Roman"/>
          <w:color w:val="333333"/>
          <w:sz w:val="24"/>
          <w:szCs w:val="24"/>
          <w:highlight w:val="white"/>
        </w:rPr>
        <w:t xml:space="preserve"> 253:243–55, </w:t>
      </w:r>
      <w:hyperlink r:id="rId30">
        <w:r>
          <w:rPr>
            <w:rFonts w:ascii="Times New Roman" w:eastAsia="Times New Roman" w:hAnsi="Times New Roman" w:cs="Times New Roman"/>
            <w:sz w:val="24"/>
            <w:szCs w:val="24"/>
            <w:highlight w:val="white"/>
          </w:rPr>
          <w:t>https://doi.org/10.1016/j.icarus.2015.03.004</w:t>
        </w:r>
      </w:hyperlink>
      <w:r>
        <w:rPr>
          <w:rFonts w:ascii="Times New Roman" w:eastAsia="Times New Roman" w:hAnsi="Times New Roman" w:cs="Times New Roman"/>
          <w:sz w:val="24"/>
          <w:szCs w:val="24"/>
          <w:highlight w:val="white"/>
        </w:rPr>
        <w:t xml:space="preserve">.  </w:t>
      </w:r>
    </w:p>
    <w:p w14:paraId="412A0B7F" w14:textId="77777777" w:rsidR="002E0C8E" w:rsidRDefault="002E0C8E">
      <w:pPr>
        <w:rPr>
          <w:color w:val="333333"/>
          <w:sz w:val="20"/>
          <w:szCs w:val="20"/>
          <w:highlight w:val="white"/>
        </w:rPr>
      </w:pPr>
    </w:p>
    <w:p w14:paraId="7E1F72B6" w14:textId="77777777" w:rsidR="00A84937" w:rsidRPr="00A84937" w:rsidRDefault="00A84937" w:rsidP="00A84937">
      <w:pPr>
        <w:spacing w:line="240" w:lineRule="auto"/>
        <w:rPr>
          <w:rFonts w:ascii="Times New Roman" w:eastAsia="Times New Roman" w:hAnsi="Times New Roman" w:cs="Times New Roman"/>
          <w:sz w:val="24"/>
          <w:szCs w:val="24"/>
          <w:lang w:val="en-US"/>
        </w:rPr>
      </w:pPr>
      <w:r w:rsidRPr="00A84937">
        <w:rPr>
          <w:rFonts w:ascii="Times New Roman" w:eastAsia="Times New Roman" w:hAnsi="Times New Roman" w:cs="Times New Roman"/>
          <w:color w:val="000000"/>
          <w:sz w:val="24"/>
          <w:szCs w:val="24"/>
          <w:shd w:val="clear" w:color="auto" w:fill="FFFFFF"/>
          <w:lang w:val="en-US"/>
        </w:rPr>
        <w:t>Citron, R. I., Manga, M., and Hemingway, D. J. (2018). Timing of oceans on Mars from shoreline deformation. Nature, 555(7698):643-646.</w:t>
      </w:r>
    </w:p>
    <w:p w14:paraId="58168758" w14:textId="77777777" w:rsidR="00A84937" w:rsidRDefault="00A84937">
      <w:pPr>
        <w:rPr>
          <w:rFonts w:ascii="Times New Roman" w:eastAsia="Times New Roman" w:hAnsi="Times New Roman" w:cs="Times New Roman"/>
          <w:sz w:val="24"/>
          <w:szCs w:val="24"/>
          <w:highlight w:val="white"/>
        </w:rPr>
      </w:pPr>
    </w:p>
    <w:p w14:paraId="0507D4D8" w14:textId="72CDB145"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Claire, M.W., Sheets, J., Cohen, M., Ribas, I., Meadows, V.S., &amp; Catling, D. (2012) “The Evolution of Solar Flux From 0.1 nm to 160 µm: Quantitative Estimates for Planetary Studies.”  </w:t>
      </w:r>
      <w:r>
        <w:rPr>
          <w:rFonts w:ascii="Times New Roman" w:eastAsia="Times New Roman" w:hAnsi="Times New Roman" w:cs="Times New Roman"/>
          <w:i/>
          <w:sz w:val="24"/>
          <w:szCs w:val="24"/>
          <w:highlight w:val="white"/>
        </w:rPr>
        <w:t>The Astrophysical Journal</w:t>
      </w:r>
      <w:r>
        <w:rPr>
          <w:rFonts w:ascii="Times New Roman" w:eastAsia="Times New Roman" w:hAnsi="Times New Roman" w:cs="Times New Roman"/>
          <w:sz w:val="24"/>
          <w:szCs w:val="24"/>
          <w:highlight w:val="white"/>
        </w:rPr>
        <w:t xml:space="preserve"> 757:95 (12pp) </w:t>
      </w:r>
    </w:p>
    <w:p w14:paraId="187D1473" w14:textId="77777777" w:rsidR="002E0C8E" w:rsidRDefault="002E0C8E">
      <w:pPr>
        <w:rPr>
          <w:rFonts w:ascii="Times New Roman" w:eastAsia="Times New Roman" w:hAnsi="Times New Roman" w:cs="Times New Roman"/>
          <w:sz w:val="24"/>
          <w:szCs w:val="24"/>
          <w:highlight w:val="white"/>
        </w:rPr>
      </w:pPr>
    </w:p>
    <w:p w14:paraId="1186392D" w14:textId="77777777" w:rsidR="002E0C8E" w:rsidRDefault="004B55A1">
      <w:pPr>
        <w:rPr>
          <w:rFonts w:ascii="Times New Roman" w:eastAsia="Times New Roman" w:hAnsi="Times New Roman" w:cs="Times New Roman"/>
          <w:sz w:val="24"/>
          <w:szCs w:val="24"/>
          <w:shd w:val="clear" w:color="auto" w:fill="EFEFF0"/>
        </w:rPr>
      </w:pPr>
      <w:r>
        <w:rPr>
          <w:rFonts w:ascii="Times New Roman" w:eastAsia="Times New Roman" w:hAnsi="Times New Roman" w:cs="Times New Roman"/>
          <w:color w:val="1C1D1E"/>
          <w:sz w:val="24"/>
          <w:szCs w:val="24"/>
        </w:rPr>
        <w:t xml:space="preserve">Clancy, R., A. W. Grossman, M. J. Wolff, P. B. James, D. J. Rudy, Y. N. Billawala, B. J. Sandor, S. W. Lee, and D. O. Muhleman(1996), Water vapor saturation at low altitudes around Mars aphelion: A key to Mars climate, </w:t>
      </w:r>
      <w:r>
        <w:rPr>
          <w:rFonts w:ascii="Times New Roman" w:eastAsia="Times New Roman" w:hAnsi="Times New Roman" w:cs="Times New Roman"/>
          <w:i/>
          <w:color w:val="1C1D1E"/>
          <w:sz w:val="24"/>
          <w:szCs w:val="24"/>
        </w:rPr>
        <w:t>Icarus</w:t>
      </w:r>
      <w:r>
        <w:rPr>
          <w:rFonts w:ascii="Times New Roman" w:eastAsia="Times New Roman" w:hAnsi="Times New Roman" w:cs="Times New Roman"/>
          <w:color w:val="1C1D1E"/>
          <w:sz w:val="24"/>
          <w:szCs w:val="24"/>
        </w:rPr>
        <w:t>, 122, 36–62</w:t>
      </w:r>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sz w:val="24"/>
            <w:szCs w:val="24"/>
          </w:rPr>
          <w:t>https://doi.org/10.1006/icar.1996.0108</w:t>
        </w:r>
      </w:hyperlink>
      <w:r>
        <w:rPr>
          <w:rFonts w:ascii="Times New Roman" w:eastAsia="Times New Roman" w:hAnsi="Times New Roman" w:cs="Times New Roman"/>
          <w:sz w:val="24"/>
          <w:szCs w:val="24"/>
          <w:shd w:val="clear" w:color="auto" w:fill="EFEFF0"/>
        </w:rPr>
        <w:t>.</w:t>
      </w:r>
    </w:p>
    <w:p w14:paraId="654C2C11" w14:textId="77777777" w:rsidR="002E0C8E" w:rsidRDefault="002E0C8E">
      <w:pPr>
        <w:rPr>
          <w:color w:val="1C1D1E"/>
          <w:sz w:val="21"/>
          <w:szCs w:val="21"/>
          <w:shd w:val="clear" w:color="auto" w:fill="EFEFF0"/>
        </w:rPr>
      </w:pPr>
    </w:p>
    <w:p w14:paraId="36437546" w14:textId="77777777" w:rsidR="002E0C8E" w:rsidRDefault="004B55A1">
      <w:pPr>
        <w:rPr>
          <w:rFonts w:ascii="Times New Roman" w:eastAsia="Times New Roman" w:hAnsi="Times New Roman" w:cs="Times New Roman"/>
          <w:color w:val="1C1D1E"/>
          <w:sz w:val="24"/>
          <w:szCs w:val="24"/>
        </w:rPr>
      </w:pPr>
      <w:r>
        <w:rPr>
          <w:rFonts w:ascii="Times New Roman" w:eastAsia="Times New Roman" w:hAnsi="Times New Roman" w:cs="Times New Roman"/>
          <w:color w:val="1C1D1E"/>
          <w:sz w:val="24"/>
          <w:szCs w:val="24"/>
        </w:rPr>
        <w:t xml:space="preserve">Clough, S. A., Shephard, M. W., Mlawer, E. J., Delamre, J. S., Iacono, M. J., Cady-Pereira, K., Boukabara, S., and Brown, P. D. (2005), Atmospheric radiative trasnfer modeling: a summary of the AER codes. </w:t>
      </w:r>
      <w:r>
        <w:rPr>
          <w:rFonts w:ascii="Times New Roman" w:eastAsia="Times New Roman" w:hAnsi="Times New Roman" w:cs="Times New Roman"/>
          <w:i/>
          <w:color w:val="1C1D1E"/>
          <w:sz w:val="24"/>
          <w:szCs w:val="24"/>
        </w:rPr>
        <w:t xml:space="preserve">J. Quant. Spec. Rad. Trans. </w:t>
      </w:r>
      <w:r>
        <w:rPr>
          <w:rFonts w:ascii="Times New Roman" w:eastAsia="Times New Roman" w:hAnsi="Times New Roman" w:cs="Times New Roman"/>
          <w:color w:val="1C1D1E"/>
          <w:sz w:val="24"/>
          <w:szCs w:val="24"/>
        </w:rPr>
        <w:t>91, 233-244. doi:10.1016/j.jqsrt.2004.05.058</w:t>
      </w:r>
    </w:p>
    <w:p w14:paraId="54F6C3E3" w14:textId="77777777" w:rsidR="002E0C8E" w:rsidRDefault="002E0C8E">
      <w:pPr>
        <w:rPr>
          <w:color w:val="1C1D1E"/>
          <w:sz w:val="21"/>
          <w:szCs w:val="21"/>
        </w:rPr>
      </w:pPr>
    </w:p>
    <w:p w14:paraId="162369B3" w14:textId="6CE6FDE9" w:rsidR="00C162C2" w:rsidRDefault="00C162C2" w:rsidP="00AC6DFC">
      <w:pPr>
        <w:spacing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Del Genio, A.D., J. Wu, A.B. Wolf, Y., Chen, M.-S. Yao, and D. Kim (2015), Constraints on Cumulus Parameterization from Simulations of Observed MJO Events, Journal of Climate, 28(16), 6419-6442, </w:t>
      </w:r>
      <w:hyperlink r:id="rId32" w:history="1">
        <w:r w:rsidRPr="00260EE1">
          <w:rPr>
            <w:rStyle w:val="Hyperlink"/>
            <w:rFonts w:ascii="Times New Roman" w:eastAsia="Times New Roman" w:hAnsi="Times New Roman" w:cs="Times New Roman"/>
            <w:sz w:val="24"/>
            <w:szCs w:val="24"/>
            <w:lang w:val="en-US"/>
          </w:rPr>
          <w:t>https://doi.org/10.1175/JCLI-D-14-00832.1</w:t>
        </w:r>
      </w:hyperlink>
      <w:r>
        <w:rPr>
          <w:rFonts w:ascii="Times New Roman" w:eastAsia="Times New Roman" w:hAnsi="Times New Roman" w:cs="Times New Roman"/>
          <w:color w:val="000000"/>
          <w:sz w:val="24"/>
          <w:szCs w:val="24"/>
          <w:lang w:val="en-US"/>
        </w:rPr>
        <w:t>.</w:t>
      </w:r>
    </w:p>
    <w:p w14:paraId="7ED735C7" w14:textId="77777777" w:rsidR="00C162C2" w:rsidRDefault="00C162C2" w:rsidP="00AC6DFC">
      <w:pPr>
        <w:spacing w:line="240" w:lineRule="auto"/>
        <w:rPr>
          <w:rFonts w:ascii="Times New Roman" w:eastAsia="Times New Roman" w:hAnsi="Times New Roman" w:cs="Times New Roman"/>
          <w:color w:val="000000"/>
          <w:sz w:val="24"/>
          <w:szCs w:val="24"/>
          <w:lang w:val="en-US"/>
        </w:rPr>
      </w:pPr>
    </w:p>
    <w:p w14:paraId="25545083" w14:textId="15165E11" w:rsidR="00AC6DFC" w:rsidRPr="00AC6DFC" w:rsidRDefault="00AC6DFC" w:rsidP="00AC6DFC">
      <w:pPr>
        <w:spacing w:line="240" w:lineRule="auto"/>
        <w:rPr>
          <w:rFonts w:ascii="Times New Roman" w:eastAsia="Times New Roman" w:hAnsi="Times New Roman" w:cs="Times New Roman"/>
          <w:sz w:val="24"/>
          <w:szCs w:val="24"/>
          <w:lang w:val="en-US"/>
        </w:rPr>
      </w:pPr>
      <w:r w:rsidRPr="00EF09FF">
        <w:rPr>
          <w:rFonts w:ascii="Times New Roman" w:eastAsia="Times New Roman" w:hAnsi="Times New Roman" w:cs="Times New Roman"/>
          <w:color w:val="000000"/>
          <w:sz w:val="24"/>
          <w:szCs w:val="24"/>
          <w:lang w:val="en-US"/>
        </w:rPr>
        <w:t>Del Genio, A.D.</w:t>
      </w:r>
      <w:r w:rsidRPr="00EF09FF">
        <w:rPr>
          <w:rFonts w:ascii="Times New Roman" w:eastAsia="Times New Roman" w:hAnsi="Times New Roman" w:cs="Times New Roman"/>
          <w:color w:val="000000"/>
          <w:sz w:val="24"/>
          <w:szCs w:val="24"/>
          <w:shd w:val="clear" w:color="auto" w:fill="FFFFFF"/>
          <w:lang w:val="en-US"/>
        </w:rPr>
        <w:t>, </w:t>
      </w:r>
      <w:r w:rsidRPr="00EF09FF">
        <w:rPr>
          <w:rFonts w:ascii="Times New Roman" w:eastAsia="Times New Roman" w:hAnsi="Times New Roman" w:cs="Times New Roman"/>
          <w:color w:val="000000"/>
          <w:sz w:val="24"/>
          <w:szCs w:val="24"/>
          <w:lang w:val="en-US"/>
        </w:rPr>
        <w:t>M.J. Way</w:t>
      </w:r>
      <w:r w:rsidRPr="00EF09FF">
        <w:rPr>
          <w:rFonts w:ascii="Times New Roman" w:eastAsia="Times New Roman" w:hAnsi="Times New Roman" w:cs="Times New Roman"/>
          <w:color w:val="000000"/>
          <w:sz w:val="24"/>
          <w:szCs w:val="24"/>
          <w:shd w:val="clear" w:color="auto" w:fill="FFFFFF"/>
          <w:lang w:val="en-US"/>
        </w:rPr>
        <w:t>, </w:t>
      </w:r>
      <w:r w:rsidRPr="00EF09FF">
        <w:rPr>
          <w:rFonts w:ascii="Times New Roman" w:eastAsia="Times New Roman" w:hAnsi="Times New Roman" w:cs="Times New Roman"/>
          <w:color w:val="000000"/>
          <w:sz w:val="24"/>
          <w:szCs w:val="24"/>
          <w:lang w:val="en-US"/>
        </w:rPr>
        <w:t>D.S. Amundsen</w:t>
      </w:r>
      <w:r w:rsidRPr="00EF09FF">
        <w:rPr>
          <w:rFonts w:ascii="Times New Roman" w:eastAsia="Times New Roman" w:hAnsi="Times New Roman" w:cs="Times New Roman"/>
          <w:color w:val="000000"/>
          <w:sz w:val="24"/>
          <w:szCs w:val="24"/>
          <w:shd w:val="clear" w:color="auto" w:fill="FFFFFF"/>
          <w:lang w:val="en-US"/>
        </w:rPr>
        <w:t>, </w:t>
      </w:r>
      <w:r w:rsidRPr="00EF09FF">
        <w:rPr>
          <w:rFonts w:ascii="Times New Roman" w:eastAsia="Times New Roman" w:hAnsi="Times New Roman" w:cs="Times New Roman"/>
          <w:color w:val="000000"/>
          <w:sz w:val="24"/>
          <w:szCs w:val="24"/>
          <w:lang w:val="en-US"/>
        </w:rPr>
        <w:t>I. Aleinov</w:t>
      </w:r>
      <w:r w:rsidRPr="00EF09FF">
        <w:rPr>
          <w:rFonts w:ascii="Times New Roman" w:eastAsia="Times New Roman" w:hAnsi="Times New Roman" w:cs="Times New Roman"/>
          <w:color w:val="000000"/>
          <w:sz w:val="24"/>
          <w:szCs w:val="24"/>
          <w:shd w:val="clear" w:color="auto" w:fill="FFFFFF"/>
          <w:lang w:val="en-US"/>
        </w:rPr>
        <w:t>, </w:t>
      </w:r>
      <w:r w:rsidRPr="00EF09FF">
        <w:rPr>
          <w:rFonts w:ascii="Times New Roman" w:eastAsia="Times New Roman" w:hAnsi="Times New Roman" w:cs="Times New Roman"/>
          <w:color w:val="000000"/>
          <w:sz w:val="24"/>
          <w:szCs w:val="24"/>
          <w:lang w:val="en-US"/>
        </w:rPr>
        <w:t>M. Kelley</w:t>
      </w:r>
      <w:r w:rsidRPr="00EF09FF">
        <w:rPr>
          <w:rFonts w:ascii="Times New Roman" w:eastAsia="Times New Roman" w:hAnsi="Times New Roman" w:cs="Times New Roman"/>
          <w:color w:val="000000"/>
          <w:sz w:val="24"/>
          <w:szCs w:val="24"/>
          <w:shd w:val="clear" w:color="auto" w:fill="FFFFFF"/>
          <w:lang w:val="en-US"/>
        </w:rPr>
        <w:t>, </w:t>
      </w:r>
      <w:r w:rsidRPr="00EF09FF">
        <w:rPr>
          <w:rFonts w:ascii="Times New Roman" w:eastAsia="Times New Roman" w:hAnsi="Times New Roman" w:cs="Times New Roman"/>
          <w:color w:val="000000"/>
          <w:sz w:val="24"/>
          <w:szCs w:val="24"/>
          <w:lang w:val="en-US"/>
        </w:rPr>
        <w:t>N.Y. Kiang</w:t>
      </w:r>
      <w:r w:rsidRPr="00EF09FF">
        <w:rPr>
          <w:rFonts w:ascii="Times New Roman" w:eastAsia="Times New Roman" w:hAnsi="Times New Roman" w:cs="Times New Roman"/>
          <w:color w:val="000000"/>
          <w:sz w:val="24"/>
          <w:szCs w:val="24"/>
          <w:shd w:val="clear" w:color="auto" w:fill="FFFFFF"/>
          <w:lang w:val="en-US"/>
        </w:rPr>
        <w:t xml:space="preserve">, and T.L. Clune, </w:t>
      </w:r>
      <w:r>
        <w:rPr>
          <w:rFonts w:ascii="Times New Roman" w:eastAsia="Times New Roman" w:hAnsi="Times New Roman" w:cs="Times New Roman"/>
          <w:color w:val="000000"/>
          <w:sz w:val="24"/>
          <w:szCs w:val="24"/>
          <w:shd w:val="clear" w:color="auto" w:fill="FFFFFF"/>
          <w:lang w:val="en-US"/>
        </w:rPr>
        <w:t>(</w:t>
      </w:r>
      <w:r w:rsidRPr="00EF09FF">
        <w:rPr>
          <w:rFonts w:ascii="Times New Roman" w:eastAsia="Times New Roman" w:hAnsi="Times New Roman" w:cs="Times New Roman"/>
          <w:color w:val="000000"/>
          <w:sz w:val="24"/>
          <w:szCs w:val="24"/>
          <w:shd w:val="clear" w:color="auto" w:fill="FFFFFF"/>
          <w:lang w:val="en-US"/>
        </w:rPr>
        <w:t>2019</w:t>
      </w:r>
      <w:r>
        <w:rPr>
          <w:rFonts w:ascii="Times New Roman" w:eastAsia="Times New Roman" w:hAnsi="Times New Roman" w:cs="Times New Roman"/>
          <w:color w:val="000000"/>
          <w:sz w:val="24"/>
          <w:szCs w:val="24"/>
          <w:shd w:val="clear" w:color="auto" w:fill="FFFFFF"/>
          <w:lang w:val="en-US"/>
        </w:rPr>
        <w:t>),</w:t>
      </w:r>
      <w:r w:rsidRPr="00EF09FF">
        <w:rPr>
          <w:rFonts w:ascii="Times New Roman" w:eastAsia="Times New Roman" w:hAnsi="Times New Roman" w:cs="Times New Roman"/>
          <w:color w:val="000000"/>
          <w:sz w:val="24"/>
          <w:szCs w:val="24"/>
          <w:shd w:val="clear" w:color="auto" w:fill="FFFFFF"/>
          <w:lang w:val="en-US"/>
        </w:rPr>
        <w:t xml:space="preserve"> Habitable climate scenarios for Proxima Centauri b with a dynamic ocean. </w:t>
      </w:r>
      <w:r w:rsidRPr="00EF09FF">
        <w:rPr>
          <w:rFonts w:ascii="Times New Roman" w:eastAsia="Times New Roman" w:hAnsi="Times New Roman" w:cs="Times New Roman"/>
          <w:i/>
          <w:iCs/>
          <w:color w:val="000000"/>
          <w:sz w:val="24"/>
          <w:szCs w:val="24"/>
          <w:lang w:val="en-US"/>
        </w:rPr>
        <w:t>Astrobiology</w:t>
      </w:r>
      <w:r w:rsidRPr="00EF09FF">
        <w:rPr>
          <w:rFonts w:ascii="Times New Roman" w:eastAsia="Times New Roman" w:hAnsi="Times New Roman" w:cs="Times New Roman"/>
          <w:color w:val="000000"/>
          <w:sz w:val="24"/>
          <w:szCs w:val="24"/>
          <w:shd w:val="clear" w:color="auto" w:fill="FFFFFF"/>
          <w:lang w:val="en-US"/>
        </w:rPr>
        <w:t>, </w:t>
      </w:r>
      <w:r w:rsidRPr="00EF09FF">
        <w:rPr>
          <w:rFonts w:ascii="Times New Roman" w:eastAsia="Times New Roman" w:hAnsi="Times New Roman" w:cs="Times New Roman"/>
          <w:b/>
          <w:bCs/>
          <w:color w:val="000000"/>
          <w:sz w:val="24"/>
          <w:szCs w:val="24"/>
          <w:lang w:val="en-US"/>
        </w:rPr>
        <w:t>19</w:t>
      </w:r>
      <w:r w:rsidRPr="00EF09FF">
        <w:rPr>
          <w:rFonts w:ascii="Times New Roman" w:eastAsia="Times New Roman" w:hAnsi="Times New Roman" w:cs="Times New Roman"/>
          <w:color w:val="000000"/>
          <w:sz w:val="24"/>
          <w:szCs w:val="24"/>
          <w:shd w:val="clear" w:color="auto" w:fill="FFFFFF"/>
          <w:lang w:val="en-US"/>
        </w:rPr>
        <w:t>, no. 1, 99-125, doi:10.1089/ast.2017.1760.</w:t>
      </w:r>
    </w:p>
    <w:p w14:paraId="2DCB6A09" w14:textId="77777777" w:rsidR="00AC6DFC" w:rsidRDefault="00AC6DFC">
      <w:pPr>
        <w:rPr>
          <w:rFonts w:ascii="Times New Roman" w:eastAsia="Times New Roman" w:hAnsi="Times New Roman" w:cs="Times New Roman"/>
          <w:sz w:val="24"/>
          <w:szCs w:val="24"/>
          <w:highlight w:val="white"/>
        </w:rPr>
      </w:pPr>
    </w:p>
    <w:p w14:paraId="19C5C3EB" w14:textId="408E4A76"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Di Achille, G. and B.M. Hynek (2010), Ancient ocean on Mars supported by global distribution of deltas and valleys, Nature Geoscience, 3, 459–463, </w:t>
      </w:r>
      <w:hyperlink r:id="rId33">
        <w:r>
          <w:rPr>
            <w:rFonts w:ascii="Times New Roman" w:eastAsia="Times New Roman" w:hAnsi="Times New Roman" w:cs="Times New Roman"/>
            <w:sz w:val="24"/>
            <w:szCs w:val="24"/>
            <w:highlight w:val="white"/>
            <w:u w:val="single"/>
          </w:rPr>
          <w:t>https://doi.org/10.1038/ngeo891</w:t>
        </w:r>
      </w:hyperlink>
      <w:r>
        <w:rPr>
          <w:rFonts w:ascii="Times New Roman" w:eastAsia="Times New Roman" w:hAnsi="Times New Roman" w:cs="Times New Roman"/>
          <w:sz w:val="24"/>
          <w:szCs w:val="24"/>
          <w:highlight w:val="white"/>
        </w:rPr>
        <w:t>.</w:t>
      </w:r>
    </w:p>
    <w:p w14:paraId="52F9C9CA" w14:textId="77777777" w:rsidR="002E0C8E" w:rsidRDefault="002E0C8E">
      <w:pPr>
        <w:rPr>
          <w:rFonts w:ascii="Times New Roman" w:eastAsia="Times New Roman" w:hAnsi="Times New Roman" w:cs="Times New Roman"/>
          <w:sz w:val="24"/>
          <w:szCs w:val="24"/>
          <w:highlight w:val="white"/>
        </w:rPr>
      </w:pPr>
    </w:p>
    <w:p w14:paraId="4C999E50" w14:textId="7271D15E" w:rsidR="008C1161" w:rsidRDefault="008C116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Edwards, J.M., S.Havemann, J.-C. Thelen, and A.J. Baran (2007), A new parameterization for the radiative properties of ice crystals: Comparison with existing schemes and impact in a GCM, Atmospheric Research, 83(1), 19-35, </w:t>
      </w:r>
      <w:hyperlink r:id="rId34" w:history="1">
        <w:r w:rsidRPr="00260EE1">
          <w:rPr>
            <w:rStyle w:val="Hyperlink"/>
            <w:rFonts w:ascii="Times New Roman" w:eastAsia="Times New Roman" w:hAnsi="Times New Roman" w:cs="Times New Roman"/>
            <w:sz w:val="24"/>
            <w:szCs w:val="24"/>
            <w:highlight w:val="white"/>
          </w:rPr>
          <w:t>https://doi.org/10.1016/j.atmosres.2006.03.002</w:t>
        </w:r>
      </w:hyperlink>
      <w:r>
        <w:rPr>
          <w:rFonts w:ascii="Times New Roman" w:eastAsia="Times New Roman" w:hAnsi="Times New Roman" w:cs="Times New Roman"/>
          <w:sz w:val="24"/>
          <w:szCs w:val="24"/>
          <w:highlight w:val="white"/>
        </w:rPr>
        <w:t>.</w:t>
      </w:r>
    </w:p>
    <w:p w14:paraId="084B4B3B" w14:textId="77777777" w:rsidR="008C1161" w:rsidRDefault="008C1161">
      <w:pPr>
        <w:rPr>
          <w:rFonts w:ascii="Times New Roman" w:eastAsia="Times New Roman" w:hAnsi="Times New Roman" w:cs="Times New Roman"/>
          <w:sz w:val="24"/>
          <w:szCs w:val="24"/>
          <w:highlight w:val="white"/>
        </w:rPr>
      </w:pPr>
    </w:p>
    <w:p w14:paraId="53BF25CB" w14:textId="156E8965"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Ehlmann, B., Mustard, J., Murchie, 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Subsurface water and clay mineral formation during the early history of Mars. </w:t>
      </w:r>
      <w:r>
        <w:rPr>
          <w:rFonts w:ascii="Times New Roman" w:eastAsia="Times New Roman" w:hAnsi="Times New Roman" w:cs="Times New Roman"/>
          <w:i/>
          <w:sz w:val="24"/>
          <w:szCs w:val="24"/>
          <w:highlight w:val="white"/>
        </w:rPr>
        <w:t>Nature</w:t>
      </w:r>
      <w:r>
        <w:rPr>
          <w:rFonts w:ascii="Times New Roman" w:eastAsia="Times New Roman" w:hAnsi="Times New Roman" w:cs="Times New Roman"/>
          <w:sz w:val="24"/>
          <w:szCs w:val="24"/>
          <w:highlight w:val="white"/>
        </w:rPr>
        <w:t xml:space="preserve"> 479, 53–60 (2011). </w:t>
      </w:r>
      <w:hyperlink r:id="rId35">
        <w:r>
          <w:rPr>
            <w:rFonts w:ascii="Times New Roman" w:eastAsia="Times New Roman" w:hAnsi="Times New Roman" w:cs="Times New Roman"/>
            <w:sz w:val="24"/>
            <w:szCs w:val="24"/>
            <w:highlight w:val="white"/>
          </w:rPr>
          <w:t>https://doi.org/10.1038/nature10582</w:t>
        </w:r>
      </w:hyperlink>
      <w:r>
        <w:rPr>
          <w:rFonts w:ascii="Times New Roman" w:eastAsia="Times New Roman" w:hAnsi="Times New Roman" w:cs="Times New Roman"/>
          <w:sz w:val="24"/>
          <w:szCs w:val="24"/>
          <w:highlight w:val="white"/>
        </w:rPr>
        <w:t>.</w:t>
      </w:r>
    </w:p>
    <w:p w14:paraId="6719CDA9" w14:textId="77777777" w:rsidR="002E0C8E" w:rsidRDefault="002E0C8E">
      <w:pPr>
        <w:rPr>
          <w:rFonts w:ascii="Roboto" w:eastAsia="Roboto" w:hAnsi="Roboto" w:cs="Roboto"/>
          <w:color w:val="222222"/>
          <w:sz w:val="24"/>
          <w:szCs w:val="24"/>
          <w:highlight w:val="white"/>
        </w:rPr>
      </w:pPr>
    </w:p>
    <w:p w14:paraId="63F3C254"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Fassett, C. I., and  Head, J. W. ( 2005),  Fluvial sedimentary deposits on Mars: Ancient deltas in a crater lake in the Nili Fossae region, </w:t>
      </w:r>
      <w:r>
        <w:rPr>
          <w:rFonts w:ascii="Times New Roman" w:eastAsia="Times New Roman" w:hAnsi="Times New Roman" w:cs="Times New Roman"/>
          <w:i/>
          <w:sz w:val="24"/>
          <w:szCs w:val="24"/>
          <w:highlight w:val="white"/>
        </w:rPr>
        <w:t>Geophys. Res. Lett.</w:t>
      </w:r>
      <w:r>
        <w:rPr>
          <w:rFonts w:ascii="Times New Roman" w:eastAsia="Times New Roman" w:hAnsi="Times New Roman" w:cs="Times New Roman"/>
          <w:sz w:val="24"/>
          <w:szCs w:val="24"/>
          <w:highlight w:val="white"/>
        </w:rPr>
        <w:t>,  32, L14201, doi:</w:t>
      </w:r>
      <w:hyperlink r:id="rId36">
        <w:r>
          <w:rPr>
            <w:rFonts w:ascii="Times New Roman" w:eastAsia="Times New Roman" w:hAnsi="Times New Roman" w:cs="Times New Roman"/>
            <w:sz w:val="24"/>
            <w:szCs w:val="24"/>
            <w:highlight w:val="white"/>
          </w:rPr>
          <w:t>10.1029/2005GL023456</w:t>
        </w:r>
      </w:hyperlink>
      <w:r>
        <w:rPr>
          <w:rFonts w:ascii="Times New Roman" w:eastAsia="Times New Roman" w:hAnsi="Times New Roman" w:cs="Times New Roman"/>
          <w:sz w:val="24"/>
          <w:szCs w:val="24"/>
          <w:highlight w:val="white"/>
        </w:rPr>
        <w:t>.</w:t>
      </w:r>
    </w:p>
    <w:p w14:paraId="19730CF9" w14:textId="77777777" w:rsidR="002E0C8E" w:rsidRDefault="002E0C8E">
      <w:pPr>
        <w:rPr>
          <w:color w:val="1C1D1E"/>
          <w:sz w:val="21"/>
          <w:szCs w:val="21"/>
          <w:highlight w:val="white"/>
        </w:rPr>
      </w:pPr>
    </w:p>
    <w:p w14:paraId="6DC57AFB"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Fastook JL, Head JW III, Marchant DR, Forget F, Madeleine JB (2012), Early Mars climate near the Noachian–Hesperian boundary: independent evidence for cold conditions from basal melting of the south polar ice sheet (Dorsa Argentea formation) and implications for valley network formation. </w:t>
      </w:r>
      <w:r>
        <w:rPr>
          <w:rFonts w:ascii="Times New Roman" w:eastAsia="Times New Roman" w:hAnsi="Times New Roman" w:cs="Times New Roman"/>
          <w:i/>
          <w:sz w:val="24"/>
          <w:szCs w:val="24"/>
          <w:highlight w:val="white"/>
        </w:rPr>
        <w:t>Icarus</w:t>
      </w:r>
      <w:r>
        <w:rPr>
          <w:rFonts w:ascii="Times New Roman" w:eastAsia="Times New Roman" w:hAnsi="Times New Roman" w:cs="Times New Roman"/>
          <w:sz w:val="24"/>
          <w:szCs w:val="24"/>
          <w:highlight w:val="white"/>
        </w:rPr>
        <w:t xml:space="preserve"> 219:25–40, </w:t>
      </w:r>
      <w:hyperlink r:id="rId37">
        <w:r>
          <w:rPr>
            <w:rFonts w:ascii="Times New Roman" w:eastAsia="Times New Roman" w:hAnsi="Times New Roman" w:cs="Times New Roman"/>
            <w:sz w:val="24"/>
            <w:szCs w:val="24"/>
            <w:highlight w:val="white"/>
          </w:rPr>
          <w:t>https://doi.org/10.1016/j.icarus.2012.02.013</w:t>
        </w:r>
      </w:hyperlink>
      <w:r>
        <w:rPr>
          <w:rFonts w:ascii="Times New Roman" w:eastAsia="Times New Roman" w:hAnsi="Times New Roman" w:cs="Times New Roman"/>
          <w:sz w:val="24"/>
          <w:szCs w:val="24"/>
          <w:highlight w:val="white"/>
        </w:rPr>
        <w:t xml:space="preserve">.  </w:t>
      </w:r>
    </w:p>
    <w:p w14:paraId="4C0BD6CF" w14:textId="77777777" w:rsidR="002E0C8E" w:rsidRDefault="002E0C8E">
      <w:pPr>
        <w:rPr>
          <w:color w:val="333333"/>
          <w:sz w:val="20"/>
          <w:szCs w:val="20"/>
          <w:highlight w:val="white"/>
        </w:rPr>
      </w:pPr>
    </w:p>
    <w:p w14:paraId="7D3CA521"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Fastook JL, Head JW III (2014), Glaciation in the Late Noachian icy highlands: ice accumulation, distribution, flow rates, basal melting, and top-down melting rates and patterns,</w:t>
      </w:r>
      <w:r>
        <w:rPr>
          <w:rFonts w:ascii="Times New Roman" w:eastAsia="Times New Roman" w:hAnsi="Times New Roman" w:cs="Times New Roman"/>
          <w:i/>
          <w:sz w:val="24"/>
          <w:szCs w:val="24"/>
          <w:highlight w:val="white"/>
        </w:rPr>
        <w:t>Planet. Space Sci.</w:t>
      </w:r>
      <w:r>
        <w:rPr>
          <w:rFonts w:ascii="Times New Roman" w:eastAsia="Times New Roman" w:hAnsi="Times New Roman" w:cs="Times New Roman"/>
          <w:sz w:val="24"/>
          <w:szCs w:val="24"/>
          <w:highlight w:val="white"/>
        </w:rPr>
        <w:t xml:space="preserve"> 106:82–98, </w:t>
      </w:r>
      <w:hyperlink r:id="rId38">
        <w:r>
          <w:rPr>
            <w:rFonts w:ascii="Times New Roman" w:eastAsia="Times New Roman" w:hAnsi="Times New Roman" w:cs="Times New Roman"/>
            <w:sz w:val="24"/>
            <w:szCs w:val="24"/>
            <w:highlight w:val="white"/>
          </w:rPr>
          <w:t>https://doi.org/10.1016/j.pss.2014.11.028</w:t>
        </w:r>
      </w:hyperlink>
      <w:r>
        <w:rPr>
          <w:rFonts w:ascii="Times New Roman" w:eastAsia="Times New Roman" w:hAnsi="Times New Roman" w:cs="Times New Roman"/>
          <w:sz w:val="24"/>
          <w:szCs w:val="24"/>
          <w:highlight w:val="white"/>
        </w:rPr>
        <w:t>.</w:t>
      </w:r>
    </w:p>
    <w:p w14:paraId="1A97CC57" w14:textId="77777777" w:rsidR="002E0C8E" w:rsidRDefault="002E0C8E">
      <w:pPr>
        <w:rPr>
          <w:color w:val="333333"/>
          <w:sz w:val="20"/>
          <w:szCs w:val="20"/>
          <w:highlight w:val="white"/>
        </w:rPr>
      </w:pPr>
    </w:p>
    <w:p w14:paraId="4C86E811"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Forget, F., and R. Pierrehumbert (1997), Warming Early Mars with Carbon Dioxide Clouds That Scatter Infrared Radiation, Science, 278, 5341, 1273-1276, DOI: 10.1126/science.278.5341.1273.  </w:t>
      </w:r>
    </w:p>
    <w:p w14:paraId="6E81B26F" w14:textId="77777777" w:rsidR="002E0C8E" w:rsidRDefault="002E0C8E">
      <w:pPr>
        <w:rPr>
          <w:rFonts w:ascii="Times New Roman" w:eastAsia="Times New Roman" w:hAnsi="Times New Roman" w:cs="Times New Roman"/>
          <w:sz w:val="24"/>
          <w:szCs w:val="24"/>
          <w:highlight w:val="white"/>
        </w:rPr>
      </w:pPr>
    </w:p>
    <w:p w14:paraId="00A73980"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Forget, F., et al. (2013), 3D modelling of the early martian climate under a denser CO2 atmosphere: Temperatures and 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ice clouds, Icarus, 222(1), 81-99, </w:t>
      </w:r>
      <w:hyperlink r:id="rId39">
        <w:r>
          <w:rPr>
            <w:rFonts w:ascii="Times New Roman" w:eastAsia="Times New Roman" w:hAnsi="Times New Roman" w:cs="Times New Roman"/>
            <w:sz w:val="24"/>
            <w:szCs w:val="24"/>
            <w:highlight w:val="white"/>
          </w:rPr>
          <w:t>https://doi.org/10.1016/j.icarus.2012.10.019</w:t>
        </w:r>
      </w:hyperlink>
      <w:r>
        <w:rPr>
          <w:rFonts w:ascii="Times New Roman" w:eastAsia="Times New Roman" w:hAnsi="Times New Roman" w:cs="Times New Roman"/>
          <w:sz w:val="24"/>
          <w:szCs w:val="24"/>
          <w:highlight w:val="white"/>
        </w:rPr>
        <w:t>.</w:t>
      </w:r>
    </w:p>
    <w:p w14:paraId="2A5589A4" w14:textId="77777777" w:rsidR="002E0C8E" w:rsidRDefault="002E0C8E">
      <w:pPr>
        <w:rPr>
          <w:rFonts w:ascii="Times New Roman" w:eastAsia="Times New Roman" w:hAnsi="Times New Roman" w:cs="Times New Roman"/>
          <w:sz w:val="24"/>
          <w:szCs w:val="24"/>
          <w:highlight w:val="white"/>
        </w:rPr>
      </w:pPr>
    </w:p>
    <w:p w14:paraId="2E8E1D84"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Godin, P. J., Ramirez, R. M., Campbell, C. L., Wizenberg, T., Nguyen, T. G., Strong, K. and Moores, J. E. (2020) Collision-Induced Absorption of CH</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and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Complexes and Their Effect on the Ancient Martian Atmosphere.  </w:t>
      </w:r>
      <w:r>
        <w:rPr>
          <w:rFonts w:ascii="Times New Roman" w:eastAsia="Times New Roman" w:hAnsi="Times New Roman" w:cs="Times New Roman"/>
          <w:i/>
          <w:sz w:val="24"/>
          <w:szCs w:val="24"/>
          <w:highlight w:val="white"/>
        </w:rPr>
        <w:t>J. Geophys. Res. Planets.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125, 12, e2019JE006357.  https://doi.org/10.1029/2019JE006357</w:t>
      </w:r>
    </w:p>
    <w:p w14:paraId="1D0F1421" w14:textId="77777777" w:rsidR="002E0C8E" w:rsidRDefault="002E0C8E">
      <w:pPr>
        <w:rPr>
          <w:rFonts w:ascii="Times New Roman" w:eastAsia="Times New Roman" w:hAnsi="Times New Roman" w:cs="Times New Roman"/>
          <w:sz w:val="24"/>
          <w:szCs w:val="24"/>
          <w:highlight w:val="white"/>
        </w:rPr>
      </w:pPr>
    </w:p>
    <w:p w14:paraId="6683F689"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Gough, D.O. (1981) “Solar Interior Structure and Luminosity Variations.” </w:t>
      </w:r>
      <w:r>
        <w:rPr>
          <w:rFonts w:ascii="Times New Roman" w:eastAsia="Times New Roman" w:hAnsi="Times New Roman" w:cs="Times New Roman"/>
          <w:i/>
          <w:sz w:val="24"/>
          <w:szCs w:val="24"/>
          <w:highlight w:val="white"/>
        </w:rPr>
        <w:t xml:space="preserve">Solar Physics </w:t>
      </w:r>
      <w:r>
        <w:rPr>
          <w:rFonts w:ascii="Times New Roman" w:eastAsia="Times New Roman" w:hAnsi="Times New Roman" w:cs="Times New Roman"/>
          <w:sz w:val="24"/>
          <w:szCs w:val="24"/>
          <w:highlight w:val="white"/>
        </w:rPr>
        <w:t>74, 21-34</w:t>
      </w:r>
    </w:p>
    <w:p w14:paraId="6F95E555" w14:textId="77777777" w:rsidR="002E0C8E" w:rsidRDefault="002E0C8E">
      <w:pPr>
        <w:rPr>
          <w:rFonts w:ascii="Times New Roman" w:eastAsia="Times New Roman" w:hAnsi="Times New Roman" w:cs="Times New Roman"/>
          <w:sz w:val="24"/>
          <w:szCs w:val="24"/>
          <w:highlight w:val="white"/>
        </w:rPr>
      </w:pPr>
    </w:p>
    <w:p w14:paraId="648BE444"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Grant, J. A., Wilson, S. A., Mangold, N., Calef, F., and Grotzinger, J. P. ( 2014),  The timing of alluvial activity in Gale crater, Mars, </w:t>
      </w:r>
      <w:r>
        <w:rPr>
          <w:rFonts w:ascii="Times New Roman" w:eastAsia="Times New Roman" w:hAnsi="Times New Roman" w:cs="Times New Roman"/>
          <w:i/>
          <w:sz w:val="24"/>
          <w:szCs w:val="24"/>
          <w:highlight w:val="white"/>
        </w:rPr>
        <w:t>Geophys. Res. Lett.</w:t>
      </w:r>
      <w:r>
        <w:rPr>
          <w:rFonts w:ascii="Times New Roman" w:eastAsia="Times New Roman" w:hAnsi="Times New Roman" w:cs="Times New Roman"/>
          <w:sz w:val="24"/>
          <w:szCs w:val="24"/>
          <w:highlight w:val="white"/>
        </w:rPr>
        <w:t>,  41,  1142– 1148, doi:</w:t>
      </w:r>
      <w:hyperlink r:id="rId40">
        <w:r>
          <w:rPr>
            <w:rFonts w:ascii="Times New Roman" w:eastAsia="Times New Roman" w:hAnsi="Times New Roman" w:cs="Times New Roman"/>
            <w:sz w:val="24"/>
            <w:szCs w:val="24"/>
            <w:highlight w:val="white"/>
          </w:rPr>
          <w:t>10.1002/2013GL058909</w:t>
        </w:r>
      </w:hyperlink>
      <w:r>
        <w:rPr>
          <w:rFonts w:ascii="Times New Roman" w:eastAsia="Times New Roman" w:hAnsi="Times New Roman" w:cs="Times New Roman"/>
          <w:sz w:val="24"/>
          <w:szCs w:val="24"/>
          <w:highlight w:val="white"/>
        </w:rPr>
        <w:t>.</w:t>
      </w:r>
    </w:p>
    <w:p w14:paraId="65C0DE3E" w14:textId="77777777" w:rsidR="002E0C8E" w:rsidRDefault="002E0C8E">
      <w:pPr>
        <w:rPr>
          <w:b/>
          <w:color w:val="1C1D1E"/>
          <w:sz w:val="21"/>
          <w:szCs w:val="21"/>
          <w:highlight w:val="white"/>
        </w:rPr>
      </w:pPr>
    </w:p>
    <w:p w14:paraId="331ACCB0"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Grotzinger, J.P. et al., (2014), A Habitable Fluvio-Lacustrine Environment at Yellowknife Bay, Gale Crater, Mars, Science, 343, 6169, </w:t>
      </w:r>
      <w:r>
        <w:rPr>
          <w:rFonts w:ascii="Times New Roman" w:eastAsia="Times New Roman" w:hAnsi="Times New Roman" w:cs="Times New Roman"/>
          <w:sz w:val="24"/>
          <w:szCs w:val="24"/>
          <w:highlight w:val="white"/>
        </w:rPr>
        <w:t>DOI: 10.1126/science.1242777.</w:t>
      </w:r>
    </w:p>
    <w:p w14:paraId="262B3F73" w14:textId="77777777" w:rsidR="002E0C8E" w:rsidRDefault="002E0C8E">
      <w:pPr>
        <w:rPr>
          <w:rFonts w:ascii="Roboto" w:eastAsia="Roboto" w:hAnsi="Roboto" w:cs="Roboto"/>
          <w:color w:val="666666"/>
          <w:sz w:val="18"/>
          <w:szCs w:val="18"/>
          <w:highlight w:val="white"/>
        </w:rPr>
      </w:pPr>
    </w:p>
    <w:p w14:paraId="36E03E6A" w14:textId="6B113817" w:rsidR="001F1DF3" w:rsidRPr="001F1DF3" w:rsidRDefault="001F1DF3" w:rsidP="001F1DF3">
      <w:pPr>
        <w:spacing w:line="240" w:lineRule="auto"/>
        <w:rPr>
          <w:rFonts w:ascii="Times New Roman" w:eastAsia="Times New Roman" w:hAnsi="Times New Roman" w:cs="Times New Roman"/>
          <w:sz w:val="24"/>
          <w:szCs w:val="24"/>
          <w:lang w:val="en-US"/>
        </w:rPr>
      </w:pPr>
      <w:r w:rsidRPr="009043EE">
        <w:rPr>
          <w:rFonts w:ascii="Times New Roman" w:eastAsia="Times New Roman" w:hAnsi="Times New Roman" w:cs="Times New Roman"/>
          <w:color w:val="333333"/>
          <w:sz w:val="24"/>
          <w:szCs w:val="24"/>
          <w:shd w:val="clear" w:color="auto" w:fill="F5F5F5"/>
          <w:lang w:val="en-US"/>
        </w:rPr>
        <w:t>Guzewich, Scott, Way, Michael, Aleinov, Igor, Wolf, Eric, Del Genio, Anthony, Wordsworth, Robin, &amp; Tsigaridis, Kostas. (2021). 3D Simulations of the Early Martian Hydrological Cycle Mediated by a H2-CO2 Greenhouse. http://doi.org/</w:t>
      </w:r>
      <w:r w:rsidR="006242C6" w:rsidRPr="006242C6">
        <w:rPr>
          <w:rFonts w:ascii="Times New Roman" w:eastAsia="Times New Roman" w:hAnsi="Times New Roman" w:cs="Times New Roman"/>
          <w:color w:val="333333"/>
          <w:sz w:val="24"/>
          <w:szCs w:val="24"/>
          <w:shd w:val="clear" w:color="auto" w:fill="F5F5F5"/>
          <w:lang w:val="en-US"/>
        </w:rPr>
        <w:t>10.5281/zenodo.4926123</w:t>
      </w:r>
    </w:p>
    <w:p w14:paraId="41579DF7" w14:textId="77777777" w:rsidR="001F1DF3" w:rsidRDefault="001F1DF3">
      <w:pPr>
        <w:rPr>
          <w:rFonts w:ascii="Times New Roman" w:eastAsia="Times New Roman" w:hAnsi="Times New Roman" w:cs="Times New Roman"/>
          <w:sz w:val="24"/>
          <w:szCs w:val="24"/>
        </w:rPr>
      </w:pPr>
    </w:p>
    <w:p w14:paraId="642DEB81" w14:textId="13E13269"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Haberle, R. 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Zahnle, K.</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Barlow, N. G.</w:t>
      </w:r>
      <w:r>
        <w:rPr>
          <w:rFonts w:ascii="Times New Roman" w:eastAsia="Times New Roman" w:hAnsi="Times New Roman" w:cs="Times New Roman"/>
          <w:sz w:val="24"/>
          <w:szCs w:val="24"/>
          <w:highlight w:val="white"/>
        </w:rPr>
        <w:t xml:space="preserve">, &amp;  </w:t>
      </w:r>
      <w:r>
        <w:rPr>
          <w:rFonts w:ascii="Times New Roman" w:eastAsia="Times New Roman" w:hAnsi="Times New Roman" w:cs="Times New Roman"/>
          <w:sz w:val="24"/>
          <w:szCs w:val="24"/>
        </w:rPr>
        <w:t>Steakley, K. 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2019</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Impact degassing of H2 on early mars and its effect on the climate system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Geophysical Research Letters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46</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13355</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13362</w:t>
      </w:r>
      <w:r>
        <w:rPr>
          <w:rFonts w:ascii="Times New Roman" w:eastAsia="Times New Roman" w:hAnsi="Times New Roman" w:cs="Times New Roman"/>
          <w:sz w:val="24"/>
          <w:szCs w:val="24"/>
          <w:highlight w:val="white"/>
        </w:rPr>
        <w:t xml:space="preserve">. </w:t>
      </w:r>
      <w:hyperlink r:id="rId41">
        <w:r>
          <w:rPr>
            <w:rFonts w:ascii="Times New Roman" w:eastAsia="Times New Roman" w:hAnsi="Times New Roman" w:cs="Times New Roman"/>
            <w:sz w:val="24"/>
            <w:szCs w:val="24"/>
          </w:rPr>
          <w:t>https://doi.org/10.1029/2019GL084733</w:t>
        </w:r>
      </w:hyperlink>
      <w:r>
        <w:rPr>
          <w:rFonts w:ascii="Times New Roman" w:eastAsia="Times New Roman" w:hAnsi="Times New Roman" w:cs="Times New Roman"/>
          <w:sz w:val="24"/>
          <w:szCs w:val="24"/>
        </w:rPr>
        <w:t>.</w:t>
      </w:r>
    </w:p>
    <w:p w14:paraId="50B08DB4" w14:textId="77777777" w:rsidR="002E0C8E" w:rsidRDefault="002E0C8E">
      <w:pPr>
        <w:rPr>
          <w:rFonts w:ascii="Times New Roman" w:eastAsia="Times New Roman" w:hAnsi="Times New Roman" w:cs="Times New Roman"/>
          <w:sz w:val="24"/>
          <w:szCs w:val="24"/>
        </w:rPr>
      </w:pPr>
    </w:p>
    <w:p w14:paraId="20390411"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Hansen, J., G. Russell, D. Rind, P. Stone, A. Lacis, S. Lebedeff, R. Ruedy, and L. Travis, 1983: Efficient three-dimensional global models for climate studies: Models I and II. Mon. Weather Rev., 111, 609-662, doi:10.1175/1520-0493(1983)111&lt;0609:ETDGMF&gt;2.0.CO;2.</w:t>
      </w:r>
    </w:p>
    <w:p w14:paraId="465DB334" w14:textId="77777777" w:rsidR="002E0C8E" w:rsidRDefault="002E0C8E">
      <w:pPr>
        <w:rPr>
          <w:rFonts w:ascii="Times New Roman" w:eastAsia="Times New Roman" w:hAnsi="Times New Roman" w:cs="Times New Roman"/>
          <w:sz w:val="24"/>
          <w:szCs w:val="24"/>
        </w:rPr>
      </w:pPr>
    </w:p>
    <w:p w14:paraId="13B0A01E"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Hayworth, B.P.C., R.K. Kopparapu, J. Haqq-Misra et al. (2020), Warming early Mars with climate cycling: The effect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collision-induced absorption, </w:t>
      </w:r>
      <w:r>
        <w:rPr>
          <w:rFonts w:ascii="Times New Roman" w:eastAsia="Times New Roman" w:hAnsi="Times New Roman" w:cs="Times New Roman"/>
          <w:i/>
          <w:sz w:val="24"/>
          <w:szCs w:val="24"/>
        </w:rPr>
        <w:t>Icarus</w:t>
      </w:r>
      <w:r>
        <w:rPr>
          <w:rFonts w:ascii="Times New Roman" w:eastAsia="Times New Roman" w:hAnsi="Times New Roman" w:cs="Times New Roman"/>
          <w:sz w:val="24"/>
          <w:szCs w:val="24"/>
        </w:rPr>
        <w:t xml:space="preserve">, 345, </w:t>
      </w:r>
      <w:hyperlink r:id="rId42">
        <w:r>
          <w:rPr>
            <w:rFonts w:ascii="Times New Roman" w:eastAsia="Times New Roman" w:hAnsi="Times New Roman" w:cs="Times New Roman"/>
            <w:sz w:val="24"/>
            <w:szCs w:val="24"/>
          </w:rPr>
          <w:t>https://doi.org/10.1016/j.icarus.2020.113770</w:t>
        </w:r>
      </w:hyperlink>
      <w:r>
        <w:rPr>
          <w:rFonts w:ascii="Times New Roman" w:eastAsia="Times New Roman" w:hAnsi="Times New Roman" w:cs="Times New Roman"/>
          <w:sz w:val="24"/>
          <w:szCs w:val="24"/>
        </w:rPr>
        <w:t>.</w:t>
      </w:r>
    </w:p>
    <w:p w14:paraId="79FB6AA6" w14:textId="77777777" w:rsidR="002E0C8E" w:rsidRDefault="002E0C8E">
      <w:pPr>
        <w:rPr>
          <w:rFonts w:ascii="Times New Roman" w:eastAsia="Times New Roman" w:hAnsi="Times New Roman" w:cs="Times New Roman"/>
          <w:sz w:val="24"/>
          <w:szCs w:val="24"/>
        </w:rPr>
      </w:pPr>
    </w:p>
    <w:p w14:paraId="3D3754A5"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Hirschmann MM, Withers AC. (2008), Ventilation of CO2 from a reduced mantle and consequences for the early Martian greenhouse, </w:t>
      </w:r>
      <w:r>
        <w:rPr>
          <w:rFonts w:ascii="Times New Roman" w:eastAsia="Times New Roman" w:hAnsi="Times New Roman" w:cs="Times New Roman"/>
          <w:i/>
          <w:sz w:val="24"/>
          <w:szCs w:val="24"/>
        </w:rPr>
        <w:t>Earth Planet. Sci. Lett.</w:t>
      </w:r>
      <w:r>
        <w:rPr>
          <w:rFonts w:ascii="Times New Roman" w:eastAsia="Times New Roman" w:hAnsi="Times New Roman" w:cs="Times New Roman"/>
          <w:sz w:val="24"/>
          <w:szCs w:val="24"/>
        </w:rPr>
        <w:t xml:space="preserve"> 270:147–55, </w:t>
      </w:r>
      <w:hyperlink r:id="rId43">
        <w:r>
          <w:rPr>
            <w:rFonts w:ascii="Times New Roman" w:eastAsia="Times New Roman" w:hAnsi="Times New Roman" w:cs="Times New Roman"/>
            <w:sz w:val="24"/>
            <w:szCs w:val="24"/>
          </w:rPr>
          <w:t>https://doi.org/10.1016/j.epsl.2008.03.034</w:t>
        </w:r>
      </w:hyperlink>
      <w:r>
        <w:rPr>
          <w:rFonts w:ascii="Times New Roman" w:eastAsia="Times New Roman" w:hAnsi="Times New Roman" w:cs="Times New Roman"/>
          <w:sz w:val="24"/>
          <w:szCs w:val="24"/>
        </w:rPr>
        <w:t xml:space="preserve">.  </w:t>
      </w:r>
    </w:p>
    <w:p w14:paraId="0EB71EFA" w14:textId="77777777" w:rsidR="002E0C8E" w:rsidRDefault="002E0C8E">
      <w:pPr>
        <w:rPr>
          <w:rFonts w:ascii="Times New Roman" w:eastAsia="Times New Roman" w:hAnsi="Times New Roman" w:cs="Times New Roman"/>
          <w:sz w:val="24"/>
          <w:szCs w:val="24"/>
        </w:rPr>
      </w:pPr>
    </w:p>
    <w:p w14:paraId="222C18EA"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Hurowitz, J.A., Fischer, W.W., Tosca, N.J. and Milliken, R.E., 2010. Origin of acidic surface waters and the evolution of atmospheric chemistry on early Mars. Nature Geoscience, 3(5), pp.323-326.</w:t>
      </w:r>
    </w:p>
    <w:p w14:paraId="10C49669" w14:textId="77777777" w:rsidR="002E0C8E" w:rsidRDefault="002E0C8E">
      <w:pPr>
        <w:rPr>
          <w:rFonts w:ascii="Times New Roman" w:eastAsia="Times New Roman" w:hAnsi="Times New Roman" w:cs="Times New Roman"/>
          <w:sz w:val="24"/>
          <w:szCs w:val="24"/>
        </w:rPr>
      </w:pPr>
    </w:p>
    <w:p w14:paraId="60CB05F8"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Hynek, B.M. and R.J. Phillips (2001), Evidence for Extensive Denudation of the Martian Highlands, Geology, 21(5), 407-410, </w:t>
      </w:r>
      <w:hyperlink r:id="rId44">
        <w:r>
          <w:rPr>
            <w:rFonts w:ascii="Times New Roman" w:eastAsia="Times New Roman" w:hAnsi="Times New Roman" w:cs="Times New Roman"/>
            <w:sz w:val="24"/>
            <w:szCs w:val="24"/>
          </w:rPr>
          <w:t>https://doi.org/10.1130/0091-7613(2001)029&lt;0407:EFEDOT&gt;2.0.CO;2</w:t>
        </w:r>
      </w:hyperlink>
      <w:r>
        <w:rPr>
          <w:rFonts w:ascii="Times New Roman" w:eastAsia="Times New Roman" w:hAnsi="Times New Roman" w:cs="Times New Roman"/>
          <w:sz w:val="24"/>
          <w:szCs w:val="24"/>
        </w:rPr>
        <w:t>.</w:t>
      </w:r>
    </w:p>
    <w:p w14:paraId="67B0F467" w14:textId="77777777" w:rsidR="002E0C8E" w:rsidRDefault="002E0C8E">
      <w:pPr>
        <w:rPr>
          <w:rFonts w:ascii="Times New Roman" w:eastAsia="Times New Roman" w:hAnsi="Times New Roman" w:cs="Times New Roman"/>
          <w:sz w:val="24"/>
          <w:szCs w:val="24"/>
        </w:rPr>
      </w:pPr>
    </w:p>
    <w:p w14:paraId="0A9CF02F"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Hynek, B. 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Beach, M.</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sz w:val="24"/>
          <w:szCs w:val="24"/>
        </w:rPr>
        <w:t>Hoke, M. R. 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2010</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Updated global map of Martian valley networks and implications for climate and hydrologic processes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J. Geophys. Res.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115</w:t>
      </w:r>
      <w:r>
        <w:rPr>
          <w:rFonts w:ascii="Times New Roman" w:eastAsia="Times New Roman" w:hAnsi="Times New Roman" w:cs="Times New Roman"/>
          <w:sz w:val="24"/>
          <w:szCs w:val="24"/>
          <w:highlight w:val="white"/>
        </w:rPr>
        <w:t>, E09008, doi:</w:t>
      </w:r>
      <w:hyperlink r:id="rId45">
        <w:r>
          <w:rPr>
            <w:rFonts w:ascii="Times New Roman" w:eastAsia="Times New Roman" w:hAnsi="Times New Roman" w:cs="Times New Roman"/>
            <w:sz w:val="24"/>
            <w:szCs w:val="24"/>
          </w:rPr>
          <w:t>10.1029/2009JE003548</w:t>
        </w:r>
      </w:hyperlink>
      <w:r>
        <w:rPr>
          <w:rFonts w:ascii="Times New Roman" w:eastAsia="Times New Roman" w:hAnsi="Times New Roman" w:cs="Times New Roman"/>
          <w:sz w:val="24"/>
          <w:szCs w:val="24"/>
          <w:highlight w:val="white"/>
        </w:rPr>
        <w:t>.</w:t>
      </w:r>
    </w:p>
    <w:p w14:paraId="41B6E99B" w14:textId="77777777" w:rsidR="002E0C8E" w:rsidRDefault="002E0C8E">
      <w:pPr>
        <w:rPr>
          <w:rFonts w:ascii="Times New Roman" w:eastAsia="Times New Roman" w:hAnsi="Times New Roman" w:cs="Times New Roman"/>
          <w:sz w:val="24"/>
          <w:szCs w:val="24"/>
          <w:highlight w:val="white"/>
        </w:rPr>
      </w:pPr>
    </w:p>
    <w:p w14:paraId="212CB16F"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Irwin, R. P.,  Howard, A. D.,  Craddock, R. A., and  Moore, J. M. ( 2005),  An intense terminal epoch of widespread fluvial activity on early Mars: 2. Increased runoff and paleolake development, </w:t>
      </w:r>
      <w:r>
        <w:rPr>
          <w:rFonts w:ascii="Times New Roman" w:eastAsia="Times New Roman" w:hAnsi="Times New Roman" w:cs="Times New Roman"/>
          <w:i/>
          <w:sz w:val="24"/>
          <w:szCs w:val="24"/>
          <w:highlight w:val="white"/>
        </w:rPr>
        <w:t>J. Geophys. Res.</w:t>
      </w:r>
      <w:r>
        <w:rPr>
          <w:rFonts w:ascii="Times New Roman" w:eastAsia="Times New Roman" w:hAnsi="Times New Roman" w:cs="Times New Roman"/>
          <w:sz w:val="24"/>
          <w:szCs w:val="24"/>
          <w:highlight w:val="white"/>
        </w:rPr>
        <w:t>,  110, E12S15, doi:</w:t>
      </w:r>
      <w:hyperlink r:id="rId46">
        <w:r>
          <w:rPr>
            <w:rFonts w:ascii="Times New Roman" w:eastAsia="Times New Roman" w:hAnsi="Times New Roman" w:cs="Times New Roman"/>
            <w:sz w:val="24"/>
            <w:szCs w:val="24"/>
            <w:highlight w:val="white"/>
          </w:rPr>
          <w:t>10.1029/2005JE002460</w:t>
        </w:r>
      </w:hyperlink>
      <w:r>
        <w:rPr>
          <w:rFonts w:ascii="Times New Roman" w:eastAsia="Times New Roman" w:hAnsi="Times New Roman" w:cs="Times New Roman"/>
          <w:sz w:val="24"/>
          <w:szCs w:val="24"/>
          <w:highlight w:val="white"/>
        </w:rPr>
        <w:t>.</w:t>
      </w:r>
    </w:p>
    <w:p w14:paraId="4A9FA5CC" w14:textId="77777777" w:rsidR="002E0C8E" w:rsidRDefault="002E0C8E">
      <w:pPr>
        <w:rPr>
          <w:color w:val="1C1D1E"/>
          <w:sz w:val="21"/>
          <w:szCs w:val="21"/>
          <w:highlight w:val="white"/>
        </w:rPr>
      </w:pPr>
    </w:p>
    <w:p w14:paraId="69A85EF8"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Jakosky, B.M. et al. (2018), Loss of the Martian atmosphere to space: Present-day loss rates determined from MAVEN observations and integrated loss through time, Icarus, 315, 146-157, doi:  </w:t>
      </w:r>
      <w:hyperlink r:id="rId47">
        <w:r>
          <w:rPr>
            <w:rFonts w:ascii="Times New Roman" w:eastAsia="Times New Roman" w:hAnsi="Times New Roman" w:cs="Times New Roman"/>
            <w:sz w:val="24"/>
            <w:szCs w:val="24"/>
            <w:highlight w:val="white"/>
          </w:rPr>
          <w:t>10.1016/j.icarus.2018.05.030</w:t>
        </w:r>
      </w:hyperlink>
      <w:r>
        <w:rPr>
          <w:rFonts w:ascii="Times New Roman" w:eastAsia="Times New Roman" w:hAnsi="Times New Roman" w:cs="Times New Roman"/>
          <w:sz w:val="24"/>
          <w:szCs w:val="24"/>
          <w:highlight w:val="white"/>
        </w:rPr>
        <w:t xml:space="preserve">.  </w:t>
      </w:r>
    </w:p>
    <w:p w14:paraId="7B504474" w14:textId="77777777" w:rsidR="002E0C8E" w:rsidRDefault="002E0C8E">
      <w:pPr>
        <w:rPr>
          <w:color w:val="1C1D1E"/>
          <w:sz w:val="21"/>
          <w:szCs w:val="21"/>
          <w:highlight w:val="white"/>
        </w:rPr>
      </w:pPr>
    </w:p>
    <w:p w14:paraId="515F19B7"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Kamada, A., T. Kuroda, Y. Kasaba, N. Terada, H. Nakagawa, and K. Toriumi (2020), A coupled atmosphere-hydrosphere climate model of early Mars: A ‘cool and wet’ scenario for the formation of water channels, Icarus, 338, 113567, </w:t>
      </w:r>
      <w:hyperlink r:id="rId48">
        <w:r>
          <w:rPr>
            <w:rFonts w:ascii="Times New Roman" w:eastAsia="Times New Roman" w:hAnsi="Times New Roman" w:cs="Times New Roman"/>
            <w:sz w:val="24"/>
            <w:szCs w:val="24"/>
            <w:highlight w:val="white"/>
          </w:rPr>
          <w:t>https://doi.org/10.1016/j.icarus.2019.113567</w:t>
        </w:r>
      </w:hyperlink>
      <w:r>
        <w:rPr>
          <w:rFonts w:ascii="Times New Roman" w:eastAsia="Times New Roman" w:hAnsi="Times New Roman" w:cs="Times New Roman"/>
          <w:sz w:val="24"/>
          <w:szCs w:val="24"/>
          <w:highlight w:val="white"/>
        </w:rPr>
        <w:t>.</w:t>
      </w:r>
    </w:p>
    <w:p w14:paraId="486A59D2" w14:textId="77777777" w:rsidR="002E0C8E" w:rsidRDefault="002E0C8E">
      <w:pPr>
        <w:rPr>
          <w:rFonts w:ascii="Times New Roman" w:eastAsia="Times New Roman" w:hAnsi="Times New Roman" w:cs="Times New Roman"/>
          <w:sz w:val="24"/>
          <w:szCs w:val="24"/>
          <w:highlight w:val="white"/>
        </w:rPr>
      </w:pPr>
    </w:p>
    <w:p w14:paraId="3304AD0C"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Kasting, J.F. (1991), CO2 Condensation and the Climate of Early Mars, Icarus, 94(1), 1-13, </w:t>
      </w:r>
      <w:hyperlink r:id="rId49">
        <w:r>
          <w:rPr>
            <w:rFonts w:ascii="Times New Roman" w:eastAsia="Times New Roman" w:hAnsi="Times New Roman" w:cs="Times New Roman"/>
            <w:sz w:val="24"/>
            <w:szCs w:val="24"/>
            <w:highlight w:val="white"/>
          </w:rPr>
          <w:t>https://doi.org/10.1016/0019-1035(91)90137-I</w:t>
        </w:r>
      </w:hyperlink>
      <w:r>
        <w:rPr>
          <w:rFonts w:ascii="Times New Roman" w:eastAsia="Times New Roman" w:hAnsi="Times New Roman" w:cs="Times New Roman"/>
          <w:sz w:val="24"/>
          <w:szCs w:val="24"/>
          <w:highlight w:val="white"/>
        </w:rPr>
        <w:t>.</w:t>
      </w:r>
    </w:p>
    <w:p w14:paraId="556F8471" w14:textId="77777777" w:rsidR="002E0C8E" w:rsidRDefault="002E0C8E">
      <w:pPr>
        <w:rPr>
          <w:rFonts w:ascii="Times New Roman" w:eastAsia="Times New Roman" w:hAnsi="Times New Roman" w:cs="Times New Roman"/>
          <w:sz w:val="24"/>
          <w:szCs w:val="24"/>
          <w:highlight w:val="white"/>
        </w:rPr>
      </w:pPr>
    </w:p>
    <w:p w14:paraId="3238D02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Kasting, J.F. (1997), Warming Early Earth and Mars, Science, 279, 5316, DOI: 10.1126/science.276.5316.1213.</w:t>
      </w:r>
    </w:p>
    <w:p w14:paraId="48960743" w14:textId="77777777" w:rsidR="002E0C8E" w:rsidRDefault="002E0C8E">
      <w:pPr>
        <w:rPr>
          <w:rFonts w:ascii="Times New Roman" w:eastAsia="Times New Roman" w:hAnsi="Times New Roman" w:cs="Times New Roman"/>
          <w:sz w:val="24"/>
          <w:szCs w:val="24"/>
          <w:highlight w:val="white"/>
        </w:rPr>
      </w:pPr>
    </w:p>
    <w:p w14:paraId="3EA17DCA"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Kerber, L., F. Forget, and R.D. Wordsworth (20150, Sulfur in the early martian atmosphere revisited: Experiments with a 3-D Global Climate Model, Icarus, 261, 133-148, </w:t>
      </w:r>
      <w:hyperlink r:id="rId50">
        <w:r>
          <w:rPr>
            <w:rFonts w:ascii="Times New Roman" w:eastAsia="Times New Roman" w:hAnsi="Times New Roman" w:cs="Times New Roman"/>
            <w:sz w:val="24"/>
            <w:szCs w:val="24"/>
            <w:highlight w:val="white"/>
          </w:rPr>
          <w:t>https://doi.org/10.1016/j.icarus.2015.08.011</w:t>
        </w:r>
      </w:hyperlink>
      <w:r>
        <w:rPr>
          <w:rFonts w:ascii="Times New Roman" w:eastAsia="Times New Roman" w:hAnsi="Times New Roman" w:cs="Times New Roman"/>
          <w:sz w:val="24"/>
          <w:szCs w:val="24"/>
          <w:highlight w:val="white"/>
        </w:rPr>
        <w:t>.</w:t>
      </w:r>
    </w:p>
    <w:p w14:paraId="5463902A" w14:textId="77777777" w:rsidR="002E0C8E" w:rsidRDefault="002E0C8E">
      <w:pPr>
        <w:rPr>
          <w:rFonts w:ascii="Times New Roman" w:eastAsia="Times New Roman" w:hAnsi="Times New Roman" w:cs="Times New Roman"/>
          <w:sz w:val="24"/>
          <w:szCs w:val="24"/>
          <w:highlight w:val="white"/>
        </w:rPr>
      </w:pPr>
    </w:p>
    <w:p w14:paraId="0A9E76AD"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color w:val="1C1D1E"/>
          <w:sz w:val="24"/>
          <w:szCs w:val="24"/>
        </w:rPr>
        <w:t xml:space="preserve">Kite, E. S., Williams, J.‐P., Lucas, A., &amp; Aharonson, O. (2014). Low palaeopressure of the martian atmosphere estimated from the size distribution of ancient craters. </w:t>
      </w:r>
      <w:r>
        <w:rPr>
          <w:rFonts w:ascii="Times New Roman" w:eastAsia="Times New Roman" w:hAnsi="Times New Roman" w:cs="Times New Roman"/>
          <w:i/>
          <w:color w:val="1C1D1E"/>
          <w:sz w:val="24"/>
          <w:szCs w:val="24"/>
        </w:rPr>
        <w:t>Nature Geoscience</w:t>
      </w:r>
      <w:r>
        <w:rPr>
          <w:rFonts w:ascii="Times New Roman" w:eastAsia="Times New Roman" w:hAnsi="Times New Roman" w:cs="Times New Roman"/>
          <w:color w:val="1C1D1E"/>
          <w:sz w:val="24"/>
          <w:szCs w:val="24"/>
        </w:rPr>
        <w:t xml:space="preserve">, 7, 335–339, </w:t>
      </w:r>
      <w:hyperlink r:id="rId51">
        <w:r>
          <w:rPr>
            <w:rFonts w:ascii="Times New Roman" w:eastAsia="Times New Roman" w:hAnsi="Times New Roman" w:cs="Times New Roman"/>
            <w:sz w:val="24"/>
            <w:szCs w:val="24"/>
            <w:highlight w:val="white"/>
          </w:rPr>
          <w:t>https://doi.org/10.1038/ngeo2137</w:t>
        </w:r>
      </w:hyperlink>
      <w:r>
        <w:rPr>
          <w:rFonts w:ascii="Times New Roman" w:eastAsia="Times New Roman" w:hAnsi="Times New Roman" w:cs="Times New Roman"/>
          <w:sz w:val="24"/>
          <w:szCs w:val="24"/>
          <w:highlight w:val="white"/>
        </w:rPr>
        <w:t xml:space="preserve">.  </w:t>
      </w:r>
    </w:p>
    <w:p w14:paraId="7C3B6F09" w14:textId="77777777" w:rsidR="002E0C8E" w:rsidRDefault="002E0C8E">
      <w:pPr>
        <w:rPr>
          <w:color w:val="1C1D1E"/>
          <w:sz w:val="21"/>
          <w:szCs w:val="21"/>
          <w:shd w:val="clear" w:color="auto" w:fill="EFEFF0"/>
        </w:rPr>
      </w:pPr>
    </w:p>
    <w:p w14:paraId="0F1FA23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Kite, E. S.,  Sneed, J.,  Mayer, D. P., and  Wilson, S. A. ( 2017),  Persistent or repeated surface habitability on Mars during the late Hesperian ‐ Amazonian, </w:t>
      </w:r>
      <w:r>
        <w:rPr>
          <w:rFonts w:ascii="Times New Roman" w:eastAsia="Times New Roman" w:hAnsi="Times New Roman" w:cs="Times New Roman"/>
          <w:i/>
          <w:sz w:val="24"/>
          <w:szCs w:val="24"/>
          <w:highlight w:val="white"/>
        </w:rPr>
        <w:t>Geophys. Res. Lett.</w:t>
      </w:r>
      <w:r>
        <w:rPr>
          <w:rFonts w:ascii="Times New Roman" w:eastAsia="Times New Roman" w:hAnsi="Times New Roman" w:cs="Times New Roman"/>
          <w:sz w:val="24"/>
          <w:szCs w:val="24"/>
          <w:highlight w:val="white"/>
        </w:rPr>
        <w:t>,  44,  3991– 3999, doi:</w:t>
      </w:r>
      <w:hyperlink r:id="rId52">
        <w:r>
          <w:rPr>
            <w:rFonts w:ascii="Times New Roman" w:eastAsia="Times New Roman" w:hAnsi="Times New Roman" w:cs="Times New Roman"/>
            <w:sz w:val="24"/>
            <w:szCs w:val="24"/>
            <w:highlight w:val="white"/>
          </w:rPr>
          <w:t>10.1002/2017GL072660</w:t>
        </w:r>
      </w:hyperlink>
      <w:r>
        <w:rPr>
          <w:rFonts w:ascii="Times New Roman" w:eastAsia="Times New Roman" w:hAnsi="Times New Roman" w:cs="Times New Roman"/>
          <w:sz w:val="24"/>
          <w:szCs w:val="24"/>
          <w:highlight w:val="white"/>
        </w:rPr>
        <w:t>.</w:t>
      </w:r>
    </w:p>
    <w:p w14:paraId="4B9EA17F" w14:textId="77777777" w:rsidR="002E0C8E" w:rsidRDefault="002E0C8E">
      <w:pPr>
        <w:rPr>
          <w:rFonts w:ascii="Times New Roman" w:eastAsia="Times New Roman" w:hAnsi="Times New Roman" w:cs="Times New Roman"/>
          <w:sz w:val="24"/>
          <w:szCs w:val="24"/>
          <w:highlight w:val="white"/>
        </w:rPr>
      </w:pPr>
    </w:p>
    <w:p w14:paraId="1FA6619A"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Kopparapu, R. K., Ramirez, R., Kasting, J.F., Eymet, V., Robinson, T.D., Mahadevan, S., Terrien,     R.C., Domagal-Goldman, S., Meadows, V., and Deshpande, R. (2013) “Habitable Zones        Around Main-Sequence Stars: New Estimates.”  </w:t>
      </w:r>
      <w:r>
        <w:rPr>
          <w:rFonts w:ascii="Times New Roman" w:eastAsia="Times New Roman" w:hAnsi="Times New Roman" w:cs="Times New Roman"/>
          <w:i/>
          <w:sz w:val="24"/>
          <w:szCs w:val="24"/>
          <w:highlight w:val="white"/>
        </w:rPr>
        <w:t>The Astrophysical Journal</w:t>
      </w:r>
      <w:r>
        <w:rPr>
          <w:rFonts w:ascii="Times New Roman" w:eastAsia="Times New Roman" w:hAnsi="Times New Roman" w:cs="Times New Roman"/>
          <w:sz w:val="24"/>
          <w:szCs w:val="24"/>
          <w:highlight w:val="white"/>
        </w:rPr>
        <w:t xml:space="preserve"> 765:131(16pp)</w:t>
      </w:r>
    </w:p>
    <w:p w14:paraId="4CFB09F7" w14:textId="77777777" w:rsidR="002E0C8E" w:rsidRDefault="004B55A1">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Kuhn, W. R., and S. K. Atreya, Ammonia photolysis and the greenhouse effect in the primordial atmosphere of the Earth, Icarus, 37, 207-213, 1979, </w:t>
      </w:r>
      <w:hyperlink r:id="rId53">
        <w:r>
          <w:rPr>
            <w:rFonts w:ascii="Times New Roman" w:eastAsia="Times New Roman" w:hAnsi="Times New Roman" w:cs="Times New Roman"/>
            <w:sz w:val="24"/>
            <w:szCs w:val="24"/>
            <w:highlight w:val="white"/>
          </w:rPr>
          <w:t>https://doi.org/10.1016/0019-1035(79)90126-X</w:t>
        </w:r>
      </w:hyperlink>
      <w:r>
        <w:rPr>
          <w:rFonts w:ascii="Times New Roman" w:eastAsia="Times New Roman" w:hAnsi="Times New Roman" w:cs="Times New Roman"/>
          <w:sz w:val="24"/>
          <w:szCs w:val="24"/>
          <w:highlight w:val="white"/>
        </w:rPr>
        <w:t>.</w:t>
      </w:r>
    </w:p>
    <w:p w14:paraId="55BA2B5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Lean, J., Beer, J. and Bradley, S. (1995) “Reconstruction of solar irradiance since 1610:     Implications for climate change.” </w:t>
      </w:r>
      <w:r>
        <w:rPr>
          <w:rFonts w:ascii="Times New Roman" w:eastAsia="Times New Roman" w:hAnsi="Times New Roman" w:cs="Times New Roman"/>
          <w:i/>
          <w:sz w:val="24"/>
          <w:szCs w:val="24"/>
          <w:highlight w:val="white"/>
        </w:rPr>
        <w:t xml:space="preserve">Geophys. Res. Lett. </w:t>
      </w:r>
      <w:r>
        <w:rPr>
          <w:rFonts w:ascii="Times New Roman" w:eastAsia="Times New Roman" w:hAnsi="Times New Roman" w:cs="Times New Roman"/>
          <w:sz w:val="24"/>
          <w:szCs w:val="24"/>
          <w:highlight w:val="white"/>
        </w:rPr>
        <w:t>22, 3195-3198</w:t>
      </w:r>
    </w:p>
    <w:p w14:paraId="621D5D94" w14:textId="77777777" w:rsidR="002E0C8E" w:rsidRDefault="002E0C8E">
      <w:pPr>
        <w:rPr>
          <w:rFonts w:ascii="Times New Roman" w:eastAsia="Times New Roman" w:hAnsi="Times New Roman" w:cs="Times New Roman"/>
          <w:sz w:val="24"/>
          <w:szCs w:val="24"/>
          <w:highlight w:val="white"/>
        </w:rPr>
      </w:pPr>
    </w:p>
    <w:p w14:paraId="1B9BE0B7"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Manga, M.,  Patel, A.,  Dufek, J., and  Kite, E. S. ( 2012),  Wet surface and dense atmosphere on early Mars suggested by the bomb sag at Home Plate, Mars, </w:t>
      </w:r>
      <w:r>
        <w:rPr>
          <w:rFonts w:ascii="Times New Roman" w:eastAsia="Times New Roman" w:hAnsi="Times New Roman" w:cs="Times New Roman"/>
          <w:i/>
          <w:sz w:val="24"/>
          <w:szCs w:val="24"/>
          <w:highlight w:val="white"/>
        </w:rPr>
        <w:t>Geophys. Res. Lett.</w:t>
      </w:r>
      <w:r>
        <w:rPr>
          <w:rFonts w:ascii="Times New Roman" w:eastAsia="Times New Roman" w:hAnsi="Times New Roman" w:cs="Times New Roman"/>
          <w:sz w:val="24"/>
          <w:szCs w:val="24"/>
          <w:highlight w:val="white"/>
        </w:rPr>
        <w:t>,  39, L01202, doi:</w:t>
      </w:r>
      <w:hyperlink r:id="rId54">
        <w:r>
          <w:rPr>
            <w:rFonts w:ascii="Times New Roman" w:eastAsia="Times New Roman" w:hAnsi="Times New Roman" w:cs="Times New Roman"/>
            <w:sz w:val="24"/>
            <w:szCs w:val="24"/>
            <w:highlight w:val="white"/>
          </w:rPr>
          <w:t>10.1029/2011GL050192</w:t>
        </w:r>
      </w:hyperlink>
      <w:r>
        <w:rPr>
          <w:rFonts w:ascii="Times New Roman" w:eastAsia="Times New Roman" w:hAnsi="Times New Roman" w:cs="Times New Roman"/>
          <w:sz w:val="24"/>
          <w:szCs w:val="24"/>
          <w:highlight w:val="white"/>
        </w:rPr>
        <w:t>.</w:t>
      </w:r>
    </w:p>
    <w:p w14:paraId="4608A02D" w14:textId="77777777" w:rsidR="002E0C8E" w:rsidRDefault="002E0C8E">
      <w:pPr>
        <w:rPr>
          <w:color w:val="1C1D1E"/>
          <w:sz w:val="21"/>
          <w:szCs w:val="21"/>
          <w:highlight w:val="white"/>
        </w:rPr>
      </w:pPr>
    </w:p>
    <w:p w14:paraId="53F5B411"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Matsuyama, I. &amp; Manga, M. (2010), Mars without the equilibrium rotational figure, Tharsis, and the remnant rotational figure. </w:t>
      </w:r>
      <w:r>
        <w:rPr>
          <w:rFonts w:ascii="Times New Roman" w:eastAsia="Times New Roman" w:hAnsi="Times New Roman" w:cs="Times New Roman"/>
          <w:i/>
          <w:sz w:val="24"/>
          <w:szCs w:val="24"/>
          <w:highlight w:val="white"/>
        </w:rPr>
        <w:t>J. Geophys. Res.</w:t>
      </w:r>
      <w:r>
        <w:rPr>
          <w:rFonts w:ascii="Times New Roman" w:eastAsia="Times New Roman" w:hAnsi="Times New Roman" w:cs="Times New Roman"/>
          <w:sz w:val="24"/>
          <w:szCs w:val="24"/>
          <w:highlight w:val="white"/>
        </w:rPr>
        <w:t xml:space="preserve"> 115, E12020.</w:t>
      </w:r>
    </w:p>
    <w:p w14:paraId="1409C23A" w14:textId="77777777" w:rsidR="002E0C8E" w:rsidRDefault="002E0C8E">
      <w:pPr>
        <w:rPr>
          <w:rFonts w:ascii="Times New Roman" w:eastAsia="Times New Roman" w:hAnsi="Times New Roman" w:cs="Times New Roman"/>
          <w:sz w:val="24"/>
          <w:szCs w:val="24"/>
          <w:highlight w:val="white"/>
        </w:rPr>
      </w:pPr>
    </w:p>
    <w:p w14:paraId="556CDA93"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Masursky, H. (1973),  An overview of geological results from Mariner 9, </w:t>
      </w:r>
      <w:r>
        <w:rPr>
          <w:rFonts w:ascii="Times New Roman" w:eastAsia="Times New Roman" w:hAnsi="Times New Roman" w:cs="Times New Roman"/>
          <w:i/>
          <w:sz w:val="24"/>
          <w:szCs w:val="24"/>
          <w:highlight w:val="white"/>
        </w:rPr>
        <w:t>J. Geophys. Res.</w:t>
      </w:r>
      <w:r>
        <w:rPr>
          <w:rFonts w:ascii="Times New Roman" w:eastAsia="Times New Roman" w:hAnsi="Times New Roman" w:cs="Times New Roman"/>
          <w:sz w:val="24"/>
          <w:szCs w:val="24"/>
          <w:highlight w:val="white"/>
        </w:rPr>
        <w:t>,  78( 20),  4009– 4030, doi:</w:t>
      </w:r>
      <w:hyperlink r:id="rId55">
        <w:r>
          <w:rPr>
            <w:rFonts w:ascii="Times New Roman" w:eastAsia="Times New Roman" w:hAnsi="Times New Roman" w:cs="Times New Roman"/>
            <w:sz w:val="24"/>
            <w:szCs w:val="24"/>
            <w:highlight w:val="white"/>
          </w:rPr>
          <w:t>10.1029/JB078i020p04009</w:t>
        </w:r>
      </w:hyperlink>
      <w:r>
        <w:rPr>
          <w:rFonts w:ascii="Times New Roman" w:eastAsia="Times New Roman" w:hAnsi="Times New Roman" w:cs="Times New Roman"/>
          <w:sz w:val="24"/>
          <w:szCs w:val="24"/>
          <w:highlight w:val="white"/>
        </w:rPr>
        <w:t>.</w:t>
      </w:r>
    </w:p>
    <w:p w14:paraId="4C0A1963" w14:textId="77777777" w:rsidR="002E0C8E" w:rsidRDefault="002E0C8E">
      <w:pPr>
        <w:rPr>
          <w:sz w:val="21"/>
          <w:szCs w:val="21"/>
          <w:highlight w:val="white"/>
        </w:rPr>
      </w:pPr>
    </w:p>
    <w:p w14:paraId="3A7CB897"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Mischna, M. A., Baker, V., Milliken, R., Richardson, M., and Lee, C. ( 2013),  Effects of obliquity and water vapor/trace gas greenhouses in the early martian climate, </w:t>
      </w:r>
      <w:r>
        <w:rPr>
          <w:rFonts w:ascii="Times New Roman" w:eastAsia="Times New Roman" w:hAnsi="Times New Roman" w:cs="Times New Roman"/>
          <w:i/>
          <w:sz w:val="24"/>
          <w:szCs w:val="24"/>
          <w:highlight w:val="white"/>
        </w:rPr>
        <w:t>J. Geophys. Res. Planets</w:t>
      </w:r>
      <w:r>
        <w:rPr>
          <w:rFonts w:ascii="Times New Roman" w:eastAsia="Times New Roman" w:hAnsi="Times New Roman" w:cs="Times New Roman"/>
          <w:sz w:val="24"/>
          <w:szCs w:val="24"/>
          <w:highlight w:val="white"/>
        </w:rPr>
        <w:t>,  118,  560– 576, doi:</w:t>
      </w:r>
      <w:hyperlink r:id="rId56">
        <w:r>
          <w:rPr>
            <w:rFonts w:ascii="Times New Roman" w:eastAsia="Times New Roman" w:hAnsi="Times New Roman" w:cs="Times New Roman"/>
            <w:sz w:val="24"/>
            <w:szCs w:val="24"/>
            <w:highlight w:val="white"/>
          </w:rPr>
          <w:t>10.1002/jgre.20054</w:t>
        </w:r>
      </w:hyperlink>
      <w:r>
        <w:rPr>
          <w:rFonts w:ascii="Times New Roman" w:eastAsia="Times New Roman" w:hAnsi="Times New Roman" w:cs="Times New Roman"/>
          <w:sz w:val="24"/>
          <w:szCs w:val="24"/>
          <w:highlight w:val="white"/>
        </w:rPr>
        <w:t>.</w:t>
      </w:r>
    </w:p>
    <w:p w14:paraId="5DC2599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Murchie, S., et al. ( 2009),  Evidence for the origin of layered deposits in Candor Chasma, Mars, from mineral composition and hydrologic modeling, </w:t>
      </w:r>
      <w:r>
        <w:rPr>
          <w:rFonts w:ascii="Times New Roman" w:eastAsia="Times New Roman" w:hAnsi="Times New Roman" w:cs="Times New Roman"/>
          <w:i/>
          <w:sz w:val="24"/>
          <w:szCs w:val="24"/>
          <w:highlight w:val="white"/>
        </w:rPr>
        <w:t>J. Geophys. Res.</w:t>
      </w:r>
      <w:r>
        <w:rPr>
          <w:rFonts w:ascii="Times New Roman" w:eastAsia="Times New Roman" w:hAnsi="Times New Roman" w:cs="Times New Roman"/>
          <w:sz w:val="24"/>
          <w:szCs w:val="24"/>
          <w:highlight w:val="white"/>
        </w:rPr>
        <w:t>,  114, E00D05, doi:</w:t>
      </w:r>
      <w:hyperlink r:id="rId57">
        <w:r>
          <w:rPr>
            <w:rFonts w:ascii="Times New Roman" w:eastAsia="Times New Roman" w:hAnsi="Times New Roman" w:cs="Times New Roman"/>
            <w:sz w:val="24"/>
            <w:szCs w:val="24"/>
            <w:highlight w:val="white"/>
          </w:rPr>
          <w:t>10.1029/2009JE003343</w:t>
        </w:r>
      </w:hyperlink>
      <w:r>
        <w:rPr>
          <w:rFonts w:ascii="Times New Roman" w:eastAsia="Times New Roman" w:hAnsi="Times New Roman" w:cs="Times New Roman"/>
          <w:sz w:val="24"/>
          <w:szCs w:val="24"/>
          <w:highlight w:val="white"/>
        </w:rPr>
        <w:t>.</w:t>
      </w:r>
    </w:p>
    <w:p w14:paraId="03F3BC71" w14:textId="77777777" w:rsidR="002E0C8E" w:rsidRDefault="002E0C8E">
      <w:pPr>
        <w:rPr>
          <w:rFonts w:ascii="Times New Roman" w:eastAsia="Times New Roman" w:hAnsi="Times New Roman" w:cs="Times New Roman"/>
          <w:sz w:val="24"/>
          <w:szCs w:val="24"/>
        </w:rPr>
      </w:pPr>
    </w:p>
    <w:p w14:paraId="3890F293"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Mondelain, D., C. Boulet, and J.-M. Hartmann (2021), The binary absorption coefficients for H2 + CO2mixtures in the 2.12–2.35 µm spectral region determined by CRDS and by semi-empirical calculations, Journal of Quantitative Spectroscopy and Radiative Transfer, 260, 107454, </w:t>
      </w:r>
      <w:hyperlink r:id="rId58">
        <w:r>
          <w:rPr>
            <w:rFonts w:ascii="Times New Roman" w:eastAsia="Times New Roman" w:hAnsi="Times New Roman" w:cs="Times New Roman"/>
            <w:sz w:val="24"/>
            <w:szCs w:val="24"/>
          </w:rPr>
          <w:t>https://doi.org/10.1016/j.jqsrt.2020.107454</w:t>
        </w:r>
      </w:hyperlink>
      <w:r>
        <w:rPr>
          <w:rFonts w:ascii="Times New Roman" w:eastAsia="Times New Roman" w:hAnsi="Times New Roman" w:cs="Times New Roman"/>
          <w:sz w:val="24"/>
          <w:szCs w:val="24"/>
        </w:rPr>
        <w:t xml:space="preserve">.  </w:t>
      </w:r>
    </w:p>
    <w:p w14:paraId="2BB6BBBC" w14:textId="77777777" w:rsidR="002E0C8E" w:rsidRDefault="002E0C8E">
      <w:pPr>
        <w:rPr>
          <w:rFonts w:ascii="Times New Roman" w:eastAsia="Times New Roman" w:hAnsi="Times New Roman" w:cs="Times New Roman"/>
          <w:sz w:val="24"/>
          <w:szCs w:val="24"/>
          <w:highlight w:val="white"/>
        </w:rPr>
      </w:pPr>
    </w:p>
    <w:p w14:paraId="1C4CD5F8"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Navarro, T., Madeleine, J.‐B, Forget, F., Spiga, A., Millour, E., Montmessin, F., and Määttänen, A. ( 2014), Global climate modeling of the Martian water cycle with improved microphysics and radiatively active water ice clouds, </w:t>
      </w:r>
      <w:r>
        <w:rPr>
          <w:rFonts w:ascii="Times New Roman" w:eastAsia="Times New Roman" w:hAnsi="Times New Roman" w:cs="Times New Roman"/>
          <w:i/>
          <w:sz w:val="24"/>
          <w:szCs w:val="24"/>
          <w:highlight w:val="white"/>
        </w:rPr>
        <w:t>J. Geophys. Res. Planets</w:t>
      </w:r>
      <w:r>
        <w:rPr>
          <w:rFonts w:ascii="Times New Roman" w:eastAsia="Times New Roman" w:hAnsi="Times New Roman" w:cs="Times New Roman"/>
          <w:sz w:val="24"/>
          <w:szCs w:val="24"/>
          <w:highlight w:val="white"/>
        </w:rPr>
        <w:t>,  119,  1479– 1495, doi:</w:t>
      </w:r>
      <w:hyperlink r:id="rId59">
        <w:r>
          <w:rPr>
            <w:rFonts w:ascii="Times New Roman" w:eastAsia="Times New Roman" w:hAnsi="Times New Roman" w:cs="Times New Roman"/>
            <w:sz w:val="24"/>
            <w:szCs w:val="24"/>
            <w:highlight w:val="white"/>
          </w:rPr>
          <w:t>10.1002/2013JE004550</w:t>
        </w:r>
      </w:hyperlink>
      <w:r>
        <w:rPr>
          <w:rFonts w:ascii="Times New Roman" w:eastAsia="Times New Roman" w:hAnsi="Times New Roman" w:cs="Times New Roman"/>
          <w:sz w:val="24"/>
          <w:szCs w:val="24"/>
          <w:highlight w:val="white"/>
        </w:rPr>
        <w:t>.</w:t>
      </w:r>
    </w:p>
    <w:p w14:paraId="4AB94730" w14:textId="77777777" w:rsidR="002E0C8E" w:rsidRDefault="002E0C8E">
      <w:pPr>
        <w:rPr>
          <w:color w:val="1C1D1E"/>
          <w:sz w:val="21"/>
          <w:szCs w:val="21"/>
          <w:highlight w:val="white"/>
        </w:rPr>
      </w:pPr>
    </w:p>
    <w:p w14:paraId="40ECC9D7"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Palumbo, A. M., &amp;  Head, J. W. (2018).  Early Mars climate history: Characterizing a “warm and wet” Martian climate with a 3‐D global climate model and testing geological predictions. </w:t>
      </w:r>
      <w:r>
        <w:rPr>
          <w:rFonts w:ascii="Times New Roman" w:eastAsia="Times New Roman" w:hAnsi="Times New Roman" w:cs="Times New Roman"/>
          <w:i/>
          <w:sz w:val="24"/>
          <w:szCs w:val="24"/>
          <w:highlight w:val="white"/>
        </w:rPr>
        <w:t>Geophysical Research Letters</w:t>
      </w:r>
      <w:r>
        <w:rPr>
          <w:rFonts w:ascii="Times New Roman" w:eastAsia="Times New Roman" w:hAnsi="Times New Roman" w:cs="Times New Roman"/>
          <w:sz w:val="24"/>
          <w:szCs w:val="24"/>
          <w:highlight w:val="white"/>
        </w:rPr>
        <w:t xml:space="preserve">,  45,  10,249– 10,258. </w:t>
      </w:r>
      <w:hyperlink r:id="rId60">
        <w:r>
          <w:rPr>
            <w:rFonts w:ascii="Times New Roman" w:eastAsia="Times New Roman" w:hAnsi="Times New Roman" w:cs="Times New Roman"/>
            <w:sz w:val="24"/>
            <w:szCs w:val="24"/>
            <w:highlight w:val="white"/>
          </w:rPr>
          <w:t>https://doi.org/10.1029/2018GL079767</w:t>
        </w:r>
      </w:hyperlink>
      <w:r>
        <w:rPr>
          <w:rFonts w:ascii="Times New Roman" w:eastAsia="Times New Roman" w:hAnsi="Times New Roman" w:cs="Times New Roman"/>
          <w:sz w:val="24"/>
          <w:szCs w:val="24"/>
          <w:highlight w:val="white"/>
        </w:rPr>
        <w:t>.</w:t>
      </w:r>
    </w:p>
    <w:p w14:paraId="570808EF" w14:textId="77777777" w:rsidR="002E0C8E" w:rsidRDefault="002E0C8E">
      <w:pPr>
        <w:rPr>
          <w:rFonts w:ascii="Times New Roman" w:eastAsia="Times New Roman" w:hAnsi="Times New Roman" w:cs="Times New Roman"/>
          <w:sz w:val="24"/>
          <w:szCs w:val="24"/>
          <w:highlight w:val="white"/>
        </w:rPr>
      </w:pPr>
    </w:p>
    <w:p w14:paraId="6A4B8BC5"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Palumbo, A.M., J.W. Head, and L. Wilson (2020), Rainfall on Noachian Mars: Nature, timing, and influence on geologic processes and climate history, Icarus, 347, 113782, https://doi.org/10.1016/j.icarus.2020.113782.  </w:t>
      </w:r>
    </w:p>
    <w:p w14:paraId="6F3DE153" w14:textId="77777777" w:rsidR="002E0C8E" w:rsidRDefault="002E0C8E">
      <w:pPr>
        <w:rPr>
          <w:rFonts w:ascii="Times New Roman" w:eastAsia="Times New Roman" w:hAnsi="Times New Roman" w:cs="Times New Roman"/>
          <w:sz w:val="24"/>
          <w:szCs w:val="24"/>
          <w:highlight w:val="white"/>
        </w:rPr>
      </w:pPr>
    </w:p>
    <w:p w14:paraId="33FA2869"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Perron, J. T., Mitrovica, J. X., Manga, M., Matsuyama, I. &amp; Richards, M. A., (2007) Evidence for an ancient martian ocean in the topography of deformed shorelines. </w:t>
      </w:r>
      <w:r>
        <w:rPr>
          <w:rFonts w:ascii="Times New Roman" w:eastAsia="Times New Roman" w:hAnsi="Times New Roman" w:cs="Times New Roman"/>
          <w:i/>
          <w:sz w:val="24"/>
          <w:szCs w:val="24"/>
          <w:highlight w:val="white"/>
        </w:rPr>
        <w:t>Nature,</w:t>
      </w:r>
      <w:r>
        <w:rPr>
          <w:rFonts w:ascii="Times New Roman" w:eastAsia="Times New Roman" w:hAnsi="Times New Roman" w:cs="Times New Roman"/>
          <w:sz w:val="24"/>
          <w:szCs w:val="24"/>
          <w:highlight w:val="white"/>
        </w:rPr>
        <w:t xml:space="preserve"> 447, 840–843.</w:t>
      </w:r>
    </w:p>
    <w:p w14:paraId="1EED1658" w14:textId="77777777" w:rsidR="002E0C8E" w:rsidRDefault="002E0C8E">
      <w:pPr>
        <w:rPr>
          <w:rFonts w:ascii="Times New Roman" w:eastAsia="Times New Roman" w:hAnsi="Times New Roman" w:cs="Times New Roman"/>
          <w:sz w:val="24"/>
          <w:szCs w:val="24"/>
          <w:highlight w:val="white"/>
        </w:rPr>
      </w:pPr>
    </w:p>
    <w:p w14:paraId="087EEB6A"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Pieri, D.C. (1981), Martian Valleys: Morphology, Distribution, Age, and Origin, Science, 210, 4472, 895-897, DOI: 10.1126/science.210.4472.895.  </w:t>
      </w:r>
    </w:p>
    <w:p w14:paraId="0819F2E4" w14:textId="77777777" w:rsidR="002E0C8E" w:rsidRDefault="002E0C8E">
      <w:pPr>
        <w:rPr>
          <w:rFonts w:ascii="Roboto" w:eastAsia="Roboto" w:hAnsi="Roboto" w:cs="Roboto"/>
          <w:sz w:val="18"/>
          <w:szCs w:val="18"/>
          <w:highlight w:val="white"/>
        </w:rPr>
      </w:pPr>
    </w:p>
    <w:p w14:paraId="309F14AB" w14:textId="77777777" w:rsidR="00C162C2" w:rsidRPr="00EF09FF" w:rsidRDefault="00C162C2" w:rsidP="00C162C2">
      <w:pPr>
        <w:rPr>
          <w:rFonts w:ascii="Times New Roman" w:hAnsi="Times New Roman" w:cs="Times New Roman"/>
          <w:sz w:val="24"/>
          <w:szCs w:val="24"/>
        </w:rPr>
      </w:pPr>
      <w:r w:rsidRPr="00EF09FF">
        <w:rPr>
          <w:rFonts w:ascii="Times New Roman" w:hAnsi="Times New Roman" w:cs="Times New Roman"/>
          <w:color w:val="1C1D1E"/>
          <w:sz w:val="24"/>
          <w:szCs w:val="24"/>
        </w:rPr>
        <w:t>Pike, W. T.</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Staufer, U.</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Hecht, M. H.</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Goetz, W.</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Parrat, D.</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Sykulska‐Lawrence, H.</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Vijendran, S.</w:t>
      </w:r>
      <w:r w:rsidRPr="00EF09FF">
        <w:rPr>
          <w:rFonts w:ascii="Times New Roman" w:hAnsi="Times New Roman" w:cs="Times New Roman"/>
          <w:color w:val="1C1D1E"/>
          <w:sz w:val="24"/>
          <w:szCs w:val="24"/>
          <w:shd w:val="clear" w:color="auto" w:fill="FFFFFF"/>
        </w:rPr>
        <w:t xml:space="preserve">, and </w:t>
      </w:r>
      <w:r w:rsidRPr="00EF09FF">
        <w:rPr>
          <w:rFonts w:ascii="Times New Roman" w:hAnsi="Times New Roman" w:cs="Times New Roman"/>
          <w:color w:val="1C1D1E"/>
          <w:sz w:val="24"/>
          <w:szCs w:val="24"/>
        </w:rPr>
        <w:t>Madsen, M. B.</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2011</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Quantification of the dry history of the Martian soil inferred from in situ microscopy</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i/>
          <w:iCs/>
          <w:color w:val="1C1D1E"/>
          <w:sz w:val="24"/>
          <w:szCs w:val="24"/>
        </w:rPr>
        <w:t>Geophys. Res. Lett.</w:t>
      </w:r>
      <w:r w:rsidRPr="00EF09FF">
        <w:rPr>
          <w:rFonts w:ascii="Times New Roman" w:hAnsi="Times New Roman" w:cs="Times New Roman"/>
          <w:color w:val="1C1D1E"/>
          <w:sz w:val="24"/>
          <w:szCs w:val="24"/>
          <w:shd w:val="clear" w:color="auto" w:fill="FFFFFF"/>
        </w:rPr>
        <w:t xml:space="preserve">,  </w:t>
      </w:r>
      <w:r w:rsidRPr="00EF09FF">
        <w:rPr>
          <w:rFonts w:ascii="Times New Roman" w:hAnsi="Times New Roman" w:cs="Times New Roman"/>
          <w:color w:val="1C1D1E"/>
          <w:sz w:val="24"/>
          <w:szCs w:val="24"/>
        </w:rPr>
        <w:t>38</w:t>
      </w:r>
      <w:r w:rsidRPr="00EF09FF">
        <w:rPr>
          <w:rFonts w:ascii="Times New Roman" w:hAnsi="Times New Roman" w:cs="Times New Roman"/>
          <w:color w:val="1C1D1E"/>
          <w:sz w:val="24"/>
          <w:szCs w:val="24"/>
          <w:shd w:val="clear" w:color="auto" w:fill="FFFFFF"/>
        </w:rPr>
        <w:t>, L24201, doi:</w:t>
      </w:r>
      <w:hyperlink r:id="rId61" w:history="1">
        <w:r w:rsidRPr="00EF09FF">
          <w:rPr>
            <w:rStyle w:val="Hyperlink"/>
            <w:rFonts w:ascii="Times New Roman" w:hAnsi="Times New Roman" w:cs="Times New Roman"/>
            <w:color w:val="005274"/>
            <w:sz w:val="24"/>
            <w:szCs w:val="24"/>
          </w:rPr>
          <w:t>10.1029/2011GL049896</w:t>
        </w:r>
      </w:hyperlink>
      <w:r w:rsidRPr="00EF09FF">
        <w:rPr>
          <w:rFonts w:ascii="Times New Roman" w:hAnsi="Times New Roman" w:cs="Times New Roman"/>
          <w:color w:val="1C1D1E"/>
          <w:sz w:val="24"/>
          <w:szCs w:val="24"/>
          <w:shd w:val="clear" w:color="auto" w:fill="FFFFFF"/>
        </w:rPr>
        <w:t>.</w:t>
      </w:r>
    </w:p>
    <w:p w14:paraId="6687BCD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Pollack, J.B. (1979), Climate Change on the Terrestrial Planets, Icarus, 37, 479-553, </w:t>
      </w:r>
      <w:hyperlink r:id="rId62">
        <w:r>
          <w:rPr>
            <w:rFonts w:ascii="Times New Roman" w:eastAsia="Times New Roman" w:hAnsi="Times New Roman" w:cs="Times New Roman"/>
            <w:sz w:val="24"/>
            <w:szCs w:val="24"/>
            <w:highlight w:val="white"/>
          </w:rPr>
          <w:t>https://doi.org/10.1016/0019-1035(79)90012-5</w:t>
        </w:r>
      </w:hyperlink>
      <w:r>
        <w:rPr>
          <w:rFonts w:ascii="Times New Roman" w:eastAsia="Times New Roman" w:hAnsi="Times New Roman" w:cs="Times New Roman"/>
          <w:sz w:val="24"/>
          <w:szCs w:val="24"/>
          <w:highlight w:val="white"/>
        </w:rPr>
        <w:t xml:space="preserve">.  </w:t>
      </w:r>
    </w:p>
    <w:p w14:paraId="00645DCD" w14:textId="77777777" w:rsidR="002E0C8E" w:rsidRDefault="002E0C8E">
      <w:pPr>
        <w:rPr>
          <w:rFonts w:ascii="Times New Roman" w:eastAsia="Times New Roman" w:hAnsi="Times New Roman" w:cs="Times New Roman"/>
          <w:sz w:val="24"/>
          <w:szCs w:val="24"/>
          <w:highlight w:val="white"/>
        </w:rPr>
      </w:pPr>
    </w:p>
    <w:p w14:paraId="256F1ED9"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Pollack, J. B., J. F. Kasting, S. M. Richardson, and K. Poliakoff (1987), The case for a wet, warm climate on early Mars, Icarus 71, 203-224, </w:t>
      </w:r>
      <w:hyperlink r:id="rId63">
        <w:r>
          <w:rPr>
            <w:rFonts w:ascii="Times New Roman" w:eastAsia="Times New Roman" w:hAnsi="Times New Roman" w:cs="Times New Roman"/>
            <w:sz w:val="24"/>
            <w:szCs w:val="24"/>
            <w:highlight w:val="white"/>
          </w:rPr>
          <w:t>https://doi.org/10.1016/0019-1035(87)90147-3</w:t>
        </w:r>
      </w:hyperlink>
      <w:r>
        <w:rPr>
          <w:rFonts w:ascii="Times New Roman" w:eastAsia="Times New Roman" w:hAnsi="Times New Roman" w:cs="Times New Roman"/>
          <w:sz w:val="24"/>
          <w:szCs w:val="24"/>
          <w:highlight w:val="white"/>
        </w:rPr>
        <w:t xml:space="preserve">.  </w:t>
      </w:r>
    </w:p>
    <w:p w14:paraId="32FF261A" w14:textId="77777777" w:rsidR="002E0C8E" w:rsidRDefault="002E0C8E">
      <w:pPr>
        <w:rPr>
          <w:rFonts w:ascii="Times New Roman" w:eastAsia="Times New Roman" w:hAnsi="Times New Roman" w:cs="Times New Roman"/>
          <w:sz w:val="24"/>
          <w:szCs w:val="24"/>
          <w:highlight w:val="white"/>
        </w:rPr>
      </w:pPr>
    </w:p>
    <w:p w14:paraId="01658F50"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Postawko, S. E., and  Kuhn, W. R. ( 1986),  Effect of the greenhouse gases (CO2, H2O, SO2) on Martian paleoclimate, </w:t>
      </w:r>
      <w:r>
        <w:rPr>
          <w:rFonts w:ascii="Times New Roman" w:eastAsia="Times New Roman" w:hAnsi="Times New Roman" w:cs="Times New Roman"/>
          <w:i/>
          <w:sz w:val="24"/>
          <w:szCs w:val="24"/>
          <w:highlight w:val="white"/>
        </w:rPr>
        <w:t>J. Geophys. Res.</w:t>
      </w:r>
      <w:r>
        <w:rPr>
          <w:rFonts w:ascii="Times New Roman" w:eastAsia="Times New Roman" w:hAnsi="Times New Roman" w:cs="Times New Roman"/>
          <w:sz w:val="24"/>
          <w:szCs w:val="24"/>
          <w:highlight w:val="white"/>
        </w:rPr>
        <w:t>,  91( B4),  431– 438, doi:</w:t>
      </w:r>
      <w:hyperlink r:id="rId64">
        <w:r>
          <w:rPr>
            <w:rFonts w:ascii="Times New Roman" w:eastAsia="Times New Roman" w:hAnsi="Times New Roman" w:cs="Times New Roman"/>
            <w:sz w:val="24"/>
            <w:szCs w:val="24"/>
            <w:highlight w:val="white"/>
          </w:rPr>
          <w:t>10.1029/JB091iB04p0D431</w:t>
        </w:r>
      </w:hyperlink>
      <w:r>
        <w:rPr>
          <w:rFonts w:ascii="Times New Roman" w:eastAsia="Times New Roman" w:hAnsi="Times New Roman" w:cs="Times New Roman"/>
          <w:sz w:val="24"/>
          <w:szCs w:val="24"/>
          <w:highlight w:val="white"/>
        </w:rPr>
        <w:t>.</w:t>
      </w:r>
    </w:p>
    <w:p w14:paraId="303797B3" w14:textId="77777777" w:rsidR="002E0C8E" w:rsidRDefault="002E0C8E">
      <w:pPr>
        <w:rPr>
          <w:color w:val="1C1D1E"/>
          <w:sz w:val="21"/>
          <w:szCs w:val="21"/>
          <w:highlight w:val="white"/>
        </w:rPr>
      </w:pPr>
    </w:p>
    <w:p w14:paraId="5FC38B3D"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Ramirez, R., Kopparapu, R., Zugger, M.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Warming early Mars with CO2 and H2.</w:t>
      </w:r>
      <w:r>
        <w:rPr>
          <w:rFonts w:ascii="Times New Roman" w:eastAsia="Times New Roman" w:hAnsi="Times New Roman" w:cs="Times New Roman"/>
          <w:i/>
          <w:sz w:val="24"/>
          <w:szCs w:val="24"/>
          <w:highlight w:val="white"/>
        </w:rPr>
        <w:t>Nature Geosci</w:t>
      </w:r>
      <w:r>
        <w:rPr>
          <w:rFonts w:ascii="Times New Roman" w:eastAsia="Times New Roman" w:hAnsi="Times New Roman" w:cs="Times New Roman"/>
          <w:sz w:val="24"/>
          <w:szCs w:val="24"/>
          <w:highlight w:val="white"/>
        </w:rPr>
        <w:t xml:space="preserve"> 7, 59–63 (2014). </w:t>
      </w:r>
      <w:hyperlink r:id="rId65">
        <w:r>
          <w:rPr>
            <w:rFonts w:ascii="Times New Roman" w:eastAsia="Times New Roman" w:hAnsi="Times New Roman" w:cs="Times New Roman"/>
            <w:sz w:val="24"/>
            <w:szCs w:val="24"/>
            <w:highlight w:val="white"/>
          </w:rPr>
          <w:t>https://doi.org/10.1038/ngeo2000</w:t>
        </w:r>
      </w:hyperlink>
      <w:r>
        <w:rPr>
          <w:rFonts w:ascii="Times New Roman" w:eastAsia="Times New Roman" w:hAnsi="Times New Roman" w:cs="Times New Roman"/>
          <w:sz w:val="24"/>
          <w:szCs w:val="24"/>
          <w:highlight w:val="white"/>
        </w:rPr>
        <w:t>.</w:t>
      </w:r>
    </w:p>
    <w:p w14:paraId="6BC18700" w14:textId="77777777" w:rsidR="002E0C8E" w:rsidRDefault="002E0C8E">
      <w:pPr>
        <w:rPr>
          <w:rFonts w:ascii="Roboto" w:eastAsia="Roboto" w:hAnsi="Roboto" w:cs="Roboto"/>
          <w:color w:val="222222"/>
          <w:sz w:val="24"/>
          <w:szCs w:val="24"/>
          <w:highlight w:val="white"/>
        </w:rPr>
      </w:pPr>
    </w:p>
    <w:p w14:paraId="7A64F971"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Ramirez, R.M., Craddock, R.A., and Usui, T. (2020), Climate Simulations for Early Mars with Estimated Precipitation, Runoff, and Erosion Rates, </w:t>
      </w:r>
      <w:r>
        <w:rPr>
          <w:rFonts w:ascii="Times New Roman" w:eastAsia="Times New Roman" w:hAnsi="Times New Roman" w:cs="Times New Roman"/>
          <w:i/>
          <w:sz w:val="24"/>
          <w:szCs w:val="24"/>
          <w:highlight w:val="white"/>
        </w:rPr>
        <w:t xml:space="preserve">J. Geophys. Res. Planets, </w:t>
      </w:r>
      <w:r>
        <w:rPr>
          <w:rFonts w:ascii="Times New Roman" w:eastAsia="Times New Roman" w:hAnsi="Times New Roman" w:cs="Times New Roman"/>
          <w:sz w:val="24"/>
          <w:szCs w:val="24"/>
          <w:highlight w:val="white"/>
        </w:rPr>
        <w:t>125, e2019JE006160, https://doi.org/10.1029/2019JE006160.</w:t>
      </w:r>
    </w:p>
    <w:p w14:paraId="0EC25A5E" w14:textId="77777777" w:rsidR="002E0C8E" w:rsidRDefault="002E0C8E">
      <w:pPr>
        <w:rPr>
          <w:rFonts w:ascii="Times New Roman" w:eastAsia="Times New Roman" w:hAnsi="Times New Roman" w:cs="Times New Roman"/>
          <w:sz w:val="24"/>
          <w:szCs w:val="24"/>
          <w:highlight w:val="white"/>
        </w:rPr>
      </w:pPr>
    </w:p>
    <w:p w14:paraId="5111746E"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Roe, H.G., (2012), Titan’s Methane Weather, Annual Review of Earth and Planetary Science, 40:355-82, doi:10.1146/annurev-earth-040809-152548.</w:t>
      </w:r>
    </w:p>
    <w:p w14:paraId="25AC8737" w14:textId="77777777" w:rsidR="002E0C8E" w:rsidRDefault="002E0C8E">
      <w:pPr>
        <w:rPr>
          <w:rFonts w:ascii="Times New Roman" w:eastAsia="Times New Roman" w:hAnsi="Times New Roman" w:cs="Times New Roman"/>
          <w:sz w:val="24"/>
          <w:szCs w:val="24"/>
          <w:highlight w:val="white"/>
        </w:rPr>
      </w:pPr>
    </w:p>
    <w:p w14:paraId="66CC07FE"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Rosenzweig, C., &amp; Abramopoulos, F. (1997). Land-Surface Model Development for the GISS GCM, Journal of Climate, 10(8), 2040-2054. doi:10.1175/1520-0442(1997)010&lt;2040:LSMDFT&gt;2.0.CO;2</w:t>
      </w:r>
    </w:p>
    <w:p w14:paraId="3C5B9243" w14:textId="77777777" w:rsidR="002E0C8E" w:rsidRDefault="002E0C8E">
      <w:pPr>
        <w:rPr>
          <w:rFonts w:ascii="Times New Roman" w:eastAsia="Times New Roman" w:hAnsi="Times New Roman" w:cs="Times New Roman"/>
          <w:sz w:val="24"/>
          <w:szCs w:val="24"/>
          <w:highlight w:val="white"/>
        </w:rPr>
      </w:pPr>
    </w:p>
    <w:p w14:paraId="2006D8E7"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Schon, S. C., J. W. Head, and C. I. Fassett (2012), An overfilled lacustrine system and progradational delta in Jezero crater, Mars: Implications for Noachian climate, Planet. Space</w:t>
      </w:r>
    </w:p>
    <w:p w14:paraId="41BBD11D"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Sci., 67, 28–45, doi:10.1016/j.pss.2012.02.003.</w:t>
      </w:r>
    </w:p>
    <w:p w14:paraId="5D520C0B" w14:textId="77777777" w:rsidR="002E0C8E" w:rsidRDefault="002E0C8E">
      <w:pPr>
        <w:rPr>
          <w:rFonts w:ascii="Times New Roman" w:eastAsia="Times New Roman" w:hAnsi="Times New Roman" w:cs="Times New Roman"/>
          <w:sz w:val="24"/>
          <w:szCs w:val="24"/>
        </w:rPr>
      </w:pPr>
    </w:p>
    <w:p w14:paraId="2FA4D8EA"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Soto, A., M. I. Richardson, and C. E. Newman (2010), Global constraints on rainfall on ancient Mars: Oceans, lakes, and valley networks, </w:t>
      </w:r>
      <w:r>
        <w:rPr>
          <w:rFonts w:ascii="Times New Roman" w:eastAsia="Times New Roman" w:hAnsi="Times New Roman" w:cs="Times New Roman"/>
          <w:i/>
          <w:sz w:val="24"/>
          <w:szCs w:val="24"/>
        </w:rPr>
        <w:t>Lunar Planet. Sci.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XLI</w:t>
      </w:r>
      <w:r>
        <w:rPr>
          <w:rFonts w:ascii="Times New Roman" w:eastAsia="Times New Roman" w:hAnsi="Times New Roman" w:cs="Times New Roman"/>
          <w:sz w:val="24"/>
          <w:szCs w:val="24"/>
        </w:rPr>
        <w:t>, Abstract 2397.</w:t>
      </w:r>
    </w:p>
    <w:p w14:paraId="62225775" w14:textId="77777777" w:rsidR="002E0C8E" w:rsidRDefault="002E0C8E">
      <w:pPr>
        <w:rPr>
          <w:rFonts w:ascii="Times New Roman" w:eastAsia="Times New Roman" w:hAnsi="Times New Roman" w:cs="Times New Roman"/>
          <w:sz w:val="24"/>
          <w:szCs w:val="24"/>
        </w:rPr>
      </w:pPr>
    </w:p>
    <w:p w14:paraId="5A820429"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Tarnas, J.D., Mustard, J.F., Lollar, B.S., Bramble, M.S., Cannon, K.M., Palumbo, A.M. and Plesa, A.C., 2018. Radiolytic H2 production on Noachian Mars: Implications for habitability and atmospheric warming. Earth and Planetary Science Letters, 502, pp.133-145.</w:t>
      </w:r>
    </w:p>
    <w:p w14:paraId="48E67EDF"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Tian F, Claire MW, Haqq-Misra JD, Smith M, Crisp DC, et al. (2010), Photochemical and climate consequences of sulfur outgassing on early Mars. Earth Planet. Sci. Lett. 295: 412–18, </w:t>
      </w:r>
      <w:hyperlink r:id="rId66">
        <w:r>
          <w:rPr>
            <w:rFonts w:ascii="Times New Roman" w:eastAsia="Times New Roman" w:hAnsi="Times New Roman" w:cs="Times New Roman"/>
            <w:sz w:val="24"/>
            <w:szCs w:val="24"/>
          </w:rPr>
          <w:t>https://doi.org/10.1016/j.epsl.2010.04.016</w:t>
        </w:r>
      </w:hyperlink>
      <w:r>
        <w:rPr>
          <w:rFonts w:ascii="Times New Roman" w:eastAsia="Times New Roman" w:hAnsi="Times New Roman" w:cs="Times New Roman"/>
          <w:sz w:val="24"/>
          <w:szCs w:val="24"/>
        </w:rPr>
        <w:t>.</w:t>
      </w:r>
    </w:p>
    <w:p w14:paraId="4D9E1304" w14:textId="77777777" w:rsidR="002E0C8E" w:rsidRDefault="002E0C8E">
      <w:pPr>
        <w:rPr>
          <w:rFonts w:ascii="Times New Roman" w:eastAsia="Times New Roman" w:hAnsi="Times New Roman" w:cs="Times New Roman"/>
          <w:color w:val="333333"/>
          <w:sz w:val="24"/>
          <w:szCs w:val="24"/>
        </w:rPr>
      </w:pPr>
    </w:p>
    <w:p w14:paraId="444C70C5"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Tosca, N.J., Ahmed, I.A., Tutolo, B.M., Ashpitel, A. and Hurowitz, J.A., 2018. Magnetite authigenesis and the warming of early Mars. Nature geoscience, 11(9), pp.635-639.</w:t>
      </w:r>
    </w:p>
    <w:p w14:paraId="438F1A1F" w14:textId="77777777" w:rsidR="002E0C8E" w:rsidRDefault="002E0C8E">
      <w:pPr>
        <w:rPr>
          <w:rFonts w:ascii="Times New Roman" w:eastAsia="Times New Roman" w:hAnsi="Times New Roman" w:cs="Times New Roman"/>
          <w:color w:val="333333"/>
          <w:sz w:val="24"/>
          <w:szCs w:val="24"/>
        </w:rPr>
      </w:pPr>
    </w:p>
    <w:p w14:paraId="63E9E7F5" w14:textId="550436B6"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Turbet, M., Gillmann, C., Forget, F., Baudin, B., Palumbo, A., Head, J. and Karatekin, O. (2020</w:t>
      </w:r>
      <w:r w:rsidR="006F295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The environmental effects of very larger bolide impacts on early Mars explored with a hierarchy of numerical models. </w:t>
      </w:r>
      <w:r>
        <w:rPr>
          <w:rFonts w:ascii="Times New Roman" w:eastAsia="Times New Roman" w:hAnsi="Times New Roman" w:cs="Times New Roman"/>
          <w:i/>
          <w:sz w:val="24"/>
          <w:szCs w:val="24"/>
        </w:rPr>
        <w:t>Icarus</w:t>
      </w:r>
      <w:r>
        <w:rPr>
          <w:rFonts w:ascii="Times New Roman" w:eastAsia="Times New Roman" w:hAnsi="Times New Roman" w:cs="Times New Roman"/>
          <w:sz w:val="24"/>
          <w:szCs w:val="24"/>
        </w:rPr>
        <w:t>, 335, 113419. https://doi.org/10.1016/j.icarus.2019.113419</w:t>
      </w:r>
    </w:p>
    <w:p w14:paraId="1F7493E6" w14:textId="77777777" w:rsidR="002E0C8E" w:rsidRDefault="002E0C8E">
      <w:pPr>
        <w:rPr>
          <w:color w:val="333333"/>
          <w:sz w:val="20"/>
          <w:szCs w:val="20"/>
          <w:shd w:val="clear" w:color="auto" w:fill="F0F0F0"/>
        </w:rPr>
      </w:pPr>
    </w:p>
    <w:p w14:paraId="565A95A0"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Turbet, M., C. Boulet, and T. Karman (2020b), Measurements and semi-empirical calculations of CO2 + CH4 and CO2 + H2 collision-induced absorption across a wide range of wavelengths and temperatures. Application for the prediction of early Mars surface temperature, Icarus, in press, </w:t>
      </w:r>
      <w:hyperlink r:id="rId67">
        <w:r>
          <w:rPr>
            <w:rFonts w:ascii="Times New Roman" w:eastAsia="Times New Roman" w:hAnsi="Times New Roman" w:cs="Times New Roman"/>
            <w:sz w:val="24"/>
            <w:szCs w:val="24"/>
          </w:rPr>
          <w:t>https://doi.org/10.1016/j.icarus.2020.113762</w:t>
        </w:r>
      </w:hyperlink>
      <w:r>
        <w:rPr>
          <w:rFonts w:ascii="Times New Roman" w:eastAsia="Times New Roman" w:hAnsi="Times New Roman" w:cs="Times New Roman"/>
          <w:sz w:val="24"/>
          <w:szCs w:val="24"/>
        </w:rPr>
        <w:t xml:space="preserve"> </w:t>
      </w:r>
    </w:p>
    <w:p w14:paraId="6C2B085E" w14:textId="77777777" w:rsidR="002E0C8E" w:rsidRDefault="002E0C8E">
      <w:pPr>
        <w:rPr>
          <w:rFonts w:ascii="Times New Roman" w:eastAsia="Times New Roman" w:hAnsi="Times New Roman" w:cs="Times New Roman"/>
          <w:color w:val="1C1D1E"/>
          <w:sz w:val="24"/>
          <w:szCs w:val="24"/>
        </w:rPr>
      </w:pPr>
    </w:p>
    <w:p w14:paraId="49ECF7E8" w14:textId="77777777" w:rsidR="002E0C8E" w:rsidRDefault="004B55A1">
      <w:pPr>
        <w:rPr>
          <w:rFonts w:ascii="Times New Roman" w:eastAsia="Times New Roman" w:hAnsi="Times New Roman" w:cs="Times New Roman"/>
          <w:color w:val="1C1D1E"/>
          <w:sz w:val="24"/>
          <w:szCs w:val="24"/>
        </w:rPr>
      </w:pPr>
      <w:r>
        <w:rPr>
          <w:rFonts w:ascii="Times New Roman" w:eastAsia="Times New Roman" w:hAnsi="Times New Roman" w:cs="Times New Roman"/>
          <w:color w:val="1C1D1E"/>
          <w:sz w:val="24"/>
          <w:szCs w:val="24"/>
        </w:rPr>
        <w:t xml:space="preserve">Urata, R. A. and Toon, O. B. (2013), Simulations of the martian hydrologic cycle with a general circulation model: Implications for the ancient martian climate, </w:t>
      </w:r>
      <w:r>
        <w:rPr>
          <w:rFonts w:ascii="Times New Roman" w:eastAsia="Times New Roman" w:hAnsi="Times New Roman" w:cs="Times New Roman"/>
          <w:i/>
          <w:color w:val="1C1D1E"/>
          <w:sz w:val="24"/>
          <w:szCs w:val="24"/>
        </w:rPr>
        <w:t>Icarus</w:t>
      </w:r>
      <w:r>
        <w:rPr>
          <w:rFonts w:ascii="Times New Roman" w:eastAsia="Times New Roman" w:hAnsi="Times New Roman" w:cs="Times New Roman"/>
          <w:color w:val="1C1D1E"/>
          <w:sz w:val="24"/>
          <w:szCs w:val="24"/>
        </w:rPr>
        <w:t>, 226, 229-250. http://dx.doi.org/10.1016/j.icarus.2013.05.014</w:t>
      </w:r>
    </w:p>
    <w:p w14:paraId="22EF5F91" w14:textId="77777777" w:rsidR="002E0C8E" w:rsidRDefault="002E0C8E">
      <w:pPr>
        <w:rPr>
          <w:rFonts w:ascii="Times New Roman" w:eastAsia="Times New Roman" w:hAnsi="Times New Roman" w:cs="Times New Roman"/>
          <w:i/>
          <w:color w:val="1C1D1E"/>
          <w:sz w:val="24"/>
          <w:szCs w:val="24"/>
        </w:rPr>
      </w:pPr>
    </w:p>
    <w:p w14:paraId="543200D0"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Warren, A. 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Kite, E. 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Williams, J.‐P.</w:t>
      </w:r>
      <w:r>
        <w:rPr>
          <w:rFonts w:ascii="Times New Roman" w:eastAsia="Times New Roman" w:hAnsi="Times New Roman" w:cs="Times New Roman"/>
          <w:sz w:val="24"/>
          <w:szCs w:val="24"/>
          <w:highlight w:val="white"/>
        </w:rPr>
        <w:t xml:space="preserve">, &amp;  </w:t>
      </w:r>
      <w:r>
        <w:rPr>
          <w:rFonts w:ascii="Times New Roman" w:eastAsia="Times New Roman" w:hAnsi="Times New Roman" w:cs="Times New Roman"/>
          <w:sz w:val="24"/>
          <w:szCs w:val="24"/>
        </w:rPr>
        <w:t>Horgan, B.</w:t>
      </w:r>
      <w:r>
        <w:rPr>
          <w:rFonts w:ascii="Times New Roman" w:eastAsia="Times New Roman" w:hAnsi="Times New Roman" w:cs="Times New Roman"/>
          <w:sz w:val="24"/>
          <w:szCs w:val="24"/>
          <w:highlight w:val="white"/>
        </w:rPr>
        <w:t xml:space="preserve"> ( </w:t>
      </w:r>
      <w:r>
        <w:rPr>
          <w:rFonts w:ascii="Times New Roman" w:eastAsia="Times New Roman" w:hAnsi="Times New Roman" w:cs="Times New Roman"/>
          <w:sz w:val="24"/>
          <w:szCs w:val="24"/>
        </w:rPr>
        <w:t>2019</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Through the thick and thin: New constraints on Mars paleopressure history 3.8 ‐ 4 Ga from small exhumed craters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Journal of Geophysical Research: Planets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124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2793</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2818</w:t>
      </w:r>
      <w:r>
        <w:rPr>
          <w:rFonts w:ascii="Times New Roman" w:eastAsia="Times New Roman" w:hAnsi="Times New Roman" w:cs="Times New Roman"/>
          <w:sz w:val="24"/>
          <w:szCs w:val="24"/>
          <w:highlight w:val="white"/>
        </w:rPr>
        <w:t xml:space="preserve">. </w:t>
      </w:r>
      <w:hyperlink r:id="rId68">
        <w:r>
          <w:rPr>
            <w:rFonts w:ascii="Times New Roman" w:eastAsia="Times New Roman" w:hAnsi="Times New Roman" w:cs="Times New Roman"/>
            <w:sz w:val="24"/>
            <w:szCs w:val="24"/>
          </w:rPr>
          <w:t>https://doi.org/10.1029/2019JE006178</w:t>
        </w:r>
      </w:hyperlink>
      <w:r>
        <w:rPr>
          <w:rFonts w:ascii="Times New Roman" w:eastAsia="Times New Roman" w:hAnsi="Times New Roman" w:cs="Times New Roman"/>
          <w:sz w:val="24"/>
          <w:szCs w:val="24"/>
        </w:rPr>
        <w:t>.</w:t>
      </w:r>
    </w:p>
    <w:p w14:paraId="1D55FBD0" w14:textId="77777777" w:rsidR="002E0C8E" w:rsidRDefault="002E0C8E">
      <w:pPr>
        <w:rPr>
          <w:rFonts w:ascii="Times New Roman" w:eastAsia="Times New Roman" w:hAnsi="Times New Roman" w:cs="Times New Roman"/>
          <w:sz w:val="24"/>
          <w:szCs w:val="24"/>
        </w:rPr>
      </w:pPr>
    </w:p>
    <w:p w14:paraId="06AA22A6"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Way, M.J., A.D. Del Genio, N.Y. Kiang, L.E. Sohl, D.H. Grinspoon, I. Aleinov, M. Kelley, and T. Clune, 2016: </w:t>
      </w:r>
      <w:r>
        <w:rPr>
          <w:rFonts w:ascii="Times New Roman" w:eastAsia="Times New Roman" w:hAnsi="Times New Roman" w:cs="Times New Roman"/>
          <w:sz w:val="24"/>
          <w:szCs w:val="24"/>
        </w:rPr>
        <w:t>Was Venus the first habitable world of our solar system?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Geophys. Res. Lett.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rPr>
        <w:t>43</w:t>
      </w:r>
      <w:r>
        <w:rPr>
          <w:rFonts w:ascii="Times New Roman" w:eastAsia="Times New Roman" w:hAnsi="Times New Roman" w:cs="Times New Roman"/>
          <w:sz w:val="24"/>
          <w:szCs w:val="24"/>
          <w:highlight w:val="white"/>
        </w:rPr>
        <w:t>, no. 16, 8376-8383, doi:10.1002/2016GL069790.</w:t>
      </w:r>
    </w:p>
    <w:p w14:paraId="47FFE3BD"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D0B4A8"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Way, M.J., I. Aleinov, D.S. Amundsen, M.A. Chandler, T. Clune, A.D. Del Genio, Y. Fujii, M. Kelley, N.Y. Kiang, L. Sohl, and K. Tsigaridis, 2017: </w:t>
      </w:r>
      <w:r>
        <w:rPr>
          <w:rFonts w:ascii="Times New Roman" w:eastAsia="Times New Roman" w:hAnsi="Times New Roman" w:cs="Times New Roman"/>
          <w:sz w:val="24"/>
          <w:szCs w:val="24"/>
        </w:rPr>
        <w:t>Resolving Orbital and Climate Keys of Earth and Extraterrestrial Environments with Dynamics 1.0: A general circulation model for simulating the climates of rocky planets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Astrophys. J. Supp. Series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rPr>
        <w:t>231</w:t>
      </w:r>
      <w:r>
        <w:rPr>
          <w:rFonts w:ascii="Times New Roman" w:eastAsia="Times New Roman" w:hAnsi="Times New Roman" w:cs="Times New Roman"/>
          <w:sz w:val="24"/>
          <w:szCs w:val="24"/>
          <w:highlight w:val="white"/>
        </w:rPr>
        <w:t>, no. 1, 12, doi:10.3847/1538-4365/aa7a06.</w:t>
      </w:r>
    </w:p>
    <w:p w14:paraId="67AF798E"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D72556"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Way, M.J., A.D. Del Genio, I., Aleinov, T.L., Clune, M. Kelley, N.Y. Kiang, 2018: Climates of Warm Earth-like Planets I 3D Model Simulations. Astrophys. J. Supp. Series, 239, 24 doi:10.3847/1538-4365/aae9e1</w:t>
      </w:r>
    </w:p>
    <w:p w14:paraId="45C02B89" w14:textId="77777777" w:rsidR="002E0C8E" w:rsidRDefault="002E0C8E">
      <w:pPr>
        <w:rPr>
          <w:rFonts w:ascii="Times New Roman" w:eastAsia="Times New Roman" w:hAnsi="Times New Roman" w:cs="Times New Roman"/>
          <w:sz w:val="24"/>
          <w:szCs w:val="24"/>
        </w:rPr>
      </w:pPr>
    </w:p>
    <w:p w14:paraId="7852F1B2"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Way, M.J., and A.D. Del Genio, 2020: Venusian habitable climate scenarios: Modeling Venus through time and applications to slowly rotating Venus-like exoplanets. J. Geophys. Res,: Planets, 125, e2019JE006276. doi:10.1029/2019JE006276</w:t>
      </w:r>
    </w:p>
    <w:p w14:paraId="210F2C15" w14:textId="77777777" w:rsidR="002E0C8E" w:rsidRDefault="002E0C8E">
      <w:pPr>
        <w:rPr>
          <w:rFonts w:ascii="Times New Roman" w:eastAsia="Times New Roman" w:hAnsi="Times New Roman" w:cs="Times New Roman"/>
          <w:sz w:val="24"/>
          <w:szCs w:val="24"/>
        </w:rPr>
      </w:pPr>
    </w:p>
    <w:p w14:paraId="5E1AE331"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Williams, R.M.E. et al. (2013), Martian Fluvial Conglomerates at Gale Crater, Science, 340, 6136, 1068-1072, </w:t>
      </w:r>
      <w:r>
        <w:rPr>
          <w:rFonts w:ascii="Times New Roman" w:eastAsia="Times New Roman" w:hAnsi="Times New Roman" w:cs="Times New Roman"/>
          <w:sz w:val="24"/>
          <w:szCs w:val="24"/>
          <w:highlight w:val="white"/>
        </w:rPr>
        <w:t xml:space="preserve">DOI: 10.1126/science.1237317. </w:t>
      </w:r>
    </w:p>
    <w:p w14:paraId="488AA62B" w14:textId="77777777" w:rsidR="002E0C8E" w:rsidRDefault="002E0C8E">
      <w:pPr>
        <w:rPr>
          <w:rFonts w:ascii="Roboto" w:eastAsia="Roboto" w:hAnsi="Roboto" w:cs="Roboto"/>
          <w:color w:val="666666"/>
          <w:sz w:val="18"/>
          <w:szCs w:val="18"/>
          <w:highlight w:val="white"/>
        </w:rPr>
      </w:pPr>
    </w:p>
    <w:p w14:paraId="0A159185"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Wolf, E. T. and Toon, O. B. (2013), Hospitable archean climates simulated by a general circulation model, Astrobiology, 13, 656–673, doi:10.1089/ast.2012.0936.</w:t>
      </w:r>
    </w:p>
    <w:p w14:paraId="787C633F" w14:textId="77777777" w:rsidR="002E0C8E" w:rsidRDefault="002E0C8E">
      <w:pPr>
        <w:rPr>
          <w:rFonts w:ascii="Times New Roman" w:eastAsia="Times New Roman" w:hAnsi="Times New Roman" w:cs="Times New Roman"/>
          <w:sz w:val="24"/>
          <w:szCs w:val="24"/>
        </w:rPr>
      </w:pPr>
    </w:p>
    <w:p w14:paraId="56F8501C" w14:textId="77777777" w:rsidR="002E0C8E" w:rsidRDefault="004B55A1">
      <w:pPr>
        <w:rPr>
          <w:rFonts w:ascii="Times New Roman" w:eastAsia="Times New Roman" w:hAnsi="Times New Roman" w:cs="Times New Roman"/>
          <w:color w:val="1C1D1E"/>
          <w:sz w:val="24"/>
          <w:szCs w:val="24"/>
        </w:rPr>
      </w:pPr>
      <w:r>
        <w:rPr>
          <w:rFonts w:ascii="Times New Roman" w:eastAsia="Times New Roman" w:hAnsi="Times New Roman" w:cs="Times New Roman"/>
          <w:color w:val="1C1D1E"/>
          <w:sz w:val="24"/>
          <w:szCs w:val="24"/>
        </w:rPr>
        <w:t>Wordsworth, R., Forget, F., and Eymet, V.  (2010) “Infrared collision-induced and far-line             absorption in dense CO</w:t>
      </w:r>
      <w:r>
        <w:rPr>
          <w:rFonts w:ascii="Times New Roman" w:eastAsia="Times New Roman" w:hAnsi="Times New Roman" w:cs="Times New Roman"/>
          <w:color w:val="1C1D1E"/>
          <w:sz w:val="24"/>
          <w:szCs w:val="24"/>
          <w:vertAlign w:val="subscript"/>
        </w:rPr>
        <w:t xml:space="preserve">2 </w:t>
      </w:r>
      <w:r>
        <w:rPr>
          <w:rFonts w:ascii="Times New Roman" w:eastAsia="Times New Roman" w:hAnsi="Times New Roman" w:cs="Times New Roman"/>
          <w:color w:val="1C1D1E"/>
          <w:sz w:val="24"/>
          <w:szCs w:val="24"/>
        </w:rPr>
        <w:t xml:space="preserve">atmospheres.”  </w:t>
      </w:r>
      <w:r>
        <w:rPr>
          <w:rFonts w:ascii="Times New Roman" w:eastAsia="Times New Roman" w:hAnsi="Times New Roman" w:cs="Times New Roman"/>
          <w:i/>
          <w:color w:val="1C1D1E"/>
          <w:sz w:val="24"/>
          <w:szCs w:val="24"/>
        </w:rPr>
        <w:t>Icarus</w:t>
      </w:r>
      <w:r>
        <w:rPr>
          <w:rFonts w:ascii="Times New Roman" w:eastAsia="Times New Roman" w:hAnsi="Times New Roman" w:cs="Times New Roman"/>
          <w:color w:val="1C1D1E"/>
          <w:sz w:val="24"/>
          <w:szCs w:val="24"/>
        </w:rPr>
        <w:t xml:space="preserve"> 210, 992-997</w:t>
      </w:r>
    </w:p>
    <w:p w14:paraId="0F26357D" w14:textId="77777777" w:rsidR="002E0C8E" w:rsidRDefault="002E0C8E">
      <w:pPr>
        <w:rPr>
          <w:rFonts w:ascii="Times New Roman" w:eastAsia="Times New Roman" w:hAnsi="Times New Roman" w:cs="Times New Roman"/>
          <w:color w:val="1C1D1E"/>
          <w:sz w:val="24"/>
          <w:szCs w:val="24"/>
        </w:rPr>
      </w:pPr>
    </w:p>
    <w:p w14:paraId="47DEC4CA"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Wordsworth R, Pierrehumbert R (2013), Hydrogen-nitrogen greenhouse warming in Earth's early atmosphere. </w:t>
      </w:r>
      <w:r>
        <w:rPr>
          <w:rFonts w:ascii="Times New Roman" w:eastAsia="Times New Roman" w:hAnsi="Times New Roman" w:cs="Times New Roman"/>
          <w:i/>
          <w:sz w:val="24"/>
          <w:szCs w:val="24"/>
        </w:rPr>
        <w:t>Science</w:t>
      </w:r>
      <w:r>
        <w:rPr>
          <w:rFonts w:ascii="Times New Roman" w:eastAsia="Times New Roman" w:hAnsi="Times New Roman" w:cs="Times New Roman"/>
          <w:sz w:val="24"/>
          <w:szCs w:val="24"/>
        </w:rPr>
        <w:t xml:space="preserve"> 339:64–67, </w:t>
      </w:r>
      <w:r>
        <w:rPr>
          <w:rFonts w:ascii="Times New Roman" w:eastAsia="Times New Roman" w:hAnsi="Times New Roman" w:cs="Times New Roman"/>
          <w:sz w:val="24"/>
          <w:szCs w:val="24"/>
          <w:highlight w:val="white"/>
        </w:rPr>
        <w:t>DOI: 10.1126/science.1225759.</w:t>
      </w:r>
    </w:p>
    <w:p w14:paraId="4830650E" w14:textId="77777777" w:rsidR="002E0C8E" w:rsidRDefault="002E0C8E">
      <w:pPr>
        <w:rPr>
          <w:color w:val="333333"/>
          <w:sz w:val="24"/>
          <w:szCs w:val="24"/>
        </w:rPr>
      </w:pPr>
    </w:p>
    <w:p w14:paraId="03A1A49A"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sz w:val="24"/>
          <w:szCs w:val="24"/>
        </w:rPr>
        <w:t>Wordsworth 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Forget F</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Millour 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Head JW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Madeleine JB</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Charnay B</w:t>
      </w:r>
      <w:r>
        <w:rPr>
          <w:rFonts w:ascii="Times New Roman" w:eastAsia="Times New Roman" w:hAnsi="Times New Roman" w:cs="Times New Roman"/>
          <w:sz w:val="24"/>
          <w:szCs w:val="24"/>
          <w:highlight w:val="white"/>
        </w:rPr>
        <w:t xml:space="preserve">. (2013), </w:t>
      </w:r>
      <w:r>
        <w:rPr>
          <w:rFonts w:ascii="Times New Roman" w:eastAsia="Times New Roman" w:hAnsi="Times New Roman" w:cs="Times New Roman"/>
          <w:sz w:val="24"/>
          <w:szCs w:val="24"/>
        </w:rPr>
        <w:t>Global modelling of the early martian climate under a denser CO2 atmosphere: water cycle and ice evolution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Icarus</w:t>
      </w:r>
      <w:r>
        <w:rPr>
          <w:rFonts w:ascii="Times New Roman" w:eastAsia="Times New Roman" w:hAnsi="Times New Roman" w:cs="Times New Roman"/>
          <w:sz w:val="24"/>
          <w:szCs w:val="24"/>
          <w:highlight w:val="white"/>
        </w:rPr>
        <w:t xml:space="preserve"> 222:</w:t>
      </w:r>
      <w:r>
        <w:rPr>
          <w:rFonts w:ascii="Times New Roman" w:eastAsia="Times New Roman" w:hAnsi="Times New Roman" w:cs="Times New Roman"/>
          <w:sz w:val="24"/>
          <w:szCs w:val="24"/>
        </w:rPr>
        <w:t>1</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19, </w:t>
      </w:r>
      <w:hyperlink r:id="rId69">
        <w:r>
          <w:rPr>
            <w:rFonts w:ascii="Times New Roman" w:eastAsia="Times New Roman" w:hAnsi="Times New Roman" w:cs="Times New Roman"/>
            <w:sz w:val="24"/>
            <w:szCs w:val="24"/>
          </w:rPr>
          <w:t>https://doi.org/10.1016/j.icarus.2012.09.036</w:t>
        </w:r>
      </w:hyperlink>
      <w:r>
        <w:rPr>
          <w:rFonts w:ascii="Times New Roman" w:eastAsia="Times New Roman" w:hAnsi="Times New Roman" w:cs="Times New Roman"/>
          <w:sz w:val="24"/>
          <w:szCs w:val="24"/>
        </w:rPr>
        <w:t>.</w:t>
      </w:r>
    </w:p>
    <w:p w14:paraId="6B346B9A" w14:textId="77777777" w:rsidR="002E0C8E" w:rsidRDefault="002E0C8E">
      <w:pPr>
        <w:rPr>
          <w:color w:val="333333"/>
          <w:sz w:val="20"/>
          <w:szCs w:val="20"/>
        </w:rPr>
      </w:pPr>
    </w:p>
    <w:p w14:paraId="5510F3F9"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Wordsworth, R. (2015), Atmospheric heat redistribution and collapse on tidally locked rocky planets. The Astrophysical Journal, 806(2), p.180.</w:t>
      </w:r>
    </w:p>
    <w:p w14:paraId="066C6935" w14:textId="77777777" w:rsidR="002E0C8E" w:rsidRDefault="002E0C8E">
      <w:pPr>
        <w:rPr>
          <w:rFonts w:ascii="Times New Roman" w:eastAsia="Times New Roman" w:hAnsi="Times New Roman" w:cs="Times New Roman"/>
          <w:sz w:val="24"/>
          <w:szCs w:val="24"/>
        </w:rPr>
      </w:pPr>
    </w:p>
    <w:p w14:paraId="080CD041" w14:textId="77777777" w:rsidR="002E0C8E" w:rsidRDefault="004B55A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Wordsworth, R. 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Kerber, 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Pierrehumbert, R. 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Forget, F.</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sz w:val="24"/>
          <w:szCs w:val="24"/>
        </w:rPr>
        <w:t>Head, J. 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2015</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Comparison of “warm and wet” and “cold and icy” scenarios for early Mars in a 3‐D climate model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J. Geophys. Res. Planets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120</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1201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1219</w:t>
      </w:r>
      <w:r>
        <w:rPr>
          <w:rFonts w:ascii="Times New Roman" w:eastAsia="Times New Roman" w:hAnsi="Times New Roman" w:cs="Times New Roman"/>
          <w:sz w:val="24"/>
          <w:szCs w:val="24"/>
          <w:highlight w:val="white"/>
        </w:rPr>
        <w:t>. doi:</w:t>
      </w:r>
      <w:hyperlink r:id="rId70">
        <w:r>
          <w:rPr>
            <w:rFonts w:ascii="Times New Roman" w:eastAsia="Times New Roman" w:hAnsi="Times New Roman" w:cs="Times New Roman"/>
            <w:sz w:val="24"/>
            <w:szCs w:val="24"/>
          </w:rPr>
          <w:t>10.1002/2015JE004787</w:t>
        </w:r>
      </w:hyperlink>
      <w:r>
        <w:rPr>
          <w:rFonts w:ascii="Times New Roman" w:eastAsia="Times New Roman" w:hAnsi="Times New Roman" w:cs="Times New Roman"/>
          <w:sz w:val="24"/>
          <w:szCs w:val="24"/>
          <w:highlight w:val="white"/>
        </w:rPr>
        <w:t>.</w:t>
      </w:r>
    </w:p>
    <w:p w14:paraId="6E9DF15A" w14:textId="77777777" w:rsidR="002E0C8E" w:rsidRDefault="002E0C8E">
      <w:pPr>
        <w:rPr>
          <w:color w:val="1C1D1E"/>
          <w:sz w:val="21"/>
          <w:szCs w:val="21"/>
          <w:highlight w:val="white"/>
        </w:rPr>
      </w:pPr>
    </w:p>
    <w:p w14:paraId="3C40FC30" w14:textId="77777777" w:rsidR="002E0C8E" w:rsidRDefault="004B55A1">
      <w:pPr>
        <w:rPr>
          <w:rFonts w:ascii="Times New Roman" w:eastAsia="Times New Roman" w:hAnsi="Times New Roman" w:cs="Times New Roman"/>
          <w:sz w:val="24"/>
          <w:szCs w:val="24"/>
        </w:rPr>
      </w:pPr>
      <w:r>
        <w:rPr>
          <w:rFonts w:ascii="Times New Roman" w:eastAsia="Times New Roman" w:hAnsi="Times New Roman" w:cs="Times New Roman"/>
          <w:color w:val="1C1D1E"/>
          <w:sz w:val="24"/>
          <w:szCs w:val="24"/>
        </w:rPr>
        <w:t>Wordsworth, R.D. (2016), The Climate of Early Mars, Annual Review of Earth and Planetary Science, 44, 381-408,</w:t>
      </w:r>
      <w:r>
        <w:rPr>
          <w:rFonts w:ascii="Times New Roman" w:eastAsia="Times New Roman" w:hAnsi="Times New Roman" w:cs="Times New Roman"/>
          <w:sz w:val="24"/>
          <w:szCs w:val="24"/>
        </w:rPr>
        <w:t xml:space="preserve"> </w:t>
      </w:r>
      <w:hyperlink r:id="rId71">
        <w:r>
          <w:rPr>
            <w:rFonts w:ascii="Times New Roman" w:eastAsia="Times New Roman" w:hAnsi="Times New Roman" w:cs="Times New Roman"/>
            <w:sz w:val="24"/>
            <w:szCs w:val="24"/>
          </w:rPr>
          <w:t>https://doi.org/10.1146/annurev-earth-060115-012355</w:t>
        </w:r>
      </w:hyperlink>
      <w:r>
        <w:rPr>
          <w:rFonts w:ascii="Times New Roman" w:eastAsia="Times New Roman" w:hAnsi="Times New Roman" w:cs="Times New Roman"/>
          <w:sz w:val="24"/>
          <w:szCs w:val="24"/>
        </w:rPr>
        <w:t>.</w:t>
      </w:r>
    </w:p>
    <w:p w14:paraId="241785E5" w14:textId="77777777" w:rsidR="002E0C8E" w:rsidRDefault="002E0C8E">
      <w:pPr>
        <w:rPr>
          <w:rFonts w:ascii="Times New Roman" w:eastAsia="Times New Roman" w:hAnsi="Times New Roman" w:cs="Times New Roman"/>
          <w:sz w:val="24"/>
          <w:szCs w:val="24"/>
        </w:rPr>
      </w:pPr>
    </w:p>
    <w:p w14:paraId="35786E78" w14:textId="77777777" w:rsidR="002E0C8E" w:rsidRDefault="004B55A1">
      <w:pPr>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color w:val="1C1D1E"/>
          <w:sz w:val="24"/>
          <w:szCs w:val="24"/>
        </w:rPr>
        <w:t>Wordsworth, R.D.</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Kalugina, Y.</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Lokshtanov, S.</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Vigasin, A.</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Ehlmann, B.</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Head, J.</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Sanders, C.</w:t>
      </w:r>
      <w:r>
        <w:rPr>
          <w:rFonts w:ascii="Times New Roman" w:eastAsia="Times New Roman" w:hAnsi="Times New Roman" w:cs="Times New Roman"/>
          <w:color w:val="1C1D1E"/>
          <w:sz w:val="24"/>
          <w:szCs w:val="24"/>
          <w:highlight w:val="white"/>
        </w:rPr>
        <w:t xml:space="preserve">, and  </w:t>
      </w:r>
      <w:r>
        <w:rPr>
          <w:rFonts w:ascii="Times New Roman" w:eastAsia="Times New Roman" w:hAnsi="Times New Roman" w:cs="Times New Roman"/>
          <w:color w:val="1C1D1E"/>
          <w:sz w:val="24"/>
          <w:szCs w:val="24"/>
        </w:rPr>
        <w:t>Wang, H.</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2017</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Transient reducing greenhouse warming on early Mars</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i/>
          <w:color w:val="1C1D1E"/>
          <w:sz w:val="24"/>
          <w:szCs w:val="24"/>
        </w:rPr>
        <w:t>Geophys. Res. Lett.</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44</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665</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rPr>
        <w:t>671</w:t>
      </w:r>
      <w:r>
        <w:rPr>
          <w:rFonts w:ascii="Times New Roman" w:eastAsia="Times New Roman" w:hAnsi="Times New Roman" w:cs="Times New Roman"/>
          <w:color w:val="1C1D1E"/>
          <w:sz w:val="24"/>
          <w:szCs w:val="24"/>
          <w:highlight w:val="white"/>
        </w:rPr>
        <w:t>, doi:</w:t>
      </w:r>
      <w:hyperlink r:id="rId72">
        <w:r>
          <w:rPr>
            <w:rFonts w:ascii="Times New Roman" w:eastAsia="Times New Roman" w:hAnsi="Times New Roman" w:cs="Times New Roman"/>
            <w:color w:val="005274"/>
            <w:sz w:val="24"/>
            <w:szCs w:val="24"/>
          </w:rPr>
          <w:t>10.1002/2016GL071766</w:t>
        </w:r>
      </w:hyperlink>
      <w:r>
        <w:rPr>
          <w:rFonts w:ascii="Times New Roman" w:eastAsia="Times New Roman" w:hAnsi="Times New Roman" w:cs="Times New Roman"/>
          <w:color w:val="1C1D1E"/>
          <w:sz w:val="24"/>
          <w:szCs w:val="24"/>
          <w:highlight w:val="white"/>
        </w:rPr>
        <w:t>.</w:t>
      </w:r>
    </w:p>
    <w:p w14:paraId="6832C7FC" w14:textId="77777777" w:rsidR="002E0C8E" w:rsidRDefault="002E0C8E">
      <w:pPr>
        <w:rPr>
          <w:rFonts w:ascii="Times New Roman" w:eastAsia="Times New Roman" w:hAnsi="Times New Roman" w:cs="Times New Roman"/>
          <w:color w:val="1C1D1E"/>
          <w:sz w:val="24"/>
          <w:szCs w:val="24"/>
          <w:highlight w:val="white"/>
        </w:rPr>
      </w:pPr>
    </w:p>
    <w:p w14:paraId="7F2EF8F1" w14:textId="185D247F" w:rsidR="002E0C8E" w:rsidRDefault="004B55A1">
      <w:pPr>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color w:val="1C1D1E"/>
          <w:sz w:val="24"/>
          <w:szCs w:val="24"/>
          <w:highlight w:val="white"/>
        </w:rPr>
        <w:t>Yang, J., Leconte, J., Wolf, E.T., Goldblatt, C., Feldl, N., Merlis, T., Wang, Y, Koll, D.D.B., Ding, F.,   Forget, F. and Abbot, D.S. (2016) “Differences in Water Vapor Radiative Transfer Among</w:t>
      </w:r>
      <w:r w:rsidR="00A16D7C">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highlight w:val="white"/>
        </w:rPr>
        <w:t xml:space="preserve">1D Models Can Significantly Affect the Inner Edge of the Habitable Zone.”  </w:t>
      </w:r>
      <w:r>
        <w:rPr>
          <w:rFonts w:ascii="Times New Roman" w:eastAsia="Times New Roman" w:hAnsi="Times New Roman" w:cs="Times New Roman"/>
          <w:i/>
          <w:color w:val="1C1D1E"/>
          <w:sz w:val="24"/>
          <w:szCs w:val="24"/>
          <w:highlight w:val="white"/>
        </w:rPr>
        <w:t>The             Astrophysical Journal</w:t>
      </w:r>
      <w:r>
        <w:rPr>
          <w:rFonts w:ascii="Times New Roman" w:eastAsia="Times New Roman" w:hAnsi="Times New Roman" w:cs="Times New Roman"/>
          <w:color w:val="1C1D1E"/>
          <w:sz w:val="24"/>
          <w:szCs w:val="24"/>
          <w:highlight w:val="white"/>
        </w:rPr>
        <w:t>, 826:222 (11pp)</w:t>
      </w:r>
    </w:p>
    <w:p w14:paraId="4811330E" w14:textId="77777777" w:rsidR="002E0C8E" w:rsidRDefault="002E0C8E">
      <w:pPr>
        <w:rPr>
          <w:rFonts w:ascii="Times New Roman" w:eastAsia="Times New Roman" w:hAnsi="Times New Roman" w:cs="Times New Roman"/>
          <w:color w:val="1C1D1E"/>
          <w:sz w:val="24"/>
          <w:szCs w:val="24"/>
          <w:highlight w:val="white"/>
        </w:rPr>
      </w:pPr>
    </w:p>
    <w:p w14:paraId="56E08384" w14:textId="77777777" w:rsidR="002E0C8E" w:rsidRDefault="002E0C8E">
      <w:pPr>
        <w:rPr>
          <w:rFonts w:ascii="Times New Roman" w:eastAsia="Times New Roman" w:hAnsi="Times New Roman" w:cs="Times New Roman"/>
          <w:color w:val="1C1D1E"/>
          <w:sz w:val="24"/>
          <w:szCs w:val="24"/>
          <w:highlight w:val="white"/>
        </w:rPr>
      </w:pPr>
    </w:p>
    <w:p w14:paraId="7E223A36" w14:textId="77777777" w:rsidR="002E0C8E" w:rsidRDefault="002E0C8E">
      <w:pPr>
        <w:spacing w:line="392" w:lineRule="auto"/>
        <w:rPr>
          <w:color w:val="0C7DBB"/>
          <w:sz w:val="21"/>
          <w:szCs w:val="21"/>
          <w:highlight w:val="white"/>
        </w:rPr>
      </w:pPr>
    </w:p>
    <w:p w14:paraId="022032F7" w14:textId="77777777" w:rsidR="002E0C8E" w:rsidRDefault="002E0C8E">
      <w:pPr>
        <w:rPr>
          <w:rFonts w:ascii="Times New Roman" w:eastAsia="Times New Roman" w:hAnsi="Times New Roman" w:cs="Times New Roman"/>
          <w:color w:val="1C1D1E"/>
          <w:sz w:val="24"/>
          <w:szCs w:val="24"/>
          <w:highlight w:val="white"/>
        </w:rPr>
      </w:pPr>
    </w:p>
    <w:p w14:paraId="284FDF43" w14:textId="77777777" w:rsidR="002E0C8E" w:rsidRDefault="002E0C8E">
      <w:pPr>
        <w:rPr>
          <w:rFonts w:ascii="Times New Roman" w:eastAsia="Times New Roman" w:hAnsi="Times New Roman" w:cs="Times New Roman"/>
          <w:color w:val="1C1D1E"/>
          <w:sz w:val="24"/>
          <w:szCs w:val="24"/>
          <w:highlight w:val="white"/>
        </w:rPr>
      </w:pPr>
    </w:p>
    <w:sectPr w:rsidR="002E0C8E" w:rsidSect="00593B87">
      <w:footerReference w:type="default" r:id="rId73"/>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CF648" w14:textId="77777777" w:rsidR="00306407" w:rsidRDefault="00306407">
      <w:pPr>
        <w:spacing w:line="240" w:lineRule="auto"/>
      </w:pPr>
      <w:r>
        <w:separator/>
      </w:r>
    </w:p>
  </w:endnote>
  <w:endnote w:type="continuationSeparator" w:id="0">
    <w:p w14:paraId="3E85E2EE" w14:textId="77777777" w:rsidR="00306407" w:rsidRDefault="003064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Roboto">
    <w:altName w:val="Arial"/>
    <w:panose1 w:val="020B0604020202020204"/>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Lora">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E6199" w14:textId="77777777" w:rsidR="004311DC" w:rsidRDefault="004311DC">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22633" w14:textId="77777777" w:rsidR="00306407" w:rsidRDefault="00306407">
      <w:pPr>
        <w:spacing w:line="240" w:lineRule="auto"/>
      </w:pPr>
      <w:r>
        <w:separator/>
      </w:r>
    </w:p>
  </w:footnote>
  <w:footnote w:type="continuationSeparator" w:id="0">
    <w:p w14:paraId="3B40E310" w14:textId="77777777" w:rsidR="00306407" w:rsidRDefault="0030640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B430DE"/>
    <w:multiLevelType w:val="multilevel"/>
    <w:tmpl w:val="E1F4E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B64139"/>
    <w:multiLevelType w:val="multilevel"/>
    <w:tmpl w:val="BBE0FE7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C8E"/>
    <w:rsid w:val="0006640F"/>
    <w:rsid w:val="000D1ED6"/>
    <w:rsid w:val="000F3C81"/>
    <w:rsid w:val="00126648"/>
    <w:rsid w:val="00160522"/>
    <w:rsid w:val="001F1DF3"/>
    <w:rsid w:val="00222744"/>
    <w:rsid w:val="00232BA1"/>
    <w:rsid w:val="002C0D03"/>
    <w:rsid w:val="002E0C8E"/>
    <w:rsid w:val="00306407"/>
    <w:rsid w:val="00321ECB"/>
    <w:rsid w:val="003B3771"/>
    <w:rsid w:val="003B3BFA"/>
    <w:rsid w:val="00405191"/>
    <w:rsid w:val="00426947"/>
    <w:rsid w:val="004311DC"/>
    <w:rsid w:val="00435A7F"/>
    <w:rsid w:val="004675A2"/>
    <w:rsid w:val="0049580E"/>
    <w:rsid w:val="004B55A1"/>
    <w:rsid w:val="004B58D9"/>
    <w:rsid w:val="004D36F7"/>
    <w:rsid w:val="004F3E58"/>
    <w:rsid w:val="004F7806"/>
    <w:rsid w:val="00593B87"/>
    <w:rsid w:val="006242C6"/>
    <w:rsid w:val="006C0439"/>
    <w:rsid w:val="006F295F"/>
    <w:rsid w:val="006F5F92"/>
    <w:rsid w:val="00714EF7"/>
    <w:rsid w:val="007235A0"/>
    <w:rsid w:val="00724D68"/>
    <w:rsid w:val="00734498"/>
    <w:rsid w:val="00742685"/>
    <w:rsid w:val="00757D4F"/>
    <w:rsid w:val="00771814"/>
    <w:rsid w:val="007F3737"/>
    <w:rsid w:val="007F39B2"/>
    <w:rsid w:val="0082054F"/>
    <w:rsid w:val="00826C68"/>
    <w:rsid w:val="008C1161"/>
    <w:rsid w:val="008F2145"/>
    <w:rsid w:val="009043EE"/>
    <w:rsid w:val="0093277E"/>
    <w:rsid w:val="00991DDE"/>
    <w:rsid w:val="009A5BC1"/>
    <w:rsid w:val="00A16D7C"/>
    <w:rsid w:val="00A324CA"/>
    <w:rsid w:val="00A621F7"/>
    <w:rsid w:val="00A810D3"/>
    <w:rsid w:val="00A84937"/>
    <w:rsid w:val="00AA5998"/>
    <w:rsid w:val="00AC6DFC"/>
    <w:rsid w:val="00AC7A2A"/>
    <w:rsid w:val="00AC7C20"/>
    <w:rsid w:val="00AF5998"/>
    <w:rsid w:val="00B47F33"/>
    <w:rsid w:val="00B63E21"/>
    <w:rsid w:val="00C162C2"/>
    <w:rsid w:val="00D15BC8"/>
    <w:rsid w:val="00D442FB"/>
    <w:rsid w:val="00D76B5C"/>
    <w:rsid w:val="00DA49A6"/>
    <w:rsid w:val="00DD4BEF"/>
    <w:rsid w:val="00E17FF8"/>
    <w:rsid w:val="00E30F0F"/>
    <w:rsid w:val="00E53972"/>
    <w:rsid w:val="00E92714"/>
    <w:rsid w:val="00EC02E8"/>
    <w:rsid w:val="00EF09FF"/>
    <w:rsid w:val="00F01189"/>
    <w:rsid w:val="00F25855"/>
    <w:rsid w:val="00FB0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E94C58"/>
  <w15:docId w15:val="{CA0F933F-1C2B-134F-ABD8-043F376A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593B87"/>
  </w:style>
  <w:style w:type="character" w:styleId="CommentReference">
    <w:name w:val="annotation reference"/>
    <w:basedOn w:val="DefaultParagraphFont"/>
    <w:uiPriority w:val="99"/>
    <w:semiHidden/>
    <w:unhideWhenUsed/>
    <w:rsid w:val="00AF5998"/>
    <w:rPr>
      <w:sz w:val="16"/>
      <w:szCs w:val="16"/>
    </w:rPr>
  </w:style>
  <w:style w:type="paragraph" w:styleId="CommentText">
    <w:name w:val="annotation text"/>
    <w:basedOn w:val="Normal"/>
    <w:link w:val="CommentTextChar"/>
    <w:uiPriority w:val="99"/>
    <w:semiHidden/>
    <w:unhideWhenUsed/>
    <w:rsid w:val="00AF5998"/>
    <w:pPr>
      <w:spacing w:line="240" w:lineRule="auto"/>
    </w:pPr>
    <w:rPr>
      <w:sz w:val="20"/>
      <w:szCs w:val="20"/>
    </w:rPr>
  </w:style>
  <w:style w:type="character" w:customStyle="1" w:styleId="CommentTextChar">
    <w:name w:val="Comment Text Char"/>
    <w:basedOn w:val="DefaultParagraphFont"/>
    <w:link w:val="CommentText"/>
    <w:uiPriority w:val="99"/>
    <w:semiHidden/>
    <w:rsid w:val="00AF5998"/>
    <w:rPr>
      <w:sz w:val="20"/>
      <w:szCs w:val="20"/>
    </w:rPr>
  </w:style>
  <w:style w:type="paragraph" w:styleId="CommentSubject">
    <w:name w:val="annotation subject"/>
    <w:basedOn w:val="CommentText"/>
    <w:next w:val="CommentText"/>
    <w:link w:val="CommentSubjectChar"/>
    <w:uiPriority w:val="99"/>
    <w:semiHidden/>
    <w:unhideWhenUsed/>
    <w:rsid w:val="00AF5998"/>
    <w:rPr>
      <w:b/>
      <w:bCs/>
    </w:rPr>
  </w:style>
  <w:style w:type="character" w:customStyle="1" w:styleId="CommentSubjectChar">
    <w:name w:val="Comment Subject Char"/>
    <w:basedOn w:val="CommentTextChar"/>
    <w:link w:val="CommentSubject"/>
    <w:uiPriority w:val="99"/>
    <w:semiHidden/>
    <w:rsid w:val="00AF5998"/>
    <w:rPr>
      <w:b/>
      <w:bCs/>
      <w:sz w:val="20"/>
      <w:szCs w:val="20"/>
    </w:rPr>
  </w:style>
  <w:style w:type="character" w:customStyle="1" w:styleId="gissauthor">
    <w:name w:val="gissauthor"/>
    <w:basedOn w:val="DefaultParagraphFont"/>
    <w:rsid w:val="00AC6DFC"/>
  </w:style>
  <w:style w:type="character" w:customStyle="1" w:styleId="apple-converted-space">
    <w:name w:val="apple-converted-space"/>
    <w:basedOn w:val="DefaultParagraphFont"/>
    <w:rsid w:val="00AC6DFC"/>
  </w:style>
  <w:style w:type="character" w:styleId="HTMLCite">
    <w:name w:val="HTML Cite"/>
    <w:basedOn w:val="DefaultParagraphFont"/>
    <w:uiPriority w:val="99"/>
    <w:semiHidden/>
    <w:unhideWhenUsed/>
    <w:rsid w:val="00AC6DFC"/>
    <w:rPr>
      <w:i/>
      <w:iCs/>
    </w:rPr>
  </w:style>
  <w:style w:type="character" w:styleId="Hyperlink">
    <w:name w:val="Hyperlink"/>
    <w:basedOn w:val="DefaultParagraphFont"/>
    <w:uiPriority w:val="99"/>
    <w:unhideWhenUsed/>
    <w:rsid w:val="00C162C2"/>
    <w:rPr>
      <w:color w:val="0000FF" w:themeColor="hyperlink"/>
      <w:u w:val="single"/>
    </w:rPr>
  </w:style>
  <w:style w:type="character" w:styleId="UnresolvedMention">
    <w:name w:val="Unresolved Mention"/>
    <w:basedOn w:val="DefaultParagraphFont"/>
    <w:uiPriority w:val="99"/>
    <w:semiHidden/>
    <w:unhideWhenUsed/>
    <w:rsid w:val="00C162C2"/>
    <w:rPr>
      <w:color w:val="605E5C"/>
      <w:shd w:val="clear" w:color="auto" w:fill="E1DFDD"/>
    </w:rPr>
  </w:style>
  <w:style w:type="paragraph" w:styleId="BalloonText">
    <w:name w:val="Balloon Text"/>
    <w:basedOn w:val="Normal"/>
    <w:link w:val="BalloonTextChar"/>
    <w:uiPriority w:val="99"/>
    <w:semiHidden/>
    <w:unhideWhenUsed/>
    <w:rsid w:val="00DD4BE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4BEF"/>
    <w:rPr>
      <w:rFonts w:ascii="Times New Roman" w:hAnsi="Times New Roman" w:cs="Times New Roman"/>
      <w:sz w:val="18"/>
      <w:szCs w:val="18"/>
    </w:rPr>
  </w:style>
  <w:style w:type="paragraph" w:styleId="Revision">
    <w:name w:val="Revision"/>
    <w:hidden/>
    <w:uiPriority w:val="99"/>
    <w:semiHidden/>
    <w:rsid w:val="00A324C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192093">
      <w:bodyDiv w:val="1"/>
      <w:marLeft w:val="0"/>
      <w:marRight w:val="0"/>
      <w:marTop w:val="0"/>
      <w:marBottom w:val="0"/>
      <w:divBdr>
        <w:top w:val="none" w:sz="0" w:space="0" w:color="auto"/>
        <w:left w:val="none" w:sz="0" w:space="0" w:color="auto"/>
        <w:bottom w:val="none" w:sz="0" w:space="0" w:color="auto"/>
        <w:right w:val="none" w:sz="0" w:space="0" w:color="auto"/>
      </w:divBdr>
    </w:div>
    <w:div w:id="612322122">
      <w:bodyDiv w:val="1"/>
      <w:marLeft w:val="0"/>
      <w:marRight w:val="0"/>
      <w:marTop w:val="0"/>
      <w:marBottom w:val="0"/>
      <w:divBdr>
        <w:top w:val="none" w:sz="0" w:space="0" w:color="auto"/>
        <w:left w:val="none" w:sz="0" w:space="0" w:color="auto"/>
        <w:bottom w:val="none" w:sz="0" w:space="0" w:color="auto"/>
        <w:right w:val="none" w:sz="0" w:space="0" w:color="auto"/>
      </w:divBdr>
    </w:div>
    <w:div w:id="1099910982">
      <w:bodyDiv w:val="1"/>
      <w:marLeft w:val="0"/>
      <w:marRight w:val="0"/>
      <w:marTop w:val="0"/>
      <w:marBottom w:val="0"/>
      <w:divBdr>
        <w:top w:val="none" w:sz="0" w:space="0" w:color="auto"/>
        <w:left w:val="none" w:sz="0" w:space="0" w:color="auto"/>
        <w:bottom w:val="none" w:sz="0" w:space="0" w:color="auto"/>
        <w:right w:val="none" w:sz="0" w:space="0" w:color="auto"/>
      </w:divBdr>
    </w:div>
    <w:div w:id="1941716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nature17171" TargetMode="External"/><Relationship Id="rId21" Type="http://schemas.openxmlformats.org/officeDocument/2006/relationships/image" Target="media/image14.emf"/><Relationship Id="rId42" Type="http://schemas.openxmlformats.org/officeDocument/2006/relationships/hyperlink" Target="https://doi.org/10.1016/j.icarus.2020.113770" TargetMode="External"/><Relationship Id="rId47" Type="http://schemas.openxmlformats.org/officeDocument/2006/relationships/hyperlink" Target="https://ui.adsabs.harvard.edu/link_gateway/2018Icar..315..146J/doi:10.1016/j.icarus.2018.05.030" TargetMode="External"/><Relationship Id="rId63" Type="http://schemas.openxmlformats.org/officeDocument/2006/relationships/hyperlink" Target="https://doi.org/10.1016/0019-1035(87)90147-3" TargetMode="External"/><Relationship Id="rId68" Type="http://schemas.openxmlformats.org/officeDocument/2006/relationships/hyperlink" Target="https://doi.org/10.1029/2019JE006178"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i.org/10.1029/2012JE004145" TargetMode="Externa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s://doi.org/10.1175/JCLI-D-14-00832.1" TargetMode="External"/><Relationship Id="rId37" Type="http://schemas.openxmlformats.org/officeDocument/2006/relationships/hyperlink" Target="https://doi.org/10.1016/j.icarus.2012.02.013" TargetMode="External"/><Relationship Id="rId40" Type="http://schemas.openxmlformats.org/officeDocument/2006/relationships/hyperlink" Target="https://doi.org/10.1002/2013GL058909" TargetMode="External"/><Relationship Id="rId45" Type="http://schemas.openxmlformats.org/officeDocument/2006/relationships/hyperlink" Target="https://doi.org/10.1029/2009JE003548" TargetMode="External"/><Relationship Id="rId53" Type="http://schemas.openxmlformats.org/officeDocument/2006/relationships/hyperlink" Target="https://doi.org/10.1016/0019-1035(79)90126-X" TargetMode="External"/><Relationship Id="rId58" Type="http://schemas.openxmlformats.org/officeDocument/2006/relationships/hyperlink" Target="https://doi.org/10.1016/j.jqsrt.2020.107454" TargetMode="External"/><Relationship Id="rId66" Type="http://schemas.openxmlformats.org/officeDocument/2006/relationships/hyperlink" Target="https://doi.org/10.1016/j.epsl.2010.04.016"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029/2011GL049896" TargetMode="Externa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s://doi.org/10.1016/j.epsl.2018.02.019" TargetMode="External"/><Relationship Id="rId30" Type="http://schemas.openxmlformats.org/officeDocument/2006/relationships/hyperlink" Target="https://doi.org/10.1016/j.icarus.2015.03.004" TargetMode="External"/><Relationship Id="rId35" Type="http://schemas.openxmlformats.org/officeDocument/2006/relationships/hyperlink" Target="https://doi.org/10.1038/nature10582" TargetMode="External"/><Relationship Id="rId43" Type="http://schemas.openxmlformats.org/officeDocument/2006/relationships/hyperlink" Target="https://doi.org/10.1016/j.epsl.2008.03.034" TargetMode="External"/><Relationship Id="rId48" Type="http://schemas.openxmlformats.org/officeDocument/2006/relationships/hyperlink" Target="https://doi.org/10.1016/j.icarus.2019.113567" TargetMode="External"/><Relationship Id="rId56" Type="http://schemas.openxmlformats.org/officeDocument/2006/relationships/hyperlink" Target="https://doi.org/10.1002/jgre.20054" TargetMode="External"/><Relationship Id="rId64" Type="http://schemas.openxmlformats.org/officeDocument/2006/relationships/hyperlink" Target="https://doi.org/10.1029/JB091iB04p0D431" TargetMode="External"/><Relationship Id="rId69" Type="http://schemas.openxmlformats.org/officeDocument/2006/relationships/hyperlink" Target="https://doi.org/10.1016/j.icarus.2012.09.036" TargetMode="External"/><Relationship Id="rId8" Type="http://schemas.openxmlformats.org/officeDocument/2006/relationships/image" Target="media/image1.jpg"/><Relationship Id="rId51" Type="http://schemas.openxmlformats.org/officeDocument/2006/relationships/hyperlink" Target="https://doi.org/10.1038/ngeo2137" TargetMode="External"/><Relationship Id="rId72" Type="http://schemas.openxmlformats.org/officeDocument/2006/relationships/hyperlink" Target="https://doi.org/10.1002/2016GL071766"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icarus.2015.06.016" TargetMode="External"/><Relationship Id="rId33" Type="http://schemas.openxmlformats.org/officeDocument/2006/relationships/hyperlink" Target="https://doi.org/10.1038/ngeo891" TargetMode="External"/><Relationship Id="rId38" Type="http://schemas.openxmlformats.org/officeDocument/2006/relationships/hyperlink" Target="https://doi.org/10.1016/j.pss.2014.11.028" TargetMode="External"/><Relationship Id="rId46" Type="http://schemas.openxmlformats.org/officeDocument/2006/relationships/hyperlink" Target="https://doi.org/10.1029/2005JE002460" TargetMode="External"/><Relationship Id="rId59" Type="http://schemas.openxmlformats.org/officeDocument/2006/relationships/hyperlink" Target="https://doi.org/10.1002/2013JE004550" TargetMode="External"/><Relationship Id="rId67" Type="http://schemas.openxmlformats.org/officeDocument/2006/relationships/hyperlink" Target="https://doi.org/10.1016/j.icarus.2020.113762" TargetMode="External"/><Relationship Id="rId20" Type="http://schemas.openxmlformats.org/officeDocument/2006/relationships/image" Target="media/image13.emf"/><Relationship Id="rId41" Type="http://schemas.openxmlformats.org/officeDocument/2006/relationships/hyperlink" Target="https://doi.org/10.1029/2019GL084733" TargetMode="External"/><Relationship Id="rId54" Type="http://schemas.openxmlformats.org/officeDocument/2006/relationships/hyperlink" Target="https://doi.org/10.1029/2011GL050192" TargetMode="External"/><Relationship Id="rId62" Type="http://schemas.openxmlformats.org/officeDocument/2006/relationships/hyperlink" Target="https://doi.org/10.1016/0019-1035(79)90012-5" TargetMode="External"/><Relationship Id="rId70" Type="http://schemas.openxmlformats.org/officeDocument/2006/relationships/hyperlink" Target="https://doi.org/10.1002/2015JE004787"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icarus.2012.05.005" TargetMode="External"/><Relationship Id="rId36" Type="http://schemas.openxmlformats.org/officeDocument/2006/relationships/hyperlink" Target="https://doi.org/10.1029/2005GL023456" TargetMode="External"/><Relationship Id="rId49" Type="http://schemas.openxmlformats.org/officeDocument/2006/relationships/hyperlink" Target="https://doi.org/10.1016/0019-1035(91)90137-I" TargetMode="External"/><Relationship Id="rId57" Type="http://schemas.openxmlformats.org/officeDocument/2006/relationships/hyperlink" Target="https://doi.org/10.1029/2009JE003343" TargetMode="External"/><Relationship Id="rId10" Type="http://schemas.openxmlformats.org/officeDocument/2006/relationships/image" Target="media/image3.png"/><Relationship Id="rId31" Type="http://schemas.openxmlformats.org/officeDocument/2006/relationships/hyperlink" Target="https://doi.org/10.1006/icar.1996.0108" TargetMode="External"/><Relationship Id="rId44" Type="http://schemas.openxmlformats.org/officeDocument/2006/relationships/hyperlink" Target="https://doi.org/10.1130/0091-7613(2001)029%3C0407:EFEDOT%3E2.0.CO;2" TargetMode="External"/><Relationship Id="rId52" Type="http://schemas.openxmlformats.org/officeDocument/2006/relationships/hyperlink" Target="https://doi.org/10.1002/2017GL072660" TargetMode="External"/><Relationship Id="rId60" Type="http://schemas.openxmlformats.org/officeDocument/2006/relationships/hyperlink" Target="https://doi.org/10.1029/2018GL079767" TargetMode="External"/><Relationship Id="rId65" Type="http://schemas.openxmlformats.org/officeDocument/2006/relationships/hyperlink" Target="https://doi.org/10.1038/ngeo2000"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hyperlink" Target="https://doi.org/10.1016/j.icarus.2012.10.019" TargetMode="External"/><Relationship Id="rId34" Type="http://schemas.openxmlformats.org/officeDocument/2006/relationships/hyperlink" Target="https://doi.org/10.1016/j.atmosres.2006.03.002" TargetMode="External"/><Relationship Id="rId50" Type="http://schemas.openxmlformats.org/officeDocument/2006/relationships/hyperlink" Target="https://doi.org/10.1016/j.icarus.2015.08.011" TargetMode="External"/><Relationship Id="rId55" Type="http://schemas.openxmlformats.org/officeDocument/2006/relationships/hyperlink" Target="https://doi.org/10.1029/JB078i020p04009" TargetMode="External"/><Relationship Id="rId7" Type="http://schemas.openxmlformats.org/officeDocument/2006/relationships/hyperlink" Target="https://simplex.giss.nasa.gov/gcm/ROCKE-3D/" TargetMode="External"/><Relationship Id="rId71" Type="http://schemas.openxmlformats.org/officeDocument/2006/relationships/hyperlink" Target="https://doi.org/10.1146/annurev-earth-060115-012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12801</Words>
  <Characters>72971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Guzewich, Scott D. (GSFC-6990)</cp:lastModifiedBy>
  <cp:revision>3</cp:revision>
  <dcterms:created xsi:type="dcterms:W3CDTF">2021-06-11T11:27:00Z</dcterms:created>
  <dcterms:modified xsi:type="dcterms:W3CDTF">2021-06-11T11:28:00Z</dcterms:modified>
</cp:coreProperties>
</file>