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B0A63D" w14:textId="77777777" w:rsidR="00D34A5F" w:rsidRDefault="00D34A5F" w:rsidP="00DC5428">
      <w:pPr>
        <w:pStyle w:val="Heading1"/>
        <w:jc w:val="center"/>
        <w:rPr>
          <w:rFonts w:eastAsiaTheme="minorHAnsi" w:cstheme="minorHAnsi"/>
          <w:bCs/>
          <w:color w:val="auto"/>
          <w:szCs w:val="24"/>
        </w:rPr>
      </w:pPr>
      <w:bookmarkStart w:id="0" w:name="_Toc81302819"/>
    </w:p>
    <w:p w14:paraId="41201292" w14:textId="77777777" w:rsidR="00D34A5F" w:rsidRDefault="00D34A5F" w:rsidP="00DC5428">
      <w:pPr>
        <w:pStyle w:val="Heading1"/>
        <w:jc w:val="center"/>
        <w:rPr>
          <w:rFonts w:eastAsiaTheme="minorHAnsi" w:cstheme="minorHAnsi"/>
          <w:bCs/>
          <w:color w:val="auto"/>
          <w:szCs w:val="24"/>
        </w:rPr>
      </w:pPr>
    </w:p>
    <w:p w14:paraId="11D21AB6" w14:textId="36E66E3E" w:rsidR="00D70234" w:rsidRPr="00DC5428" w:rsidRDefault="00D70234" w:rsidP="00DC5428">
      <w:pPr>
        <w:pStyle w:val="Heading1"/>
        <w:jc w:val="center"/>
        <w:rPr>
          <w:rFonts w:eastAsiaTheme="minorHAnsi" w:cstheme="minorHAnsi"/>
          <w:bCs/>
          <w:color w:val="auto"/>
          <w:sz w:val="28"/>
          <w:szCs w:val="28"/>
        </w:rPr>
      </w:pPr>
      <w:r w:rsidRPr="00D34A5F">
        <w:rPr>
          <w:rFonts w:eastAsiaTheme="minorHAnsi" w:cstheme="minorHAnsi"/>
          <w:bCs/>
          <w:color w:val="auto"/>
          <w:szCs w:val="24"/>
        </w:rPr>
        <w:t>Repurposing Drilling Control Diagnostics for Subsurface Edge Detection and Boundary Advisement During Planetary Drilli</w:t>
      </w:r>
      <w:r w:rsidRPr="00280C6A">
        <w:rPr>
          <w:rFonts w:eastAsiaTheme="minorHAnsi" w:cstheme="minorHAnsi"/>
          <w:bCs/>
          <w:color w:val="auto"/>
          <w:szCs w:val="24"/>
        </w:rPr>
        <w:t>ng</w:t>
      </w:r>
    </w:p>
    <w:p w14:paraId="6F9935C8" w14:textId="63B13CDB" w:rsidR="00DC5428" w:rsidRDefault="00DC5428" w:rsidP="00DC5428"/>
    <w:p w14:paraId="1F9656AC" w14:textId="37BB8DBA" w:rsidR="00DC5428" w:rsidRPr="001974F1" w:rsidRDefault="00DC5428" w:rsidP="00DC5428">
      <w:pPr>
        <w:jc w:val="center"/>
      </w:pPr>
      <w:r w:rsidRPr="00DC5428">
        <w:t>B. Glass</w:t>
      </w:r>
      <w:r w:rsidRPr="00DC5428">
        <w:rPr>
          <w:vertAlign w:val="superscript"/>
        </w:rPr>
        <w:t>1</w:t>
      </w:r>
      <w:r w:rsidRPr="00DC5428">
        <w:t>, T. Stucky</w:t>
      </w:r>
      <w:r w:rsidRPr="00DC5428">
        <w:rPr>
          <w:vertAlign w:val="superscript"/>
        </w:rPr>
        <w:t>1</w:t>
      </w:r>
      <w:r w:rsidRPr="00DC5428">
        <w:t>, S. Seitz</w:t>
      </w:r>
      <w:r w:rsidRPr="00DC5428">
        <w:rPr>
          <w:vertAlign w:val="superscript"/>
        </w:rPr>
        <w:t>1</w:t>
      </w:r>
      <w:r w:rsidR="001974F1">
        <w:t xml:space="preserve">, </w:t>
      </w:r>
      <w:r w:rsidRPr="00DC5428">
        <w:t>A. Dave</w:t>
      </w:r>
      <w:r w:rsidRPr="00DC5428">
        <w:rPr>
          <w:vertAlign w:val="superscript"/>
        </w:rPr>
        <w:t>1</w:t>
      </w:r>
      <w:r w:rsidR="001974F1">
        <w:t xml:space="preserve"> and R. Haynes</w:t>
      </w:r>
      <w:r w:rsidR="001974F1" w:rsidRPr="00DC5428">
        <w:rPr>
          <w:vertAlign w:val="superscript"/>
        </w:rPr>
        <w:t>1</w:t>
      </w:r>
      <w:r w:rsidR="001974F1">
        <w:rPr>
          <w:vertAlign w:val="superscript"/>
        </w:rPr>
        <w:t>,2</w:t>
      </w:r>
    </w:p>
    <w:p w14:paraId="77944F44" w14:textId="77777777" w:rsidR="00DC5428" w:rsidRDefault="00DC5428" w:rsidP="00DC5428">
      <w:pPr>
        <w:rPr>
          <w:vertAlign w:val="superscript"/>
        </w:rPr>
      </w:pPr>
    </w:p>
    <w:p w14:paraId="61BCBB60" w14:textId="77777777" w:rsidR="001974F1" w:rsidRDefault="00DC5428" w:rsidP="00DC5428">
      <w:r w:rsidRPr="00DC5428">
        <w:rPr>
          <w:vertAlign w:val="superscript"/>
        </w:rPr>
        <w:t>1</w:t>
      </w:r>
      <w:r>
        <w:t xml:space="preserve"> NASA Ames Research Center, Moffett Field, CA 94035; </w:t>
      </w:r>
      <w:hyperlink r:id="rId7" w:history="1">
        <w:r w:rsidR="00CC478F" w:rsidRPr="0056577C">
          <w:rPr>
            <w:rStyle w:val="Hyperlink"/>
          </w:rPr>
          <w:t>brian.glass@nasa.gov</w:t>
        </w:r>
      </w:hyperlink>
      <w:r w:rsidR="001974F1">
        <w:t xml:space="preserve">. </w:t>
      </w:r>
    </w:p>
    <w:p w14:paraId="0380510A" w14:textId="25DB1B8D" w:rsidR="00CC478F" w:rsidRDefault="001974F1" w:rsidP="00DC5428">
      <w:r w:rsidRPr="001974F1">
        <w:rPr>
          <w:vertAlign w:val="superscript"/>
        </w:rPr>
        <w:t>2</w:t>
      </w:r>
      <w:r>
        <w:t xml:space="preserve"> Morgan State University, Baltimore, MD 21251.</w:t>
      </w:r>
    </w:p>
    <w:p w14:paraId="3A837706" w14:textId="4F973D60" w:rsidR="00E42D76" w:rsidRDefault="00746E09" w:rsidP="00B70257">
      <w:pPr>
        <w:pStyle w:val="Heading1"/>
      </w:pPr>
      <w:bookmarkStart w:id="1" w:name="_Toc81302820"/>
      <w:bookmarkEnd w:id="0"/>
      <w:r>
        <w:t>Abstract</w:t>
      </w:r>
    </w:p>
    <w:p w14:paraId="1983D5F8" w14:textId="6B91B345" w:rsidR="00E42D76" w:rsidRPr="00E42D76" w:rsidRDefault="00865DC6" w:rsidP="00CC478F">
      <w:pPr>
        <w:jc w:val="both"/>
      </w:pPr>
      <w:r>
        <w:t xml:space="preserve">Since the 1980s, technology advances have taken drilling diagnostics systems from simple expert-systems drilling advisors to real-time drilling and sampling automation and control systems capable of standalone prospecting and subsurface sampling in planetary missions. As an example of the latter, the recent ARADS project demonstrated autonomous drilling and health management from a rover at a terrestrial analog site. In this paper we discuss reversing evolution, repurposing the ARADS drilling control and onboard diagnostics to create a drilling advisory console tool, with the intent of improving situational awareness and subsurface feature recognition in support of science mission operations. </w:t>
      </w:r>
    </w:p>
    <w:p w14:paraId="4700DFA5" w14:textId="5949E586" w:rsidR="000A0134" w:rsidRDefault="00975889" w:rsidP="00D70234">
      <w:pPr>
        <w:pStyle w:val="Heading1"/>
      </w:pPr>
      <w:r>
        <w:t>Introduction</w:t>
      </w:r>
      <w:r w:rsidR="009C4C8A">
        <w:t xml:space="preserve"> </w:t>
      </w:r>
      <w:bookmarkEnd w:id="1"/>
      <w:r w:rsidR="00D70234">
        <w:t>-- Robotic Drilling Assessment</w:t>
      </w:r>
    </w:p>
    <w:p w14:paraId="58CCB606" w14:textId="23510BC7" w:rsidR="00526FF9" w:rsidRDefault="001B24DC" w:rsidP="00D70234">
      <w:pPr>
        <w:jc w:val="both"/>
      </w:pPr>
      <w:r w:rsidRPr="001B24DC">
        <w:t>Informed decision-making during lunar drilling and sampling missions will require data monitoring tools and specialized ground data systems. Accurate and updated situational awareness, with ongoing data monitoring, is critical for timely responses by to incoming science data. Traverse plans and scheduled activities may need to be flexibly changed in order to react to unexpected data or situations. Unlike (for example) Mars missions, the relative lightspeed closeness of the Moon allows for near-real-time ground processing of incoming mission and instrument data. An Apollo-class lunar regolith drill will in a sense “travel” a meter or two vertically at a given subsurface characterization site. As the drill penetrates into lunar regolith, it is likely to encounter a range of material densities, orientations, fracture toughness, and (perhaps) ice percentages. Lunar drill telemetry can provide science teams with a valuable first look into the subsurface structure, the regolith bulk properties, and constituents at each drilled site.</w:t>
      </w:r>
    </w:p>
    <w:p w14:paraId="773DA85B" w14:textId="77777777" w:rsidR="009C11CC" w:rsidRDefault="009C11CC" w:rsidP="00D70234">
      <w:pPr>
        <w:jc w:val="both"/>
      </w:pPr>
    </w:p>
    <w:p w14:paraId="4068BD10" w14:textId="6CA20D1B" w:rsidR="00BE1C69" w:rsidRDefault="001B24DC" w:rsidP="00D70234">
      <w:pPr>
        <w:jc w:val="both"/>
      </w:pPr>
      <w:r w:rsidRPr="001B24DC">
        <w:rPr>
          <w:noProof/>
        </w:rPr>
        <w:t>Real-time AI-based recognition and reaction to downhole situations has been developed for automated deeper drilling on Mars and beyond</w:t>
      </w:r>
      <w:r>
        <w:rPr>
          <w:noProof/>
        </w:rPr>
        <w:t xml:space="preserve"> </w:t>
      </w:r>
      <w:r w:rsidRPr="00F11426">
        <w:rPr>
          <w:noProof/>
        </w:rPr>
        <w:t>(Glass 2018, Zacny 201</w:t>
      </w:r>
      <w:r w:rsidR="00F11426" w:rsidRPr="00F11426">
        <w:rPr>
          <w:noProof/>
        </w:rPr>
        <w:t>3</w:t>
      </w:r>
      <w:r w:rsidRPr="00F11426">
        <w:rPr>
          <w:noProof/>
        </w:rPr>
        <w:t>, Bergman 2016, Stucky 2018)</w:t>
      </w:r>
      <w:r w:rsidRPr="001B24DC">
        <w:rPr>
          <w:b/>
          <w:bCs/>
          <w:noProof/>
        </w:rPr>
        <w:t>.</w:t>
      </w:r>
      <w:r w:rsidRPr="001B24DC">
        <w:rPr>
          <w:noProof/>
        </w:rPr>
        <w:t xml:space="preserve"> We can leverage the same knowledge bases and pattern-matching as a real-time interpreter of the subsurface, a situational awareness tool during drilling operations. </w:t>
      </w:r>
      <w:r w:rsidR="00DD0363">
        <w:rPr>
          <w:noProof/>
        </w:rPr>
        <w:t xml:space="preserve">The recent </w:t>
      </w:r>
      <w:r w:rsidR="00DD0363">
        <w:t>Atacama Rover Automated Drilling Studies (ARADS) project,</w:t>
      </w:r>
      <w:r w:rsidRPr="001B24DC">
        <w:rPr>
          <w:noProof/>
        </w:rPr>
        <w:t xml:space="preserve"> </w:t>
      </w:r>
      <w:r w:rsidR="00DD0363">
        <w:rPr>
          <w:noProof/>
        </w:rPr>
        <w:t xml:space="preserve">in </w:t>
      </w:r>
      <w:r w:rsidRPr="001B24DC">
        <w:rPr>
          <w:noProof/>
        </w:rPr>
        <w:t>Sept</w:t>
      </w:r>
      <w:r w:rsidR="00DD0363">
        <w:rPr>
          <w:noProof/>
        </w:rPr>
        <w:t>ember</w:t>
      </w:r>
      <w:r w:rsidRPr="001B24DC">
        <w:rPr>
          <w:noProof/>
        </w:rPr>
        <w:t xml:space="preserve"> 2019</w:t>
      </w:r>
      <w:r w:rsidR="00DD0363">
        <w:rPr>
          <w:noProof/>
        </w:rPr>
        <w:t>,</w:t>
      </w:r>
      <w:r w:rsidRPr="001B24DC">
        <w:rPr>
          <w:noProof/>
        </w:rPr>
        <w:t xml:space="preserve"> demonstrated this AI drilling monitoring and analysis capability, in control of in-situ drilling and sampling operations, mounted on </w:t>
      </w:r>
      <w:r w:rsidRPr="001B24DC">
        <w:rPr>
          <w:noProof/>
        </w:rPr>
        <w:lastRenderedPageBreak/>
        <w:t>a KREX-2 rover</w:t>
      </w:r>
      <w:r>
        <w:rPr>
          <w:noProof/>
        </w:rPr>
        <w:t xml:space="preserve"> (</w:t>
      </w:r>
      <w:r w:rsidRPr="001B24DC">
        <w:rPr>
          <w:b/>
          <w:noProof/>
        </w:rPr>
        <w:t>Figure 1</w:t>
      </w:r>
      <w:r>
        <w:rPr>
          <w:noProof/>
        </w:rPr>
        <w:t>)</w:t>
      </w:r>
      <w:r w:rsidRPr="001B24DC">
        <w:rPr>
          <w:noProof/>
        </w:rPr>
        <w:t xml:space="preserve"> in Chile’s Atacama Desert</w:t>
      </w:r>
      <w:r>
        <w:rPr>
          <w:noProof/>
        </w:rPr>
        <w:t xml:space="preserve"> </w:t>
      </w:r>
      <w:r w:rsidRPr="001B24DC">
        <w:rPr>
          <w:noProof/>
        </w:rPr>
        <w:t>(Glass 2021, Stoker 2021)</w:t>
      </w:r>
      <w:r>
        <w:rPr>
          <w:noProof/>
        </w:rPr>
        <w:t>.</w:t>
      </w:r>
      <w:r w:rsidRPr="001B24DC">
        <w:rPr>
          <w:noProof/>
        </w:rPr>
        <w:t xml:space="preserve"> Terrestrial automated drilling log analyses in oil exploration have used similar machine learning techniques in classifying and identifying features in drilling logs – but these typically are designed assuming a drilling fluid influencing downhole measurements and data (</w:t>
      </w:r>
      <w:r>
        <w:rPr>
          <w:noProof/>
        </w:rPr>
        <w:t xml:space="preserve">such as </w:t>
      </w:r>
      <w:r w:rsidRPr="001B24DC">
        <w:rPr>
          <w:noProof/>
        </w:rPr>
        <w:t>permeabilit</w:t>
      </w:r>
      <w:r>
        <w:rPr>
          <w:noProof/>
        </w:rPr>
        <w:t xml:space="preserve">y and </w:t>
      </w:r>
      <w:r w:rsidRPr="001B24DC">
        <w:rPr>
          <w:noProof/>
        </w:rPr>
        <w:t>resistivity</w:t>
      </w:r>
      <w:r>
        <w:rPr>
          <w:noProof/>
        </w:rPr>
        <w:t xml:space="preserve">). </w:t>
      </w:r>
    </w:p>
    <w:p w14:paraId="1E3644AB" w14:textId="77777777" w:rsidR="00BE1C69" w:rsidRDefault="00BE1C69" w:rsidP="00D70234">
      <w:pPr>
        <w:jc w:val="both"/>
      </w:pPr>
    </w:p>
    <w:p w14:paraId="40BE39D7" w14:textId="37E3A03B" w:rsidR="001B24DC" w:rsidRDefault="00383526" w:rsidP="00D70234">
      <w:pPr>
        <w:jc w:val="both"/>
      </w:pPr>
      <w:r w:rsidRPr="00383526">
        <w:t>Drilling models and existing AI</w:t>
      </w:r>
      <w:r w:rsidR="0019620B">
        <w:t xml:space="preserve"> drill robotic control </w:t>
      </w:r>
      <w:r w:rsidRPr="00383526">
        <w:t>software</w:t>
      </w:r>
      <w:r w:rsidR="0019620B">
        <w:t>,</w:t>
      </w:r>
      <w:r w:rsidRPr="00383526">
        <w:t xml:space="preserve"> designed to detect and respond </w:t>
      </w:r>
      <w:r w:rsidR="0019620B">
        <w:t xml:space="preserve">autonomously </w:t>
      </w:r>
      <w:r w:rsidRPr="00383526">
        <w:t>to drilling faults and hard materials</w:t>
      </w:r>
      <w:r w:rsidR="0019620B">
        <w:t>,</w:t>
      </w:r>
      <w:r w:rsidRPr="00383526">
        <w:t xml:space="preserve"> can be repurposed</w:t>
      </w:r>
      <w:r w:rsidR="0019620B">
        <w:t xml:space="preserve"> as an observer or advisor</w:t>
      </w:r>
      <w:r w:rsidRPr="00383526">
        <w:t xml:space="preserve"> for near-real-time (ground-based) interpretation of drilling telemetry – a potentially valuable advisory tool for strata boundaries and changes in drilling parameters. On the Moon, this approach could be used to study the structure and to some extent the composition of lunar regolith vs. borehole depth, based on recognizable variations in fracture hardness, drilling energy and penetration rates while actively drilling.</w:t>
      </w:r>
    </w:p>
    <w:p w14:paraId="6A1AED4F" w14:textId="35C22957" w:rsidR="00261B2A" w:rsidRDefault="00383526" w:rsidP="0019620B">
      <w:pPr>
        <w:jc w:val="both"/>
      </w:pPr>
      <w:r>
        <w:rPr>
          <w:noProof/>
        </w:rPr>
        <mc:AlternateContent>
          <mc:Choice Requires="wps">
            <w:drawing>
              <wp:anchor distT="0" distB="0" distL="114300" distR="114300" simplePos="0" relativeHeight="251704320" behindDoc="1" locked="0" layoutInCell="1" allowOverlap="1" wp14:anchorId="16A7D690" wp14:editId="00E7DBCE">
                <wp:simplePos x="0" y="0"/>
                <wp:positionH relativeFrom="column">
                  <wp:posOffset>-53975</wp:posOffset>
                </wp:positionH>
                <wp:positionV relativeFrom="paragraph">
                  <wp:posOffset>117475</wp:posOffset>
                </wp:positionV>
                <wp:extent cx="2905760" cy="2672080"/>
                <wp:effectExtent l="0" t="0" r="15240" b="7620"/>
                <wp:wrapTight wrapText="bothSides">
                  <wp:wrapPolygon edited="0">
                    <wp:start x="0" y="0"/>
                    <wp:lineTo x="0" y="21559"/>
                    <wp:lineTo x="21619" y="21559"/>
                    <wp:lineTo x="21619"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2905760" cy="2672080"/>
                        </a:xfrm>
                        <a:prstGeom prst="rect">
                          <a:avLst/>
                        </a:prstGeom>
                        <a:solidFill>
                          <a:schemeClr val="lt1"/>
                        </a:solidFill>
                        <a:ln w="6350">
                          <a:solidFill>
                            <a:prstClr val="black"/>
                          </a:solidFill>
                        </a:ln>
                      </wps:spPr>
                      <wps:txbx>
                        <w:txbxContent>
                          <w:p w14:paraId="30981F1F" w14:textId="723DE227" w:rsidR="008F48C8" w:rsidRDefault="008F48C8" w:rsidP="008F48C8">
                            <w:pPr>
                              <w:widowControl w:val="0"/>
                              <w:adjustRightInd w:val="0"/>
                              <w:snapToGrid w:val="0"/>
                              <w:jc w:val="both"/>
                            </w:pPr>
                            <w:r>
                              <w:rPr>
                                <w:noProof/>
                              </w:rPr>
                              <w:drawing>
                                <wp:inline distT="0" distB="0" distL="0" distR="0" wp14:anchorId="56EEBC1B" wp14:editId="1FB33B77">
                                  <wp:extent cx="2699657" cy="2009084"/>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over Atacama-Earth.jpg"/>
                                          <pic:cNvPicPr/>
                                        </pic:nvPicPr>
                                        <pic:blipFill>
                                          <a:blip r:embed="rId8">
                                            <a:extLst>
                                              <a:ext uri="{28A0092B-C50C-407E-A947-70E740481C1C}">
                                                <a14:useLocalDpi xmlns:a14="http://schemas.microsoft.com/office/drawing/2010/main" val="0"/>
                                              </a:ext>
                                            </a:extLst>
                                          </a:blip>
                                          <a:stretch>
                                            <a:fillRect/>
                                          </a:stretch>
                                        </pic:blipFill>
                                        <pic:spPr>
                                          <a:xfrm>
                                            <a:off x="0" y="0"/>
                                            <a:ext cx="2730198" cy="2031813"/>
                                          </a:xfrm>
                                          <a:prstGeom prst="rect">
                                            <a:avLst/>
                                          </a:prstGeom>
                                        </pic:spPr>
                                      </pic:pic>
                                    </a:graphicData>
                                  </a:graphic>
                                </wp:inline>
                              </w:drawing>
                            </w:r>
                            <w:r w:rsidRPr="00C008C1">
                              <w:rPr>
                                <w:b/>
                                <w:bCs/>
                              </w:rPr>
                              <w:t>Figure 1.</w:t>
                            </w:r>
                            <w:r>
                              <w:t xml:space="preserve"> ARADS prototype (KREX2 rover) in Chile</w:t>
                            </w:r>
                            <w:r w:rsidR="00383526">
                              <w:t xml:space="preserve"> </w:t>
                            </w:r>
                            <w:r>
                              <w:t xml:space="preserve">carrying </w:t>
                            </w:r>
                            <w:r w:rsidR="00383526">
                              <w:t xml:space="preserve">an automated Honeybee </w:t>
                            </w:r>
                            <w:r>
                              <w:t>TRIDENT drill.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A7D690" id="_x0000_t202" coordsize="21600,21600" o:spt="202" path="m,l,21600r21600,l21600,xe">
                <v:stroke joinstyle="miter"/>
                <v:path gradientshapeok="t" o:connecttype="rect"/>
              </v:shapetype>
              <v:shape id="Text Box 2" o:spid="_x0000_s1026" type="#_x0000_t202" style="position:absolute;left:0;text-align:left;margin-left:-4.25pt;margin-top:9.25pt;width:228.8pt;height:210.4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" fillcolor="white [3201]" strokeweight=".5pt">
                <v:textbox>
                  <w:txbxContent>
                    <w:p w14:paraId="30981F1F" w14:textId="723DE227" w:rsidR="008F48C8" w:rsidRDefault="008F48C8" w:rsidP="008F48C8">
                      <w:pPr>
                        <w:widowControl w:val="0"/>
                        <w:adjustRightInd w:val="0"/>
                        <w:snapToGrid w:val="0"/>
                        <w:jc w:val="both"/>
                      </w:pPr>
                      <w:r>
                        <w:rPr>
                          <w:noProof/>
                        </w:rPr>
                        <w:drawing>
                          <wp:inline distT="0" distB="0" distL="0" distR="0" wp14:anchorId="56EEBC1B" wp14:editId="1FB33B77">
                            <wp:extent cx="2699657" cy="2009084"/>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over Atacama-Earth.jpg"/>
                                    <pic:cNvPicPr/>
                                  </pic:nvPicPr>
                                  <pic:blipFill>
                                    <a:blip r:embed="rId9">
                                      <a:extLst>
                                        <a:ext uri="{28A0092B-C50C-407E-A947-70E740481C1C}">
                                          <a14:useLocalDpi xmlns:a14="http://schemas.microsoft.com/office/drawing/2010/main" val="0"/>
                                        </a:ext>
                                      </a:extLst>
                                    </a:blip>
                                    <a:stretch>
                                      <a:fillRect/>
                                    </a:stretch>
                                  </pic:blipFill>
                                  <pic:spPr>
                                    <a:xfrm>
                                      <a:off x="0" y="0"/>
                                      <a:ext cx="2730198" cy="2031813"/>
                                    </a:xfrm>
                                    <a:prstGeom prst="rect">
                                      <a:avLst/>
                                    </a:prstGeom>
                                  </pic:spPr>
                                </pic:pic>
                              </a:graphicData>
                            </a:graphic>
                          </wp:inline>
                        </w:drawing>
                      </w:r>
                      <w:r w:rsidRPr="00C008C1">
                        <w:rPr>
                          <w:b/>
                          <w:bCs/>
                        </w:rPr>
                        <w:t>Figure 1.</w:t>
                      </w:r>
                      <w:r>
                        <w:t xml:space="preserve"> ARADS prototype (KREX2 rover) in Chile</w:t>
                      </w:r>
                      <w:r w:rsidR="00383526">
                        <w:t xml:space="preserve"> </w:t>
                      </w:r>
                      <w:r>
                        <w:t xml:space="preserve">carrying </w:t>
                      </w:r>
                      <w:r w:rsidR="00383526">
                        <w:t xml:space="preserve">an automated Honeybee </w:t>
                      </w:r>
                      <w:r>
                        <w:t>TRIDENT drill.</w:t>
                      </w:r>
                    </w:p>
                  </w:txbxContent>
                </v:textbox>
                <w10:wrap type="tight"/>
              </v:shape>
            </w:pict>
          </mc:Fallback>
        </mc:AlternateContent>
      </w:r>
      <w:r w:rsidR="001B24DC" w:rsidRPr="001B24DC">
        <w:t>Since the early 2000s, a series of increasingly - capable real-time drilling telemetry interpretation and characterization software tools have been developed</w:t>
      </w:r>
      <w:r w:rsidR="0019620B">
        <w:t xml:space="preserve"> for standalone planetary prototype drills</w:t>
      </w:r>
      <w:r w:rsidR="001B24DC" w:rsidRPr="001B24DC">
        <w:t>.</w:t>
      </w:r>
      <w:r w:rsidR="001B24DC">
        <w:t xml:space="preserve"> (Glass 2008, Glass 2014, Bergman 2016, Glass 2018, Glass 2021)</w:t>
      </w:r>
      <w:r w:rsidR="001B24DC" w:rsidRPr="001B24DC">
        <w:t xml:space="preserve"> These subsurface models and software tools have monitored the real-time drilling data received, and automatically identified changes in drill behavior (e.g., encountering a harder target layer, bit inclusions, drill choking due to in</w:t>
      </w:r>
      <w:r w:rsidR="00971C71">
        <w:t>-</w:t>
      </w:r>
      <w:r w:rsidR="001B24DC" w:rsidRPr="001B24DC">
        <w:t>fall downhole, and others) correlating these with subsurface structures and features</w:t>
      </w:r>
      <w:r w:rsidR="001B24DC">
        <w:t xml:space="preserve"> </w:t>
      </w:r>
      <w:r w:rsidR="001B24DC" w:rsidRPr="001B24DC">
        <w:t xml:space="preserve">(Stucky 2018). We </w:t>
      </w:r>
      <w:r w:rsidR="0019620B">
        <w:t xml:space="preserve">will </w:t>
      </w:r>
      <w:r w:rsidR="001B24DC" w:rsidRPr="001B24DC">
        <w:t xml:space="preserve">discuss </w:t>
      </w:r>
      <w:r w:rsidR="0019620B">
        <w:t xml:space="preserve">several examples of </w:t>
      </w:r>
      <w:r w:rsidR="001B24DC" w:rsidRPr="001B24DC">
        <w:t>mappings between drill borehole parameters, faults or events detected, and modeled changes in rock layer boundaries, in examples drawn from field testing at analog sites in an Arctic impact crater, Rio Tinto, and Chile’s Atacama Desert. These demonstrate how subsurface structural boundaries led to fault detections and responses by the software.</w:t>
      </w:r>
    </w:p>
    <w:p w14:paraId="6B44CB36" w14:textId="1E1BBE0C" w:rsidR="0019620B" w:rsidRDefault="00595DFF" w:rsidP="00375F91">
      <w:pPr>
        <w:pStyle w:val="Heading1"/>
      </w:pPr>
      <w:bookmarkStart w:id="2" w:name="_Toc81302821"/>
      <w:r>
        <w:t>Planetary Drilling Advisor (PDA) Approach</w:t>
      </w:r>
      <w:bookmarkEnd w:id="2"/>
    </w:p>
    <w:p w14:paraId="786DA3BB" w14:textId="73AC7C5B" w:rsidR="0019620B" w:rsidRDefault="0019620B" w:rsidP="00D70234">
      <w:pPr>
        <w:jc w:val="both"/>
      </w:pPr>
      <w:r>
        <w:t>Our proposed approach reverses</w:t>
      </w:r>
      <w:r w:rsidR="00181481">
        <w:t xml:space="preserve">, in a sense, </w:t>
      </w:r>
      <w:r>
        <w:t>a historical trend in AI and drilling</w:t>
      </w:r>
      <w:r w:rsidR="00181481">
        <w:t xml:space="preserve"> --</w:t>
      </w:r>
      <w:r>
        <w:t xml:space="preserve"> taking a real-time-capable field robotic drill control system and effectively detuning it </w:t>
      </w:r>
      <w:r w:rsidR="00361E42">
        <w:t>to become</w:t>
      </w:r>
      <w:r>
        <w:t xml:space="preserve"> a science operations remote advisor </w:t>
      </w:r>
      <w:r w:rsidR="00A43FA8">
        <w:t>(</w:t>
      </w:r>
      <w:r>
        <w:t>with no control authority</w:t>
      </w:r>
      <w:r w:rsidR="00A43FA8">
        <w:t>)</w:t>
      </w:r>
      <w:r>
        <w:t xml:space="preserve">.  </w:t>
      </w:r>
      <w:r w:rsidR="00361E42">
        <w:t>Historically, the direction of the field has been conversely to take drilling advisory systems and improve their maturity, reliability and response times to create autonomous</w:t>
      </w:r>
      <w:r w:rsidR="00595DFF">
        <w:t xml:space="preserve"> intelligent</w:t>
      </w:r>
      <w:r w:rsidR="00361E42">
        <w:t xml:space="preserve"> systems capable of operational use.  Several early first-generation 1980s expert systems were applied to drilling data interpretation (such as e.g., the Drilling Advisor</w:t>
      </w:r>
      <w:r w:rsidR="00595DFF">
        <w:t xml:space="preserve"> from </w:t>
      </w:r>
      <w:proofErr w:type="spellStart"/>
      <w:r w:rsidR="00595DFF">
        <w:t>Teknowledge</w:t>
      </w:r>
      <w:proofErr w:type="spellEnd"/>
      <w:r w:rsidR="00361E42">
        <w:t xml:space="preserve"> (</w:t>
      </w:r>
      <w:proofErr w:type="spellStart"/>
      <w:r w:rsidR="00361E42">
        <w:t>Curteille</w:t>
      </w:r>
      <w:proofErr w:type="spellEnd"/>
      <w:r w:rsidR="00361E42">
        <w:t xml:space="preserve"> 1986) or the Drilling Expert System (Simpson 1986)). Improvements in cognitive reasoning, large dataset</w:t>
      </w:r>
      <w:r w:rsidR="00181481">
        <w:t xml:space="preserve"> and image</w:t>
      </w:r>
      <w:r w:rsidR="00361E42">
        <w:t xml:space="preserve"> interpretation</w:t>
      </w:r>
      <w:r w:rsidR="00181481">
        <w:t xml:space="preserve">, processing power and machine learning over the subsequent </w:t>
      </w:r>
      <w:r w:rsidR="00181481">
        <w:lastRenderedPageBreak/>
        <w:t xml:space="preserve">decades have led to current commercial AI monitoring and analytical tools for the oil and gas industry (viz. IBM’s Exploration Advisor Tool (IBM 2021) or modules in </w:t>
      </w:r>
      <w:proofErr w:type="spellStart"/>
      <w:r w:rsidR="00181481">
        <w:t>Schumberger’s</w:t>
      </w:r>
      <w:proofErr w:type="spellEnd"/>
      <w:r w:rsidR="00181481">
        <w:t xml:space="preserve"> DELFI suite (Schlumberger 2021)). </w:t>
      </w:r>
    </w:p>
    <w:p w14:paraId="1950BE39" w14:textId="499E4B87" w:rsidR="00181481" w:rsidRDefault="00181481" w:rsidP="00D70234">
      <w:pPr>
        <w:jc w:val="both"/>
      </w:pPr>
    </w:p>
    <w:p w14:paraId="58C44412" w14:textId="0ECFDF08" w:rsidR="00181481" w:rsidRDefault="00181481" w:rsidP="00D70234">
      <w:pPr>
        <w:jc w:val="both"/>
      </w:pPr>
      <w:r>
        <w:t>Compared to oil and gas drilling, planetary sampling drills typically have no casing or drilling fluids, aren’t concerned with substrate porosity</w:t>
      </w:r>
      <w:r w:rsidR="0059098D">
        <w:t xml:space="preserve"> (except in terms of fracture toughness), are drilling blind (with no prior seismic subsurface imaging) and employ orders of magnitude less </w:t>
      </w:r>
      <w:r w:rsidR="00A43FA8">
        <w:t xml:space="preserve">mass and </w:t>
      </w:r>
      <w:r w:rsidR="0059098D">
        <w:t xml:space="preserve">energy while traveling cm to meters (rather than km) deep. Commercial petroleum exploration and production software tools are not a good fit, hence our interest in retrofitting an automated drilling advisor derived from our existing validated planetary-prototype drilling model. </w:t>
      </w:r>
    </w:p>
    <w:p w14:paraId="57ABE5DC" w14:textId="77777777" w:rsidR="00D34A5F" w:rsidRDefault="00D34A5F" w:rsidP="00D70234">
      <w:pPr>
        <w:jc w:val="both"/>
      </w:pPr>
    </w:p>
    <w:p w14:paraId="33CDD3B3" w14:textId="4876C0D1" w:rsidR="00D34A5F" w:rsidRPr="00D34A5F" w:rsidRDefault="00D34A5F" w:rsidP="00D34A5F">
      <w:pPr>
        <w:rPr>
          <w:b/>
          <w:bCs/>
        </w:rPr>
      </w:pPr>
      <w:r w:rsidRPr="006B7665">
        <w:rPr>
          <w:b/>
          <w:bCs/>
        </w:rPr>
        <w:t xml:space="preserve">Table 1. </w:t>
      </w:r>
      <w:r>
        <w:rPr>
          <w:b/>
          <w:bCs/>
        </w:rPr>
        <w:t xml:space="preserve">Planetary Drilling Advisor </w:t>
      </w:r>
      <w:proofErr w:type="gramStart"/>
      <w:r>
        <w:rPr>
          <w:b/>
          <w:bCs/>
        </w:rPr>
        <w:t xml:space="preserve">-- </w:t>
      </w:r>
      <w:r w:rsidRPr="006B7665">
        <w:rPr>
          <w:b/>
          <w:bCs/>
        </w:rPr>
        <w:t xml:space="preserve"> Science</w:t>
      </w:r>
      <w:proofErr w:type="gramEnd"/>
      <w:r w:rsidRPr="006B7665">
        <w:rPr>
          <w:b/>
          <w:bCs/>
        </w:rPr>
        <w:t xml:space="preserve"> Traceability Matrix</w:t>
      </w:r>
    </w:p>
    <w:tbl>
      <w:tblPr>
        <w:tblStyle w:val="TableGrid0"/>
        <w:tblW w:w="8275" w:type="dxa"/>
        <w:tblLayout w:type="fixed"/>
        <w:tblLook w:val="04A0" w:firstRow="1" w:lastRow="0" w:firstColumn="1" w:lastColumn="0" w:noHBand="0" w:noVBand="1"/>
      </w:tblPr>
      <w:tblGrid>
        <w:gridCol w:w="1904"/>
        <w:gridCol w:w="1331"/>
        <w:gridCol w:w="1440"/>
        <w:gridCol w:w="1620"/>
        <w:gridCol w:w="1980"/>
      </w:tblGrid>
      <w:tr w:rsidR="00D34A5F" w:rsidRPr="00F11426" w14:paraId="127706CD" w14:textId="77777777" w:rsidTr="00E02580">
        <w:trPr>
          <w:trHeight w:val="587"/>
        </w:trPr>
        <w:tc>
          <w:tcPr>
            <w:tcW w:w="1904" w:type="dxa"/>
          </w:tcPr>
          <w:p w14:paraId="79851F54" w14:textId="77777777" w:rsidR="00D34A5F" w:rsidRPr="00F11426" w:rsidRDefault="00D34A5F" w:rsidP="00E02580">
            <w:pPr>
              <w:jc w:val="center"/>
              <w:rPr>
                <w:rFonts w:ascii="Garamond" w:hAnsi="Garamond"/>
                <w:b/>
                <w:bCs/>
                <w:sz w:val="20"/>
                <w:szCs w:val="20"/>
              </w:rPr>
            </w:pPr>
            <w:r w:rsidRPr="00F11426">
              <w:rPr>
                <w:rFonts w:ascii="Garamond" w:hAnsi="Garamond"/>
                <w:b/>
                <w:bCs/>
                <w:sz w:val="20"/>
                <w:szCs w:val="20"/>
              </w:rPr>
              <w:t>Science Goals</w:t>
            </w:r>
          </w:p>
          <w:p w14:paraId="030FD41A" w14:textId="77777777" w:rsidR="00D34A5F" w:rsidRPr="00F11426" w:rsidRDefault="00D34A5F" w:rsidP="00E02580">
            <w:pPr>
              <w:jc w:val="center"/>
              <w:rPr>
                <w:rFonts w:ascii="Garamond" w:hAnsi="Garamond"/>
                <w:sz w:val="20"/>
                <w:szCs w:val="20"/>
              </w:rPr>
            </w:pPr>
          </w:p>
        </w:tc>
        <w:tc>
          <w:tcPr>
            <w:tcW w:w="1331" w:type="dxa"/>
          </w:tcPr>
          <w:p w14:paraId="1148A338" w14:textId="77777777" w:rsidR="00D34A5F" w:rsidRPr="00F11426" w:rsidRDefault="00D34A5F" w:rsidP="00E02580">
            <w:pPr>
              <w:jc w:val="center"/>
              <w:rPr>
                <w:rFonts w:ascii="Garamond" w:hAnsi="Garamond"/>
                <w:b/>
                <w:bCs/>
                <w:sz w:val="20"/>
                <w:szCs w:val="20"/>
              </w:rPr>
            </w:pPr>
            <w:r w:rsidRPr="00F11426">
              <w:rPr>
                <w:rFonts w:ascii="Garamond" w:hAnsi="Garamond"/>
                <w:b/>
                <w:bCs/>
                <w:sz w:val="20"/>
                <w:szCs w:val="20"/>
              </w:rPr>
              <w:t>Objective</w:t>
            </w:r>
          </w:p>
        </w:tc>
        <w:tc>
          <w:tcPr>
            <w:tcW w:w="1440" w:type="dxa"/>
          </w:tcPr>
          <w:p w14:paraId="2AAA508C" w14:textId="77777777" w:rsidR="00D34A5F" w:rsidRPr="00F11426" w:rsidRDefault="00D34A5F" w:rsidP="00E02580">
            <w:pPr>
              <w:jc w:val="center"/>
              <w:rPr>
                <w:rFonts w:ascii="Garamond" w:hAnsi="Garamond"/>
                <w:b/>
                <w:bCs/>
                <w:sz w:val="20"/>
                <w:szCs w:val="20"/>
              </w:rPr>
            </w:pPr>
            <w:r w:rsidRPr="00F11426">
              <w:rPr>
                <w:rFonts w:ascii="Garamond" w:hAnsi="Garamond"/>
                <w:b/>
                <w:bCs/>
                <w:sz w:val="20"/>
                <w:szCs w:val="20"/>
              </w:rPr>
              <w:t>Sub-objectives</w:t>
            </w:r>
          </w:p>
        </w:tc>
        <w:tc>
          <w:tcPr>
            <w:tcW w:w="1620" w:type="dxa"/>
          </w:tcPr>
          <w:p w14:paraId="62E0D3FD" w14:textId="77777777" w:rsidR="00D34A5F" w:rsidRPr="00F11426" w:rsidRDefault="00D34A5F" w:rsidP="00E02580">
            <w:pPr>
              <w:jc w:val="center"/>
              <w:rPr>
                <w:rFonts w:ascii="Garamond" w:hAnsi="Garamond"/>
                <w:b/>
                <w:bCs/>
                <w:sz w:val="20"/>
                <w:szCs w:val="20"/>
              </w:rPr>
            </w:pPr>
            <w:r w:rsidRPr="00F11426">
              <w:rPr>
                <w:rFonts w:ascii="Garamond" w:hAnsi="Garamond"/>
                <w:b/>
                <w:bCs/>
                <w:sz w:val="20"/>
                <w:szCs w:val="20"/>
              </w:rPr>
              <w:t>Observables (from remote drill telemetry)</w:t>
            </w:r>
          </w:p>
        </w:tc>
        <w:tc>
          <w:tcPr>
            <w:tcW w:w="1980" w:type="dxa"/>
          </w:tcPr>
          <w:p w14:paraId="66317589" w14:textId="77777777" w:rsidR="00D34A5F" w:rsidRPr="00F11426" w:rsidRDefault="00D34A5F" w:rsidP="00E02580">
            <w:pPr>
              <w:jc w:val="center"/>
              <w:rPr>
                <w:rFonts w:ascii="Garamond" w:hAnsi="Garamond"/>
                <w:b/>
                <w:bCs/>
                <w:sz w:val="20"/>
                <w:szCs w:val="20"/>
              </w:rPr>
            </w:pPr>
            <w:r w:rsidRPr="00F11426">
              <w:rPr>
                <w:rFonts w:ascii="Garamond" w:hAnsi="Garamond"/>
                <w:b/>
                <w:bCs/>
                <w:sz w:val="20"/>
                <w:szCs w:val="20"/>
              </w:rPr>
              <w:t>PDA-inferred or synthesized</w:t>
            </w:r>
          </w:p>
        </w:tc>
      </w:tr>
      <w:tr w:rsidR="00D34A5F" w:rsidRPr="00F11426" w14:paraId="0768F52A" w14:textId="77777777" w:rsidTr="00E02580">
        <w:trPr>
          <w:trHeight w:val="491"/>
        </w:trPr>
        <w:tc>
          <w:tcPr>
            <w:tcW w:w="1904" w:type="dxa"/>
            <w:vMerge w:val="restart"/>
          </w:tcPr>
          <w:p w14:paraId="7B4CADE0" w14:textId="77777777" w:rsidR="00D34A5F" w:rsidRPr="00F11426" w:rsidRDefault="00D34A5F" w:rsidP="00E02580">
            <w:pPr>
              <w:rPr>
                <w:rFonts w:ascii="Garamond" w:hAnsi="Garamond"/>
                <w:sz w:val="20"/>
                <w:szCs w:val="20"/>
              </w:rPr>
            </w:pPr>
            <w:r w:rsidRPr="00F11426">
              <w:rPr>
                <w:rFonts w:ascii="Garamond" w:hAnsi="Garamond"/>
                <w:sz w:val="20"/>
                <w:szCs w:val="20"/>
              </w:rPr>
              <w:t>Determine whether observed changes in drilling response are sufficient to substantially identify the subsurface physical state, including heterogeneous layering and vertical distributions of volatiles; look for evidence of any depth-related patterns and processes (e.g., lunar impact gardening, from (Cannon and Britt 2020).</w:t>
            </w:r>
          </w:p>
          <w:p w14:paraId="47B76E8C" w14:textId="77777777" w:rsidR="00D34A5F" w:rsidRPr="00F11426" w:rsidRDefault="00D34A5F" w:rsidP="00E02580">
            <w:pPr>
              <w:rPr>
                <w:rFonts w:ascii="Garamond" w:hAnsi="Garamond"/>
                <w:sz w:val="20"/>
                <w:szCs w:val="20"/>
              </w:rPr>
            </w:pPr>
          </w:p>
          <w:p w14:paraId="6318DA95" w14:textId="77777777" w:rsidR="00D34A5F" w:rsidRPr="00F11426" w:rsidRDefault="00D34A5F" w:rsidP="00E02580">
            <w:pPr>
              <w:rPr>
                <w:rFonts w:ascii="Garamond" w:hAnsi="Garamond"/>
                <w:sz w:val="20"/>
                <w:szCs w:val="20"/>
              </w:rPr>
            </w:pPr>
          </w:p>
          <w:p w14:paraId="4B866B48" w14:textId="77777777" w:rsidR="00D34A5F" w:rsidRPr="00F11426" w:rsidRDefault="00D34A5F" w:rsidP="00E02580">
            <w:pPr>
              <w:rPr>
                <w:rFonts w:ascii="Garamond" w:hAnsi="Garamond"/>
                <w:sz w:val="20"/>
                <w:szCs w:val="20"/>
              </w:rPr>
            </w:pPr>
          </w:p>
        </w:tc>
        <w:tc>
          <w:tcPr>
            <w:tcW w:w="1331" w:type="dxa"/>
          </w:tcPr>
          <w:p w14:paraId="7ECE8B3C" w14:textId="77777777" w:rsidR="00D34A5F" w:rsidRPr="00F11426" w:rsidRDefault="00D34A5F" w:rsidP="00E02580">
            <w:pPr>
              <w:rPr>
                <w:rFonts w:ascii="Garamond" w:hAnsi="Garamond"/>
                <w:sz w:val="20"/>
                <w:szCs w:val="20"/>
              </w:rPr>
            </w:pPr>
            <w:r w:rsidRPr="00F11426">
              <w:rPr>
                <w:rFonts w:ascii="Garamond" w:hAnsi="Garamond"/>
                <w:b/>
                <w:bCs/>
                <w:sz w:val="20"/>
                <w:szCs w:val="20"/>
              </w:rPr>
              <w:t>1)</w:t>
            </w:r>
            <w:r w:rsidRPr="00F11426">
              <w:rPr>
                <w:rFonts w:ascii="Garamond" w:hAnsi="Garamond"/>
                <w:sz w:val="20"/>
                <w:szCs w:val="20"/>
              </w:rPr>
              <w:t xml:space="preserve"> Determine spatial distribution of subsurface material contrasts, both vertically per borehole and laterally across the Science Stations. </w:t>
            </w:r>
          </w:p>
        </w:tc>
        <w:tc>
          <w:tcPr>
            <w:tcW w:w="1440" w:type="dxa"/>
          </w:tcPr>
          <w:p w14:paraId="54C07415" w14:textId="77777777" w:rsidR="00D34A5F" w:rsidRPr="00F11426" w:rsidRDefault="00D34A5F" w:rsidP="00E02580">
            <w:pPr>
              <w:rPr>
                <w:rFonts w:ascii="Garamond" w:hAnsi="Garamond"/>
                <w:sz w:val="20"/>
                <w:szCs w:val="20"/>
              </w:rPr>
            </w:pPr>
            <w:r w:rsidRPr="00F11426">
              <w:rPr>
                <w:rFonts w:ascii="Garamond" w:hAnsi="Garamond"/>
                <w:sz w:val="20"/>
                <w:szCs w:val="20"/>
              </w:rPr>
              <w:t>Estimate and constrain local stratigraphy from observed changes in drilling behavior</w:t>
            </w:r>
          </w:p>
        </w:tc>
        <w:tc>
          <w:tcPr>
            <w:tcW w:w="1620" w:type="dxa"/>
          </w:tcPr>
          <w:p w14:paraId="76322A0F" w14:textId="77777777" w:rsidR="00D34A5F" w:rsidRPr="00F11426" w:rsidRDefault="00D34A5F" w:rsidP="00E02580">
            <w:pPr>
              <w:rPr>
                <w:rFonts w:ascii="Garamond" w:hAnsi="Garamond"/>
                <w:sz w:val="20"/>
                <w:szCs w:val="20"/>
              </w:rPr>
            </w:pPr>
            <w:r w:rsidRPr="00F11426">
              <w:rPr>
                <w:rFonts w:ascii="Garamond" w:hAnsi="Garamond"/>
                <w:sz w:val="20"/>
                <w:szCs w:val="20"/>
              </w:rPr>
              <w:t>Weight-on-bit (N), penetration rate (mm/sec), shaft torque (N-m), percussive energy (J)</w:t>
            </w:r>
          </w:p>
        </w:tc>
        <w:tc>
          <w:tcPr>
            <w:tcW w:w="1980" w:type="dxa"/>
          </w:tcPr>
          <w:p w14:paraId="7D8478E2" w14:textId="6C2B9A68" w:rsidR="00D34A5F" w:rsidRPr="00F11426" w:rsidRDefault="00D34A5F" w:rsidP="00E02580">
            <w:pPr>
              <w:rPr>
                <w:rFonts w:ascii="Garamond" w:hAnsi="Garamond"/>
                <w:sz w:val="20"/>
                <w:szCs w:val="20"/>
              </w:rPr>
            </w:pPr>
            <w:r w:rsidRPr="00F11426">
              <w:rPr>
                <w:rFonts w:ascii="Garamond" w:hAnsi="Garamond"/>
                <w:sz w:val="20"/>
                <w:szCs w:val="20"/>
              </w:rPr>
              <w:t>Hard</w:t>
            </w:r>
            <w:r w:rsidR="00D30987">
              <w:rPr>
                <w:rFonts w:ascii="Garamond" w:hAnsi="Garamond"/>
                <w:sz w:val="20"/>
                <w:szCs w:val="20"/>
              </w:rPr>
              <w:t xml:space="preserve"> </w:t>
            </w:r>
            <w:r w:rsidRPr="00F11426">
              <w:rPr>
                <w:rFonts w:ascii="Garamond" w:hAnsi="Garamond"/>
                <w:sz w:val="20"/>
                <w:szCs w:val="20"/>
              </w:rPr>
              <w:t>-</w:t>
            </w:r>
            <w:r w:rsidR="00D30987">
              <w:rPr>
                <w:rFonts w:ascii="Garamond" w:hAnsi="Garamond"/>
                <w:sz w:val="20"/>
                <w:szCs w:val="20"/>
              </w:rPr>
              <w:t xml:space="preserve"> </w:t>
            </w:r>
            <w:r w:rsidRPr="00F11426">
              <w:rPr>
                <w:rFonts w:ascii="Garamond" w:hAnsi="Garamond"/>
                <w:sz w:val="20"/>
                <w:szCs w:val="20"/>
              </w:rPr>
              <w:t xml:space="preserve">material </w:t>
            </w:r>
            <w:proofErr w:type="gramStart"/>
            <w:r w:rsidRPr="00F11426">
              <w:rPr>
                <w:rFonts w:ascii="Garamond" w:hAnsi="Garamond"/>
                <w:sz w:val="20"/>
                <w:szCs w:val="20"/>
              </w:rPr>
              <w:t>boundary;</w:t>
            </w:r>
            <w:proofErr w:type="gramEnd"/>
          </w:p>
          <w:p w14:paraId="5E1E649F" w14:textId="77777777" w:rsidR="00D34A5F" w:rsidRPr="00F11426" w:rsidRDefault="00D34A5F" w:rsidP="00E02580">
            <w:pPr>
              <w:rPr>
                <w:rFonts w:ascii="Garamond" w:hAnsi="Garamond"/>
                <w:sz w:val="20"/>
                <w:szCs w:val="20"/>
              </w:rPr>
            </w:pPr>
            <w:r w:rsidRPr="00F11426">
              <w:rPr>
                <w:rFonts w:ascii="Garamond" w:hAnsi="Garamond"/>
                <w:sz w:val="20"/>
                <w:szCs w:val="20"/>
              </w:rPr>
              <w:t>Soft/uncemented materials (bit choking); Percussion mapping</w:t>
            </w:r>
          </w:p>
          <w:p w14:paraId="4F06FE9A" w14:textId="77777777" w:rsidR="00D34A5F" w:rsidRPr="00F11426" w:rsidRDefault="00D34A5F" w:rsidP="00E02580">
            <w:pPr>
              <w:rPr>
                <w:rFonts w:ascii="Garamond" w:hAnsi="Garamond"/>
                <w:sz w:val="20"/>
                <w:szCs w:val="20"/>
              </w:rPr>
            </w:pPr>
          </w:p>
          <w:p w14:paraId="5A6247CA" w14:textId="77777777" w:rsidR="00D34A5F" w:rsidRPr="00F11426" w:rsidRDefault="00D34A5F" w:rsidP="00E02580">
            <w:pPr>
              <w:rPr>
                <w:rFonts w:ascii="Garamond" w:hAnsi="Garamond"/>
                <w:sz w:val="20"/>
                <w:szCs w:val="20"/>
              </w:rPr>
            </w:pPr>
          </w:p>
        </w:tc>
      </w:tr>
      <w:tr w:rsidR="00D34A5F" w:rsidRPr="00F11426" w14:paraId="567238E7" w14:textId="77777777" w:rsidTr="00E02580">
        <w:trPr>
          <w:trHeight w:val="1380"/>
        </w:trPr>
        <w:tc>
          <w:tcPr>
            <w:tcW w:w="1904" w:type="dxa"/>
            <w:vMerge/>
          </w:tcPr>
          <w:p w14:paraId="60920B7F" w14:textId="77777777" w:rsidR="00D34A5F" w:rsidRPr="00F11426" w:rsidRDefault="00D34A5F" w:rsidP="00E02580">
            <w:pPr>
              <w:rPr>
                <w:rFonts w:ascii="Garamond" w:hAnsi="Garamond"/>
                <w:sz w:val="20"/>
                <w:szCs w:val="20"/>
              </w:rPr>
            </w:pPr>
          </w:p>
        </w:tc>
        <w:tc>
          <w:tcPr>
            <w:tcW w:w="1331" w:type="dxa"/>
            <w:vMerge w:val="restart"/>
          </w:tcPr>
          <w:p w14:paraId="5DCFECAA" w14:textId="77777777" w:rsidR="00D34A5F" w:rsidRPr="00F11426" w:rsidRDefault="00D34A5F" w:rsidP="00E02580">
            <w:pPr>
              <w:rPr>
                <w:rFonts w:ascii="Garamond" w:hAnsi="Garamond"/>
                <w:sz w:val="20"/>
                <w:szCs w:val="20"/>
              </w:rPr>
            </w:pPr>
            <w:r w:rsidRPr="00F11426">
              <w:rPr>
                <w:rFonts w:ascii="Garamond" w:hAnsi="Garamond"/>
                <w:b/>
                <w:bCs/>
                <w:sz w:val="20"/>
                <w:szCs w:val="20"/>
              </w:rPr>
              <w:t>2)</w:t>
            </w:r>
            <w:r w:rsidRPr="00F11426">
              <w:rPr>
                <w:rFonts w:ascii="Garamond" w:hAnsi="Garamond"/>
                <w:sz w:val="20"/>
                <w:szCs w:val="20"/>
              </w:rPr>
              <w:t xml:space="preserve"> Locate and characterize availability of volatiles</w:t>
            </w:r>
          </w:p>
        </w:tc>
        <w:tc>
          <w:tcPr>
            <w:tcW w:w="1440" w:type="dxa"/>
          </w:tcPr>
          <w:p w14:paraId="0CB71452" w14:textId="77777777" w:rsidR="00D34A5F" w:rsidRPr="00F11426" w:rsidRDefault="00D34A5F" w:rsidP="00E02580">
            <w:pPr>
              <w:rPr>
                <w:rFonts w:ascii="Garamond" w:hAnsi="Garamond"/>
                <w:sz w:val="20"/>
                <w:szCs w:val="20"/>
              </w:rPr>
            </w:pPr>
            <w:r w:rsidRPr="00F11426">
              <w:rPr>
                <w:rFonts w:ascii="Garamond" w:hAnsi="Garamond"/>
                <w:sz w:val="20"/>
                <w:szCs w:val="20"/>
              </w:rPr>
              <w:t>Determine vertical distribution of water</w:t>
            </w:r>
          </w:p>
        </w:tc>
        <w:tc>
          <w:tcPr>
            <w:tcW w:w="1620" w:type="dxa"/>
          </w:tcPr>
          <w:p w14:paraId="66934A1B" w14:textId="77777777" w:rsidR="00D34A5F" w:rsidRPr="00F11426" w:rsidRDefault="00D34A5F" w:rsidP="00E02580">
            <w:pPr>
              <w:rPr>
                <w:rFonts w:ascii="Garamond" w:hAnsi="Garamond"/>
                <w:sz w:val="20"/>
                <w:szCs w:val="20"/>
              </w:rPr>
            </w:pPr>
            <w:r w:rsidRPr="00F11426">
              <w:rPr>
                <w:rFonts w:ascii="Garamond" w:hAnsi="Garamond"/>
                <w:sz w:val="20"/>
                <w:szCs w:val="20"/>
              </w:rPr>
              <w:t>Weight-on-bit (N), penetration rate (mm/sec), shaft torque (N-m), temperatures along borehole (˚K)</w:t>
            </w:r>
          </w:p>
        </w:tc>
        <w:tc>
          <w:tcPr>
            <w:tcW w:w="1980" w:type="dxa"/>
          </w:tcPr>
          <w:p w14:paraId="3B8ED01D" w14:textId="377E21D9" w:rsidR="00D34A5F" w:rsidRPr="00F11426" w:rsidRDefault="00D34A5F" w:rsidP="00E02580">
            <w:pPr>
              <w:rPr>
                <w:rFonts w:ascii="Garamond" w:hAnsi="Garamond"/>
                <w:sz w:val="20"/>
                <w:szCs w:val="20"/>
              </w:rPr>
            </w:pPr>
            <w:r w:rsidRPr="00F11426">
              <w:rPr>
                <w:rFonts w:ascii="Garamond" w:hAnsi="Garamond"/>
                <w:sz w:val="20"/>
                <w:szCs w:val="20"/>
              </w:rPr>
              <w:t xml:space="preserve">Hard-material boundary; Temperature response to drilling energy </w:t>
            </w:r>
            <w:proofErr w:type="gramStart"/>
            <w:r w:rsidRPr="00F11426">
              <w:rPr>
                <w:rFonts w:ascii="Garamond" w:hAnsi="Garamond"/>
                <w:sz w:val="20"/>
                <w:szCs w:val="20"/>
              </w:rPr>
              <w:t>inputs;</w:t>
            </w:r>
            <w:proofErr w:type="gramEnd"/>
          </w:p>
          <w:p w14:paraId="70D2CE5C" w14:textId="77777777" w:rsidR="00D34A5F" w:rsidRPr="00F11426" w:rsidRDefault="00D34A5F" w:rsidP="00E02580">
            <w:pPr>
              <w:rPr>
                <w:rFonts w:ascii="Garamond" w:hAnsi="Garamond"/>
                <w:sz w:val="20"/>
                <w:szCs w:val="20"/>
              </w:rPr>
            </w:pPr>
            <w:r w:rsidRPr="00F11426">
              <w:rPr>
                <w:rFonts w:ascii="Garamond" w:hAnsi="Garamond"/>
                <w:sz w:val="20"/>
                <w:szCs w:val="20"/>
              </w:rPr>
              <w:t>Regolith cementation and heterogeneity (bit inclusions, jamming)</w:t>
            </w:r>
          </w:p>
          <w:p w14:paraId="624399DA" w14:textId="77777777" w:rsidR="00D34A5F" w:rsidRPr="00F11426" w:rsidRDefault="00D34A5F" w:rsidP="00E02580">
            <w:pPr>
              <w:rPr>
                <w:rFonts w:ascii="Garamond" w:hAnsi="Garamond"/>
                <w:sz w:val="20"/>
                <w:szCs w:val="20"/>
              </w:rPr>
            </w:pPr>
          </w:p>
        </w:tc>
      </w:tr>
      <w:tr w:rsidR="00D34A5F" w:rsidRPr="00F11426" w14:paraId="1D7D72F7" w14:textId="77777777" w:rsidTr="00E02580">
        <w:trPr>
          <w:trHeight w:val="396"/>
        </w:trPr>
        <w:tc>
          <w:tcPr>
            <w:tcW w:w="1904" w:type="dxa"/>
            <w:vMerge/>
          </w:tcPr>
          <w:p w14:paraId="76FDE7A8" w14:textId="77777777" w:rsidR="00D34A5F" w:rsidRPr="00F11426" w:rsidRDefault="00D34A5F" w:rsidP="00E02580">
            <w:pPr>
              <w:rPr>
                <w:rFonts w:ascii="Garamond" w:hAnsi="Garamond"/>
                <w:sz w:val="20"/>
                <w:szCs w:val="20"/>
              </w:rPr>
            </w:pPr>
          </w:p>
        </w:tc>
        <w:tc>
          <w:tcPr>
            <w:tcW w:w="1331" w:type="dxa"/>
            <w:vMerge/>
          </w:tcPr>
          <w:p w14:paraId="05AD0DE6" w14:textId="77777777" w:rsidR="00D34A5F" w:rsidRPr="00F11426" w:rsidRDefault="00D34A5F" w:rsidP="00E02580">
            <w:pPr>
              <w:rPr>
                <w:rFonts w:ascii="Garamond" w:hAnsi="Garamond"/>
                <w:sz w:val="20"/>
                <w:szCs w:val="20"/>
              </w:rPr>
            </w:pPr>
          </w:p>
        </w:tc>
        <w:tc>
          <w:tcPr>
            <w:tcW w:w="1440" w:type="dxa"/>
          </w:tcPr>
          <w:p w14:paraId="5AFAD964" w14:textId="77777777" w:rsidR="00D34A5F" w:rsidRPr="00F11426" w:rsidRDefault="00D34A5F" w:rsidP="00E02580">
            <w:pPr>
              <w:rPr>
                <w:rFonts w:ascii="Garamond" w:hAnsi="Garamond"/>
                <w:sz w:val="20"/>
                <w:szCs w:val="20"/>
              </w:rPr>
            </w:pPr>
            <w:r w:rsidRPr="00F11426">
              <w:rPr>
                <w:rFonts w:ascii="Garamond" w:hAnsi="Garamond"/>
                <w:sz w:val="20"/>
                <w:szCs w:val="20"/>
              </w:rPr>
              <w:t>Identify volatiles’ presence in solid materials</w:t>
            </w:r>
          </w:p>
        </w:tc>
        <w:tc>
          <w:tcPr>
            <w:tcW w:w="1620" w:type="dxa"/>
          </w:tcPr>
          <w:p w14:paraId="6472AAF1" w14:textId="77777777" w:rsidR="00D34A5F" w:rsidRPr="00F11426" w:rsidRDefault="00D34A5F" w:rsidP="00E02580">
            <w:pPr>
              <w:rPr>
                <w:rFonts w:ascii="Garamond" w:hAnsi="Garamond"/>
                <w:sz w:val="20"/>
                <w:szCs w:val="20"/>
              </w:rPr>
            </w:pPr>
            <w:r w:rsidRPr="00F11426">
              <w:rPr>
                <w:rFonts w:ascii="Garamond" w:hAnsi="Garamond"/>
                <w:sz w:val="20"/>
                <w:szCs w:val="20"/>
              </w:rPr>
              <w:t>Weight-on-bit (N), penetration rate (mm/sec), shaft torque (N-m)</w:t>
            </w:r>
          </w:p>
        </w:tc>
        <w:tc>
          <w:tcPr>
            <w:tcW w:w="1980" w:type="dxa"/>
          </w:tcPr>
          <w:p w14:paraId="1E14C2AF" w14:textId="77777777" w:rsidR="00D34A5F" w:rsidRPr="00F11426" w:rsidRDefault="00D34A5F" w:rsidP="00E02580">
            <w:pPr>
              <w:rPr>
                <w:rFonts w:ascii="Garamond" w:hAnsi="Garamond"/>
                <w:sz w:val="20"/>
                <w:szCs w:val="20"/>
              </w:rPr>
            </w:pPr>
            <w:r w:rsidRPr="00F11426">
              <w:rPr>
                <w:rFonts w:ascii="Garamond" w:hAnsi="Garamond"/>
                <w:sz w:val="20"/>
                <w:szCs w:val="20"/>
              </w:rPr>
              <w:t>Regolith cementation and heterogeneity (bit inclusions, jamming)</w:t>
            </w:r>
          </w:p>
        </w:tc>
      </w:tr>
    </w:tbl>
    <w:p w14:paraId="0AFF8997" w14:textId="77777777" w:rsidR="0019620B" w:rsidRDefault="0019620B" w:rsidP="00D70234">
      <w:pPr>
        <w:jc w:val="both"/>
      </w:pPr>
    </w:p>
    <w:p w14:paraId="0F191C23" w14:textId="2A3BCF2B" w:rsidR="00FF75B7" w:rsidRPr="001D4CC9" w:rsidRDefault="007F4A51" w:rsidP="00D70234">
      <w:pPr>
        <w:jc w:val="both"/>
      </w:pPr>
      <w:r>
        <w:t xml:space="preserve">Some of the motivations and benefits of commercial drilling advisory software systems </w:t>
      </w:r>
      <w:r w:rsidR="00A43FA8">
        <w:t>remain</w:t>
      </w:r>
      <w:r>
        <w:t xml:space="preserve"> relevant to planetary science drilling.  </w:t>
      </w:r>
      <w:r w:rsidR="00526FF9">
        <w:t xml:space="preserve">Our </w:t>
      </w:r>
      <w:r w:rsidR="00595DFF">
        <w:t xml:space="preserve">proposed </w:t>
      </w:r>
      <w:r w:rsidR="00780BA5">
        <w:t xml:space="preserve">automated </w:t>
      </w:r>
      <w:r w:rsidR="00595DFF">
        <w:t>planetary-drilling</w:t>
      </w:r>
      <w:r w:rsidR="00780BA5">
        <w:t xml:space="preserve"> advisor</w:t>
      </w:r>
      <w:r w:rsidR="00595DFF">
        <w:t xml:space="preserve"> (PDA)</w:t>
      </w:r>
      <w:r w:rsidR="00780BA5">
        <w:t xml:space="preserve"> </w:t>
      </w:r>
      <w:r w:rsidR="00FD329B">
        <w:t xml:space="preserve">would </w:t>
      </w:r>
      <w:r w:rsidR="00595DFF">
        <w:t xml:space="preserve">create a </w:t>
      </w:r>
      <w:r w:rsidR="00526FF9">
        <w:t>software agent</w:t>
      </w:r>
      <w:r w:rsidR="00D76DFB">
        <w:t xml:space="preserve"> that</w:t>
      </w:r>
      <w:r w:rsidR="00526FF9">
        <w:t xml:space="preserve"> c</w:t>
      </w:r>
      <w:r w:rsidR="00595DFF">
        <w:t>ould</w:t>
      </w:r>
      <w:r w:rsidR="00526FF9">
        <w:t xml:space="preserve"> evaluate </w:t>
      </w:r>
      <w:r w:rsidR="00595DFF">
        <w:t xml:space="preserve">mission </w:t>
      </w:r>
      <w:r w:rsidR="00526FF9">
        <w:t xml:space="preserve">drilling power and penetration rate in real-time (as telemetry is received) and hence provide ongoing regolith strength assessments to </w:t>
      </w:r>
      <w:r w:rsidR="00FD329B">
        <w:t>a mission science team (or an in-situ resources backroom)</w:t>
      </w:r>
      <w:r w:rsidR="00526FF9">
        <w:t>. Regolith strength</w:t>
      </w:r>
      <w:r w:rsidR="00D76DFB">
        <w:t>,</w:t>
      </w:r>
      <w:r w:rsidR="00526FF9">
        <w:t xml:space="preserve"> </w:t>
      </w:r>
      <w:r w:rsidR="00FD329B">
        <w:t>correlated</w:t>
      </w:r>
      <w:r w:rsidR="00526FF9">
        <w:t xml:space="preserve"> with</w:t>
      </w:r>
      <w:r w:rsidR="00FD329B">
        <w:t xml:space="preserve"> data from water-detection instruments (such as NIRVSS (</w:t>
      </w:r>
      <w:proofErr w:type="spellStart"/>
      <w:r w:rsidR="00FD329B">
        <w:t>Colaprete</w:t>
      </w:r>
      <w:proofErr w:type="spellEnd"/>
      <w:r w:rsidR="00FD329B">
        <w:t xml:space="preserve"> 2010))</w:t>
      </w:r>
      <w:r w:rsidR="00D76DFB">
        <w:t>,</w:t>
      </w:r>
      <w:r w:rsidR="00526FF9">
        <w:t xml:space="preserve"> allows for </w:t>
      </w:r>
      <w:r w:rsidR="005045BF">
        <w:t xml:space="preserve">the </w:t>
      </w:r>
      <w:r w:rsidR="00526FF9">
        <w:t>differentiation of</w:t>
      </w:r>
      <w:r w:rsidR="00FD329B">
        <w:t xml:space="preserve"> lunar or </w:t>
      </w:r>
      <w:proofErr w:type="spellStart"/>
      <w:r w:rsidR="00FD329B">
        <w:t>martian</w:t>
      </w:r>
      <w:proofErr w:type="spellEnd"/>
      <w:r w:rsidR="00526FF9">
        <w:t xml:space="preserve"> ice states: coherent ice layers or chunks in the regolith, </w:t>
      </w:r>
      <w:r w:rsidR="00B81B4B">
        <w:t>vs.</w:t>
      </w:r>
      <w:r w:rsidR="00526FF9">
        <w:t xml:space="preserve"> ice-cemented regolith grains.</w:t>
      </w:r>
      <w:r w:rsidR="00D76DFB">
        <w:t xml:space="preserve"> Our top-level</w:t>
      </w:r>
      <w:r w:rsidR="00FD329B">
        <w:t xml:space="preserve"> </w:t>
      </w:r>
      <w:r w:rsidR="00595DFF">
        <w:t xml:space="preserve">PDA </w:t>
      </w:r>
      <w:r w:rsidR="003D216F">
        <w:t xml:space="preserve">science </w:t>
      </w:r>
      <w:r w:rsidR="00D76DFB">
        <w:t xml:space="preserve">goal, shown in </w:t>
      </w:r>
      <w:r w:rsidR="00D76DFB" w:rsidRPr="003D216F">
        <w:rPr>
          <w:b/>
          <w:bCs/>
        </w:rPr>
        <w:t>Table 1</w:t>
      </w:r>
      <w:r w:rsidR="00D76DFB">
        <w:t xml:space="preserve">, addresses the </w:t>
      </w:r>
      <w:r w:rsidR="00D76DFB">
        <w:lastRenderedPageBreak/>
        <w:t xml:space="preserve">correlation of observed drilling state changes, compared with subsequent independent ground truth from other instruments regarding the material layers and volatiles content with depth. </w:t>
      </w:r>
      <w:r w:rsidR="00595DFF">
        <w:t xml:space="preserve">The PDA </w:t>
      </w:r>
      <w:r w:rsidR="00FF75B7">
        <w:t>science traceability matrix (</w:t>
      </w:r>
      <w:r w:rsidR="00FF75B7" w:rsidRPr="003D216F">
        <w:rPr>
          <w:b/>
          <w:bCs/>
        </w:rPr>
        <w:t>Table 1</w:t>
      </w:r>
      <w:r w:rsidR="00B54842">
        <w:rPr>
          <w:b/>
          <w:bCs/>
        </w:rPr>
        <w:t xml:space="preserve">, </w:t>
      </w:r>
      <w:r w:rsidR="00B54842" w:rsidRPr="00595DFF">
        <w:rPr>
          <w:i/>
          <w:iCs/>
        </w:rPr>
        <w:t>Objective 2</w:t>
      </w:r>
      <w:r w:rsidR="00FF75B7">
        <w:t>)</w:t>
      </w:r>
      <w:r w:rsidR="00595DFF">
        <w:t xml:space="preserve"> addresses </w:t>
      </w:r>
      <w:r w:rsidR="00B66DA1">
        <w:t>locating and characterizing volatiles and their vertical distribution during drilling, as well as correlat</w:t>
      </w:r>
      <w:r w:rsidR="00595DFF">
        <w:t>ion</w:t>
      </w:r>
      <w:r w:rsidR="00B66DA1">
        <w:t xml:space="preserve"> across multiple </w:t>
      </w:r>
      <w:r w:rsidR="00595DFF">
        <w:t xml:space="preserve">planetary surface </w:t>
      </w:r>
      <w:r w:rsidR="00B66DA1">
        <w:t>drilling locations</w:t>
      </w:r>
      <w:r w:rsidR="00595DFF">
        <w:t>.</w:t>
      </w:r>
    </w:p>
    <w:p w14:paraId="3B334E40" w14:textId="77777777" w:rsidR="00595DFF" w:rsidRDefault="00595DFF" w:rsidP="00D70234">
      <w:pPr>
        <w:jc w:val="both"/>
      </w:pPr>
    </w:p>
    <w:p w14:paraId="76C30F9F" w14:textId="66316EFB" w:rsidR="002716B2" w:rsidRPr="001D4CC9" w:rsidRDefault="00595DFF" w:rsidP="00D34A5F">
      <w:pPr>
        <w:jc w:val="both"/>
      </w:pPr>
      <w:r>
        <w:t>Just as in commercial applications, c</w:t>
      </w:r>
      <w:r w:rsidR="00FF75B7">
        <w:t xml:space="preserve">reation of </w:t>
      </w:r>
      <w:r>
        <w:t>planetary</w:t>
      </w:r>
      <w:r w:rsidR="00FF75B7">
        <w:t xml:space="preserve"> resource maps requires drilling and the correct interpretation of </w:t>
      </w:r>
      <w:r w:rsidR="0028530F">
        <w:t xml:space="preserve">the </w:t>
      </w:r>
      <w:r w:rsidR="00FF75B7">
        <w:t xml:space="preserve">drilling results (ice and dry overburden extents), to constrain vertical profiles </w:t>
      </w:r>
      <w:r>
        <w:t>from other-instrument</w:t>
      </w:r>
      <w:r w:rsidR="00FF75B7">
        <w:t xml:space="preserve"> observations of </w:t>
      </w:r>
      <w:r w:rsidR="0028530F">
        <w:t xml:space="preserve">the presence of volatiles. This ties to our </w:t>
      </w:r>
      <w:r w:rsidR="0028530F" w:rsidRPr="00B66DA1">
        <w:rPr>
          <w:b/>
          <w:bCs/>
        </w:rPr>
        <w:t xml:space="preserve">Table 1, </w:t>
      </w:r>
      <w:r w:rsidR="0028530F" w:rsidRPr="0028530F">
        <w:rPr>
          <w:i/>
          <w:iCs/>
        </w:rPr>
        <w:t>Objective 1</w:t>
      </w:r>
      <w:r w:rsidR="0028530F">
        <w:t xml:space="preserve">. </w:t>
      </w:r>
    </w:p>
    <w:p w14:paraId="0C740897" w14:textId="77777777" w:rsidR="00375F91" w:rsidRPr="00375F91" w:rsidRDefault="00375F91" w:rsidP="00EA27F8">
      <w:pPr>
        <w:pStyle w:val="Heading1"/>
      </w:pPr>
      <w:bookmarkStart w:id="3" w:name="_Toc81302825"/>
      <w:r w:rsidRPr="00375F91">
        <w:t>Automated Regolith Feature Extraction</w:t>
      </w:r>
      <w:bookmarkEnd w:id="3"/>
      <w:r w:rsidRPr="00375F91">
        <w:t xml:space="preserve"> in Science Drilling</w:t>
      </w:r>
    </w:p>
    <w:p w14:paraId="3868DF68" w14:textId="180486A8" w:rsidR="00AE16BA" w:rsidRDefault="003E6718" w:rsidP="00D70234">
      <w:pPr>
        <w:jc w:val="both"/>
      </w:pPr>
      <w:r>
        <w:t>Subsurface automated assessment of regolith builds on nearly two decades of NASA-supported effort in modeling, diagnosis, feature extraction, planning and execution in space drilling applications at NASA Ames.</w:t>
      </w:r>
      <w:r w:rsidR="00BE1C69">
        <w:t xml:space="preserve"> </w:t>
      </w:r>
      <w:r w:rsidR="00A43FA8">
        <w:t xml:space="preserve"> Given PDA a</w:t>
      </w:r>
      <w:r w:rsidR="00BE1C69">
        <w:t xml:space="preserve">s an advisory </w:t>
      </w:r>
      <w:r w:rsidR="00A43FA8">
        <w:t>m</w:t>
      </w:r>
      <w:r w:rsidR="006B2754">
        <w:t xml:space="preserve">ission </w:t>
      </w:r>
      <w:r w:rsidR="00A43FA8">
        <w:t>s</w:t>
      </w:r>
      <w:r w:rsidR="006B2754">
        <w:t xml:space="preserve">cience </w:t>
      </w:r>
      <w:r w:rsidR="00BE1C69">
        <w:t>app</w:t>
      </w:r>
      <w:r w:rsidR="00A43FA8">
        <w:t>lication from an</w:t>
      </w:r>
      <w:r w:rsidR="00BE1C69">
        <w:t xml:space="preserve"> </w:t>
      </w:r>
      <w:r>
        <w:t>existing knowledge base,</w:t>
      </w:r>
      <w:r w:rsidR="00A43FA8">
        <w:t xml:space="preserve"> it</w:t>
      </w:r>
      <w:r>
        <w:t xml:space="preserve"> </w:t>
      </w:r>
      <w:r w:rsidR="00A43FA8">
        <w:t xml:space="preserve">incorporates </w:t>
      </w:r>
      <w:r>
        <w:t xml:space="preserve">lessons learned (with simulants and at analog test sites) and internal modeling of </w:t>
      </w:r>
      <w:r w:rsidR="00A43FA8">
        <w:t>planetary</w:t>
      </w:r>
      <w:r>
        <w:t xml:space="preserve"> drill behavior</w:t>
      </w:r>
      <w:r w:rsidR="00A43FA8">
        <w:t>. These</w:t>
      </w:r>
      <w:r>
        <w:t xml:space="preserve"> </w:t>
      </w:r>
      <w:r w:rsidR="00A43FA8">
        <w:t>may be helpful in</w:t>
      </w:r>
      <w:r>
        <w:t xml:space="preserve"> quickly identifying and classifying </w:t>
      </w:r>
      <w:r w:rsidR="003A2CCE">
        <w:t xml:space="preserve">subsurface </w:t>
      </w:r>
      <w:r>
        <w:t>features</w:t>
      </w:r>
      <w:r w:rsidR="003A2CCE">
        <w:t xml:space="preserve">, </w:t>
      </w:r>
      <w:r w:rsidR="00A43FA8">
        <w:t xml:space="preserve">by </w:t>
      </w:r>
      <w:r w:rsidR="003A2CCE">
        <w:t>leveraging</w:t>
      </w:r>
      <w:r>
        <w:t xml:space="preserve"> </w:t>
      </w:r>
      <w:r w:rsidR="00A43FA8">
        <w:t>and observing an</w:t>
      </w:r>
      <w:r>
        <w:t xml:space="preserve"> </w:t>
      </w:r>
      <w:r w:rsidR="003A2CCE">
        <w:t xml:space="preserve">existing </w:t>
      </w:r>
      <w:r>
        <w:t xml:space="preserve">drilling telemetry stream. </w:t>
      </w:r>
      <w:r w:rsidR="00A43FA8">
        <w:t>The PDA</w:t>
      </w:r>
      <w:r>
        <w:t xml:space="preserve"> </w:t>
      </w:r>
      <w:r w:rsidR="00A43FA8">
        <w:t>can</w:t>
      </w:r>
      <w:r>
        <w:t xml:space="preserve"> improve the situational awareness of </w:t>
      </w:r>
      <w:r w:rsidR="00A43FA8">
        <w:t>a mission</w:t>
      </w:r>
      <w:r>
        <w:t xml:space="preserve"> science team during</w:t>
      </w:r>
      <w:r w:rsidR="00D30987">
        <w:t xml:space="preserve"> </w:t>
      </w:r>
      <w:proofErr w:type="gramStart"/>
      <w:r>
        <w:t>drilling</w:t>
      </w:r>
      <w:r w:rsidR="00A43FA8">
        <w:t>,</w:t>
      </w:r>
      <w:r w:rsidR="00D30987">
        <w:t xml:space="preserve"> </w:t>
      </w:r>
      <w:r>
        <w:t>and</w:t>
      </w:r>
      <w:proofErr w:type="gramEnd"/>
      <w:r w:rsidR="00D30987">
        <w:t xml:space="preserve"> </w:t>
      </w:r>
      <w:r w:rsidR="003A2CCE">
        <w:t>provide a first-look analysis during progress through each borehole</w:t>
      </w:r>
      <w:r>
        <w:t>.</w:t>
      </w:r>
      <w:r w:rsidR="003A2CCE">
        <w:t xml:space="preserve"> </w:t>
      </w:r>
    </w:p>
    <w:p w14:paraId="275B0BE0" w14:textId="1D2F964B" w:rsidR="003E6718" w:rsidRDefault="003E6718" w:rsidP="00D70234">
      <w:pPr>
        <w:jc w:val="both"/>
      </w:pPr>
    </w:p>
    <w:p w14:paraId="48B10CA3" w14:textId="00AEA511" w:rsidR="00DD0363" w:rsidRDefault="006D0450" w:rsidP="00DD0363">
      <w:pPr>
        <w:jc w:val="both"/>
      </w:pPr>
      <w:r>
        <w:t xml:space="preserve">The active-drilling-control version of </w:t>
      </w:r>
      <w:r w:rsidR="00A43FA8">
        <w:t>the PDA was</w:t>
      </w:r>
      <w:r>
        <w:t xml:space="preserve"> </w:t>
      </w:r>
      <w:r w:rsidR="00F20E91">
        <w:t xml:space="preserve">already </w:t>
      </w:r>
      <w:r>
        <w:t>used to monitor and operate the ARADS</w:t>
      </w:r>
      <w:r w:rsidR="00A43FA8">
        <w:t xml:space="preserve"> project’s (Glass 2021)</w:t>
      </w:r>
      <w:r>
        <w:t xml:space="preserve"> TRIDENT drill in Chile (</w:t>
      </w:r>
      <w:r w:rsidRPr="00914CAF">
        <w:rPr>
          <w:b/>
          <w:bCs/>
        </w:rPr>
        <w:t>Figure 1</w:t>
      </w:r>
      <w:r>
        <w:t>)</w:t>
      </w:r>
      <w:r w:rsidR="00A43FA8">
        <w:t xml:space="preserve">. For use with TRIDENT drills, we can </w:t>
      </w:r>
      <w:r>
        <w:t xml:space="preserve">simply </w:t>
      </w:r>
      <w:r w:rsidR="00F20E91">
        <w:t xml:space="preserve">adapt and </w:t>
      </w:r>
      <w:r>
        <w:t>modify this code</w:t>
      </w:r>
      <w:r w:rsidR="003A2CCE">
        <w:t xml:space="preserve"> by</w:t>
      </w:r>
      <w:r>
        <w:t xml:space="preserve"> </w:t>
      </w:r>
      <w:r w:rsidR="00F20E91">
        <w:t>disabling</w:t>
      </w:r>
      <w:r>
        <w:t xml:space="preserve"> </w:t>
      </w:r>
      <w:r w:rsidR="00F20E91">
        <w:t xml:space="preserve">the </w:t>
      </w:r>
      <w:r>
        <w:t>drill commanding and execution</w:t>
      </w:r>
      <w:r w:rsidR="00F20E91">
        <w:t xml:space="preserve"> capabilities</w:t>
      </w:r>
      <w:r w:rsidR="00A43FA8">
        <w:t>,</w:t>
      </w:r>
      <w:r>
        <w:t xml:space="preserve"> while adding parameters</w:t>
      </w:r>
      <w:r w:rsidR="00A43FA8">
        <w:t xml:space="preserve"> (for any additional sensors)</w:t>
      </w:r>
      <w:r>
        <w:t xml:space="preserve"> </w:t>
      </w:r>
      <w:r w:rsidR="00A43FA8">
        <w:t xml:space="preserve">and a visual user console interface. </w:t>
      </w:r>
      <w:r w:rsidR="00DD0363">
        <w:t xml:space="preserve">The current ARADS control software is tuned specifically for the behavior of the TRIDENT drill, with ~24m total depth drilled at field analog sites on three continents with a TRIDENT during 2016-19. </w:t>
      </w:r>
    </w:p>
    <w:p w14:paraId="4B3EA9B9" w14:textId="77777777" w:rsidR="00DD0363" w:rsidRDefault="00DD0363" w:rsidP="00DD0363">
      <w:pPr>
        <w:jc w:val="both"/>
      </w:pPr>
    </w:p>
    <w:p w14:paraId="3E01F640" w14:textId="46FF1BF9" w:rsidR="00DD0363" w:rsidRDefault="00DD0363" w:rsidP="00DD0363">
      <w:pPr>
        <w:jc w:val="both"/>
      </w:pPr>
      <w:r>
        <w:t xml:space="preserve">As an aside, the development of the TRIDENT drill itself was originally co-funded by the ARADS project (Glass 2019, Stoker 2021, Glass 2021) in tandem with the then-Resource Prospector project office (now the </w:t>
      </w:r>
      <w:r w:rsidR="009C2E93" w:rsidRPr="00F510DE">
        <w:t>Volatiles Investigating Polar Exploration Rover</w:t>
      </w:r>
      <w:r w:rsidR="009C2E93">
        <w:t xml:space="preserve"> (VIPER)</w:t>
      </w:r>
      <w:r>
        <w:t xml:space="preserve"> mission). Design requirements for ARADS are </w:t>
      </w:r>
      <w:r w:rsidRPr="00252E0C">
        <w:t xml:space="preserve">reflected in the TRIDENT </w:t>
      </w:r>
      <w:r>
        <w:t xml:space="preserve">drill </w:t>
      </w:r>
      <w:r w:rsidRPr="00252E0C">
        <w:t>design</w:t>
      </w:r>
      <w:r>
        <w:t>, particularly in the brushed sample removal from the auger flutes, in the drill</w:t>
      </w:r>
      <w:r w:rsidR="00D30987">
        <w:t>-</w:t>
      </w:r>
      <w:r>
        <w:t xml:space="preserve">string length and diameter, the slip ring, and in the drill controls and avionics. The first TRIDENT delivered to NASA by Honeybee was the ARADS drill sent to Ames in the autumn of 2016. Subsequent beta-testing experience by the ARADS team led to design improvements reflected in Honeybee’s later-built TRIDENT units, particularly in </w:t>
      </w:r>
      <w:r w:rsidRPr="00252E0C">
        <w:t>revisions to cabling, Z-axis pulleys, and avionics board mounting</w:t>
      </w:r>
      <w:r>
        <w:t>.  The ARADS rover drill was subsequently retrofitted with these improvements for further field testing and software development.</w:t>
      </w:r>
      <w:r w:rsidR="006B4221" w:rsidRPr="006B4221">
        <w:rPr>
          <w:noProof/>
        </w:rPr>
        <w:t xml:space="preserve"> </w:t>
      </w:r>
    </w:p>
    <w:p w14:paraId="7333D67C" w14:textId="0566803E" w:rsidR="00F20E91" w:rsidRDefault="00F20E91" w:rsidP="00D70234">
      <w:pPr>
        <w:jc w:val="both"/>
      </w:pPr>
    </w:p>
    <w:p w14:paraId="50C18975" w14:textId="740432BF" w:rsidR="00316899" w:rsidRDefault="00F20E91" w:rsidP="00D70234">
      <w:pPr>
        <w:jc w:val="both"/>
        <w:rPr>
          <w:noProof/>
        </w:rPr>
      </w:pPr>
      <w:r>
        <w:t>The</w:t>
      </w:r>
      <w:r w:rsidR="003A2CCE">
        <w:t xml:space="preserve"> </w:t>
      </w:r>
      <w:r w:rsidR="00914CAF">
        <w:t xml:space="preserve">drilling </w:t>
      </w:r>
      <w:r>
        <w:t xml:space="preserve">artificial intelligence-related </w:t>
      </w:r>
      <w:r w:rsidR="00914CAF">
        <w:t xml:space="preserve">technologies </w:t>
      </w:r>
      <w:r w:rsidR="00BF4484">
        <w:t xml:space="preserve">applied in Chile </w:t>
      </w:r>
      <w:r w:rsidR="00914CAF">
        <w:t>were</w:t>
      </w:r>
      <w:r w:rsidR="00BF4484">
        <w:t xml:space="preserve"> themselves</w:t>
      </w:r>
      <w:r w:rsidR="00914CAF">
        <w:t xml:space="preserve"> initially implemented in 2004-06 for the Drilling Automation for Mars Exploration (DAME) project</w:t>
      </w:r>
      <w:r w:rsidR="00870433">
        <w:t xml:space="preserve"> (Glass 2008, Cannon 200</w:t>
      </w:r>
      <w:r w:rsidR="00CC1B06">
        <w:t>7</w:t>
      </w:r>
      <w:r w:rsidR="00870433">
        <w:t>)</w:t>
      </w:r>
      <w:r w:rsidR="00914CAF">
        <w:t xml:space="preserve">, with real-time field tests at </w:t>
      </w:r>
      <w:r w:rsidR="00914CAF">
        <w:lastRenderedPageBreak/>
        <w:t xml:space="preserve">analog sites in the US southwest, Arctic and in Spain. </w:t>
      </w:r>
      <w:r w:rsidR="006B4221" w:rsidRPr="006B4221">
        <w:rPr>
          <w:b/>
          <w:bCs/>
        </w:rPr>
        <w:t>Table 2</w:t>
      </w:r>
      <w:r w:rsidR="006B4221">
        <w:t xml:space="preserve"> indicates the testing and development heritage of the drilling automation software.  </w:t>
      </w:r>
      <w:r w:rsidR="00914CAF">
        <w:t xml:space="preserve">Subsequent re-designs of the drilling automation made the software smaller, more resilient, and improved its </w:t>
      </w:r>
      <w:r w:rsidR="003A2CCE">
        <w:t xml:space="preserve">onboard </w:t>
      </w:r>
      <w:r w:rsidR="00914CAF">
        <w:t>real-time performance during drilling operations</w:t>
      </w:r>
      <w:r w:rsidR="003A2CCE">
        <w:t xml:space="preserve"> (10-15 to &lt;1 sec, Glass 2021)</w:t>
      </w:r>
      <w:r w:rsidR="00914CAF">
        <w:t xml:space="preserve">. </w:t>
      </w:r>
      <w:r w:rsidR="007B135B" w:rsidRPr="007B135B">
        <w:rPr>
          <w:b/>
          <w:bCs/>
        </w:rPr>
        <w:t>Figure 2</w:t>
      </w:r>
      <w:r w:rsidR="007B135B">
        <w:t xml:space="preserve"> </w:t>
      </w:r>
      <w:r w:rsidR="00914CAF">
        <w:t xml:space="preserve">shows an earlier version of the software in </w:t>
      </w:r>
      <w:r w:rsidR="003A2CCE">
        <w:t xml:space="preserve">onboard </w:t>
      </w:r>
      <w:r w:rsidR="00914CAF">
        <w:t xml:space="preserve">control of an earlier Honeybee drill (the Icebreaker-1 design) in University Valley in Antarctica in 2013.  Annotations indicate times and parameter changes that led to subsurface diagnoses and hence actions taken </w:t>
      </w:r>
      <w:r w:rsidR="0004038C">
        <w:t>in response. A diagram of the top-level architecture (</w:t>
      </w:r>
      <w:r w:rsidR="0004038C" w:rsidRPr="004739B1">
        <w:rPr>
          <w:b/>
          <w:bCs/>
        </w:rPr>
        <w:t>Figure 3</w:t>
      </w:r>
      <w:r w:rsidR="0004038C">
        <w:t xml:space="preserve">) </w:t>
      </w:r>
      <w:r w:rsidR="00E1591E">
        <w:rPr>
          <w:noProof/>
        </w:rPr>
        <mc:AlternateContent>
          <mc:Choice Requires="wps">
            <w:drawing>
              <wp:anchor distT="0" distB="0" distL="114300" distR="114300" simplePos="0" relativeHeight="251768832" behindDoc="1" locked="0" layoutInCell="1" allowOverlap="1" wp14:anchorId="129B777F" wp14:editId="3AB38855">
                <wp:simplePos x="0" y="0"/>
                <wp:positionH relativeFrom="column">
                  <wp:posOffset>0</wp:posOffset>
                </wp:positionH>
                <wp:positionV relativeFrom="paragraph">
                  <wp:posOffset>1624965</wp:posOffset>
                </wp:positionV>
                <wp:extent cx="5344160" cy="4399280"/>
                <wp:effectExtent l="0" t="0" r="2540" b="0"/>
                <wp:wrapTight wrapText="bothSides">
                  <wp:wrapPolygon edited="0">
                    <wp:start x="0" y="0"/>
                    <wp:lineTo x="0" y="21513"/>
                    <wp:lineTo x="21559" y="21513"/>
                    <wp:lineTo x="21559" y="0"/>
                    <wp:lineTo x="0" y="0"/>
                  </wp:wrapPolygon>
                </wp:wrapTight>
                <wp:docPr id="9" name="Text Box 9"/>
                <wp:cNvGraphicFramePr/>
                <a:graphic xmlns:a="http://schemas.openxmlformats.org/drawingml/2006/main">
                  <a:graphicData uri="http://schemas.microsoft.com/office/word/2010/wordprocessingShape">
                    <wps:wsp>
                      <wps:cNvSpPr txBox="1"/>
                      <wps:spPr>
                        <a:xfrm>
                          <a:off x="0" y="0"/>
                          <a:ext cx="5344160" cy="4399280"/>
                        </a:xfrm>
                        <a:prstGeom prst="rect">
                          <a:avLst/>
                        </a:prstGeom>
                        <a:solidFill>
                          <a:schemeClr val="lt1"/>
                        </a:solidFill>
                        <a:ln w="6350">
                          <a:noFill/>
                        </a:ln>
                      </wps:spPr>
                      <wps:txbx>
                        <w:txbxContent>
                          <w:p w14:paraId="15B58634" w14:textId="77777777" w:rsidR="00E1591E" w:rsidRDefault="00E1591E" w:rsidP="00E1591E">
                            <w:pPr>
                              <w:jc w:val="both"/>
                            </w:pPr>
                            <w:r>
                              <w:rPr>
                                <w:noProof/>
                              </w:rPr>
                              <w:drawing>
                                <wp:inline distT="0" distB="0" distL="0" distR="0" wp14:anchorId="08F0BE94" wp14:editId="16CBE958">
                                  <wp:extent cx="5161280" cy="392496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0">
                                            <a:extLst>
                                              <a:ext uri="{28A0092B-C50C-407E-A947-70E740481C1C}">
                                                <a14:useLocalDpi xmlns:a14="http://schemas.microsoft.com/office/drawing/2010/main" val="0"/>
                                              </a:ext>
                                            </a:extLst>
                                          </a:blip>
                                          <a:stretch>
                                            <a:fillRect/>
                                          </a:stretch>
                                        </pic:blipFill>
                                        <pic:spPr>
                                          <a:xfrm>
                                            <a:off x="0" y="0"/>
                                            <a:ext cx="5179125" cy="3938531"/>
                                          </a:xfrm>
                                          <a:prstGeom prst="rect">
                                            <a:avLst/>
                                          </a:prstGeom>
                                        </pic:spPr>
                                      </pic:pic>
                                    </a:graphicData>
                                  </a:graphic>
                                </wp:inline>
                              </w:drawing>
                            </w:r>
                          </w:p>
                          <w:p w14:paraId="6FEA41F1" w14:textId="77777777" w:rsidR="00E1591E" w:rsidRDefault="00E1591E" w:rsidP="00E1591E">
                            <w:pPr>
                              <w:jc w:val="both"/>
                            </w:pPr>
                            <w:r w:rsidRPr="007C4FE1">
                              <w:rPr>
                                <w:b/>
                                <w:bCs/>
                              </w:rPr>
                              <w:t>Figure 2</w:t>
                            </w:r>
                            <w:r>
                              <w:t>. Detection of downhole material change and automated drill recovery/adjustment, in 2013 Antarctic test. (Glass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B777F" id="Text Box 9" o:spid="_x0000_s1027" type="#_x0000_t202" style="position:absolute;left:0;text-align:left;margin-left:0;margin-top:127.95pt;width:420.8pt;height:346.4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" fillcolor="white [3201]" stroked="f" strokeweight=".5pt">
                <v:textbox>
                  <w:txbxContent>
                    <w:p w14:paraId="15B58634" w14:textId="77777777" w:rsidR="00E1591E" w:rsidRDefault="00E1591E" w:rsidP="00E1591E">
                      <w:pPr>
                        <w:jc w:val="both"/>
                      </w:pPr>
                      <w:r>
                        <w:rPr>
                          <w:noProof/>
                        </w:rPr>
                        <w:drawing>
                          <wp:inline distT="0" distB="0" distL="0" distR="0" wp14:anchorId="08F0BE94" wp14:editId="16CBE958">
                            <wp:extent cx="5161280" cy="392496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1">
                                      <a:extLst>
                                        <a:ext uri="{28A0092B-C50C-407E-A947-70E740481C1C}">
                                          <a14:useLocalDpi xmlns:a14="http://schemas.microsoft.com/office/drawing/2010/main" val="0"/>
                                        </a:ext>
                                      </a:extLst>
                                    </a:blip>
                                    <a:stretch>
                                      <a:fillRect/>
                                    </a:stretch>
                                  </pic:blipFill>
                                  <pic:spPr>
                                    <a:xfrm>
                                      <a:off x="0" y="0"/>
                                      <a:ext cx="5179125" cy="3938531"/>
                                    </a:xfrm>
                                    <a:prstGeom prst="rect">
                                      <a:avLst/>
                                    </a:prstGeom>
                                  </pic:spPr>
                                </pic:pic>
                              </a:graphicData>
                            </a:graphic>
                          </wp:inline>
                        </w:drawing>
                      </w:r>
                    </w:p>
                    <w:p w14:paraId="6FEA41F1" w14:textId="77777777" w:rsidR="00E1591E" w:rsidRDefault="00E1591E" w:rsidP="00E1591E">
                      <w:pPr>
                        <w:jc w:val="both"/>
                      </w:pPr>
                      <w:r w:rsidRPr="007C4FE1">
                        <w:rPr>
                          <w:b/>
                          <w:bCs/>
                        </w:rPr>
                        <w:t>Figure 2</w:t>
                      </w:r>
                      <w:r>
                        <w:t>. Detection of downhole material change and automated drill recovery/adjustment, in 2013 Antarctic test. (Glass 2014)</w:t>
                      </w:r>
                    </w:p>
                  </w:txbxContent>
                </v:textbox>
                <w10:wrap type="tight"/>
              </v:shape>
            </w:pict>
          </mc:Fallback>
        </mc:AlternateContent>
      </w:r>
      <w:r w:rsidR="00316899">
        <w:t>shows the internal multi-agent structure with command and telemetry interfaces.</w:t>
      </w:r>
      <w:r w:rsidR="00244AF7" w:rsidRPr="00244AF7">
        <w:rPr>
          <w:noProof/>
        </w:rPr>
        <w:t xml:space="preserve"> </w:t>
      </w:r>
    </w:p>
    <w:p w14:paraId="601BBDE6" w14:textId="77777777" w:rsidR="009C11CC" w:rsidRPr="00E1591E" w:rsidRDefault="009C11CC" w:rsidP="00D70234">
      <w:pPr>
        <w:jc w:val="both"/>
        <w:rPr>
          <w:noProof/>
        </w:rPr>
      </w:pPr>
    </w:p>
    <w:p w14:paraId="2AB3EA3B" w14:textId="26CBECA3" w:rsidR="00BF4484" w:rsidRDefault="0004038C" w:rsidP="00D70234">
      <w:pPr>
        <w:jc w:val="both"/>
      </w:pPr>
      <w:r>
        <w:t>In terrestrial resource extraction drilling, the highly</w:t>
      </w:r>
      <w:r w:rsidR="00D30987">
        <w:t xml:space="preserve"> </w:t>
      </w:r>
      <w:r>
        <w:t>-</w:t>
      </w:r>
      <w:r w:rsidR="00D30987">
        <w:t xml:space="preserve"> </w:t>
      </w:r>
      <w:r>
        <w:t xml:space="preserve">uncertain environment, limited number of measurements, time-dependent changes downhole, and requirements to correctly identify the correct drilling state (to manage cost, risks and safety) </w:t>
      </w:r>
      <w:r w:rsidR="00BF4484">
        <w:t xml:space="preserve">has </w:t>
      </w:r>
      <w:r>
        <w:t xml:space="preserve">led to terrestrial drilling largely </w:t>
      </w:r>
      <w:r w:rsidR="00BF4484">
        <w:t>retaining</w:t>
      </w:r>
      <w:r>
        <w:t xml:space="preserve"> direct human involvement and control</w:t>
      </w:r>
      <w:r w:rsidR="00BF4484">
        <w:t xml:space="preserve"> (despite the improvements in AI and automation capabilities since Drilling Advisor)</w:t>
      </w:r>
      <w:r>
        <w:t xml:space="preserve">. </w:t>
      </w:r>
    </w:p>
    <w:p w14:paraId="19B3C815" w14:textId="6BC53B75" w:rsidR="00BF4484" w:rsidRDefault="00BF4484" w:rsidP="00D70234">
      <w:pPr>
        <w:jc w:val="both"/>
      </w:pPr>
    </w:p>
    <w:p w14:paraId="28CC8C0F" w14:textId="4CDF057B" w:rsidR="004F0E1A" w:rsidRPr="004F0E1A" w:rsidRDefault="0004038C" w:rsidP="00D70234">
      <w:pPr>
        <w:jc w:val="both"/>
      </w:pPr>
      <w:r>
        <w:t xml:space="preserve">To automate this process, one may consider “how do humans do this?” and create cognitive models. </w:t>
      </w:r>
      <w:r w:rsidR="004F0E1A">
        <w:t>In our original DAME AI approach</w:t>
      </w:r>
      <w:r w:rsidR="00316899">
        <w:t xml:space="preserve"> (Cannon 2007, Glass 2008)</w:t>
      </w:r>
      <w:r w:rsidR="004F0E1A">
        <w:t xml:space="preserve">, </w:t>
      </w:r>
      <w:r w:rsidR="004F0E1A" w:rsidRPr="004F0E1A">
        <w:t xml:space="preserve">there </w:t>
      </w:r>
      <w:r w:rsidR="00244AF7">
        <w:t>we</w:t>
      </w:r>
      <w:r w:rsidR="004F0E1A" w:rsidRPr="004F0E1A">
        <w:t>re several internal agents with defined roles</w:t>
      </w:r>
      <w:r w:rsidR="004F0E1A">
        <w:t xml:space="preserve">: </w:t>
      </w:r>
    </w:p>
    <w:p w14:paraId="4A25E0FB" w14:textId="3A0D21F7" w:rsidR="004F0E1A" w:rsidRPr="004F0E1A" w:rsidRDefault="00E1591E" w:rsidP="00D70234">
      <w:pPr>
        <w:numPr>
          <w:ilvl w:val="1"/>
          <w:numId w:val="1"/>
        </w:numPr>
        <w:ind w:left="720"/>
        <w:jc w:val="both"/>
      </w:pPr>
      <w:r>
        <w:rPr>
          <w:noProof/>
        </w:rPr>
        <w:lastRenderedPageBreak/>
        <mc:AlternateContent>
          <mc:Choice Requires="wps">
            <w:drawing>
              <wp:anchor distT="0" distB="0" distL="114300" distR="114300" simplePos="0" relativeHeight="251774976" behindDoc="0" locked="0" layoutInCell="1" allowOverlap="1" wp14:anchorId="28F7B123" wp14:editId="3FCE06AB">
                <wp:simplePos x="0" y="0"/>
                <wp:positionH relativeFrom="column">
                  <wp:posOffset>-304800</wp:posOffset>
                </wp:positionH>
                <wp:positionV relativeFrom="paragraph">
                  <wp:posOffset>0</wp:posOffset>
                </wp:positionV>
                <wp:extent cx="5720080" cy="2194560"/>
                <wp:effectExtent l="0" t="0" r="0" b="2540"/>
                <wp:wrapTopAndBottom/>
                <wp:docPr id="36" name="Text Box 36"/>
                <wp:cNvGraphicFramePr/>
                <a:graphic xmlns:a="http://schemas.openxmlformats.org/drawingml/2006/main">
                  <a:graphicData uri="http://schemas.microsoft.com/office/word/2010/wordprocessingShape">
                    <wps:wsp>
                      <wps:cNvSpPr txBox="1"/>
                      <wps:spPr>
                        <a:xfrm>
                          <a:off x="0" y="0"/>
                          <a:ext cx="5720080" cy="2194560"/>
                        </a:xfrm>
                        <a:prstGeom prst="rect">
                          <a:avLst/>
                        </a:prstGeom>
                        <a:solidFill>
                          <a:schemeClr val="lt1"/>
                        </a:solidFill>
                        <a:ln w="6350">
                          <a:noFill/>
                        </a:ln>
                      </wps:spPr>
                      <wps:txbx>
                        <w:txbxContent>
                          <w:p w14:paraId="5F40B60F" w14:textId="0F272091" w:rsidR="00E1591E" w:rsidRDefault="00E1591E" w:rsidP="00E1591E">
                            <w:r>
                              <w:rPr>
                                <w:b/>
                                <w:bCs/>
                              </w:rPr>
                              <w:t xml:space="preserve">  </w:t>
                            </w:r>
                            <w:r w:rsidRPr="00844654">
                              <w:rPr>
                                <w:b/>
                                <w:bCs/>
                              </w:rPr>
                              <w:t>Table 2.</w:t>
                            </w:r>
                            <w:r>
                              <w:t xml:space="preserve"> </w:t>
                            </w:r>
                            <w:r w:rsidRPr="009C11CC">
                              <w:rPr>
                                <w:b/>
                                <w:bCs/>
                              </w:rPr>
                              <w:t>PDA Operational Heritage, Drilling at Analog Sites</w:t>
                            </w:r>
                            <w:r>
                              <w:rPr>
                                <w:noProof/>
                              </w:rPr>
                              <w:drawing>
                                <wp:inline distT="0" distB="0" distL="0" distR="0" wp14:anchorId="50954F57" wp14:editId="0B119A0B">
                                  <wp:extent cx="5557520" cy="1971068"/>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2">
                                            <a:extLst>
                                              <a:ext uri="{28A0092B-C50C-407E-A947-70E740481C1C}">
                                                <a14:useLocalDpi xmlns:a14="http://schemas.microsoft.com/office/drawing/2010/main" val="0"/>
                                              </a:ext>
                                            </a:extLst>
                                          </a:blip>
                                          <a:stretch>
                                            <a:fillRect/>
                                          </a:stretch>
                                        </pic:blipFill>
                                        <pic:spPr>
                                          <a:xfrm>
                                            <a:off x="0" y="0"/>
                                            <a:ext cx="5604914" cy="198787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7B123" id="Text Box 36" o:spid="_x0000_s1028" type="#_x0000_t202" style="position:absolute;left:0;text-align:left;margin-left:-24pt;margin-top:0;width:450.4pt;height:172.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" fillcolor="white [3201]" stroked="f" strokeweight=".5pt">
                <v:textbox>
                  <w:txbxContent>
                    <w:p w14:paraId="5F40B60F" w14:textId="0F272091" w:rsidR="00E1591E" w:rsidRDefault="00E1591E" w:rsidP="00E1591E">
                      <w:r>
                        <w:rPr>
                          <w:b/>
                          <w:bCs/>
                        </w:rPr>
                        <w:t xml:space="preserve">  </w:t>
                      </w:r>
                      <w:r w:rsidRPr="00844654">
                        <w:rPr>
                          <w:b/>
                          <w:bCs/>
                        </w:rPr>
                        <w:t>Table 2.</w:t>
                      </w:r>
                      <w:r>
                        <w:t xml:space="preserve"> </w:t>
                      </w:r>
                      <w:r w:rsidRPr="009C11CC">
                        <w:rPr>
                          <w:b/>
                          <w:bCs/>
                        </w:rPr>
                        <w:t>PDA Operational Heritage, Drilling at Analog Sites</w:t>
                      </w:r>
                      <w:r>
                        <w:rPr>
                          <w:noProof/>
                        </w:rPr>
                        <w:drawing>
                          <wp:inline distT="0" distB="0" distL="0" distR="0" wp14:anchorId="50954F57" wp14:editId="0B119A0B">
                            <wp:extent cx="5557520" cy="1971068"/>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3">
                                      <a:extLst>
                                        <a:ext uri="{28A0092B-C50C-407E-A947-70E740481C1C}">
                                          <a14:useLocalDpi xmlns:a14="http://schemas.microsoft.com/office/drawing/2010/main" val="0"/>
                                        </a:ext>
                                      </a:extLst>
                                    </a:blip>
                                    <a:stretch>
                                      <a:fillRect/>
                                    </a:stretch>
                                  </pic:blipFill>
                                  <pic:spPr>
                                    <a:xfrm>
                                      <a:off x="0" y="0"/>
                                      <a:ext cx="5604914" cy="1987877"/>
                                    </a:xfrm>
                                    <a:prstGeom prst="rect">
                                      <a:avLst/>
                                    </a:prstGeom>
                                  </pic:spPr>
                                </pic:pic>
                              </a:graphicData>
                            </a:graphic>
                          </wp:inline>
                        </w:drawing>
                      </w:r>
                    </w:p>
                  </w:txbxContent>
                </v:textbox>
                <w10:wrap type="topAndBottom"/>
              </v:shape>
            </w:pict>
          </mc:Fallback>
        </mc:AlternateContent>
      </w:r>
      <w:r w:rsidR="004F0E1A" w:rsidRPr="004F0E1A">
        <w:rPr>
          <w:b/>
          <w:bCs/>
        </w:rPr>
        <w:t>Quick reflex</w:t>
      </w:r>
      <w:r w:rsidR="004F0E1A" w:rsidRPr="004F0E1A">
        <w:t xml:space="preserve"> ("ow, my</w:t>
      </w:r>
      <w:r w:rsidR="00D30987">
        <w:t xml:space="preserve"> </w:t>
      </w:r>
      <w:r w:rsidR="004F0E1A" w:rsidRPr="004F0E1A">
        <w:t>hand</w:t>
      </w:r>
      <w:r w:rsidR="00D30987">
        <w:t xml:space="preserve"> is </w:t>
      </w:r>
      <w:r w:rsidR="004F0E1A" w:rsidRPr="004F0E1A">
        <w:t xml:space="preserve">on fire!") implemented as </w:t>
      </w:r>
      <w:r w:rsidR="004F0E1A">
        <w:t xml:space="preserve">rules, decision trees </w:t>
      </w:r>
      <w:r w:rsidR="004F0E1A" w:rsidRPr="004F0E1A">
        <w:t>or sensor limit-checks</w:t>
      </w:r>
      <w:r>
        <w:t>.</w:t>
      </w:r>
      <w:r w:rsidRPr="00E1591E">
        <w:rPr>
          <w:noProof/>
        </w:rPr>
        <w:t xml:space="preserve"> </w:t>
      </w:r>
    </w:p>
    <w:p w14:paraId="2A34EC9B" w14:textId="0CDC9BCE" w:rsidR="004F0E1A" w:rsidRPr="004F0E1A" w:rsidRDefault="004F0E1A" w:rsidP="00D70234">
      <w:pPr>
        <w:numPr>
          <w:ilvl w:val="1"/>
          <w:numId w:val="1"/>
        </w:numPr>
        <w:ind w:left="720"/>
        <w:jc w:val="both"/>
      </w:pPr>
      <w:r w:rsidRPr="004F0E1A">
        <w:rPr>
          <w:b/>
          <w:bCs/>
        </w:rPr>
        <w:t>Fuzzy neural net</w:t>
      </w:r>
      <w:r>
        <w:t xml:space="preserve"> (a type of machine learning) that </w:t>
      </w:r>
      <w:r w:rsidRPr="004F0E1A">
        <w:t xml:space="preserve">takes past training examples of known </w:t>
      </w:r>
      <w:r>
        <w:t>features</w:t>
      </w:r>
      <w:r w:rsidRPr="004F0E1A">
        <w:t xml:space="preserve"> or </w:t>
      </w:r>
      <w:r>
        <w:t>states,</w:t>
      </w:r>
      <w:r w:rsidRPr="004F0E1A">
        <w:t xml:space="preserve"> and then perceives incoming data, </w:t>
      </w:r>
      <w:r w:rsidR="006B2754">
        <w:t>choosing the</w:t>
      </w:r>
      <w:r w:rsidRPr="004F0E1A">
        <w:t xml:space="preserve"> closest </w:t>
      </w:r>
      <w:r w:rsidR="006B2754">
        <w:t>pattern-</w:t>
      </w:r>
      <w:r w:rsidRPr="004F0E1A">
        <w:t xml:space="preserve">match it knows about from its </w:t>
      </w:r>
      <w:r w:rsidR="006B2754">
        <w:t xml:space="preserve">past </w:t>
      </w:r>
      <w:r w:rsidRPr="004F0E1A">
        <w:t>neural weightings</w:t>
      </w:r>
    </w:p>
    <w:p w14:paraId="4B65AD9B" w14:textId="50A181C4" w:rsidR="004F0E1A" w:rsidRPr="004F0E1A" w:rsidRDefault="004F0E1A" w:rsidP="00D70234">
      <w:pPr>
        <w:numPr>
          <w:ilvl w:val="1"/>
          <w:numId w:val="1"/>
        </w:numPr>
        <w:ind w:left="720"/>
        <w:jc w:val="both"/>
      </w:pPr>
      <w:r w:rsidRPr="004F0E1A">
        <w:rPr>
          <w:b/>
          <w:bCs/>
        </w:rPr>
        <w:t xml:space="preserve">Model-based reasoning </w:t>
      </w:r>
      <w:r w:rsidRPr="004F0E1A">
        <w:t>module whi</w:t>
      </w:r>
      <w:r w:rsidR="006B2754">
        <w:t xml:space="preserve">ch runs its own </w:t>
      </w:r>
      <w:r w:rsidRPr="004F0E1A">
        <w:t xml:space="preserve">simulation </w:t>
      </w:r>
      <w:r>
        <w:t xml:space="preserve">(Bayesian) </w:t>
      </w:r>
      <w:r w:rsidRPr="004F0E1A">
        <w:t xml:space="preserve">of how </w:t>
      </w:r>
      <w:r w:rsidR="003C2F80">
        <w:t>the target or system is expected</w:t>
      </w:r>
      <w:r w:rsidRPr="004F0E1A">
        <w:t xml:space="preserve"> to behave (from physi</w:t>
      </w:r>
      <w:r w:rsidR="00316899">
        <w:t>cal</w:t>
      </w:r>
      <w:r w:rsidRPr="004F0E1A">
        <w:t xml:space="preserve"> or underlying principles)</w:t>
      </w:r>
      <w:r w:rsidR="003C2F80">
        <w:t xml:space="preserve"> which is compared to the actual behavior</w:t>
      </w:r>
      <w:r w:rsidR="006B2754">
        <w:t>(s)</w:t>
      </w:r>
      <w:r w:rsidR="003C2F80">
        <w:t xml:space="preserve"> </w:t>
      </w:r>
      <w:r w:rsidR="006B2754">
        <w:t xml:space="preserve">then </w:t>
      </w:r>
      <w:r w:rsidR="003C2F80">
        <w:t xml:space="preserve">seen in drilling telemetry.  </w:t>
      </w:r>
    </w:p>
    <w:p w14:paraId="16C1EF19" w14:textId="457DDE72" w:rsidR="004F0E1A" w:rsidRDefault="004F0E1A" w:rsidP="00D70234">
      <w:pPr>
        <w:numPr>
          <w:ilvl w:val="1"/>
          <w:numId w:val="1"/>
        </w:numPr>
        <w:ind w:left="720"/>
        <w:jc w:val="both"/>
      </w:pPr>
      <w:r w:rsidRPr="004F0E1A">
        <w:rPr>
          <w:b/>
          <w:bCs/>
        </w:rPr>
        <w:t>Overall drilling executive</w:t>
      </w:r>
      <w:r w:rsidRPr="004F0E1A">
        <w:t xml:space="preserve"> takes the hypotheses from the </w:t>
      </w:r>
      <w:r w:rsidR="00316899">
        <w:t xml:space="preserve">three </w:t>
      </w:r>
      <w:r>
        <w:t xml:space="preserve">diagnostic </w:t>
      </w:r>
      <w:r w:rsidRPr="004F0E1A">
        <w:t xml:space="preserve">agents, weighs between them </w:t>
      </w:r>
      <w:r>
        <w:t xml:space="preserve">to choose a most-likely state, </w:t>
      </w:r>
      <w:r w:rsidRPr="004F0E1A">
        <w:t xml:space="preserve">and </w:t>
      </w:r>
      <w:r>
        <w:t xml:space="preserve">(in direct control applications) </w:t>
      </w:r>
      <w:r w:rsidRPr="004F0E1A">
        <w:t xml:space="preserve">decides what course of action to invoke and how it can be made to be compatible with </w:t>
      </w:r>
      <w:r w:rsidR="00316899">
        <w:t xml:space="preserve">task recovery or </w:t>
      </w:r>
      <w:proofErr w:type="spellStart"/>
      <w:r w:rsidR="00316899">
        <w:t>safing</w:t>
      </w:r>
      <w:proofErr w:type="spellEnd"/>
      <w:r w:rsidRPr="004F0E1A">
        <w:t>.</w:t>
      </w:r>
      <w:r>
        <w:t xml:space="preserve"> </w:t>
      </w:r>
      <w:r w:rsidR="00244AF7">
        <w:t>The current (2019) ARADS drill control software is</w:t>
      </w:r>
      <w:r>
        <w:t xml:space="preserve"> implemented in the Plan Execution Interchange Language (PLEXIL), which has also been applied to other NASA mission uses (including ISS procedure automation)</w:t>
      </w:r>
      <w:r w:rsidR="001C079D">
        <w:t xml:space="preserve"> (</w:t>
      </w:r>
      <w:proofErr w:type="spellStart"/>
      <w:r w:rsidR="001C079D">
        <w:t>Estlin</w:t>
      </w:r>
      <w:proofErr w:type="spellEnd"/>
      <w:r w:rsidR="001C079D">
        <w:t xml:space="preserve"> 2006, Verma 2007)</w:t>
      </w:r>
      <w:r>
        <w:t xml:space="preserve">. </w:t>
      </w:r>
    </w:p>
    <w:p w14:paraId="0F778ADF" w14:textId="6CD9DDFF" w:rsidR="004F0E1A" w:rsidRPr="004F0E1A" w:rsidRDefault="00971C71" w:rsidP="00D70234">
      <w:r>
        <w:rPr>
          <w:noProof/>
        </w:rPr>
        <mc:AlternateContent>
          <mc:Choice Requires="wps">
            <w:drawing>
              <wp:anchor distT="0" distB="0" distL="114300" distR="114300" simplePos="0" relativeHeight="251777024" behindDoc="1" locked="0" layoutInCell="1" allowOverlap="1" wp14:anchorId="72606D83" wp14:editId="6B8C3144">
                <wp:simplePos x="0" y="0"/>
                <wp:positionH relativeFrom="column">
                  <wp:posOffset>629920</wp:posOffset>
                </wp:positionH>
                <wp:positionV relativeFrom="paragraph">
                  <wp:posOffset>182245</wp:posOffset>
                </wp:positionV>
                <wp:extent cx="4127500" cy="2908300"/>
                <wp:effectExtent l="0" t="0" r="0" b="5080"/>
                <wp:wrapTight wrapText="bothSides">
                  <wp:wrapPolygon edited="0">
                    <wp:start x="0" y="0"/>
                    <wp:lineTo x="0" y="21547"/>
                    <wp:lineTo x="21536" y="21547"/>
                    <wp:lineTo x="21536"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4127500" cy="2908300"/>
                        </a:xfrm>
                        <a:prstGeom prst="rect">
                          <a:avLst/>
                        </a:prstGeom>
                        <a:solidFill>
                          <a:schemeClr val="lt1"/>
                        </a:solidFill>
                        <a:ln w="6350">
                          <a:noFill/>
                        </a:ln>
                      </wps:spPr>
                      <wps:txbx>
                        <w:txbxContent>
                          <w:p w14:paraId="608D98D5" w14:textId="77777777" w:rsidR="00E1591E" w:rsidRDefault="00E1591E" w:rsidP="00E1591E">
                            <w:r w:rsidRPr="007B135B">
                              <w:rPr>
                                <w:rFonts w:ascii="Times Roman" w:eastAsia="Times New Roman" w:hAnsi="Times Roman" w:cs="Times New Roman"/>
                                <w:noProof/>
                                <w:kern w:val="17"/>
                                <w:szCs w:val="20"/>
                              </w:rPr>
                              <w:drawing>
                                <wp:inline distT="0" distB="0" distL="0" distR="0" wp14:anchorId="61E6A8E6" wp14:editId="68EA7125">
                                  <wp:extent cx="3936365" cy="2403475"/>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36365" cy="2403475"/>
                                          </a:xfrm>
                                          <a:prstGeom prst="rect">
                                            <a:avLst/>
                                          </a:prstGeom>
                                          <a:noFill/>
                                          <a:ln>
                                            <a:noFill/>
                                          </a:ln>
                                        </pic:spPr>
                                      </pic:pic>
                                    </a:graphicData>
                                  </a:graphic>
                                </wp:inline>
                              </w:drawing>
                            </w:r>
                          </w:p>
                          <w:p w14:paraId="332D0A08" w14:textId="77777777" w:rsidR="00E1591E" w:rsidRDefault="00E1591E" w:rsidP="00E1591E">
                            <w:r w:rsidRPr="007B135B">
                              <w:rPr>
                                <w:b/>
                                <w:bCs/>
                              </w:rPr>
                              <w:t>Figure 3</w:t>
                            </w:r>
                            <w:r>
                              <w:t xml:space="preserve">. DAME drilling automation block diagram (Glass 2008), showing parallels in the diagnostic structure.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06D83" id="Text Box 6" o:spid="_x0000_s1029" type="#_x0000_t202" style="position:absolute;margin-left:49.6pt;margin-top:14.35pt;width:325pt;height:229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" fillcolor="white [3201]" stroked="f" strokeweight=".5pt">
                <v:textbox>
                  <w:txbxContent>
                    <w:p w14:paraId="608D98D5" w14:textId="77777777" w:rsidR="00E1591E" w:rsidRDefault="00E1591E" w:rsidP="00E1591E">
                      <w:r w:rsidRPr="007B135B">
                        <w:rPr>
                          <w:rFonts w:ascii="Times Roman" w:eastAsia="Times New Roman" w:hAnsi="Times Roman" w:cs="Times New Roman"/>
                          <w:noProof/>
                          <w:kern w:val="17"/>
                          <w:szCs w:val="20"/>
                        </w:rPr>
                        <w:drawing>
                          <wp:inline distT="0" distB="0" distL="0" distR="0" wp14:anchorId="61E6A8E6" wp14:editId="68EA7125">
                            <wp:extent cx="3936365" cy="2403475"/>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36365" cy="2403475"/>
                                    </a:xfrm>
                                    <a:prstGeom prst="rect">
                                      <a:avLst/>
                                    </a:prstGeom>
                                    <a:noFill/>
                                    <a:ln>
                                      <a:noFill/>
                                    </a:ln>
                                  </pic:spPr>
                                </pic:pic>
                              </a:graphicData>
                            </a:graphic>
                          </wp:inline>
                        </w:drawing>
                      </w:r>
                    </w:p>
                    <w:p w14:paraId="332D0A08" w14:textId="77777777" w:rsidR="00E1591E" w:rsidRDefault="00E1591E" w:rsidP="00E1591E">
                      <w:r w:rsidRPr="007B135B">
                        <w:rPr>
                          <w:b/>
                          <w:bCs/>
                        </w:rPr>
                        <w:t>Figure 3</w:t>
                      </w:r>
                      <w:r>
                        <w:t xml:space="preserve">. DAME drilling automation block diagram (Glass 2008), showing parallels in the diagnostic structure. </w:t>
                      </w:r>
                    </w:p>
                  </w:txbxContent>
                </v:textbox>
                <w10:wrap type="tight"/>
              </v:shape>
            </w:pict>
          </mc:Fallback>
        </mc:AlternateContent>
      </w:r>
    </w:p>
    <w:p w14:paraId="2D190393" w14:textId="4602CE71" w:rsidR="003E6718" w:rsidRDefault="006B2754" w:rsidP="00375F91">
      <w:pPr>
        <w:jc w:val="both"/>
      </w:pPr>
      <w:r>
        <w:lastRenderedPageBreak/>
        <w:t xml:space="preserve">Earlier </w:t>
      </w:r>
      <w:r w:rsidR="00244AF7">
        <w:t>planetary-prototype</w:t>
      </w:r>
      <w:r>
        <w:t xml:space="preserve"> drills had </w:t>
      </w:r>
      <w:r w:rsidR="00AA64F8">
        <w:t>few</w:t>
      </w:r>
      <w:r>
        <w:t xml:space="preserve"> or no </w:t>
      </w:r>
      <w:r w:rsidR="00244AF7">
        <w:t xml:space="preserve">local </w:t>
      </w:r>
      <w:r>
        <w:t xml:space="preserve">software limit checks or diagnostics, but the success of joint Ames-Honeybee drill automation in field tests led to the adoption and implementation of some fast limit-checking and rules in the </w:t>
      </w:r>
      <w:r w:rsidR="00244AF7">
        <w:t xml:space="preserve">current Honeybee </w:t>
      </w:r>
      <w:r>
        <w:t>TRIDENT</w:t>
      </w:r>
      <w:r w:rsidR="00244AF7">
        <w:t xml:space="preserve"> drill</w:t>
      </w:r>
      <w:r>
        <w:t xml:space="preserve"> avionics.  </w:t>
      </w:r>
      <w:r w:rsidR="003C2F80">
        <w:t xml:space="preserve">Evolving to </w:t>
      </w:r>
      <w:r>
        <w:t>track</w:t>
      </w:r>
      <w:r w:rsidR="003C2F80">
        <w:t xml:space="preserve"> the TRIDENT architecture</w:t>
      </w:r>
      <w:r>
        <w:t xml:space="preserve"> changes</w:t>
      </w:r>
      <w:r w:rsidR="003C2F80">
        <w:t xml:space="preserve">, the </w:t>
      </w:r>
      <w:r w:rsidR="00DD0363">
        <w:t>ARADS control</w:t>
      </w:r>
      <w:r w:rsidR="003C2F80">
        <w:t xml:space="preserve"> software was reorganized in 2016 (</w:t>
      </w:r>
      <w:r w:rsidR="003C2F80" w:rsidRPr="004739B1">
        <w:rPr>
          <w:b/>
          <w:bCs/>
        </w:rPr>
        <w:t>Figure 4</w:t>
      </w:r>
      <w:r w:rsidR="003C2F80">
        <w:t>)</w:t>
      </w:r>
      <w:r w:rsidR="00316899">
        <w:t>,</w:t>
      </w:r>
      <w:r w:rsidR="003C2F80">
        <w:t xml:space="preserve"> without the model-based agent</w:t>
      </w:r>
      <w:r>
        <w:t>,</w:t>
      </w:r>
      <w:r w:rsidR="003C2F80">
        <w:t xml:space="preserve"> and </w:t>
      </w:r>
      <w:r w:rsidR="00316899">
        <w:t xml:space="preserve">splitting </w:t>
      </w:r>
      <w:r w:rsidR="00F329CA">
        <w:t xml:space="preserve">the </w:t>
      </w:r>
      <w:r w:rsidR="00DD0363">
        <w:t>top-level</w:t>
      </w:r>
      <w:r w:rsidR="00F329CA">
        <w:t xml:space="preserve"> </w:t>
      </w:r>
      <w:r w:rsidR="00316899">
        <w:t xml:space="preserve">pattern-matching and </w:t>
      </w:r>
      <w:r w:rsidR="00F329CA">
        <w:t xml:space="preserve">diagnostic </w:t>
      </w:r>
      <w:r w:rsidR="00316899">
        <w:t>reasoning</w:t>
      </w:r>
      <w:r w:rsidR="00DD0363">
        <w:t xml:space="preserve"> agents</w:t>
      </w:r>
      <w:r w:rsidR="00316899">
        <w:t xml:space="preserve"> </w:t>
      </w:r>
      <w:r w:rsidR="00F329CA">
        <w:t>off</w:t>
      </w:r>
      <w:r w:rsidR="00316899">
        <w:t xml:space="preserve"> from</w:t>
      </w:r>
      <w:r w:rsidR="003C2F80">
        <w:t xml:space="preserve"> </w:t>
      </w:r>
      <w:r w:rsidR="00F329CA">
        <w:t xml:space="preserve">the </w:t>
      </w:r>
      <w:r w:rsidR="003C2F80">
        <w:t>low</w:t>
      </w:r>
      <w:r w:rsidR="00F329CA">
        <w:t>er</w:t>
      </w:r>
      <w:r w:rsidR="003C2F80">
        <w:t>-level sensor limit-checking now performed by</w:t>
      </w:r>
      <w:r w:rsidR="00F329CA">
        <w:t xml:space="preserve"> TRIDENT</w:t>
      </w:r>
      <w:r w:rsidR="00DD0363">
        <w:t>’s own health software</w:t>
      </w:r>
      <w:r w:rsidR="00F329CA">
        <w:t>.</w:t>
      </w:r>
      <w:r w:rsidR="001C079D">
        <w:t xml:space="preserve"> (Stucky 2018)</w:t>
      </w:r>
      <w:r w:rsidR="00316899">
        <w:t>)</w:t>
      </w:r>
      <w:r w:rsidR="003C2F80">
        <w:t xml:space="preserve">. This </w:t>
      </w:r>
      <w:r w:rsidR="00DD0363">
        <w:t>modified</w:t>
      </w:r>
      <w:r w:rsidR="00F329CA">
        <w:t xml:space="preserve"> </w:t>
      </w:r>
      <w:r w:rsidR="00DD0363">
        <w:t xml:space="preserve">drilling </w:t>
      </w:r>
      <w:r w:rsidR="00316899">
        <w:t>software</w:t>
      </w:r>
      <w:r w:rsidR="003C2F80">
        <w:t xml:space="preserve"> </w:t>
      </w:r>
      <w:r w:rsidR="00DD0363">
        <w:t xml:space="preserve">architecture </w:t>
      </w:r>
      <w:r w:rsidR="003C2F80">
        <w:t xml:space="preserve">was tested in </w:t>
      </w:r>
      <w:r w:rsidR="00316899">
        <w:t xml:space="preserve">Honeybee’s 3m </w:t>
      </w:r>
      <w:r w:rsidR="00DD0363">
        <w:t>thermal vacuum chamber</w:t>
      </w:r>
      <w:r w:rsidR="003C2F80">
        <w:t xml:space="preserve">, </w:t>
      </w:r>
      <w:r w:rsidR="00DD0363">
        <w:t xml:space="preserve">in </w:t>
      </w:r>
      <w:r w:rsidR="00F329CA">
        <w:t xml:space="preserve">shakedown tests at the Ames </w:t>
      </w:r>
      <w:proofErr w:type="spellStart"/>
      <w:r w:rsidR="00F329CA">
        <w:t>Roverscape</w:t>
      </w:r>
      <w:proofErr w:type="spellEnd"/>
      <w:r w:rsidR="00F329CA">
        <w:t xml:space="preserve"> (December 2016) </w:t>
      </w:r>
      <w:r w:rsidR="003C2F80">
        <w:t xml:space="preserve">and </w:t>
      </w:r>
      <w:r w:rsidR="00316899">
        <w:t xml:space="preserve">then </w:t>
      </w:r>
      <w:r w:rsidR="003C2F80">
        <w:t xml:space="preserve">successfully at analog sites (Chile and Spain) in 2017-19. </w:t>
      </w:r>
    </w:p>
    <w:p w14:paraId="33FE1338" w14:textId="7F5ACCB8" w:rsidR="00D34A5F" w:rsidRPr="00AE16BA" w:rsidRDefault="00E1591E" w:rsidP="00375F91">
      <w:pPr>
        <w:jc w:val="both"/>
      </w:pPr>
      <w:r>
        <w:rPr>
          <w:noProof/>
        </w:rPr>
        <mc:AlternateContent>
          <mc:Choice Requires="wps">
            <w:drawing>
              <wp:anchor distT="0" distB="0" distL="114300" distR="114300" simplePos="0" relativeHeight="251779072" behindDoc="1" locked="0" layoutInCell="1" allowOverlap="1" wp14:anchorId="13E7FD0A" wp14:editId="46E3E756">
                <wp:simplePos x="0" y="0"/>
                <wp:positionH relativeFrom="column">
                  <wp:posOffset>1442720</wp:posOffset>
                </wp:positionH>
                <wp:positionV relativeFrom="paragraph">
                  <wp:posOffset>172085</wp:posOffset>
                </wp:positionV>
                <wp:extent cx="3778885" cy="2743200"/>
                <wp:effectExtent l="0" t="0" r="5715" b="0"/>
                <wp:wrapTight wrapText="bothSides">
                  <wp:wrapPolygon edited="0">
                    <wp:start x="0" y="0"/>
                    <wp:lineTo x="0" y="21500"/>
                    <wp:lineTo x="21560" y="21500"/>
                    <wp:lineTo x="21560"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3778885" cy="2743200"/>
                        </a:xfrm>
                        <a:prstGeom prst="rect">
                          <a:avLst/>
                        </a:prstGeom>
                        <a:solidFill>
                          <a:schemeClr val="lt1"/>
                        </a:solidFill>
                        <a:ln w="6350">
                          <a:noFill/>
                        </a:ln>
                      </wps:spPr>
                      <wps:txbx>
                        <w:txbxContent>
                          <w:p w14:paraId="2A762113" w14:textId="77777777" w:rsidR="00E1591E" w:rsidRDefault="00E1591E" w:rsidP="00E1591E">
                            <w:r w:rsidRPr="00BA421A">
                              <w:rPr>
                                <w:rFonts w:ascii="Times" w:eastAsia="Times" w:hAnsi="Times" w:cs="Times"/>
                                <w:noProof/>
                                <w:color w:val="000000"/>
                              </w:rPr>
                              <w:drawing>
                                <wp:inline distT="114300" distB="114300" distL="114300" distR="114300" wp14:anchorId="6CF08586" wp14:editId="623F68BA">
                                  <wp:extent cx="3683726" cy="2255520"/>
                                  <wp:effectExtent l="0" t="0" r="0" b="5080"/>
                                  <wp:docPr id="2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3707169" cy="2269874"/>
                                          </a:xfrm>
                                          <a:prstGeom prst="rect">
                                            <a:avLst/>
                                          </a:prstGeom>
                                          <a:ln/>
                                        </pic:spPr>
                                      </pic:pic>
                                    </a:graphicData>
                                  </a:graphic>
                                </wp:inline>
                              </w:drawing>
                            </w:r>
                          </w:p>
                          <w:p w14:paraId="10DF98AB" w14:textId="77777777" w:rsidR="00E1591E" w:rsidRDefault="00E1591E" w:rsidP="00E1591E">
                            <w:pPr>
                              <w:adjustRightInd w:val="0"/>
                              <w:snapToGrid w:val="0"/>
                              <w:jc w:val="both"/>
                            </w:pPr>
                            <w:r w:rsidRPr="00BA421A">
                              <w:rPr>
                                <w:b/>
                                <w:bCs/>
                              </w:rPr>
                              <w:t>Figure 4.</w:t>
                            </w:r>
                            <w:r>
                              <w:t xml:space="preserve"> The existing ARADS/Icebreaker automated TRIDENT drilling architecture (Stucky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7FD0A" id="Text Box 7" o:spid="_x0000_s1030" type="#_x0000_t202" style="position:absolute;left:0;text-align:left;margin-left:113.6pt;margin-top:13.55pt;width:297.55pt;height:3in;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" fillcolor="white [3201]" stroked="f" strokeweight=".5pt">
                <v:textbox>
                  <w:txbxContent>
                    <w:p w14:paraId="2A762113" w14:textId="77777777" w:rsidR="00E1591E" w:rsidRDefault="00E1591E" w:rsidP="00E1591E">
                      <w:r w:rsidRPr="00BA421A">
                        <w:rPr>
                          <w:rFonts w:ascii="Times" w:eastAsia="Times" w:hAnsi="Times" w:cs="Times"/>
                          <w:noProof/>
                          <w:color w:val="000000"/>
                        </w:rPr>
                        <w:drawing>
                          <wp:inline distT="114300" distB="114300" distL="114300" distR="114300" wp14:anchorId="6CF08586" wp14:editId="623F68BA">
                            <wp:extent cx="3683726" cy="2255520"/>
                            <wp:effectExtent l="0" t="0" r="0" b="5080"/>
                            <wp:docPr id="2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3707169" cy="2269874"/>
                                    </a:xfrm>
                                    <a:prstGeom prst="rect">
                                      <a:avLst/>
                                    </a:prstGeom>
                                    <a:ln/>
                                  </pic:spPr>
                                </pic:pic>
                              </a:graphicData>
                            </a:graphic>
                          </wp:inline>
                        </w:drawing>
                      </w:r>
                    </w:p>
                    <w:p w14:paraId="10DF98AB" w14:textId="77777777" w:rsidR="00E1591E" w:rsidRDefault="00E1591E" w:rsidP="00E1591E">
                      <w:pPr>
                        <w:adjustRightInd w:val="0"/>
                        <w:snapToGrid w:val="0"/>
                        <w:jc w:val="both"/>
                      </w:pPr>
                      <w:r w:rsidRPr="00BA421A">
                        <w:rPr>
                          <w:b/>
                          <w:bCs/>
                        </w:rPr>
                        <w:t>Figure 4.</w:t>
                      </w:r>
                      <w:r>
                        <w:t xml:space="preserve"> The existing ARADS/Icebreaker automated TRIDENT drilling architecture (Stucky 2018).</w:t>
                      </w:r>
                    </w:p>
                  </w:txbxContent>
                </v:textbox>
                <w10:wrap type="tight"/>
              </v:shape>
            </w:pict>
          </mc:Fallback>
        </mc:AlternateContent>
      </w:r>
    </w:p>
    <w:p w14:paraId="1CAFBB3B" w14:textId="5F23E6D1" w:rsidR="00BE7CDB" w:rsidRDefault="00375F91" w:rsidP="002716B2">
      <w:pPr>
        <w:pStyle w:val="Heading1"/>
      </w:pPr>
      <w:bookmarkStart w:id="4" w:name="_Toc81302826"/>
      <w:r>
        <w:t xml:space="preserve">Discussion -- </w:t>
      </w:r>
      <w:r w:rsidR="00BE7CDB">
        <w:t xml:space="preserve">Improved Situational Awareness and </w:t>
      </w:r>
      <w:r w:rsidR="00B636A7">
        <w:t>Modeling</w:t>
      </w:r>
      <w:r w:rsidR="00BE7CDB">
        <w:t xml:space="preserve"> in Drilling Operations</w:t>
      </w:r>
      <w:bookmarkEnd w:id="4"/>
    </w:p>
    <w:p w14:paraId="31B7A35F" w14:textId="00EBFBD3" w:rsidR="00015B46" w:rsidRDefault="00FF7E58" w:rsidP="00D70234">
      <w:pPr>
        <w:jc w:val="both"/>
      </w:pPr>
      <w:r>
        <w:t xml:space="preserve">(Near) </w:t>
      </w:r>
      <w:r w:rsidR="00806A96">
        <w:t>r</w:t>
      </w:r>
      <w:r w:rsidR="00513EB9">
        <w:t xml:space="preserve">eal-time drilling data analysis allows for smart sampling and more-productive science. </w:t>
      </w:r>
      <w:r w:rsidR="00015B46">
        <w:t>A benchmark report from the National Academy of Sciences (N</w:t>
      </w:r>
      <w:r w:rsidR="00F11426">
        <w:t>RC</w:t>
      </w:r>
      <w:r w:rsidR="00015B46">
        <w:t xml:space="preserve"> 1998) on human and organizational behavior cites the work of (Dominguez 1996) regarding </w:t>
      </w:r>
      <w:r w:rsidR="00015B46" w:rsidRPr="00101D33">
        <w:rPr>
          <w:b/>
          <w:bCs/>
          <w:i/>
          <w:iCs/>
        </w:rPr>
        <w:t xml:space="preserve">the definition of </w:t>
      </w:r>
      <w:r w:rsidR="00015B46" w:rsidRPr="00101D33">
        <w:rPr>
          <w:b/>
          <w:bCs/>
          <w:i/>
          <w:iCs/>
          <w:u w:val="single"/>
        </w:rPr>
        <w:t>situational awareness</w:t>
      </w:r>
      <w:r w:rsidR="00015B46">
        <w:t>: “</w:t>
      </w:r>
      <w:r w:rsidR="00015B46" w:rsidRPr="00B643EC">
        <w:rPr>
          <w:i/>
          <w:iCs/>
        </w:rPr>
        <w:t>Continuous extraction of environmental information, integration of this knowledge to form a coherent mental picture, and the use of that picture in directing further perception and anticipating future events.</w:t>
      </w:r>
      <w:r w:rsidR="00015B46">
        <w:t>”</w:t>
      </w:r>
      <w:r w:rsidR="00B82A17">
        <w:t xml:space="preserve"> </w:t>
      </w:r>
      <w:r w:rsidR="00015B46">
        <w:t xml:space="preserve">In mission field operations, these map to questions such as: </w:t>
      </w:r>
    </w:p>
    <w:p w14:paraId="1D637D00" w14:textId="1B0DE867" w:rsidR="00015B46" w:rsidRPr="00101D33" w:rsidRDefault="00015B46" w:rsidP="00D70234">
      <w:pPr>
        <w:pStyle w:val="ListParagraph"/>
        <w:numPr>
          <w:ilvl w:val="0"/>
          <w:numId w:val="2"/>
        </w:numPr>
        <w:rPr>
          <w:rFonts w:asciiTheme="minorHAnsi" w:hAnsiTheme="minorHAnsi" w:cstheme="minorHAnsi"/>
        </w:rPr>
      </w:pPr>
      <w:r w:rsidRPr="00101D33">
        <w:rPr>
          <w:rFonts w:asciiTheme="minorHAnsi" w:hAnsiTheme="minorHAnsi" w:cstheme="minorHAnsi"/>
        </w:rPr>
        <w:t>Where are we? (</w:t>
      </w:r>
      <w:r w:rsidR="00B643EC">
        <w:rPr>
          <w:rFonts w:asciiTheme="minorHAnsi" w:hAnsiTheme="minorHAnsi" w:cstheme="minorHAnsi"/>
        </w:rPr>
        <w:t xml:space="preserve">XY </w:t>
      </w:r>
      <w:r w:rsidR="00B643EC" w:rsidRPr="00101D33">
        <w:rPr>
          <w:rFonts w:asciiTheme="minorHAnsi" w:hAnsiTheme="minorHAnsi" w:cstheme="minorHAnsi"/>
        </w:rPr>
        <w:t xml:space="preserve">position, </w:t>
      </w:r>
      <w:r w:rsidR="00B643EC">
        <w:rPr>
          <w:rFonts w:asciiTheme="minorHAnsi" w:hAnsiTheme="minorHAnsi" w:cstheme="minorHAnsi"/>
        </w:rPr>
        <w:t xml:space="preserve">Z </w:t>
      </w:r>
      <w:r w:rsidR="00B643EC" w:rsidRPr="00101D33">
        <w:rPr>
          <w:rFonts w:asciiTheme="minorHAnsi" w:hAnsiTheme="minorHAnsi" w:cstheme="minorHAnsi"/>
        </w:rPr>
        <w:t>depth</w:t>
      </w:r>
      <w:r w:rsidR="00B643EC">
        <w:rPr>
          <w:rFonts w:asciiTheme="minorHAnsi" w:hAnsiTheme="minorHAnsi" w:cstheme="minorHAnsi"/>
        </w:rPr>
        <w:t>, path along traverse route</w:t>
      </w:r>
      <w:r w:rsidRPr="00101D33">
        <w:rPr>
          <w:rFonts w:asciiTheme="minorHAnsi" w:hAnsiTheme="minorHAnsi" w:cstheme="minorHAnsi"/>
        </w:rPr>
        <w:t>)</w:t>
      </w:r>
    </w:p>
    <w:p w14:paraId="42E98A0B" w14:textId="43A8AB3B" w:rsidR="00015B46" w:rsidRPr="00101D33" w:rsidRDefault="00015B46" w:rsidP="00D70234">
      <w:pPr>
        <w:pStyle w:val="ListParagraph"/>
        <w:numPr>
          <w:ilvl w:val="0"/>
          <w:numId w:val="2"/>
        </w:numPr>
        <w:rPr>
          <w:rFonts w:asciiTheme="minorHAnsi" w:hAnsiTheme="minorHAnsi" w:cstheme="minorHAnsi"/>
        </w:rPr>
      </w:pPr>
      <w:r w:rsidRPr="00101D33">
        <w:rPr>
          <w:rFonts w:asciiTheme="minorHAnsi" w:hAnsiTheme="minorHAnsi" w:cstheme="minorHAnsi"/>
        </w:rPr>
        <w:t>How are we? (</w:t>
      </w:r>
      <w:proofErr w:type="gramStart"/>
      <w:r w:rsidRPr="00101D33">
        <w:rPr>
          <w:rFonts w:asciiTheme="minorHAnsi" w:hAnsiTheme="minorHAnsi" w:cstheme="minorHAnsi"/>
        </w:rPr>
        <w:t>orientation</w:t>
      </w:r>
      <w:proofErr w:type="gramEnd"/>
      <w:r w:rsidRPr="00101D33">
        <w:rPr>
          <w:rFonts w:asciiTheme="minorHAnsi" w:hAnsiTheme="minorHAnsi" w:cstheme="minorHAnsi"/>
        </w:rPr>
        <w:t>, systems health, consumables and power levels)</w:t>
      </w:r>
    </w:p>
    <w:p w14:paraId="2FEBD818" w14:textId="2FE6C88E" w:rsidR="00015B46" w:rsidRPr="00101D33" w:rsidRDefault="00015B46" w:rsidP="00D70234">
      <w:pPr>
        <w:pStyle w:val="ListParagraph"/>
        <w:numPr>
          <w:ilvl w:val="0"/>
          <w:numId w:val="2"/>
        </w:numPr>
        <w:rPr>
          <w:rFonts w:asciiTheme="minorHAnsi" w:hAnsiTheme="minorHAnsi" w:cstheme="minorHAnsi"/>
        </w:rPr>
      </w:pPr>
      <w:r w:rsidRPr="00101D33">
        <w:rPr>
          <w:rFonts w:asciiTheme="minorHAnsi" w:hAnsiTheme="minorHAnsi" w:cstheme="minorHAnsi"/>
        </w:rPr>
        <w:t>What are we doing now? (</w:t>
      </w:r>
      <w:proofErr w:type="gramStart"/>
      <w:r w:rsidRPr="00101D33">
        <w:rPr>
          <w:rFonts w:asciiTheme="minorHAnsi" w:hAnsiTheme="minorHAnsi" w:cstheme="minorHAnsi"/>
        </w:rPr>
        <w:t>current</w:t>
      </w:r>
      <w:proofErr w:type="gramEnd"/>
      <w:r w:rsidRPr="00101D33">
        <w:rPr>
          <w:rFonts w:asciiTheme="minorHAnsi" w:hAnsiTheme="minorHAnsi" w:cstheme="minorHAnsi"/>
        </w:rPr>
        <w:t xml:space="preserve"> activity</w:t>
      </w:r>
      <w:r w:rsidR="00101D33">
        <w:rPr>
          <w:rFonts w:asciiTheme="minorHAnsi" w:hAnsiTheme="minorHAnsi" w:cstheme="minorHAnsi"/>
        </w:rPr>
        <w:t>, activity levels</w:t>
      </w:r>
      <w:r w:rsidRPr="00101D33">
        <w:rPr>
          <w:rFonts w:asciiTheme="minorHAnsi" w:hAnsiTheme="minorHAnsi" w:cstheme="minorHAnsi"/>
        </w:rPr>
        <w:t xml:space="preserve"> or event</w:t>
      </w:r>
      <w:r w:rsidR="00101D33">
        <w:rPr>
          <w:rFonts w:asciiTheme="minorHAnsi" w:hAnsiTheme="minorHAnsi" w:cstheme="minorHAnsi"/>
        </w:rPr>
        <w:t>s</w:t>
      </w:r>
      <w:r w:rsidRPr="00101D33">
        <w:rPr>
          <w:rFonts w:asciiTheme="minorHAnsi" w:hAnsiTheme="minorHAnsi" w:cstheme="minorHAnsi"/>
        </w:rPr>
        <w:t>)</w:t>
      </w:r>
    </w:p>
    <w:p w14:paraId="6F6D24A8" w14:textId="5951BDAF" w:rsidR="00015B46" w:rsidRPr="00101D33" w:rsidRDefault="00015B46" w:rsidP="00D70234">
      <w:pPr>
        <w:pStyle w:val="ListParagraph"/>
        <w:numPr>
          <w:ilvl w:val="0"/>
          <w:numId w:val="2"/>
        </w:numPr>
        <w:rPr>
          <w:rFonts w:asciiTheme="minorHAnsi" w:hAnsiTheme="minorHAnsi" w:cstheme="minorHAnsi"/>
        </w:rPr>
      </w:pPr>
      <w:r w:rsidRPr="00101D33">
        <w:rPr>
          <w:rFonts w:asciiTheme="minorHAnsi" w:hAnsiTheme="minorHAnsi" w:cstheme="minorHAnsi"/>
        </w:rPr>
        <w:t>Wh</w:t>
      </w:r>
      <w:r w:rsidR="00681340" w:rsidRPr="00101D33">
        <w:rPr>
          <w:rFonts w:asciiTheme="minorHAnsi" w:hAnsiTheme="minorHAnsi" w:cstheme="minorHAnsi"/>
        </w:rPr>
        <w:t>en and what</w:t>
      </w:r>
      <w:r w:rsidRPr="00101D33">
        <w:rPr>
          <w:rFonts w:asciiTheme="minorHAnsi" w:hAnsiTheme="minorHAnsi" w:cstheme="minorHAnsi"/>
        </w:rPr>
        <w:t xml:space="preserve"> are our next priorities? (</w:t>
      </w:r>
      <w:proofErr w:type="gramStart"/>
      <w:r w:rsidRPr="00101D33">
        <w:rPr>
          <w:rFonts w:asciiTheme="minorHAnsi" w:hAnsiTheme="minorHAnsi" w:cstheme="minorHAnsi"/>
        </w:rPr>
        <w:t>anticipating</w:t>
      </w:r>
      <w:proofErr w:type="gramEnd"/>
      <w:r w:rsidRPr="00101D33">
        <w:rPr>
          <w:rFonts w:asciiTheme="minorHAnsi" w:hAnsiTheme="minorHAnsi" w:cstheme="minorHAnsi"/>
        </w:rPr>
        <w:t xml:space="preserve"> future action or event upcoming)</w:t>
      </w:r>
      <w:r w:rsidR="00375F91" w:rsidRPr="00375F91">
        <w:rPr>
          <w:noProof/>
        </w:rPr>
        <w:t xml:space="preserve"> </w:t>
      </w:r>
    </w:p>
    <w:p w14:paraId="64BEAECE" w14:textId="19873D69" w:rsidR="00015B46" w:rsidRDefault="00015B46" w:rsidP="00D70234"/>
    <w:p w14:paraId="2D87665A" w14:textId="09096277" w:rsidR="00015B46" w:rsidRDefault="00015B46" w:rsidP="00D70234">
      <w:pPr>
        <w:jc w:val="both"/>
        <w:rPr>
          <w:noProof/>
        </w:rPr>
      </w:pPr>
      <w:r>
        <w:t>In near-real</w:t>
      </w:r>
      <w:r w:rsidR="00681340">
        <w:t>-time</w:t>
      </w:r>
      <w:r w:rsidR="00101D33">
        <w:t xml:space="preserve"> (given lightspeed and buffering)</w:t>
      </w:r>
      <w:r w:rsidR="00681340">
        <w:t xml:space="preserve">, the drill performance data and observations and alerts shown </w:t>
      </w:r>
      <w:r w:rsidR="00B636A7">
        <w:t>on</w:t>
      </w:r>
      <w:r w:rsidR="00681340">
        <w:t xml:space="preserve"> </w:t>
      </w:r>
      <w:r w:rsidR="00B636A7">
        <w:t>a</w:t>
      </w:r>
      <w:r w:rsidR="00681340">
        <w:t xml:space="preserve"> </w:t>
      </w:r>
      <w:r w:rsidR="00B636A7">
        <w:t>PDA</w:t>
      </w:r>
      <w:r w:rsidR="00681340">
        <w:t xml:space="preserve"> screen (</w:t>
      </w:r>
      <w:r w:rsidR="005A0A07">
        <w:t xml:space="preserve">see </w:t>
      </w:r>
      <w:r w:rsidR="00681340" w:rsidRPr="004739B1">
        <w:rPr>
          <w:b/>
          <w:bCs/>
        </w:rPr>
        <w:t>Figures 5 a</w:t>
      </w:r>
      <w:r w:rsidR="005A0A07" w:rsidRPr="005A0A07">
        <w:t>(top)</w:t>
      </w:r>
      <w:r w:rsidR="00681340" w:rsidRPr="005A0A07">
        <w:t>,</w:t>
      </w:r>
      <w:r w:rsidR="00681340" w:rsidRPr="004739B1">
        <w:rPr>
          <w:b/>
          <w:bCs/>
        </w:rPr>
        <w:t xml:space="preserve"> b</w:t>
      </w:r>
      <w:r w:rsidR="005A0A07" w:rsidRPr="005A0A07">
        <w:t>(lower)</w:t>
      </w:r>
      <w:r w:rsidR="00681340" w:rsidRPr="005A0A07">
        <w:t xml:space="preserve">) </w:t>
      </w:r>
      <w:r w:rsidR="00681340">
        <w:t>will directly improve awareness of “Where” and “How”</w:t>
      </w:r>
      <w:r w:rsidR="00286091">
        <w:t>.</w:t>
      </w:r>
      <w:r w:rsidR="00681340">
        <w:t xml:space="preserve"> </w:t>
      </w:r>
      <w:r w:rsidR="00286091">
        <w:t>I</w:t>
      </w:r>
      <w:r w:rsidR="00681340">
        <w:t>ts drill state hypotheses w</w:t>
      </w:r>
      <w:r w:rsidR="00B636A7">
        <w:t>ould</w:t>
      </w:r>
      <w:r w:rsidR="00681340">
        <w:t xml:space="preserve"> inform</w:t>
      </w:r>
      <w:r w:rsidR="00B636A7">
        <w:t xml:space="preserve"> science team</w:t>
      </w:r>
      <w:r w:rsidR="00681340">
        <w:t xml:space="preserve"> members regarding their decision-making for “When and what?”.  </w:t>
      </w:r>
      <w:r w:rsidR="00286091" w:rsidRPr="00286091">
        <w:t xml:space="preserve">Rapid identification of changed </w:t>
      </w:r>
      <w:r w:rsidR="00B636A7">
        <w:t>drilling</w:t>
      </w:r>
      <w:r w:rsidR="00286091" w:rsidRPr="00286091">
        <w:t xml:space="preserve"> states will improve drilling process visibility, science context, ability to pursue unexpected opportunities, improve system resilience and lower </w:t>
      </w:r>
      <w:r w:rsidR="00B636A7">
        <w:t xml:space="preserve">overall </w:t>
      </w:r>
      <w:r w:rsidR="00286091" w:rsidRPr="00286091">
        <w:t>drilling risks.</w:t>
      </w:r>
      <w:r w:rsidR="008E6D9C" w:rsidRPr="008E6D9C">
        <w:rPr>
          <w:noProof/>
        </w:rPr>
        <w:t xml:space="preserve"> </w:t>
      </w:r>
    </w:p>
    <w:p w14:paraId="48131645" w14:textId="77777777" w:rsidR="002716B2" w:rsidRDefault="002716B2" w:rsidP="00D70234">
      <w:pPr>
        <w:jc w:val="both"/>
        <w:rPr>
          <w:noProof/>
        </w:rPr>
      </w:pPr>
    </w:p>
    <w:p w14:paraId="25C9125F" w14:textId="192A2F44" w:rsidR="00E1591E" w:rsidRDefault="002716B2" w:rsidP="00E1591E">
      <w:pPr>
        <w:jc w:val="both"/>
      </w:pPr>
      <w:r>
        <w:t xml:space="preserve">To build a PDA console for TRIDENT application from the existing ARADS drill automation, we would begin by </w:t>
      </w:r>
      <w:r w:rsidRPr="00D34A5F">
        <w:t>defining the dataset requirements – looking at any differences in format, content, refresh rates or included parameters</w:t>
      </w:r>
      <w:r>
        <w:t xml:space="preserve"> between the targeted TRIDENT drill, and its older prototypes (such as the ARADS drill).  In flight mission application, the given telemetry format translation would be defined and coded for the input of TRIDENT telemetry to the PDA. </w:t>
      </w:r>
    </w:p>
    <w:p w14:paraId="27D427D2" w14:textId="026400B3" w:rsidR="002716B2" w:rsidRPr="003B25C7" w:rsidRDefault="00E1591E" w:rsidP="00E1591E">
      <w:pPr>
        <w:jc w:val="both"/>
      </w:pPr>
      <w:r>
        <w:rPr>
          <w:noProof/>
        </w:rPr>
        <mc:AlternateContent>
          <mc:Choice Requires="wps">
            <w:drawing>
              <wp:anchor distT="0" distB="0" distL="114300" distR="114300" simplePos="0" relativeHeight="251781120" behindDoc="1" locked="0" layoutInCell="1" allowOverlap="1" wp14:anchorId="17B414E6" wp14:editId="0A0F1E1C">
                <wp:simplePos x="0" y="0"/>
                <wp:positionH relativeFrom="column">
                  <wp:posOffset>-10795</wp:posOffset>
                </wp:positionH>
                <wp:positionV relativeFrom="paragraph">
                  <wp:posOffset>263525</wp:posOffset>
                </wp:positionV>
                <wp:extent cx="5242560" cy="5811520"/>
                <wp:effectExtent l="0" t="0" r="2540" b="5080"/>
                <wp:wrapTight wrapText="bothSides">
                  <wp:wrapPolygon edited="0">
                    <wp:start x="0" y="0"/>
                    <wp:lineTo x="0" y="21572"/>
                    <wp:lineTo x="21558" y="21572"/>
                    <wp:lineTo x="21558"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5242560" cy="5811520"/>
                        </a:xfrm>
                        <a:prstGeom prst="rect">
                          <a:avLst/>
                        </a:prstGeom>
                        <a:solidFill>
                          <a:schemeClr val="lt1"/>
                        </a:solidFill>
                        <a:ln w="6350">
                          <a:noFill/>
                        </a:ln>
                      </wps:spPr>
                      <wps:txbx>
                        <w:txbxContent>
                          <w:p w14:paraId="41F6059C" w14:textId="77777777" w:rsidR="00E1591E" w:rsidRDefault="00E1591E" w:rsidP="00E1591E">
                            <w:pPr>
                              <w:spacing w:after="120"/>
                              <w:jc w:val="both"/>
                            </w:pPr>
                            <w:r>
                              <w:rPr>
                                <w:noProof/>
                              </w:rPr>
                              <w:drawing>
                                <wp:inline distT="0" distB="0" distL="0" distR="0" wp14:anchorId="4761A874" wp14:editId="08884D33">
                                  <wp:extent cx="5222076" cy="3677920"/>
                                  <wp:effectExtent l="0" t="0" r="0" b="508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18">
                                            <a:extLst>
                                              <a:ext uri="{28A0092B-C50C-407E-A947-70E740481C1C}">
                                                <a14:useLocalDpi xmlns:a14="http://schemas.microsoft.com/office/drawing/2010/main" val="0"/>
                                              </a:ext>
                                            </a:extLst>
                                          </a:blip>
                                          <a:stretch>
                                            <a:fillRect/>
                                          </a:stretch>
                                        </pic:blipFill>
                                        <pic:spPr>
                                          <a:xfrm>
                                            <a:off x="0" y="0"/>
                                            <a:ext cx="5227644" cy="3681841"/>
                                          </a:xfrm>
                                          <a:prstGeom prst="rect">
                                            <a:avLst/>
                                          </a:prstGeom>
                                        </pic:spPr>
                                      </pic:pic>
                                    </a:graphicData>
                                  </a:graphic>
                                </wp:inline>
                              </w:drawing>
                            </w:r>
                          </w:p>
                          <w:p w14:paraId="1642175A" w14:textId="77777777" w:rsidR="00E1591E" w:rsidRDefault="00E1591E" w:rsidP="00E1591E">
                            <w:pPr>
                              <w:jc w:val="both"/>
                            </w:pPr>
                            <w:r>
                              <w:rPr>
                                <w:noProof/>
                              </w:rPr>
                              <w:drawing>
                                <wp:inline distT="0" distB="0" distL="0" distR="0" wp14:anchorId="70066169" wp14:editId="3FD3E8B7">
                                  <wp:extent cx="5242560" cy="1474251"/>
                                  <wp:effectExtent l="0" t="0" r="254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19">
                                            <a:extLst>
                                              <a:ext uri="{28A0092B-C50C-407E-A947-70E740481C1C}">
                                                <a14:useLocalDpi xmlns:a14="http://schemas.microsoft.com/office/drawing/2010/main" val="0"/>
                                              </a:ext>
                                            </a:extLst>
                                          </a:blip>
                                          <a:stretch>
                                            <a:fillRect/>
                                          </a:stretch>
                                        </pic:blipFill>
                                        <pic:spPr>
                                          <a:xfrm>
                                            <a:off x="0" y="0"/>
                                            <a:ext cx="5253843" cy="1477424"/>
                                          </a:xfrm>
                                          <a:prstGeom prst="rect">
                                            <a:avLst/>
                                          </a:prstGeom>
                                        </pic:spPr>
                                      </pic:pic>
                                    </a:graphicData>
                                  </a:graphic>
                                </wp:inline>
                              </w:drawing>
                            </w:r>
                          </w:p>
                          <w:p w14:paraId="00869DD5" w14:textId="77777777" w:rsidR="00E1591E" w:rsidRDefault="00E1591E" w:rsidP="00E1591E">
                            <w:pPr>
                              <w:jc w:val="both"/>
                            </w:pPr>
                            <w:r w:rsidRPr="003C557C">
                              <w:rPr>
                                <w:b/>
                                <w:bCs/>
                              </w:rPr>
                              <w:t>Figure 5</w:t>
                            </w:r>
                            <w:r>
                              <w:t xml:space="preserve">. Mockup concepts (using ArcGIS and Google Data Studio) for the PDA console: </w:t>
                            </w:r>
                            <w:r w:rsidRPr="00923498">
                              <w:rPr>
                                <w:b/>
                                <w:bCs/>
                              </w:rPr>
                              <w:t>(a</w:t>
                            </w:r>
                            <w:r>
                              <w:t xml:space="preserve">) during nominal drilling, </w:t>
                            </w:r>
                            <w:r w:rsidRPr="00923498">
                              <w:rPr>
                                <w:b/>
                                <w:bCs/>
                              </w:rPr>
                              <w:t>(b)</w:t>
                            </w:r>
                            <w:r>
                              <w:t xml:space="preserve"> flagged when the drill encounters a harder layer at depth.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414E6" id="Text Box 10" o:spid="_x0000_s1031" type="#_x0000_t202" style="position:absolute;left:0;text-align:left;margin-left:-.85pt;margin-top:20.75pt;width:412.8pt;height:457.6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" fillcolor="white [3201]" stroked="f" strokeweight=".5pt">
                <v:textbox inset="0,0,0,0">
                  <w:txbxContent>
                    <w:p w14:paraId="41F6059C" w14:textId="77777777" w:rsidR="00E1591E" w:rsidRDefault="00E1591E" w:rsidP="00E1591E">
                      <w:pPr>
                        <w:spacing w:after="120"/>
                        <w:jc w:val="both"/>
                      </w:pPr>
                      <w:r>
                        <w:rPr>
                          <w:noProof/>
                        </w:rPr>
                        <w:drawing>
                          <wp:inline distT="0" distB="0" distL="0" distR="0" wp14:anchorId="4761A874" wp14:editId="08884D33">
                            <wp:extent cx="5222076" cy="3677920"/>
                            <wp:effectExtent l="0" t="0" r="0" b="508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20">
                                      <a:extLst>
                                        <a:ext uri="{28A0092B-C50C-407E-A947-70E740481C1C}">
                                          <a14:useLocalDpi xmlns:a14="http://schemas.microsoft.com/office/drawing/2010/main" val="0"/>
                                        </a:ext>
                                      </a:extLst>
                                    </a:blip>
                                    <a:stretch>
                                      <a:fillRect/>
                                    </a:stretch>
                                  </pic:blipFill>
                                  <pic:spPr>
                                    <a:xfrm>
                                      <a:off x="0" y="0"/>
                                      <a:ext cx="5227644" cy="3681841"/>
                                    </a:xfrm>
                                    <a:prstGeom prst="rect">
                                      <a:avLst/>
                                    </a:prstGeom>
                                  </pic:spPr>
                                </pic:pic>
                              </a:graphicData>
                            </a:graphic>
                          </wp:inline>
                        </w:drawing>
                      </w:r>
                    </w:p>
                    <w:p w14:paraId="1642175A" w14:textId="77777777" w:rsidR="00E1591E" w:rsidRDefault="00E1591E" w:rsidP="00E1591E">
                      <w:pPr>
                        <w:jc w:val="both"/>
                      </w:pPr>
                      <w:r>
                        <w:rPr>
                          <w:noProof/>
                        </w:rPr>
                        <w:drawing>
                          <wp:inline distT="0" distB="0" distL="0" distR="0" wp14:anchorId="70066169" wp14:editId="3FD3E8B7">
                            <wp:extent cx="5242560" cy="1474251"/>
                            <wp:effectExtent l="0" t="0" r="254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21">
                                      <a:extLst>
                                        <a:ext uri="{28A0092B-C50C-407E-A947-70E740481C1C}">
                                          <a14:useLocalDpi xmlns:a14="http://schemas.microsoft.com/office/drawing/2010/main" val="0"/>
                                        </a:ext>
                                      </a:extLst>
                                    </a:blip>
                                    <a:stretch>
                                      <a:fillRect/>
                                    </a:stretch>
                                  </pic:blipFill>
                                  <pic:spPr>
                                    <a:xfrm>
                                      <a:off x="0" y="0"/>
                                      <a:ext cx="5253843" cy="1477424"/>
                                    </a:xfrm>
                                    <a:prstGeom prst="rect">
                                      <a:avLst/>
                                    </a:prstGeom>
                                  </pic:spPr>
                                </pic:pic>
                              </a:graphicData>
                            </a:graphic>
                          </wp:inline>
                        </w:drawing>
                      </w:r>
                    </w:p>
                    <w:p w14:paraId="00869DD5" w14:textId="77777777" w:rsidR="00E1591E" w:rsidRDefault="00E1591E" w:rsidP="00E1591E">
                      <w:pPr>
                        <w:jc w:val="both"/>
                      </w:pPr>
                      <w:r w:rsidRPr="003C557C">
                        <w:rPr>
                          <w:b/>
                          <w:bCs/>
                        </w:rPr>
                        <w:t>Figure 5</w:t>
                      </w:r>
                      <w:r>
                        <w:t xml:space="preserve">. Mockup concepts (using ArcGIS and Google Data Studio) for the PDA console: </w:t>
                      </w:r>
                      <w:r w:rsidRPr="00923498">
                        <w:rPr>
                          <w:b/>
                          <w:bCs/>
                        </w:rPr>
                        <w:t>(a</w:t>
                      </w:r>
                      <w:r>
                        <w:t xml:space="preserve">) during nominal drilling, </w:t>
                      </w:r>
                      <w:r w:rsidRPr="00923498">
                        <w:rPr>
                          <w:b/>
                          <w:bCs/>
                        </w:rPr>
                        <w:t>(b)</w:t>
                      </w:r>
                      <w:r>
                        <w:t xml:space="preserve"> flagged when the drill encounters a harder layer at depth.</w:t>
                      </w:r>
                    </w:p>
                  </w:txbxContent>
                </v:textbox>
                <w10:wrap type="tight"/>
              </v:shape>
            </w:pict>
          </mc:Fallback>
        </mc:AlternateContent>
      </w:r>
    </w:p>
    <w:p w14:paraId="11085DF6" w14:textId="3E4C6BB9" w:rsidR="002716B2" w:rsidRDefault="002716B2" w:rsidP="002716B2">
      <w:pPr>
        <w:jc w:val="both"/>
      </w:pPr>
      <w:r>
        <w:t xml:space="preserve">The current (2019) fielded ARADS onboard drilling automation uses a command-line interface (for debug, setup or remote operator inputs). The user mockups shown in </w:t>
      </w:r>
      <w:r w:rsidRPr="000C6B78">
        <w:rPr>
          <w:b/>
          <w:bCs/>
        </w:rPr>
        <w:t>Figures 5 (</w:t>
      </w:r>
      <w:proofErr w:type="spellStart"/>
      <w:proofErr w:type="gramStart"/>
      <w:r w:rsidRPr="000C6B78">
        <w:rPr>
          <w:b/>
          <w:bCs/>
        </w:rPr>
        <w:t>a,b</w:t>
      </w:r>
      <w:proofErr w:type="spellEnd"/>
      <w:proofErr w:type="gramEnd"/>
      <w:r w:rsidRPr="000C6B78">
        <w:rPr>
          <w:b/>
          <w:bCs/>
        </w:rPr>
        <w:t>)</w:t>
      </w:r>
      <w:r>
        <w:t xml:space="preserve"> are notional versions of the PDA console display to be developed for mission science team use. </w:t>
      </w:r>
    </w:p>
    <w:p w14:paraId="14CD79B1" w14:textId="32E04374" w:rsidR="00971C71" w:rsidRDefault="00971C71" w:rsidP="002716B2">
      <w:pPr>
        <w:jc w:val="both"/>
      </w:pPr>
      <w:r>
        <w:rPr>
          <w:noProof/>
        </w:rPr>
        <w:lastRenderedPageBreak/>
        <mc:AlternateContent>
          <mc:Choice Requires="wps">
            <w:drawing>
              <wp:anchor distT="0" distB="0" distL="114300" distR="114300" simplePos="0" relativeHeight="251783168" behindDoc="1" locked="0" layoutInCell="1" allowOverlap="1" wp14:anchorId="60889394" wp14:editId="729277D1">
                <wp:simplePos x="0" y="0"/>
                <wp:positionH relativeFrom="column">
                  <wp:posOffset>0</wp:posOffset>
                </wp:positionH>
                <wp:positionV relativeFrom="paragraph">
                  <wp:posOffset>0</wp:posOffset>
                </wp:positionV>
                <wp:extent cx="5201920" cy="8463280"/>
                <wp:effectExtent l="0" t="0" r="5080" b="0"/>
                <wp:wrapTight wrapText="bothSides">
                  <wp:wrapPolygon edited="0">
                    <wp:start x="0" y="0"/>
                    <wp:lineTo x="0" y="21555"/>
                    <wp:lineTo x="21568" y="21555"/>
                    <wp:lineTo x="21568"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5201920" cy="8463280"/>
                        </a:xfrm>
                        <a:prstGeom prst="rect">
                          <a:avLst/>
                        </a:prstGeom>
                        <a:solidFill>
                          <a:schemeClr val="lt1"/>
                        </a:solidFill>
                        <a:ln w="6350">
                          <a:noFill/>
                        </a:ln>
                      </wps:spPr>
                      <wps:txbx>
                        <w:txbxContent>
                          <w:p w14:paraId="1F95CA85" w14:textId="77777777" w:rsidR="00971C71" w:rsidRDefault="00971C71" w:rsidP="00971C71">
                            <w:pPr>
                              <w:adjustRightInd w:val="0"/>
                              <w:snapToGrid w:val="0"/>
                              <w:jc w:val="center"/>
                            </w:pPr>
                            <w:r>
                              <w:t>A.</w:t>
                            </w:r>
                            <w:r>
                              <w:rPr>
                                <w:noProof/>
                              </w:rPr>
                              <w:drawing>
                                <wp:inline distT="0" distB="0" distL="0" distR="0" wp14:anchorId="2AA92D80" wp14:editId="37435CC5">
                                  <wp:extent cx="3287132" cy="2319655"/>
                                  <wp:effectExtent l="0" t="0" r="2540" b="444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2">
                                            <a:extLst>
                                              <a:ext uri="{28A0092B-C50C-407E-A947-70E740481C1C}">
                                                <a14:useLocalDpi xmlns:a14="http://schemas.microsoft.com/office/drawing/2010/main" val="0"/>
                                              </a:ext>
                                            </a:extLst>
                                          </a:blip>
                                          <a:stretch>
                                            <a:fillRect/>
                                          </a:stretch>
                                        </pic:blipFill>
                                        <pic:spPr>
                                          <a:xfrm>
                                            <a:off x="0" y="0"/>
                                            <a:ext cx="3375659" cy="2382127"/>
                                          </a:xfrm>
                                          <a:prstGeom prst="rect">
                                            <a:avLst/>
                                          </a:prstGeom>
                                        </pic:spPr>
                                      </pic:pic>
                                    </a:graphicData>
                                  </a:graphic>
                                </wp:inline>
                              </w:drawing>
                            </w:r>
                            <w:r>
                              <w:t xml:space="preserve">           </w:t>
                            </w:r>
                            <w:r>
                              <w:rPr>
                                <w:noProof/>
                              </w:rPr>
                              <w:drawing>
                                <wp:inline distT="0" distB="0" distL="0" distR="0" wp14:anchorId="2E4AC02B" wp14:editId="04BAF9DB">
                                  <wp:extent cx="1076960" cy="2322423"/>
                                  <wp:effectExtent l="0" t="0" r="254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3">
                                            <a:extLst>
                                              <a:ext uri="{28A0092B-C50C-407E-A947-70E740481C1C}">
                                                <a14:useLocalDpi xmlns:a14="http://schemas.microsoft.com/office/drawing/2010/main" val="0"/>
                                              </a:ext>
                                            </a:extLst>
                                          </a:blip>
                                          <a:stretch>
                                            <a:fillRect/>
                                          </a:stretch>
                                        </pic:blipFill>
                                        <pic:spPr>
                                          <a:xfrm>
                                            <a:off x="0" y="0"/>
                                            <a:ext cx="1113619" cy="2401478"/>
                                          </a:xfrm>
                                          <a:prstGeom prst="rect">
                                            <a:avLst/>
                                          </a:prstGeom>
                                        </pic:spPr>
                                      </pic:pic>
                                    </a:graphicData>
                                  </a:graphic>
                                </wp:inline>
                              </w:drawing>
                            </w:r>
                          </w:p>
                          <w:p w14:paraId="50870E22" w14:textId="77777777" w:rsidR="00971C71" w:rsidRDefault="00971C71" w:rsidP="00971C71">
                            <w:pPr>
                              <w:adjustRightInd w:val="0"/>
                              <w:snapToGrid w:val="0"/>
                              <w:jc w:val="center"/>
                            </w:pPr>
                            <w:r>
                              <w:t>B.</w:t>
                            </w:r>
                            <w:r>
                              <w:rPr>
                                <w:noProof/>
                              </w:rPr>
                              <w:drawing>
                                <wp:inline distT="0" distB="0" distL="0" distR="0" wp14:anchorId="140FFDEF" wp14:editId="448D7637">
                                  <wp:extent cx="2885440" cy="2534038"/>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4">
                                            <a:extLst>
                                              <a:ext uri="{28A0092B-C50C-407E-A947-70E740481C1C}">
                                                <a14:useLocalDpi xmlns:a14="http://schemas.microsoft.com/office/drawing/2010/main" val="0"/>
                                              </a:ext>
                                            </a:extLst>
                                          </a:blip>
                                          <a:stretch>
                                            <a:fillRect/>
                                          </a:stretch>
                                        </pic:blipFill>
                                        <pic:spPr>
                                          <a:xfrm>
                                            <a:off x="0" y="0"/>
                                            <a:ext cx="2966898" cy="2605576"/>
                                          </a:xfrm>
                                          <a:prstGeom prst="rect">
                                            <a:avLst/>
                                          </a:prstGeom>
                                        </pic:spPr>
                                      </pic:pic>
                                    </a:graphicData>
                                  </a:graphic>
                                </wp:inline>
                              </w:drawing>
                            </w:r>
                            <w:r>
                              <w:t xml:space="preserve">           C.</w:t>
                            </w:r>
                            <w:r>
                              <w:rPr>
                                <w:noProof/>
                              </w:rPr>
                              <w:drawing>
                                <wp:inline distT="0" distB="0" distL="0" distR="0" wp14:anchorId="01FD0542" wp14:editId="62BF7051">
                                  <wp:extent cx="1216998" cy="253428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5">
                                            <a:extLst>
                                              <a:ext uri="{28A0092B-C50C-407E-A947-70E740481C1C}">
                                                <a14:useLocalDpi xmlns:a14="http://schemas.microsoft.com/office/drawing/2010/main" val="0"/>
                                              </a:ext>
                                            </a:extLst>
                                          </a:blip>
                                          <a:stretch>
                                            <a:fillRect/>
                                          </a:stretch>
                                        </pic:blipFill>
                                        <pic:spPr>
                                          <a:xfrm>
                                            <a:off x="0" y="0"/>
                                            <a:ext cx="1300871" cy="2708943"/>
                                          </a:xfrm>
                                          <a:prstGeom prst="rect">
                                            <a:avLst/>
                                          </a:prstGeom>
                                        </pic:spPr>
                                      </pic:pic>
                                    </a:graphicData>
                                  </a:graphic>
                                </wp:inline>
                              </w:drawing>
                            </w:r>
                            <w:r>
                              <w:t xml:space="preserve"> </w:t>
                            </w:r>
                          </w:p>
                          <w:p w14:paraId="68360292" w14:textId="77777777" w:rsidR="00971C71" w:rsidRDefault="00971C71" w:rsidP="00971C71">
                            <w:pPr>
                              <w:adjustRightInd w:val="0"/>
                              <w:snapToGrid w:val="0"/>
                              <w:jc w:val="center"/>
                            </w:pPr>
                            <w:r>
                              <w:t>D.</w:t>
                            </w:r>
                            <w:r>
                              <w:rPr>
                                <w:noProof/>
                              </w:rPr>
                              <w:drawing>
                                <wp:inline distT="0" distB="0" distL="0" distR="0" wp14:anchorId="6544CE3C" wp14:editId="1BA8B97A">
                                  <wp:extent cx="3051834" cy="268224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6">
                                            <a:extLst>
                                              <a:ext uri="{28A0092B-C50C-407E-A947-70E740481C1C}">
                                                <a14:useLocalDpi xmlns:a14="http://schemas.microsoft.com/office/drawing/2010/main" val="0"/>
                                              </a:ext>
                                            </a:extLst>
                                          </a:blip>
                                          <a:stretch>
                                            <a:fillRect/>
                                          </a:stretch>
                                        </pic:blipFill>
                                        <pic:spPr>
                                          <a:xfrm>
                                            <a:off x="0" y="0"/>
                                            <a:ext cx="3136758" cy="2756879"/>
                                          </a:xfrm>
                                          <a:prstGeom prst="rect">
                                            <a:avLst/>
                                          </a:prstGeom>
                                        </pic:spPr>
                                      </pic:pic>
                                    </a:graphicData>
                                  </a:graphic>
                                </wp:inline>
                              </w:drawing>
                            </w:r>
                          </w:p>
                          <w:p w14:paraId="7B0D7B2B" w14:textId="77777777" w:rsidR="00971C71" w:rsidRDefault="00971C71" w:rsidP="00971C71">
                            <w:pPr>
                              <w:adjustRightInd w:val="0"/>
                              <w:snapToGrid w:val="0"/>
                              <w:jc w:val="both"/>
                            </w:pPr>
                            <w:r w:rsidRPr="00DF39B6">
                              <w:rPr>
                                <w:b/>
                                <w:bCs/>
                              </w:rPr>
                              <w:t>Figure 6.</w:t>
                            </w:r>
                            <w:r>
                              <w:t xml:space="preserve"> Field test drilling performance data with accompanying possible models: (a) Haughton Crater (permafrost, impact breccia); (b) Atacama </w:t>
                            </w:r>
                            <w:proofErr w:type="spellStart"/>
                            <w:r>
                              <w:t>salar</w:t>
                            </w:r>
                            <w:proofErr w:type="spellEnd"/>
                            <w:r>
                              <w:t>, halite polygon; (c)</w:t>
                            </w:r>
                            <w:r w:rsidRPr="00120C1D">
                              <w:t xml:space="preserve"> </w:t>
                            </w:r>
                            <w:r>
                              <w:t>Rio Tinto pebbly sediments with a gossan layer; (d) Adjacent boreholes at the Atacama “playa” science station Area 1.</w:t>
                            </w:r>
                          </w:p>
                          <w:p w14:paraId="4F3B228C" w14:textId="77777777" w:rsidR="00971C71" w:rsidRDefault="00971C71" w:rsidP="00971C71">
                            <w:pPr>
                              <w:adjustRightInd w:val="0"/>
                              <w:snapToGrid w:val="0"/>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89394" id="Text Box 1" o:spid="_x0000_s1032" type="#_x0000_t202" style="position:absolute;left:0;text-align:left;margin-left:0;margin-top:0;width:409.6pt;height:666.4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" fillcolor="white [3201]" stroked="f" strokeweight=".5pt">
                <v:textbox inset="0,,0">
                  <w:txbxContent>
                    <w:p w14:paraId="1F95CA85" w14:textId="77777777" w:rsidR="00971C71" w:rsidRDefault="00971C71" w:rsidP="00971C71">
                      <w:pPr>
                        <w:adjustRightInd w:val="0"/>
                        <w:snapToGrid w:val="0"/>
                        <w:jc w:val="center"/>
                      </w:pPr>
                      <w:r>
                        <w:t>A.</w:t>
                      </w:r>
                      <w:r>
                        <w:rPr>
                          <w:noProof/>
                        </w:rPr>
                        <w:drawing>
                          <wp:inline distT="0" distB="0" distL="0" distR="0" wp14:anchorId="2AA92D80" wp14:editId="37435CC5">
                            <wp:extent cx="3287132" cy="2319655"/>
                            <wp:effectExtent l="0" t="0" r="2540" b="444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7">
                                      <a:extLst>
                                        <a:ext uri="{28A0092B-C50C-407E-A947-70E740481C1C}">
                                          <a14:useLocalDpi xmlns:a14="http://schemas.microsoft.com/office/drawing/2010/main" val="0"/>
                                        </a:ext>
                                      </a:extLst>
                                    </a:blip>
                                    <a:stretch>
                                      <a:fillRect/>
                                    </a:stretch>
                                  </pic:blipFill>
                                  <pic:spPr>
                                    <a:xfrm>
                                      <a:off x="0" y="0"/>
                                      <a:ext cx="3375659" cy="2382127"/>
                                    </a:xfrm>
                                    <a:prstGeom prst="rect">
                                      <a:avLst/>
                                    </a:prstGeom>
                                  </pic:spPr>
                                </pic:pic>
                              </a:graphicData>
                            </a:graphic>
                          </wp:inline>
                        </w:drawing>
                      </w:r>
                      <w:r>
                        <w:t xml:space="preserve">           </w:t>
                      </w:r>
                      <w:r>
                        <w:rPr>
                          <w:noProof/>
                        </w:rPr>
                        <w:drawing>
                          <wp:inline distT="0" distB="0" distL="0" distR="0" wp14:anchorId="2E4AC02B" wp14:editId="04BAF9DB">
                            <wp:extent cx="1076960" cy="2322423"/>
                            <wp:effectExtent l="0" t="0" r="254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8">
                                      <a:extLst>
                                        <a:ext uri="{28A0092B-C50C-407E-A947-70E740481C1C}">
                                          <a14:useLocalDpi xmlns:a14="http://schemas.microsoft.com/office/drawing/2010/main" val="0"/>
                                        </a:ext>
                                      </a:extLst>
                                    </a:blip>
                                    <a:stretch>
                                      <a:fillRect/>
                                    </a:stretch>
                                  </pic:blipFill>
                                  <pic:spPr>
                                    <a:xfrm>
                                      <a:off x="0" y="0"/>
                                      <a:ext cx="1113619" cy="2401478"/>
                                    </a:xfrm>
                                    <a:prstGeom prst="rect">
                                      <a:avLst/>
                                    </a:prstGeom>
                                  </pic:spPr>
                                </pic:pic>
                              </a:graphicData>
                            </a:graphic>
                          </wp:inline>
                        </w:drawing>
                      </w:r>
                    </w:p>
                    <w:p w14:paraId="50870E22" w14:textId="77777777" w:rsidR="00971C71" w:rsidRDefault="00971C71" w:rsidP="00971C71">
                      <w:pPr>
                        <w:adjustRightInd w:val="0"/>
                        <w:snapToGrid w:val="0"/>
                        <w:jc w:val="center"/>
                      </w:pPr>
                      <w:r>
                        <w:t>B.</w:t>
                      </w:r>
                      <w:r>
                        <w:rPr>
                          <w:noProof/>
                        </w:rPr>
                        <w:drawing>
                          <wp:inline distT="0" distB="0" distL="0" distR="0" wp14:anchorId="140FFDEF" wp14:editId="448D7637">
                            <wp:extent cx="2885440" cy="2534038"/>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9">
                                      <a:extLst>
                                        <a:ext uri="{28A0092B-C50C-407E-A947-70E740481C1C}">
                                          <a14:useLocalDpi xmlns:a14="http://schemas.microsoft.com/office/drawing/2010/main" val="0"/>
                                        </a:ext>
                                      </a:extLst>
                                    </a:blip>
                                    <a:stretch>
                                      <a:fillRect/>
                                    </a:stretch>
                                  </pic:blipFill>
                                  <pic:spPr>
                                    <a:xfrm>
                                      <a:off x="0" y="0"/>
                                      <a:ext cx="2966898" cy="2605576"/>
                                    </a:xfrm>
                                    <a:prstGeom prst="rect">
                                      <a:avLst/>
                                    </a:prstGeom>
                                  </pic:spPr>
                                </pic:pic>
                              </a:graphicData>
                            </a:graphic>
                          </wp:inline>
                        </w:drawing>
                      </w:r>
                      <w:r>
                        <w:t xml:space="preserve">           C.</w:t>
                      </w:r>
                      <w:r>
                        <w:rPr>
                          <w:noProof/>
                        </w:rPr>
                        <w:drawing>
                          <wp:inline distT="0" distB="0" distL="0" distR="0" wp14:anchorId="01FD0542" wp14:editId="62BF7051">
                            <wp:extent cx="1216998" cy="253428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0">
                                      <a:extLst>
                                        <a:ext uri="{28A0092B-C50C-407E-A947-70E740481C1C}">
                                          <a14:useLocalDpi xmlns:a14="http://schemas.microsoft.com/office/drawing/2010/main" val="0"/>
                                        </a:ext>
                                      </a:extLst>
                                    </a:blip>
                                    <a:stretch>
                                      <a:fillRect/>
                                    </a:stretch>
                                  </pic:blipFill>
                                  <pic:spPr>
                                    <a:xfrm>
                                      <a:off x="0" y="0"/>
                                      <a:ext cx="1300871" cy="2708943"/>
                                    </a:xfrm>
                                    <a:prstGeom prst="rect">
                                      <a:avLst/>
                                    </a:prstGeom>
                                  </pic:spPr>
                                </pic:pic>
                              </a:graphicData>
                            </a:graphic>
                          </wp:inline>
                        </w:drawing>
                      </w:r>
                      <w:r>
                        <w:t xml:space="preserve"> </w:t>
                      </w:r>
                    </w:p>
                    <w:p w14:paraId="68360292" w14:textId="77777777" w:rsidR="00971C71" w:rsidRDefault="00971C71" w:rsidP="00971C71">
                      <w:pPr>
                        <w:adjustRightInd w:val="0"/>
                        <w:snapToGrid w:val="0"/>
                        <w:jc w:val="center"/>
                      </w:pPr>
                      <w:r>
                        <w:t>D.</w:t>
                      </w:r>
                      <w:r>
                        <w:rPr>
                          <w:noProof/>
                        </w:rPr>
                        <w:drawing>
                          <wp:inline distT="0" distB="0" distL="0" distR="0" wp14:anchorId="6544CE3C" wp14:editId="1BA8B97A">
                            <wp:extent cx="3051834" cy="268224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1">
                                      <a:extLst>
                                        <a:ext uri="{28A0092B-C50C-407E-A947-70E740481C1C}">
                                          <a14:useLocalDpi xmlns:a14="http://schemas.microsoft.com/office/drawing/2010/main" val="0"/>
                                        </a:ext>
                                      </a:extLst>
                                    </a:blip>
                                    <a:stretch>
                                      <a:fillRect/>
                                    </a:stretch>
                                  </pic:blipFill>
                                  <pic:spPr>
                                    <a:xfrm>
                                      <a:off x="0" y="0"/>
                                      <a:ext cx="3136758" cy="2756879"/>
                                    </a:xfrm>
                                    <a:prstGeom prst="rect">
                                      <a:avLst/>
                                    </a:prstGeom>
                                  </pic:spPr>
                                </pic:pic>
                              </a:graphicData>
                            </a:graphic>
                          </wp:inline>
                        </w:drawing>
                      </w:r>
                    </w:p>
                    <w:p w14:paraId="7B0D7B2B" w14:textId="77777777" w:rsidR="00971C71" w:rsidRDefault="00971C71" w:rsidP="00971C71">
                      <w:pPr>
                        <w:adjustRightInd w:val="0"/>
                        <w:snapToGrid w:val="0"/>
                        <w:jc w:val="both"/>
                      </w:pPr>
                      <w:r w:rsidRPr="00DF39B6">
                        <w:rPr>
                          <w:b/>
                          <w:bCs/>
                        </w:rPr>
                        <w:t>Figure 6.</w:t>
                      </w:r>
                      <w:r>
                        <w:t xml:space="preserve"> Field test drilling performance data with accompanying possible models: (a) Haughton Crater (permafrost, impact breccia); (b) Atacama </w:t>
                      </w:r>
                      <w:proofErr w:type="spellStart"/>
                      <w:r>
                        <w:t>salar</w:t>
                      </w:r>
                      <w:proofErr w:type="spellEnd"/>
                      <w:r>
                        <w:t>, halite polygon; (c)</w:t>
                      </w:r>
                      <w:r w:rsidRPr="00120C1D">
                        <w:t xml:space="preserve"> </w:t>
                      </w:r>
                      <w:r>
                        <w:t>Rio Tinto pebbly sediments with a gossan layer; (d) Adjacent boreholes at the Atacama “playa” science station Area 1.</w:t>
                      </w:r>
                    </w:p>
                    <w:p w14:paraId="4F3B228C" w14:textId="77777777" w:rsidR="00971C71" w:rsidRDefault="00971C71" w:rsidP="00971C71">
                      <w:pPr>
                        <w:adjustRightInd w:val="0"/>
                        <w:snapToGrid w:val="0"/>
                      </w:pPr>
                    </w:p>
                  </w:txbxContent>
                </v:textbox>
                <w10:wrap type="tight"/>
              </v:shape>
            </w:pict>
          </mc:Fallback>
        </mc:AlternateContent>
      </w:r>
    </w:p>
    <w:p w14:paraId="17A0703D" w14:textId="77777777" w:rsidR="002716B2" w:rsidRDefault="002716B2" w:rsidP="00D70234">
      <w:pPr>
        <w:jc w:val="both"/>
        <w:rPr>
          <w:noProof/>
        </w:rPr>
      </w:pPr>
    </w:p>
    <w:p w14:paraId="7D50D387" w14:textId="731891FA" w:rsidR="00F30C9B" w:rsidRDefault="00F30C9B" w:rsidP="00F30C9B">
      <w:pPr>
        <w:jc w:val="both"/>
      </w:pPr>
      <w:r>
        <w:t xml:space="preserve">PDA observations of drilling events and boundaries, together with raw drilling parameters (telemetry) and derived data (energy), can support the geotechnical modeling of layering and structure.  In </w:t>
      </w:r>
      <w:r w:rsidRPr="000C6B78">
        <w:rPr>
          <w:b/>
          <w:bCs/>
        </w:rPr>
        <w:t>Figures 6 a-d</w:t>
      </w:r>
      <w:r>
        <w:t xml:space="preserve">, several examples are shown of drilling performance data from past tests at terrestrial analog sites, with accompanying post-test subsurface interpretations. </w:t>
      </w:r>
      <w:r w:rsidRPr="000C6B78">
        <w:rPr>
          <w:b/>
          <w:bCs/>
        </w:rPr>
        <w:t>Figure 6(a)</w:t>
      </w:r>
      <w:r>
        <w:t xml:space="preserve"> was drilled in 2016 (CRUX drill prototype) into an icy high-fidelity textural regolith simulant (impact-generated fallback breccia at Haughton Crater) with permafrost and active-layer boundaries (670mm) evident (as well as clear ice layers around 900mm and 1070mm). In </w:t>
      </w:r>
      <w:r w:rsidRPr="000C6B78">
        <w:rPr>
          <w:b/>
          <w:bCs/>
        </w:rPr>
        <w:t>Figure 6(b)</w:t>
      </w:r>
      <w:r>
        <w:t xml:space="preserve"> we see 2017 drilling of gossan and acidic sediments (TRIDENT drill) showing the presence of harder layers and choking in loose sediments (Rio Tinto, Spain). Similar contrasts are seen in </w:t>
      </w:r>
      <w:r w:rsidRPr="000C6B78">
        <w:rPr>
          <w:b/>
          <w:bCs/>
        </w:rPr>
        <w:t>Figure 6(c)</w:t>
      </w:r>
      <w:r>
        <w:t xml:space="preserve"> (TRIDENT drill in the Atacama Desert, “Green Parrot” site in 2017) drilling into polygonal halite deposits (discovering a trapped 3cm mud layer around 520-550mm depth). Most recently, in September 2019 the final ARADS tests drilled into a previously</w:t>
      </w:r>
      <w:r w:rsidR="00D30987">
        <w:t xml:space="preserve"> </w:t>
      </w:r>
      <w:r>
        <w:t>-</w:t>
      </w:r>
      <w:r w:rsidR="00D30987">
        <w:t xml:space="preserve"> </w:t>
      </w:r>
      <w:r>
        <w:t xml:space="preserve">unexplored structure (Atacama Desert, “Playa site”) thought to be a 1 km diameter dry pond.  </w:t>
      </w:r>
      <w:r w:rsidRPr="000C6B78">
        <w:rPr>
          <w:b/>
          <w:bCs/>
        </w:rPr>
        <w:t>Figure 6(d)</w:t>
      </w:r>
      <w:r>
        <w:t xml:space="preserve"> shows drill parameters of the three parallel boreholes drilled at playa site A, with a pocket of gravel seen at about 70cm depth in the third borehole. </w:t>
      </w:r>
    </w:p>
    <w:p w14:paraId="67B6AB61" w14:textId="77777777" w:rsidR="00F30C9B" w:rsidRDefault="00F30C9B" w:rsidP="00F30C9B">
      <w:pPr>
        <w:jc w:val="both"/>
      </w:pPr>
    </w:p>
    <w:p w14:paraId="637913E2" w14:textId="1370ADD0" w:rsidR="002716B2" w:rsidRDefault="002716B2" w:rsidP="002716B2">
      <w:pPr>
        <w:jc w:val="both"/>
      </w:pPr>
      <w:r>
        <w:t xml:space="preserve">ARADS onboard feature extraction and pattern-matching and prognostic capabilities were necessary for hands-off autonomous drilling, in space applications where lightspeed delays and Deep Space Network accessibility preclude direct human ground flight control while drilling.   Since a remote, advisory-only console is not allowed direct commanding, </w:t>
      </w:r>
      <w:proofErr w:type="spellStart"/>
      <w:r>
        <w:t>safing</w:t>
      </w:r>
      <w:proofErr w:type="spellEnd"/>
      <w:r>
        <w:t xml:space="preserve"> or direct diagnostic commands for the drill, these functions (</w:t>
      </w:r>
      <w:r w:rsidRPr="002716B2">
        <w:rPr>
          <w:b/>
          <w:bCs/>
        </w:rPr>
        <w:t>Fig. 5(a)</w:t>
      </w:r>
      <w:r w:rsidRPr="002716B2">
        <w:t>)</w:t>
      </w:r>
      <w:r>
        <w:t xml:space="preserve"> will be disabled, noted to the operator only as advisories. However, drawing on PDA’s drill health monitoring heritage, possible TRIDENT fault conditions flagged by the PDA during drilling operations (</w:t>
      </w:r>
      <w:r w:rsidRPr="002716B2">
        <w:rPr>
          <w:b/>
          <w:bCs/>
        </w:rPr>
        <w:t>Fig. 5(b))</w:t>
      </w:r>
      <w:r>
        <w:t xml:space="preserve"> would be displayed/alarmed on the PDA Console.</w:t>
      </w:r>
      <w:r w:rsidRPr="002716B2">
        <w:rPr>
          <w:noProof/>
        </w:rPr>
        <w:t xml:space="preserve"> </w:t>
      </w:r>
    </w:p>
    <w:p w14:paraId="7C642CDA" w14:textId="77777777" w:rsidR="00B636A7" w:rsidRDefault="00B636A7" w:rsidP="00D70234">
      <w:pPr>
        <w:jc w:val="both"/>
        <w:rPr>
          <w:noProof/>
        </w:rPr>
      </w:pPr>
    </w:p>
    <w:p w14:paraId="555DAD54" w14:textId="111D633A" w:rsidR="002716B2" w:rsidRPr="00E7459D" w:rsidRDefault="00B636A7" w:rsidP="002716B2">
      <w:pPr>
        <w:jc w:val="both"/>
      </w:pPr>
      <w:r>
        <w:t xml:space="preserve">PDA’s internal extrapolation and feature identifications (during drilling) complement and support model-building from drilling data. Identifying likely hard layers and ice lenses supports further exploration of </w:t>
      </w:r>
      <w:r w:rsidR="00A87F1E">
        <w:t xml:space="preserve">subsurface </w:t>
      </w:r>
      <w:r>
        <w:t>volatiles (</w:t>
      </w:r>
      <w:r w:rsidR="00A87F1E">
        <w:t xml:space="preserve">in </w:t>
      </w:r>
      <w:r>
        <w:t>form and state) when encountering a hard spot in drilling.  The PDA near-real-time analysis of drilling data</w:t>
      </w:r>
      <w:r w:rsidR="00A87F1E">
        <w:t xml:space="preserve"> can</w:t>
      </w:r>
      <w:r>
        <w:t xml:space="preserve"> improve the odds of noticing gradients and drilling anomalies, while allowing for safer drilling. </w:t>
      </w:r>
    </w:p>
    <w:p w14:paraId="4B1DCAD5" w14:textId="14B5A4BE" w:rsidR="00F30C9B" w:rsidRDefault="00746E09" w:rsidP="00CC478F">
      <w:pPr>
        <w:pStyle w:val="Heading1"/>
      </w:pPr>
      <w:bookmarkStart w:id="5" w:name="_Toc81302842"/>
      <w:r>
        <w:t>Conclusions</w:t>
      </w:r>
    </w:p>
    <w:p w14:paraId="4923F2EF" w14:textId="088F7181" w:rsidR="007D2852" w:rsidRPr="00F30C9B" w:rsidRDefault="000A3BC4" w:rsidP="00CC478F">
      <w:pPr>
        <w:jc w:val="both"/>
      </w:pPr>
      <w:r>
        <w:t xml:space="preserve">Reverse-engineering the logic and pattern-matching of an onboard automated drilling controller to create a mission control advisory tool is both feasible and leverages </w:t>
      </w:r>
      <w:r w:rsidR="005B1353">
        <w:t>an</w:t>
      </w:r>
      <w:r>
        <w:t xml:space="preserve"> existing drill</w:t>
      </w:r>
      <w:r w:rsidR="005B1353">
        <w:t>’s</w:t>
      </w:r>
      <w:r>
        <w:t xml:space="preserve"> knowledge base and experience for multiple uses. The </w:t>
      </w:r>
      <w:r w:rsidR="005B1353">
        <w:t xml:space="preserve">commercial </w:t>
      </w:r>
      <w:r>
        <w:t xml:space="preserve">drilling knowledge bases </w:t>
      </w:r>
      <w:r w:rsidR="005B1353">
        <w:t xml:space="preserve">and tools </w:t>
      </w:r>
      <w:r>
        <w:t xml:space="preserve">relevant to high-mass, high-energy terrestrial resource drilling </w:t>
      </w:r>
      <w:proofErr w:type="gramStart"/>
      <w:r>
        <w:t>are</w:t>
      </w:r>
      <w:proofErr w:type="gramEnd"/>
      <w:r>
        <w:t xml:space="preserve"> of limited applicability for planetary science and resources</w:t>
      </w:r>
      <w:r w:rsidR="005B1353">
        <w:t>; and, repurposing a real-time planetary drilling software system for off-line advisory use requires first that the real-time system exists for a comparable version (engineering test unit or fielded prototype) of the flight drilling system, so the general applicability of our conversion-approach is also limited.</w:t>
      </w:r>
      <w:r>
        <w:t xml:space="preserve"> </w:t>
      </w:r>
      <w:r w:rsidR="005B1353">
        <w:t>However, where feasible, m</w:t>
      </w:r>
      <w:r>
        <w:t xml:space="preserve">ission science drilling operations can benefit from a Planetary Drilling Advisor through improving </w:t>
      </w:r>
      <w:r>
        <w:lastRenderedPageBreak/>
        <w:t>situational awareness and subsurface feature recognition</w:t>
      </w:r>
      <w:r w:rsidR="005B1353">
        <w:t>, motivating the creation of a PDA tool where prior relevant software does exist.</w:t>
      </w:r>
    </w:p>
    <w:p w14:paraId="0D1CDD42" w14:textId="177DC526" w:rsidR="007C276A" w:rsidRPr="00CC478F" w:rsidRDefault="009C4C8A" w:rsidP="00A9011A">
      <w:pPr>
        <w:pStyle w:val="Heading1"/>
        <w:rPr>
          <w:sz w:val="32"/>
        </w:rPr>
      </w:pPr>
      <w:r>
        <w:t>References</w:t>
      </w:r>
      <w:bookmarkEnd w:id="5"/>
    </w:p>
    <w:p w14:paraId="479AAF9D" w14:textId="481A50E5" w:rsidR="007C276A" w:rsidRPr="00F510DE" w:rsidRDefault="007C276A" w:rsidP="00CC478F">
      <w:pPr>
        <w:ind w:left="720" w:hanging="720"/>
      </w:pPr>
      <w:r w:rsidRPr="00F510DE">
        <w:t xml:space="preserve">Bergman, D., et al.  (2016). Autonomous Structural Health Monitoring Techniques for the Icebreaker Drill, </w:t>
      </w:r>
      <w:r w:rsidRPr="00F510DE">
        <w:rPr>
          <w:i/>
          <w:iCs/>
        </w:rPr>
        <w:t>Earth and Space 2016: Engineering for Extreme Environments</w:t>
      </w:r>
      <w:r w:rsidRPr="00F510DE">
        <w:t>. American Society of Civil Engineers, Orlando, April 2016.</w:t>
      </w:r>
    </w:p>
    <w:p w14:paraId="5820E301" w14:textId="465BBACE" w:rsidR="007C276A" w:rsidRPr="00F510DE" w:rsidRDefault="007C276A" w:rsidP="00CC478F">
      <w:pPr>
        <w:ind w:left="720" w:hanging="720"/>
      </w:pPr>
      <w:r w:rsidRPr="00F510DE">
        <w:t xml:space="preserve">Cannon, H. N., et al. (2007) MARTE: Technology development and lessons learned from a Mars drilling mission simulation. </w:t>
      </w:r>
      <w:r w:rsidRPr="00F510DE">
        <w:rPr>
          <w:i/>
          <w:iCs/>
        </w:rPr>
        <w:t>J. Field Robotics,</w:t>
      </w:r>
      <w:r w:rsidRPr="00F510DE">
        <w:t xml:space="preserve"> 24(10), </w:t>
      </w:r>
      <w:hyperlink r:id="rId32" w:history="1">
        <w:r w:rsidRPr="00F510DE">
          <w:rPr>
            <w:rStyle w:val="Hyperlink"/>
          </w:rPr>
          <w:t>https://doi.org/10.1002/rob.20224</w:t>
        </w:r>
      </w:hyperlink>
      <w:r w:rsidRPr="00F510DE">
        <w:t>.</w:t>
      </w:r>
    </w:p>
    <w:p w14:paraId="375B87D8" w14:textId="383E3A9F" w:rsidR="007C276A" w:rsidRPr="00F510DE" w:rsidRDefault="007C276A" w:rsidP="00CC478F">
      <w:pPr>
        <w:ind w:left="720" w:hanging="720"/>
      </w:pPr>
      <w:r w:rsidRPr="00F510DE">
        <w:t xml:space="preserve">Cannon, K. M. and D. T. Britt (2020) A geologic model for lunar ice deposits at mining scales. </w:t>
      </w:r>
      <w:r w:rsidRPr="00F510DE">
        <w:rPr>
          <w:i/>
          <w:iCs/>
        </w:rPr>
        <w:t>Icarus</w:t>
      </w:r>
      <w:r w:rsidRPr="00F510DE">
        <w:t xml:space="preserve"> 347, 113778, </w:t>
      </w:r>
      <w:hyperlink r:id="rId33" w:history="1">
        <w:r w:rsidRPr="00F510DE">
          <w:rPr>
            <w:rStyle w:val="Hyperlink"/>
          </w:rPr>
          <w:t>https://doi.org/10.1016/j.icarus.2020.113778</w:t>
        </w:r>
      </w:hyperlink>
      <w:r w:rsidRPr="00F510DE">
        <w:t>.</w:t>
      </w:r>
    </w:p>
    <w:p w14:paraId="01475986" w14:textId="6E7B5DBE" w:rsidR="006F0893" w:rsidRPr="00E1591E" w:rsidRDefault="007C276A" w:rsidP="00E1591E">
      <w:pPr>
        <w:ind w:left="720" w:hanging="720"/>
      </w:pPr>
      <w:proofErr w:type="spellStart"/>
      <w:r w:rsidRPr="00F510DE">
        <w:t>Colaprete</w:t>
      </w:r>
      <w:proofErr w:type="spellEnd"/>
      <w:r w:rsidRPr="00F510DE">
        <w:t xml:space="preserve">, A., </w:t>
      </w:r>
      <w:r w:rsidR="00422D45">
        <w:t xml:space="preserve">et al., </w:t>
      </w:r>
      <w:r w:rsidRPr="00F510DE">
        <w:t xml:space="preserve">(2010) Detection of water in the LCROSS ejecta plume. </w:t>
      </w:r>
      <w:r w:rsidRPr="00F510DE">
        <w:rPr>
          <w:i/>
          <w:iCs/>
        </w:rPr>
        <w:t>Science</w:t>
      </w:r>
      <w:r w:rsidRPr="00F510DE">
        <w:t xml:space="preserve"> 330, 463.</w:t>
      </w:r>
    </w:p>
    <w:p w14:paraId="5273E2A7" w14:textId="26F5A16B" w:rsidR="006F0893" w:rsidRPr="00E1591E" w:rsidRDefault="006F0893" w:rsidP="00CC478F">
      <w:pPr>
        <w:ind w:left="720" w:hanging="720"/>
        <w:rPr>
          <w:rFonts w:eastAsia="Times New Roman" w:cs="Times New Roman"/>
        </w:rPr>
      </w:pPr>
      <w:proofErr w:type="spellStart"/>
      <w:r w:rsidRPr="00E1591E">
        <w:rPr>
          <w:rFonts w:eastAsia="Times New Roman" w:cs="Times New Roman"/>
        </w:rPr>
        <w:t>Courteille</w:t>
      </w:r>
      <w:proofErr w:type="spellEnd"/>
      <w:r w:rsidRPr="00E1591E">
        <w:rPr>
          <w:rFonts w:eastAsia="Times New Roman" w:cs="Times New Roman"/>
        </w:rPr>
        <w:t xml:space="preserve">, J.M., Fabre, M., and Hollander, C.R. (1986) An advanced solution: The Drilling Advisor.  </w:t>
      </w:r>
      <w:r w:rsidRPr="00E1591E">
        <w:rPr>
          <w:rFonts w:eastAsia="Times New Roman" w:cs="Times New Roman"/>
          <w:i/>
        </w:rPr>
        <w:t>Journal of Petroleum Technology</w:t>
      </w:r>
      <w:r w:rsidRPr="00E1591E">
        <w:rPr>
          <w:rFonts w:eastAsia="Times New Roman" w:cs="Times New Roman"/>
        </w:rPr>
        <w:t xml:space="preserve">, August 1986, pp. 899-904. </w:t>
      </w:r>
    </w:p>
    <w:p w14:paraId="083AC787" w14:textId="6F9C9C09" w:rsidR="007C276A" w:rsidRPr="00E1591E" w:rsidRDefault="006F0893" w:rsidP="00CC478F">
      <w:pPr>
        <w:ind w:left="720" w:hanging="720"/>
        <w:rPr>
          <w:rFonts w:eastAsia="Times New Roman" w:cs="Times New Roman"/>
        </w:rPr>
      </w:pPr>
      <w:proofErr w:type="spellStart"/>
      <w:r w:rsidRPr="00E1591E">
        <w:rPr>
          <w:rFonts w:eastAsia="Times New Roman" w:cs="Times New Roman"/>
        </w:rPr>
        <w:t>Dijkgraaf</w:t>
      </w:r>
      <w:proofErr w:type="spellEnd"/>
      <w:r w:rsidRPr="00E1591E">
        <w:rPr>
          <w:rFonts w:eastAsia="Times New Roman" w:cs="Times New Roman"/>
        </w:rPr>
        <w:t xml:space="preserve">, H. (2021) AI advisor helps exploration geologists make better, faster predictions. IBM Customer Stories, </w:t>
      </w:r>
      <w:hyperlink r:id="rId34" w:history="1">
        <w:r w:rsidRPr="00E1591E">
          <w:rPr>
            <w:rStyle w:val="Hyperlink"/>
            <w:rFonts w:cs="Times New Roman"/>
          </w:rPr>
          <w:t>https://www.ibm.com/blogs/client-voices/ai-helps-exploration-geologists-improve-predictions/</w:t>
        </w:r>
      </w:hyperlink>
      <w:r w:rsidRPr="00E1591E">
        <w:rPr>
          <w:rStyle w:val="Hyperlink"/>
          <w:rFonts w:cs="Times New Roman"/>
        </w:rPr>
        <w:t xml:space="preserve"> </w:t>
      </w:r>
      <w:r w:rsidR="002D46EC" w:rsidRPr="00E1591E">
        <w:rPr>
          <w:rFonts w:eastAsia="Times New Roman" w:cs="Times New Roman"/>
        </w:rPr>
        <w:t>(A</w:t>
      </w:r>
      <w:r w:rsidRPr="00E1591E">
        <w:rPr>
          <w:rFonts w:eastAsia="Times New Roman" w:cs="Times New Roman"/>
        </w:rPr>
        <w:t>pril 27, 2021</w:t>
      </w:r>
      <w:r w:rsidR="002D46EC" w:rsidRPr="00E1591E">
        <w:rPr>
          <w:rFonts w:eastAsia="Times New Roman" w:cs="Times New Roman"/>
        </w:rPr>
        <w:t>)</w:t>
      </w:r>
      <w:r w:rsidRPr="00E1591E">
        <w:rPr>
          <w:rFonts w:eastAsia="Times New Roman" w:cs="Times New Roman"/>
        </w:rPr>
        <w:t>.</w:t>
      </w:r>
    </w:p>
    <w:p w14:paraId="2D8DB437" w14:textId="1678F8AB" w:rsidR="007C276A" w:rsidRPr="00F510DE" w:rsidRDefault="007C276A" w:rsidP="00CC478F">
      <w:pPr>
        <w:ind w:left="720" w:hanging="720"/>
      </w:pPr>
      <w:r w:rsidRPr="00F510DE">
        <w:t xml:space="preserve">Dominguez, C. (1994) Can SA be defined? in </w:t>
      </w:r>
      <w:r w:rsidRPr="00F510DE">
        <w:rPr>
          <w:i/>
          <w:iCs/>
        </w:rPr>
        <w:t>Situation Awareness: Papers and Annotated Bibliography (U)</w:t>
      </w:r>
      <w:r w:rsidRPr="00F510DE">
        <w:t xml:space="preserve">, M. </w:t>
      </w:r>
      <w:proofErr w:type="spellStart"/>
      <w:r w:rsidRPr="00F510DE">
        <w:t>Vidulich</w:t>
      </w:r>
      <w:proofErr w:type="spellEnd"/>
      <w:r w:rsidRPr="00F510DE">
        <w:t xml:space="preserve">, C. Dominguez, E. Vogel, and G. McMillan, </w:t>
      </w:r>
      <w:r w:rsidRPr="00E1591E">
        <w:rPr>
          <w:i/>
          <w:iCs/>
        </w:rPr>
        <w:t>eds</w:t>
      </w:r>
      <w:r w:rsidRPr="00F510DE">
        <w:t>. Vol. AL/CF-TR-1994-0085, Armstrong Laboratory, Wright-Patterson Air Force Base, OH.</w:t>
      </w:r>
    </w:p>
    <w:p w14:paraId="323B7293" w14:textId="0FED1CDD" w:rsidR="007C276A" w:rsidRPr="00F510DE" w:rsidRDefault="007C276A" w:rsidP="00CC478F">
      <w:pPr>
        <w:ind w:left="720" w:hanging="720"/>
      </w:pPr>
      <w:proofErr w:type="spellStart"/>
      <w:r w:rsidRPr="00F510DE">
        <w:t>Estlin</w:t>
      </w:r>
      <w:proofErr w:type="spellEnd"/>
      <w:r w:rsidRPr="00F510DE">
        <w:t xml:space="preserve">, T., A. Jonsson, C </w:t>
      </w:r>
      <w:proofErr w:type="spellStart"/>
      <w:r w:rsidRPr="00F510DE">
        <w:t>Pasareanu</w:t>
      </w:r>
      <w:proofErr w:type="spellEnd"/>
      <w:r w:rsidRPr="00F510DE">
        <w:t>, et al. (2006) Plan Execution Interchange Language (PLEXIL). NASA Technical Memorandum TM-2006-213483, April 2006.</w:t>
      </w:r>
    </w:p>
    <w:p w14:paraId="27F99D03" w14:textId="77777777" w:rsidR="00E1591E" w:rsidRDefault="00E1591E" w:rsidP="00E1591E">
      <w:pPr>
        <w:ind w:left="720" w:hanging="720"/>
      </w:pPr>
      <w:r w:rsidRPr="00F510DE">
        <w:t xml:space="preserve">Glass, B., Cannon, H., Branson, M., </w:t>
      </w:r>
      <w:proofErr w:type="spellStart"/>
      <w:r w:rsidRPr="00F510DE">
        <w:t>Hanagud</w:t>
      </w:r>
      <w:proofErr w:type="spellEnd"/>
      <w:r w:rsidRPr="00F510DE">
        <w:t xml:space="preserve">, S., and G. Paulsen. (2008) DAME: planetary-prototype drilling automation. </w:t>
      </w:r>
      <w:r w:rsidRPr="00F510DE">
        <w:rPr>
          <w:i/>
        </w:rPr>
        <w:t>Astrobiology,</w:t>
      </w:r>
      <w:r w:rsidRPr="00F510DE">
        <w:t xml:space="preserve"> 8:653–664.</w:t>
      </w:r>
    </w:p>
    <w:p w14:paraId="356C3191" w14:textId="77777777" w:rsidR="00E1591E" w:rsidRPr="00F510DE" w:rsidRDefault="00E1591E" w:rsidP="00E1591E">
      <w:pPr>
        <w:ind w:left="720" w:hanging="720"/>
      </w:pPr>
      <w:r w:rsidRPr="00F510DE">
        <w:t xml:space="preserve">Glass, B., McKay, C., Dave, A. and K. </w:t>
      </w:r>
      <w:proofErr w:type="spellStart"/>
      <w:r w:rsidRPr="00F510DE">
        <w:t>Zacny</w:t>
      </w:r>
      <w:proofErr w:type="spellEnd"/>
      <w:r w:rsidRPr="00F510DE">
        <w:t xml:space="preserve">, (2014) Robotics and Automation for “Icebreaker”.  </w:t>
      </w:r>
      <w:r w:rsidRPr="00F510DE">
        <w:rPr>
          <w:i/>
        </w:rPr>
        <w:t>J. Field Robotics,</w:t>
      </w:r>
      <w:r w:rsidRPr="00F510DE">
        <w:t xml:space="preserve"> 31(1):192-205.</w:t>
      </w:r>
    </w:p>
    <w:p w14:paraId="798E5935" w14:textId="31D25BF9" w:rsidR="00E1591E" w:rsidRPr="00F510DE" w:rsidRDefault="00E1591E" w:rsidP="00E1591E">
      <w:pPr>
        <w:ind w:left="720" w:hanging="720"/>
      </w:pPr>
      <w:r w:rsidRPr="00F510DE">
        <w:t xml:space="preserve">Glass, B., </w:t>
      </w:r>
      <w:proofErr w:type="spellStart"/>
      <w:r w:rsidRPr="00F510DE">
        <w:t>Parro</w:t>
      </w:r>
      <w:proofErr w:type="spellEnd"/>
      <w:r w:rsidRPr="00F510DE">
        <w:t xml:space="preserve">, V., D. Bergman, et al. (2018) Life-Detection Mars Analog Testing </w:t>
      </w:r>
      <w:r>
        <w:t>a</w:t>
      </w:r>
      <w:r w:rsidRPr="00F510DE">
        <w:t xml:space="preserve">t Rio Tinto. </w:t>
      </w:r>
      <w:r w:rsidRPr="00F510DE">
        <w:rPr>
          <w:i/>
        </w:rPr>
        <w:t>49</w:t>
      </w:r>
      <w:r w:rsidRPr="00F510DE">
        <w:rPr>
          <w:i/>
          <w:vertAlign w:val="superscript"/>
        </w:rPr>
        <w:t>th</w:t>
      </w:r>
      <w:r w:rsidRPr="00F510DE">
        <w:rPr>
          <w:i/>
        </w:rPr>
        <w:t xml:space="preserve"> LPSC</w:t>
      </w:r>
      <w:r w:rsidRPr="00F510DE">
        <w:t>, #2927, The Woodlands, TX.</w:t>
      </w:r>
    </w:p>
    <w:p w14:paraId="7DC1FF32" w14:textId="77777777" w:rsidR="00E1591E" w:rsidRPr="00F510DE" w:rsidRDefault="00E1591E" w:rsidP="00E1591E">
      <w:pPr>
        <w:ind w:left="720" w:hanging="720"/>
      </w:pPr>
      <w:r w:rsidRPr="00F510DE">
        <w:t xml:space="preserve">Glass, B., Davila, A., </w:t>
      </w:r>
      <w:proofErr w:type="spellStart"/>
      <w:r w:rsidRPr="00F510DE">
        <w:t>Parro</w:t>
      </w:r>
      <w:proofErr w:type="spellEnd"/>
      <w:r w:rsidRPr="00F510DE">
        <w:t xml:space="preserve">, V., et al.  (2019) Atacama Rover Astrobiology Drilling Studies Project: Third Year, </w:t>
      </w:r>
      <w:r w:rsidRPr="00F510DE">
        <w:rPr>
          <w:i/>
        </w:rPr>
        <w:t>Astrobiology Science Conference</w:t>
      </w:r>
      <w:r w:rsidRPr="00F510DE">
        <w:t>, Seattle, June 2019.</w:t>
      </w:r>
    </w:p>
    <w:p w14:paraId="02FBFDDC" w14:textId="349E35C9" w:rsidR="007C276A" w:rsidRPr="00F510DE" w:rsidRDefault="007C276A" w:rsidP="00CC478F">
      <w:pPr>
        <w:ind w:left="720" w:hanging="720"/>
      </w:pPr>
      <w:r w:rsidRPr="00F510DE">
        <w:t xml:space="preserve">Glass, B., et al. (2021) Atacama Rover Astrobiology Drilling Studies (ARADS) Project: Remote Rover, Drilling and Instrument Operations in a Mission Simulation. </w:t>
      </w:r>
      <w:r w:rsidRPr="00F510DE">
        <w:rPr>
          <w:i/>
          <w:iCs/>
        </w:rPr>
        <w:t>16th International Conference on Space Operations</w:t>
      </w:r>
      <w:r w:rsidRPr="00F510DE">
        <w:t>, Cape Town, South Africa, May 2021.</w:t>
      </w:r>
    </w:p>
    <w:p w14:paraId="776A3142" w14:textId="0C20C19F" w:rsidR="00422D45" w:rsidRPr="00CC478F" w:rsidRDefault="007C276A" w:rsidP="00CC478F">
      <w:pPr>
        <w:ind w:left="720" w:hanging="720"/>
        <w:rPr>
          <w:rFonts w:asciiTheme="minorHAnsi" w:hAnsiTheme="minorHAnsi"/>
        </w:rPr>
      </w:pPr>
      <w:r w:rsidRPr="00F510DE">
        <w:t xml:space="preserve">National Research Council (1998) Modeling Human and Organizational Behavior: Application to Military Simulations. Washington, DC: The National Academies Press, 1998. </w:t>
      </w:r>
      <w:hyperlink r:id="rId35" w:history="1">
        <w:r w:rsidRPr="00F510DE">
          <w:rPr>
            <w:rStyle w:val="Hyperlink"/>
          </w:rPr>
          <w:t>https://doi.org/10.17226/6173</w:t>
        </w:r>
      </w:hyperlink>
      <w:r w:rsidRPr="00F510DE">
        <w:t>.</w:t>
      </w:r>
    </w:p>
    <w:p w14:paraId="5601DDD9" w14:textId="2A04503B" w:rsidR="00422D45" w:rsidRPr="00E1591E" w:rsidRDefault="00422D45" w:rsidP="00CC478F">
      <w:pPr>
        <w:ind w:left="720" w:hanging="720"/>
        <w:rPr>
          <w:rFonts w:eastAsia="Times New Roman" w:cs="Times New Roman"/>
        </w:rPr>
      </w:pPr>
      <w:r w:rsidRPr="00E1591E">
        <w:rPr>
          <w:rFonts w:eastAsia="Times New Roman" w:cs="Times New Roman"/>
        </w:rPr>
        <w:t xml:space="preserve">Schlumberger Ltd. (2021) Customer successes using AI in DELFI.  </w:t>
      </w:r>
      <w:r w:rsidRPr="00E1591E">
        <w:rPr>
          <w:rFonts w:eastAsia="Times New Roman" w:cs="Times New Roman"/>
          <w:i/>
          <w:iCs/>
        </w:rPr>
        <w:t>AI modules in Schlumberger DELFI exploration and production suite</w:t>
      </w:r>
      <w:r w:rsidRPr="00E1591E">
        <w:rPr>
          <w:rFonts w:eastAsia="Times New Roman" w:cs="Times New Roman"/>
        </w:rPr>
        <w:t xml:space="preserve">, </w:t>
      </w:r>
      <w:hyperlink r:id="rId36" w:anchor="interpretation" w:history="1">
        <w:r w:rsidRPr="00E1591E">
          <w:rPr>
            <w:rStyle w:val="Hyperlink"/>
            <w:rFonts w:cs="Times New Roman"/>
          </w:rPr>
          <w:t>https://www.software.slb.com/delfi/ai/customer-successes-using-ai#interpretation</w:t>
        </w:r>
      </w:hyperlink>
      <w:r w:rsidRPr="00E1591E">
        <w:rPr>
          <w:rFonts w:cs="Times New Roman"/>
        </w:rPr>
        <w:t xml:space="preserve"> </w:t>
      </w:r>
      <w:r w:rsidR="002D46EC" w:rsidRPr="00E1591E">
        <w:rPr>
          <w:rFonts w:cs="Times New Roman"/>
        </w:rPr>
        <w:t>(</w:t>
      </w:r>
      <w:r w:rsidRPr="00E1591E">
        <w:rPr>
          <w:rFonts w:eastAsia="Times New Roman" w:cs="Times New Roman"/>
        </w:rPr>
        <w:t>9 Nov 2021</w:t>
      </w:r>
      <w:r w:rsidR="002D46EC" w:rsidRPr="00E1591E">
        <w:rPr>
          <w:rFonts w:eastAsia="Times New Roman" w:cs="Times New Roman"/>
        </w:rPr>
        <w:t>)</w:t>
      </w:r>
      <w:r w:rsidRPr="00E1591E">
        <w:rPr>
          <w:rFonts w:eastAsia="Times New Roman" w:cs="Times New Roman"/>
        </w:rPr>
        <w:t>.</w:t>
      </w:r>
    </w:p>
    <w:p w14:paraId="681D56A6" w14:textId="51963FF7" w:rsidR="007C276A" w:rsidRPr="00E1591E" w:rsidRDefault="00422D45" w:rsidP="00CC478F">
      <w:pPr>
        <w:ind w:left="720" w:hanging="720"/>
        <w:rPr>
          <w:rFonts w:eastAsia="Times New Roman" w:cs="Times New Roman"/>
        </w:rPr>
      </w:pPr>
      <w:r w:rsidRPr="00E1591E">
        <w:rPr>
          <w:rFonts w:eastAsia="Times New Roman" w:cs="Times New Roman"/>
        </w:rPr>
        <w:t xml:space="preserve">Simpson, M. A. (1986) A Microcomputer Approach to Drilling Engineering Problem Solving. </w:t>
      </w:r>
      <w:r w:rsidRPr="00E1591E">
        <w:rPr>
          <w:rFonts w:eastAsia="Times New Roman" w:cs="Times New Roman"/>
          <w:i/>
        </w:rPr>
        <w:t>SPE Deep Drilling and Production Symposium</w:t>
      </w:r>
      <w:r w:rsidRPr="00E1591E">
        <w:rPr>
          <w:rFonts w:eastAsia="Times New Roman" w:cs="Times New Roman"/>
        </w:rPr>
        <w:t xml:space="preserve">, Paper SPE-14988-MS, Amarillo, Texas, April 1986, </w:t>
      </w:r>
      <w:hyperlink r:id="rId37" w:history="1">
        <w:r w:rsidRPr="00E1591E">
          <w:rPr>
            <w:rStyle w:val="Hyperlink"/>
            <w:rFonts w:eastAsia="Times New Roman" w:cs="Times New Roman"/>
          </w:rPr>
          <w:t>https://doi.org/10.2118/14988-MS</w:t>
        </w:r>
      </w:hyperlink>
    </w:p>
    <w:p w14:paraId="2858B685" w14:textId="00016AAD" w:rsidR="007C276A" w:rsidRPr="00F510DE" w:rsidRDefault="007C276A" w:rsidP="00CC478F">
      <w:pPr>
        <w:ind w:left="720" w:hanging="720"/>
      </w:pPr>
      <w:r w:rsidRPr="00F510DE">
        <w:t xml:space="preserve">Stoker, C.R., et al. (2021) A Drilling Mission to Search for Biosignatures of Life on Mars Simulated in Atacama Chile. </w:t>
      </w:r>
      <w:r w:rsidRPr="00F510DE">
        <w:rPr>
          <w:i/>
          <w:iCs/>
        </w:rPr>
        <w:t>52nd Lunar and Planetary Science Conference</w:t>
      </w:r>
      <w:r w:rsidRPr="00F510DE">
        <w:t>, #2548, March 2021.</w:t>
      </w:r>
    </w:p>
    <w:p w14:paraId="49AA9E76" w14:textId="733CD698" w:rsidR="007C276A" w:rsidRPr="00F510DE" w:rsidRDefault="007C276A" w:rsidP="00CC478F">
      <w:pPr>
        <w:ind w:left="720" w:hanging="720"/>
      </w:pPr>
      <w:r w:rsidRPr="00F510DE">
        <w:t>Stucky, T. R., et al. (2018). Autonomous Regolith Extraction Using Real-Time Diagnostics and Dynamic Plan Execution for 1 Meter Class Interplanetary Rotary-Percussive Drills. </w:t>
      </w:r>
      <w:r w:rsidRPr="00F510DE">
        <w:rPr>
          <w:i/>
          <w:iCs/>
        </w:rPr>
        <w:t>Earth and Space 2018: Engineering for Extreme Environments</w:t>
      </w:r>
      <w:r w:rsidRPr="00F510DE">
        <w:t>. American Society of Civil Engineers, Cleveland, OH 348-358.</w:t>
      </w:r>
    </w:p>
    <w:p w14:paraId="1D892F94" w14:textId="4F00F827" w:rsidR="00F11426" w:rsidRDefault="007C276A" w:rsidP="00CC478F">
      <w:pPr>
        <w:ind w:left="720" w:hanging="720"/>
      </w:pPr>
      <w:r w:rsidRPr="00F510DE">
        <w:t xml:space="preserve">Verma, V., Baskaran, V., Utz, H. and C. Fry (2007) Demonstration of Robust Execution on a NASA Lunar Rover Testbed. </w:t>
      </w:r>
      <w:r w:rsidRPr="00F510DE">
        <w:rPr>
          <w:i/>
          <w:iCs/>
        </w:rPr>
        <w:t>International Symposium on Artificial Intelligence, Robotics and Automation in Space (</w:t>
      </w:r>
      <w:proofErr w:type="spellStart"/>
      <w:r w:rsidRPr="00F510DE">
        <w:rPr>
          <w:i/>
          <w:iCs/>
        </w:rPr>
        <w:t>iSAIRAS</w:t>
      </w:r>
      <w:proofErr w:type="spellEnd"/>
      <w:r w:rsidRPr="00F510DE">
        <w:rPr>
          <w:i/>
          <w:iCs/>
        </w:rPr>
        <w:t>)</w:t>
      </w:r>
      <w:r w:rsidRPr="00F510DE">
        <w:t>, Los Angeles, 2007.</w:t>
      </w:r>
    </w:p>
    <w:p w14:paraId="327BC78D" w14:textId="108DC458" w:rsidR="00F11426" w:rsidRPr="00F510DE" w:rsidRDefault="00F11426" w:rsidP="00CC478F">
      <w:pPr>
        <w:ind w:left="720" w:hanging="720"/>
      </w:pPr>
      <w:proofErr w:type="spellStart"/>
      <w:r w:rsidRPr="00F11426">
        <w:t>Zacny</w:t>
      </w:r>
      <w:proofErr w:type="spellEnd"/>
      <w:r w:rsidRPr="00F11426">
        <w:t xml:space="preserve">, K., </w:t>
      </w:r>
      <w:r w:rsidR="00422D45">
        <w:t xml:space="preserve">et al. </w:t>
      </w:r>
      <w:r w:rsidRPr="00F11426">
        <w:t xml:space="preserve">(2013) </w:t>
      </w:r>
      <w:proofErr w:type="spellStart"/>
      <w:r w:rsidRPr="00F11426">
        <w:t>LunarVader</w:t>
      </w:r>
      <w:proofErr w:type="spellEnd"/>
      <w:r w:rsidRPr="00F11426">
        <w:t xml:space="preserve">: development and testing of a lunar drill in a vacuum chamber and in the lunar analog site of Antarctica. </w:t>
      </w:r>
      <w:r w:rsidRPr="00F11426">
        <w:rPr>
          <w:i/>
          <w:iCs/>
        </w:rPr>
        <w:t xml:space="preserve">J. </w:t>
      </w:r>
      <w:proofErr w:type="spellStart"/>
      <w:r w:rsidRPr="00F11426">
        <w:rPr>
          <w:i/>
          <w:iCs/>
        </w:rPr>
        <w:t>Aerosp</w:t>
      </w:r>
      <w:proofErr w:type="spellEnd"/>
      <w:r w:rsidRPr="00F11426">
        <w:rPr>
          <w:i/>
          <w:iCs/>
        </w:rPr>
        <w:t>. Eng</w:t>
      </w:r>
      <w:r>
        <w:t>.</w:t>
      </w:r>
      <w:r w:rsidRPr="00F11426">
        <w:t xml:space="preserve"> 26:74–86.</w:t>
      </w:r>
    </w:p>
    <w:p w14:paraId="18E3A345" w14:textId="3947AEE6" w:rsidR="00FC5F17" w:rsidRPr="007C276A" w:rsidRDefault="00FC5F17">
      <w:pPr>
        <w:rPr>
          <w:sz w:val="20"/>
          <w:szCs w:val="20"/>
        </w:rPr>
      </w:pPr>
    </w:p>
    <w:sectPr w:rsidR="00FC5F17" w:rsidRPr="007C276A" w:rsidSect="00D34A5F">
      <w:footerReference w:type="even" r:id="rId38"/>
      <w:footerReference w:type="default" r:id="rId39"/>
      <w:headerReference w:type="first" r:id="rId40"/>
      <w:pgSz w:w="12240" w:h="15840"/>
      <w:pgMar w:top="1440" w:right="1987" w:bottom="1440" w:left="1987"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B2003A" w14:textId="77777777" w:rsidR="00D82896" w:rsidRDefault="00D82896" w:rsidP="00226FFC">
      <w:r>
        <w:separator/>
      </w:r>
    </w:p>
  </w:endnote>
  <w:endnote w:type="continuationSeparator" w:id="0">
    <w:p w14:paraId="22BAC975" w14:textId="77777777" w:rsidR="00D82896" w:rsidRDefault="00D82896" w:rsidP="00226F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Headings CS)">
    <w:altName w:val="Times New Roman"/>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Times Roman">
    <w:altName w:val="Times New Roman"/>
    <w:panose1 w:val="00000500000000020000"/>
    <w:charset w:val="00"/>
    <w:family w:val="auto"/>
    <w:pitch w:val="variable"/>
    <w:sig w:usb0="E00002FF" w:usb1="5000205A" w:usb2="00000000" w:usb3="00000000" w:csb0="0000019F" w:csb1="00000000"/>
  </w:font>
  <w:font w:name="Times">
    <w:altName w:val="﷽﷽﷽﷽﷽﷽멱跍ĝ攰ž怀"/>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92002092"/>
      <w:docPartObj>
        <w:docPartGallery w:val="Page Numbers (Bottom of Page)"/>
        <w:docPartUnique/>
      </w:docPartObj>
    </w:sdtPr>
    <w:sdtEndPr>
      <w:rPr>
        <w:rStyle w:val="PageNumber"/>
      </w:rPr>
    </w:sdtEndPr>
    <w:sdtContent>
      <w:p w14:paraId="0C538DB7" w14:textId="7E257442" w:rsidR="00226FFC" w:rsidRDefault="00226FFC" w:rsidP="00A71C5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E8696C9" w14:textId="77777777" w:rsidR="00226FFC" w:rsidRDefault="00226FFC" w:rsidP="00226FF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11791811"/>
      <w:docPartObj>
        <w:docPartGallery w:val="Page Numbers (Bottom of Page)"/>
        <w:docPartUnique/>
      </w:docPartObj>
    </w:sdtPr>
    <w:sdtEndPr>
      <w:rPr>
        <w:rStyle w:val="PageNumber"/>
      </w:rPr>
    </w:sdtEndPr>
    <w:sdtContent>
      <w:p w14:paraId="4E0ED6C6" w14:textId="6AF65874" w:rsidR="00226FFC" w:rsidRDefault="00226FFC" w:rsidP="00A71C5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10D80B2" w14:textId="77777777" w:rsidR="00226FFC" w:rsidRDefault="00226FFC" w:rsidP="00226FF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E7210B" w14:textId="77777777" w:rsidR="00D82896" w:rsidRDefault="00D82896" w:rsidP="00226FFC">
      <w:r>
        <w:separator/>
      </w:r>
    </w:p>
  </w:footnote>
  <w:footnote w:type="continuationSeparator" w:id="0">
    <w:p w14:paraId="5F7D16C9" w14:textId="77777777" w:rsidR="00D82896" w:rsidRDefault="00D82896" w:rsidP="00226F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717CA" w14:textId="76D8C3F2" w:rsidR="00A71C55" w:rsidRDefault="00A71C55">
    <w:pPr>
      <w:pStyle w:val="Heade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D3128"/>
    <w:multiLevelType w:val="hybridMultilevel"/>
    <w:tmpl w:val="078AB84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6C1A6D"/>
    <w:multiLevelType w:val="hybridMultilevel"/>
    <w:tmpl w:val="110A2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A44397"/>
    <w:multiLevelType w:val="hybridMultilevel"/>
    <w:tmpl w:val="958802E0"/>
    <w:lvl w:ilvl="0" w:tplc="FFFFFFFF">
      <w:start w:val="1"/>
      <w:numFmt w:val="decimal"/>
      <w:lvlText w:val="%1."/>
      <w:lvlJc w:val="left"/>
      <w:pPr>
        <w:ind w:left="720" w:hanging="360"/>
      </w:pPr>
    </w:lvl>
    <w:lvl w:ilvl="1" w:tplc="E7007D18">
      <w:start w:val="1"/>
      <w:numFmt w:val="lowerLetter"/>
      <w:lvlText w:val="%2."/>
      <w:lvlJc w:val="left"/>
      <w:pPr>
        <w:ind w:left="1440" w:hanging="360"/>
      </w:pPr>
    </w:lvl>
    <w:lvl w:ilvl="2" w:tplc="825C8D40">
      <w:start w:val="1"/>
      <w:numFmt w:val="lowerRoman"/>
      <w:lvlText w:val="%3."/>
      <w:lvlJc w:val="right"/>
      <w:pPr>
        <w:ind w:left="2160" w:hanging="180"/>
      </w:pPr>
    </w:lvl>
    <w:lvl w:ilvl="3" w:tplc="66DC7B50">
      <w:start w:val="1"/>
      <w:numFmt w:val="decimal"/>
      <w:lvlText w:val="%4."/>
      <w:lvlJc w:val="left"/>
      <w:pPr>
        <w:ind w:left="2880" w:hanging="360"/>
      </w:pPr>
    </w:lvl>
    <w:lvl w:ilvl="4" w:tplc="2C8075E4">
      <w:start w:val="1"/>
      <w:numFmt w:val="lowerLetter"/>
      <w:lvlText w:val="%5."/>
      <w:lvlJc w:val="left"/>
      <w:pPr>
        <w:ind w:left="3600" w:hanging="360"/>
      </w:pPr>
    </w:lvl>
    <w:lvl w:ilvl="5" w:tplc="31980C2E">
      <w:start w:val="1"/>
      <w:numFmt w:val="lowerRoman"/>
      <w:lvlText w:val="%6."/>
      <w:lvlJc w:val="right"/>
      <w:pPr>
        <w:ind w:left="4320" w:hanging="180"/>
      </w:pPr>
    </w:lvl>
    <w:lvl w:ilvl="6" w:tplc="A93622FE">
      <w:start w:val="1"/>
      <w:numFmt w:val="decimal"/>
      <w:lvlText w:val="%7."/>
      <w:lvlJc w:val="left"/>
      <w:pPr>
        <w:ind w:left="5040" w:hanging="360"/>
      </w:pPr>
    </w:lvl>
    <w:lvl w:ilvl="7" w:tplc="E896722A">
      <w:start w:val="1"/>
      <w:numFmt w:val="lowerLetter"/>
      <w:lvlText w:val="%8."/>
      <w:lvlJc w:val="left"/>
      <w:pPr>
        <w:ind w:left="5760" w:hanging="360"/>
      </w:pPr>
    </w:lvl>
    <w:lvl w:ilvl="8" w:tplc="11FAE5EE">
      <w:start w:val="1"/>
      <w:numFmt w:val="lowerRoman"/>
      <w:lvlText w:val="%9."/>
      <w:lvlJc w:val="right"/>
      <w:pPr>
        <w:ind w:left="6480" w:hanging="180"/>
      </w:pPr>
    </w:lvl>
  </w:abstractNum>
  <w:abstractNum w:abstractNumId="3" w15:restartNumberingAfterBreak="0">
    <w:nsid w:val="343F1FB9"/>
    <w:multiLevelType w:val="hybridMultilevel"/>
    <w:tmpl w:val="2FEA92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CD4863"/>
    <w:multiLevelType w:val="hybridMultilevel"/>
    <w:tmpl w:val="9D0E8E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3B445F"/>
    <w:multiLevelType w:val="hybridMultilevel"/>
    <w:tmpl w:val="8502036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FE466F"/>
    <w:multiLevelType w:val="hybridMultilevel"/>
    <w:tmpl w:val="1DBAC846"/>
    <w:lvl w:ilvl="0" w:tplc="5ACA8B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7AA840AC"/>
    <w:multiLevelType w:val="hybridMultilevel"/>
    <w:tmpl w:val="FFFFFFFF"/>
    <w:lvl w:ilvl="0" w:tplc="A8A2C5D8">
      <w:start w:val="1"/>
      <w:numFmt w:val="bullet"/>
      <w:lvlText w:val=""/>
      <w:lvlJc w:val="left"/>
      <w:pPr>
        <w:ind w:left="720" w:hanging="360"/>
      </w:pPr>
      <w:rPr>
        <w:rFonts w:ascii="Symbol" w:hAnsi="Symbol" w:hint="default"/>
      </w:rPr>
    </w:lvl>
    <w:lvl w:ilvl="1" w:tplc="A90EE70A">
      <w:start w:val="1"/>
      <w:numFmt w:val="bullet"/>
      <w:lvlText w:val="o"/>
      <w:lvlJc w:val="left"/>
      <w:pPr>
        <w:ind w:left="1440" w:hanging="360"/>
      </w:pPr>
      <w:rPr>
        <w:rFonts w:ascii="Courier New" w:hAnsi="Courier New" w:hint="default"/>
      </w:rPr>
    </w:lvl>
    <w:lvl w:ilvl="2" w:tplc="FE2471A2">
      <w:start w:val="1"/>
      <w:numFmt w:val="bullet"/>
      <w:lvlText w:val=""/>
      <w:lvlJc w:val="left"/>
      <w:pPr>
        <w:ind w:left="2160" w:hanging="360"/>
      </w:pPr>
      <w:rPr>
        <w:rFonts w:ascii="Wingdings" w:hAnsi="Wingdings" w:hint="default"/>
      </w:rPr>
    </w:lvl>
    <w:lvl w:ilvl="3" w:tplc="F28EBC94">
      <w:start w:val="1"/>
      <w:numFmt w:val="bullet"/>
      <w:lvlText w:val=""/>
      <w:lvlJc w:val="left"/>
      <w:pPr>
        <w:ind w:left="2880" w:hanging="360"/>
      </w:pPr>
      <w:rPr>
        <w:rFonts w:ascii="Symbol" w:hAnsi="Symbol" w:hint="default"/>
      </w:rPr>
    </w:lvl>
    <w:lvl w:ilvl="4" w:tplc="1794D14C">
      <w:start w:val="1"/>
      <w:numFmt w:val="bullet"/>
      <w:lvlText w:val="o"/>
      <w:lvlJc w:val="left"/>
      <w:pPr>
        <w:ind w:left="3600" w:hanging="360"/>
      </w:pPr>
      <w:rPr>
        <w:rFonts w:ascii="Courier New" w:hAnsi="Courier New" w:hint="default"/>
      </w:rPr>
    </w:lvl>
    <w:lvl w:ilvl="5" w:tplc="DBE44BE2">
      <w:start w:val="1"/>
      <w:numFmt w:val="bullet"/>
      <w:lvlText w:val=""/>
      <w:lvlJc w:val="left"/>
      <w:pPr>
        <w:ind w:left="4320" w:hanging="360"/>
      </w:pPr>
      <w:rPr>
        <w:rFonts w:ascii="Wingdings" w:hAnsi="Wingdings" w:hint="default"/>
      </w:rPr>
    </w:lvl>
    <w:lvl w:ilvl="6" w:tplc="B46C2FD2">
      <w:start w:val="1"/>
      <w:numFmt w:val="bullet"/>
      <w:lvlText w:val=""/>
      <w:lvlJc w:val="left"/>
      <w:pPr>
        <w:ind w:left="5040" w:hanging="360"/>
      </w:pPr>
      <w:rPr>
        <w:rFonts w:ascii="Symbol" w:hAnsi="Symbol" w:hint="default"/>
      </w:rPr>
    </w:lvl>
    <w:lvl w:ilvl="7" w:tplc="0FC44AE8">
      <w:start w:val="1"/>
      <w:numFmt w:val="bullet"/>
      <w:lvlText w:val="o"/>
      <w:lvlJc w:val="left"/>
      <w:pPr>
        <w:ind w:left="5760" w:hanging="360"/>
      </w:pPr>
      <w:rPr>
        <w:rFonts w:ascii="Courier New" w:hAnsi="Courier New" w:hint="default"/>
      </w:rPr>
    </w:lvl>
    <w:lvl w:ilvl="8" w:tplc="10840424">
      <w:start w:val="1"/>
      <w:numFmt w:val="bullet"/>
      <w:lvlText w:val=""/>
      <w:lvlJc w:val="left"/>
      <w:pPr>
        <w:ind w:left="6480" w:hanging="360"/>
      </w:pPr>
      <w:rPr>
        <w:rFonts w:ascii="Wingdings" w:hAnsi="Wingdings" w:hint="default"/>
      </w:rPr>
    </w:lvl>
  </w:abstractNum>
  <w:abstractNum w:abstractNumId="8" w15:restartNumberingAfterBreak="0">
    <w:nsid w:val="7E43244F"/>
    <w:multiLevelType w:val="hybridMultilevel"/>
    <w:tmpl w:val="589CDD7A"/>
    <w:lvl w:ilvl="0" w:tplc="4F18CF38">
      <w:start w:val="1"/>
      <w:numFmt w:val="bullet"/>
      <w:lvlText w:val="•"/>
      <w:lvlJc w:val="left"/>
      <w:pPr>
        <w:tabs>
          <w:tab w:val="num" w:pos="720"/>
        </w:tabs>
        <w:ind w:left="720" w:hanging="360"/>
      </w:pPr>
      <w:rPr>
        <w:rFonts w:ascii="Times New Roman" w:hAnsi="Times New Roman" w:hint="default"/>
      </w:rPr>
    </w:lvl>
    <w:lvl w:ilvl="1" w:tplc="3F8C2F9E">
      <w:numFmt w:val="bullet"/>
      <w:lvlText w:val="–"/>
      <w:lvlJc w:val="left"/>
      <w:pPr>
        <w:tabs>
          <w:tab w:val="num" w:pos="1440"/>
        </w:tabs>
        <w:ind w:left="1440" w:hanging="360"/>
      </w:pPr>
      <w:rPr>
        <w:rFonts w:ascii="Times New Roman" w:hAnsi="Times New Roman" w:hint="default"/>
      </w:rPr>
    </w:lvl>
    <w:lvl w:ilvl="2" w:tplc="06289B2E" w:tentative="1">
      <w:start w:val="1"/>
      <w:numFmt w:val="bullet"/>
      <w:lvlText w:val="•"/>
      <w:lvlJc w:val="left"/>
      <w:pPr>
        <w:tabs>
          <w:tab w:val="num" w:pos="2160"/>
        </w:tabs>
        <w:ind w:left="2160" w:hanging="360"/>
      </w:pPr>
      <w:rPr>
        <w:rFonts w:ascii="Times New Roman" w:hAnsi="Times New Roman" w:hint="default"/>
      </w:rPr>
    </w:lvl>
    <w:lvl w:ilvl="3" w:tplc="E2569E8C" w:tentative="1">
      <w:start w:val="1"/>
      <w:numFmt w:val="bullet"/>
      <w:lvlText w:val="•"/>
      <w:lvlJc w:val="left"/>
      <w:pPr>
        <w:tabs>
          <w:tab w:val="num" w:pos="2880"/>
        </w:tabs>
        <w:ind w:left="2880" w:hanging="360"/>
      </w:pPr>
      <w:rPr>
        <w:rFonts w:ascii="Times New Roman" w:hAnsi="Times New Roman" w:hint="default"/>
      </w:rPr>
    </w:lvl>
    <w:lvl w:ilvl="4" w:tplc="F5CE626E" w:tentative="1">
      <w:start w:val="1"/>
      <w:numFmt w:val="bullet"/>
      <w:lvlText w:val="•"/>
      <w:lvlJc w:val="left"/>
      <w:pPr>
        <w:tabs>
          <w:tab w:val="num" w:pos="3600"/>
        </w:tabs>
        <w:ind w:left="3600" w:hanging="360"/>
      </w:pPr>
      <w:rPr>
        <w:rFonts w:ascii="Times New Roman" w:hAnsi="Times New Roman" w:hint="default"/>
      </w:rPr>
    </w:lvl>
    <w:lvl w:ilvl="5" w:tplc="8A1E2D18" w:tentative="1">
      <w:start w:val="1"/>
      <w:numFmt w:val="bullet"/>
      <w:lvlText w:val="•"/>
      <w:lvlJc w:val="left"/>
      <w:pPr>
        <w:tabs>
          <w:tab w:val="num" w:pos="4320"/>
        </w:tabs>
        <w:ind w:left="4320" w:hanging="360"/>
      </w:pPr>
      <w:rPr>
        <w:rFonts w:ascii="Times New Roman" w:hAnsi="Times New Roman" w:hint="default"/>
      </w:rPr>
    </w:lvl>
    <w:lvl w:ilvl="6" w:tplc="7BD88706" w:tentative="1">
      <w:start w:val="1"/>
      <w:numFmt w:val="bullet"/>
      <w:lvlText w:val="•"/>
      <w:lvlJc w:val="left"/>
      <w:pPr>
        <w:tabs>
          <w:tab w:val="num" w:pos="5040"/>
        </w:tabs>
        <w:ind w:left="5040" w:hanging="360"/>
      </w:pPr>
      <w:rPr>
        <w:rFonts w:ascii="Times New Roman" w:hAnsi="Times New Roman" w:hint="default"/>
      </w:rPr>
    </w:lvl>
    <w:lvl w:ilvl="7" w:tplc="6208236E" w:tentative="1">
      <w:start w:val="1"/>
      <w:numFmt w:val="bullet"/>
      <w:lvlText w:val="•"/>
      <w:lvlJc w:val="left"/>
      <w:pPr>
        <w:tabs>
          <w:tab w:val="num" w:pos="5760"/>
        </w:tabs>
        <w:ind w:left="5760" w:hanging="360"/>
      </w:pPr>
      <w:rPr>
        <w:rFonts w:ascii="Times New Roman" w:hAnsi="Times New Roman" w:hint="default"/>
      </w:rPr>
    </w:lvl>
    <w:lvl w:ilvl="8" w:tplc="AE00D052" w:tentative="1">
      <w:start w:val="1"/>
      <w:numFmt w:val="bullet"/>
      <w:lvlText w:val="•"/>
      <w:lvlJc w:val="left"/>
      <w:pPr>
        <w:tabs>
          <w:tab w:val="num" w:pos="6480"/>
        </w:tabs>
        <w:ind w:left="6480" w:hanging="360"/>
      </w:pPr>
      <w:rPr>
        <w:rFonts w:ascii="Times New Roman" w:hAnsi="Times New Roman" w:hint="default"/>
      </w:rPr>
    </w:lvl>
  </w:abstractNum>
  <w:num w:numId="1">
    <w:abstractNumId w:val="8"/>
  </w:num>
  <w:num w:numId="2">
    <w:abstractNumId w:val="1"/>
  </w:num>
  <w:num w:numId="3">
    <w:abstractNumId w:val="5"/>
  </w:num>
  <w:num w:numId="4">
    <w:abstractNumId w:val="4"/>
  </w:num>
  <w:num w:numId="5">
    <w:abstractNumId w:val="0"/>
  </w:num>
  <w:num w:numId="6">
    <w:abstractNumId w:val="7"/>
  </w:num>
  <w:num w:numId="7">
    <w:abstractNumId w:val="2"/>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5889"/>
    <w:rsid w:val="000108D2"/>
    <w:rsid w:val="00015B46"/>
    <w:rsid w:val="00017789"/>
    <w:rsid w:val="00027886"/>
    <w:rsid w:val="000307B2"/>
    <w:rsid w:val="0004038C"/>
    <w:rsid w:val="0004147C"/>
    <w:rsid w:val="00082693"/>
    <w:rsid w:val="000865AB"/>
    <w:rsid w:val="000A3BC4"/>
    <w:rsid w:val="000B1DE2"/>
    <w:rsid w:val="000C5E81"/>
    <w:rsid w:val="000C6B78"/>
    <w:rsid w:val="000F54FC"/>
    <w:rsid w:val="00101D33"/>
    <w:rsid w:val="001259D5"/>
    <w:rsid w:val="001307CC"/>
    <w:rsid w:val="00132A28"/>
    <w:rsid w:val="00152B1C"/>
    <w:rsid w:val="00167A01"/>
    <w:rsid w:val="00181481"/>
    <w:rsid w:val="00191D43"/>
    <w:rsid w:val="0019620B"/>
    <w:rsid w:val="001974F1"/>
    <w:rsid w:val="001A3AB7"/>
    <w:rsid w:val="001B24DC"/>
    <w:rsid w:val="001B705B"/>
    <w:rsid w:val="001C079D"/>
    <w:rsid w:val="001C521C"/>
    <w:rsid w:val="001D3EC5"/>
    <w:rsid w:val="001D4CC9"/>
    <w:rsid w:val="001D75C4"/>
    <w:rsid w:val="001E5DAD"/>
    <w:rsid w:val="00206D7D"/>
    <w:rsid w:val="00222A38"/>
    <w:rsid w:val="00226FFC"/>
    <w:rsid w:val="00231C23"/>
    <w:rsid w:val="00236EA5"/>
    <w:rsid w:val="00241485"/>
    <w:rsid w:val="00244AF7"/>
    <w:rsid w:val="00246F61"/>
    <w:rsid w:val="00252E0C"/>
    <w:rsid w:val="00261B2A"/>
    <w:rsid w:val="002642DA"/>
    <w:rsid w:val="002716B2"/>
    <w:rsid w:val="00280C6A"/>
    <w:rsid w:val="0028530F"/>
    <w:rsid w:val="00286091"/>
    <w:rsid w:val="002B18C1"/>
    <w:rsid w:val="002C082C"/>
    <w:rsid w:val="002D46EC"/>
    <w:rsid w:val="002D65B8"/>
    <w:rsid w:val="002D7D02"/>
    <w:rsid w:val="002E2011"/>
    <w:rsid w:val="002E7B9A"/>
    <w:rsid w:val="002F70FD"/>
    <w:rsid w:val="002F7F78"/>
    <w:rsid w:val="00307F31"/>
    <w:rsid w:val="00314CF8"/>
    <w:rsid w:val="00316899"/>
    <w:rsid w:val="00330565"/>
    <w:rsid w:val="00337E28"/>
    <w:rsid w:val="00361E42"/>
    <w:rsid w:val="00373CF9"/>
    <w:rsid w:val="00375F91"/>
    <w:rsid w:val="00383526"/>
    <w:rsid w:val="00386ADE"/>
    <w:rsid w:val="00387F79"/>
    <w:rsid w:val="00397E8F"/>
    <w:rsid w:val="003A2CCE"/>
    <w:rsid w:val="003B25C7"/>
    <w:rsid w:val="003B5876"/>
    <w:rsid w:val="003B6765"/>
    <w:rsid w:val="003C0B1D"/>
    <w:rsid w:val="003C2F80"/>
    <w:rsid w:val="003C557C"/>
    <w:rsid w:val="003D216F"/>
    <w:rsid w:val="003E6718"/>
    <w:rsid w:val="003F1C07"/>
    <w:rsid w:val="00407204"/>
    <w:rsid w:val="00412234"/>
    <w:rsid w:val="00420540"/>
    <w:rsid w:val="00422D45"/>
    <w:rsid w:val="00445CE9"/>
    <w:rsid w:val="00447E0F"/>
    <w:rsid w:val="00450C9B"/>
    <w:rsid w:val="0045302B"/>
    <w:rsid w:val="00465FB6"/>
    <w:rsid w:val="004739B1"/>
    <w:rsid w:val="004862A4"/>
    <w:rsid w:val="004911D2"/>
    <w:rsid w:val="00493534"/>
    <w:rsid w:val="004C0C6C"/>
    <w:rsid w:val="004C6CCB"/>
    <w:rsid w:val="004E2547"/>
    <w:rsid w:val="004E42EE"/>
    <w:rsid w:val="004E5395"/>
    <w:rsid w:val="004F0E1A"/>
    <w:rsid w:val="004F720B"/>
    <w:rsid w:val="00501A37"/>
    <w:rsid w:val="00503747"/>
    <w:rsid w:val="005045BF"/>
    <w:rsid w:val="00504E79"/>
    <w:rsid w:val="00513277"/>
    <w:rsid w:val="0051343A"/>
    <w:rsid w:val="00513EB9"/>
    <w:rsid w:val="00514886"/>
    <w:rsid w:val="00523E3A"/>
    <w:rsid w:val="00526FF9"/>
    <w:rsid w:val="005377D2"/>
    <w:rsid w:val="0054219D"/>
    <w:rsid w:val="00546404"/>
    <w:rsid w:val="00551936"/>
    <w:rsid w:val="00560851"/>
    <w:rsid w:val="0057573D"/>
    <w:rsid w:val="00577BFF"/>
    <w:rsid w:val="00580D57"/>
    <w:rsid w:val="00585D50"/>
    <w:rsid w:val="00586B67"/>
    <w:rsid w:val="0058727F"/>
    <w:rsid w:val="0059098D"/>
    <w:rsid w:val="005928A8"/>
    <w:rsid w:val="00595DFF"/>
    <w:rsid w:val="005A0A07"/>
    <w:rsid w:val="005B1353"/>
    <w:rsid w:val="005B3D30"/>
    <w:rsid w:val="005C1C35"/>
    <w:rsid w:val="005C530D"/>
    <w:rsid w:val="005D7533"/>
    <w:rsid w:val="006072FD"/>
    <w:rsid w:val="00613A89"/>
    <w:rsid w:val="00616B6F"/>
    <w:rsid w:val="00623C1D"/>
    <w:rsid w:val="00630A39"/>
    <w:rsid w:val="00633343"/>
    <w:rsid w:val="00633EB7"/>
    <w:rsid w:val="00641DB7"/>
    <w:rsid w:val="00646917"/>
    <w:rsid w:val="00652AA3"/>
    <w:rsid w:val="00663CEA"/>
    <w:rsid w:val="00665239"/>
    <w:rsid w:val="00673D95"/>
    <w:rsid w:val="00681340"/>
    <w:rsid w:val="00683034"/>
    <w:rsid w:val="00686170"/>
    <w:rsid w:val="006B2754"/>
    <w:rsid w:val="006B4221"/>
    <w:rsid w:val="006B7665"/>
    <w:rsid w:val="006D0450"/>
    <w:rsid w:val="006E0161"/>
    <w:rsid w:val="006F0893"/>
    <w:rsid w:val="006F134F"/>
    <w:rsid w:val="006F2D9A"/>
    <w:rsid w:val="00700237"/>
    <w:rsid w:val="00726C11"/>
    <w:rsid w:val="007437C4"/>
    <w:rsid w:val="00743F03"/>
    <w:rsid w:val="00746E09"/>
    <w:rsid w:val="0074727A"/>
    <w:rsid w:val="00755EAB"/>
    <w:rsid w:val="00780A9F"/>
    <w:rsid w:val="00780BA5"/>
    <w:rsid w:val="007A4E2A"/>
    <w:rsid w:val="007A516F"/>
    <w:rsid w:val="007B135B"/>
    <w:rsid w:val="007B20C3"/>
    <w:rsid w:val="007C276A"/>
    <w:rsid w:val="007C4FE1"/>
    <w:rsid w:val="007D2852"/>
    <w:rsid w:val="007D6571"/>
    <w:rsid w:val="007E0AEF"/>
    <w:rsid w:val="007E1284"/>
    <w:rsid w:val="007E1A36"/>
    <w:rsid w:val="007E622F"/>
    <w:rsid w:val="007F0351"/>
    <w:rsid w:val="007F4A51"/>
    <w:rsid w:val="007F6B8B"/>
    <w:rsid w:val="00800B61"/>
    <w:rsid w:val="008045CE"/>
    <w:rsid w:val="008059A9"/>
    <w:rsid w:val="00806A96"/>
    <w:rsid w:val="0082176D"/>
    <w:rsid w:val="00822B81"/>
    <w:rsid w:val="00836D91"/>
    <w:rsid w:val="00844654"/>
    <w:rsid w:val="00862739"/>
    <w:rsid w:val="00865DC6"/>
    <w:rsid w:val="00870433"/>
    <w:rsid w:val="008807CA"/>
    <w:rsid w:val="00884797"/>
    <w:rsid w:val="008D1CDB"/>
    <w:rsid w:val="008D4D1D"/>
    <w:rsid w:val="008E3B2C"/>
    <w:rsid w:val="008E63F5"/>
    <w:rsid w:val="008E6D9C"/>
    <w:rsid w:val="008F48C8"/>
    <w:rsid w:val="00907FE9"/>
    <w:rsid w:val="00913548"/>
    <w:rsid w:val="00914CAF"/>
    <w:rsid w:val="00914EF8"/>
    <w:rsid w:val="00923498"/>
    <w:rsid w:val="00930BCB"/>
    <w:rsid w:val="00937139"/>
    <w:rsid w:val="00945979"/>
    <w:rsid w:val="00946563"/>
    <w:rsid w:val="009508C5"/>
    <w:rsid w:val="00964DC1"/>
    <w:rsid w:val="00971C71"/>
    <w:rsid w:val="009755E2"/>
    <w:rsid w:val="00975889"/>
    <w:rsid w:val="00977E35"/>
    <w:rsid w:val="009B457D"/>
    <w:rsid w:val="009B6C75"/>
    <w:rsid w:val="009B725D"/>
    <w:rsid w:val="009C105D"/>
    <w:rsid w:val="009C11CC"/>
    <w:rsid w:val="009C26D8"/>
    <w:rsid w:val="009C2959"/>
    <w:rsid w:val="009C2E93"/>
    <w:rsid w:val="009C4C8A"/>
    <w:rsid w:val="009C69D4"/>
    <w:rsid w:val="009C7F6B"/>
    <w:rsid w:val="009D22A2"/>
    <w:rsid w:val="009E2948"/>
    <w:rsid w:val="009E48CA"/>
    <w:rsid w:val="009E506D"/>
    <w:rsid w:val="009E5C5D"/>
    <w:rsid w:val="00A0099C"/>
    <w:rsid w:val="00A240A2"/>
    <w:rsid w:val="00A26C04"/>
    <w:rsid w:val="00A3108D"/>
    <w:rsid w:val="00A34D5D"/>
    <w:rsid w:val="00A34EEB"/>
    <w:rsid w:val="00A43FA8"/>
    <w:rsid w:val="00A46D9F"/>
    <w:rsid w:val="00A626FC"/>
    <w:rsid w:val="00A62DA3"/>
    <w:rsid w:val="00A650B2"/>
    <w:rsid w:val="00A66992"/>
    <w:rsid w:val="00A71C55"/>
    <w:rsid w:val="00A731DE"/>
    <w:rsid w:val="00A77A3A"/>
    <w:rsid w:val="00A87F1E"/>
    <w:rsid w:val="00A9011A"/>
    <w:rsid w:val="00A9163B"/>
    <w:rsid w:val="00AA64F8"/>
    <w:rsid w:val="00AC0936"/>
    <w:rsid w:val="00AC7BA1"/>
    <w:rsid w:val="00AE13FF"/>
    <w:rsid w:val="00AE16BA"/>
    <w:rsid w:val="00B13CBA"/>
    <w:rsid w:val="00B54842"/>
    <w:rsid w:val="00B56B40"/>
    <w:rsid w:val="00B617AB"/>
    <w:rsid w:val="00B636A7"/>
    <w:rsid w:val="00B643EC"/>
    <w:rsid w:val="00B66DA1"/>
    <w:rsid w:val="00B70257"/>
    <w:rsid w:val="00B81B4B"/>
    <w:rsid w:val="00B82A17"/>
    <w:rsid w:val="00B8714E"/>
    <w:rsid w:val="00B92CC5"/>
    <w:rsid w:val="00BA421A"/>
    <w:rsid w:val="00BB42E4"/>
    <w:rsid w:val="00BC60EA"/>
    <w:rsid w:val="00BD2307"/>
    <w:rsid w:val="00BD5263"/>
    <w:rsid w:val="00BD7FBF"/>
    <w:rsid w:val="00BE1C69"/>
    <w:rsid w:val="00BE2199"/>
    <w:rsid w:val="00BE7CDB"/>
    <w:rsid w:val="00BF3360"/>
    <w:rsid w:val="00BF4484"/>
    <w:rsid w:val="00C008C1"/>
    <w:rsid w:val="00C155BA"/>
    <w:rsid w:val="00C3209B"/>
    <w:rsid w:val="00C47547"/>
    <w:rsid w:val="00C47D8B"/>
    <w:rsid w:val="00C64EB9"/>
    <w:rsid w:val="00C72C4A"/>
    <w:rsid w:val="00C911A3"/>
    <w:rsid w:val="00C94DE4"/>
    <w:rsid w:val="00C96DBC"/>
    <w:rsid w:val="00CC1B06"/>
    <w:rsid w:val="00CC478F"/>
    <w:rsid w:val="00CF0BE7"/>
    <w:rsid w:val="00D03E3D"/>
    <w:rsid w:val="00D07A3B"/>
    <w:rsid w:val="00D07A76"/>
    <w:rsid w:val="00D14DB2"/>
    <w:rsid w:val="00D15491"/>
    <w:rsid w:val="00D24ADF"/>
    <w:rsid w:val="00D30987"/>
    <w:rsid w:val="00D34A5F"/>
    <w:rsid w:val="00D445F4"/>
    <w:rsid w:val="00D70234"/>
    <w:rsid w:val="00D76DDA"/>
    <w:rsid w:val="00D76DFB"/>
    <w:rsid w:val="00D8037A"/>
    <w:rsid w:val="00D82896"/>
    <w:rsid w:val="00D914DF"/>
    <w:rsid w:val="00DB4FBB"/>
    <w:rsid w:val="00DB5CB5"/>
    <w:rsid w:val="00DC5428"/>
    <w:rsid w:val="00DC61A3"/>
    <w:rsid w:val="00DD0363"/>
    <w:rsid w:val="00DD063D"/>
    <w:rsid w:val="00DD2AF6"/>
    <w:rsid w:val="00DD31AD"/>
    <w:rsid w:val="00DE678F"/>
    <w:rsid w:val="00DF39B6"/>
    <w:rsid w:val="00E02244"/>
    <w:rsid w:val="00E027DC"/>
    <w:rsid w:val="00E04A9A"/>
    <w:rsid w:val="00E10CBD"/>
    <w:rsid w:val="00E13D2A"/>
    <w:rsid w:val="00E1591E"/>
    <w:rsid w:val="00E237F8"/>
    <w:rsid w:val="00E25FCC"/>
    <w:rsid w:val="00E42D76"/>
    <w:rsid w:val="00E56BFB"/>
    <w:rsid w:val="00E6212B"/>
    <w:rsid w:val="00E65A32"/>
    <w:rsid w:val="00E6711A"/>
    <w:rsid w:val="00E707B2"/>
    <w:rsid w:val="00E70A45"/>
    <w:rsid w:val="00E7459D"/>
    <w:rsid w:val="00E7688B"/>
    <w:rsid w:val="00E82A68"/>
    <w:rsid w:val="00E9208B"/>
    <w:rsid w:val="00EA02B4"/>
    <w:rsid w:val="00EA27F8"/>
    <w:rsid w:val="00EA708F"/>
    <w:rsid w:val="00EC5D13"/>
    <w:rsid w:val="00ED5705"/>
    <w:rsid w:val="00EF2783"/>
    <w:rsid w:val="00EF2E8A"/>
    <w:rsid w:val="00EF2F55"/>
    <w:rsid w:val="00EF5FA7"/>
    <w:rsid w:val="00F007E5"/>
    <w:rsid w:val="00F0266B"/>
    <w:rsid w:val="00F0352E"/>
    <w:rsid w:val="00F11426"/>
    <w:rsid w:val="00F20E91"/>
    <w:rsid w:val="00F30C9B"/>
    <w:rsid w:val="00F329CA"/>
    <w:rsid w:val="00F510DE"/>
    <w:rsid w:val="00F56F37"/>
    <w:rsid w:val="00F577A0"/>
    <w:rsid w:val="00F61F13"/>
    <w:rsid w:val="00F66D47"/>
    <w:rsid w:val="00F674EF"/>
    <w:rsid w:val="00F74568"/>
    <w:rsid w:val="00F77652"/>
    <w:rsid w:val="00F7767E"/>
    <w:rsid w:val="00F875D9"/>
    <w:rsid w:val="00FC1A54"/>
    <w:rsid w:val="00FC5F17"/>
    <w:rsid w:val="00FD0D20"/>
    <w:rsid w:val="00FD329B"/>
    <w:rsid w:val="00FD5550"/>
    <w:rsid w:val="00FE61C4"/>
    <w:rsid w:val="00FF75B7"/>
    <w:rsid w:val="00FF7E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4E6451"/>
  <w14:defaultImageDpi w14:val="32767"/>
  <w15:chartTrackingRefBased/>
  <w15:docId w15:val="{A13622ED-12EE-2149-9D9D-31007D2A8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34A5F"/>
    <w:rPr>
      <w:rFonts w:ascii="Times New Roman" w:hAnsi="Times New Roman"/>
    </w:rPr>
  </w:style>
  <w:style w:type="paragraph" w:styleId="Heading1">
    <w:name w:val="heading 1"/>
    <w:basedOn w:val="Normal"/>
    <w:next w:val="Normal"/>
    <w:link w:val="Heading1Char"/>
    <w:uiPriority w:val="9"/>
    <w:qFormat/>
    <w:rsid w:val="00A9011A"/>
    <w:pPr>
      <w:keepNext/>
      <w:keepLines/>
      <w:spacing w:before="240"/>
      <w:outlineLvl w:val="0"/>
    </w:pPr>
    <w:rPr>
      <w:rFonts w:eastAsiaTheme="majorEastAsia" w:cs="Times New Roman (Headings CS)"/>
      <w:b/>
      <w:caps/>
      <w:color w:val="000000" w:themeColor="text1"/>
      <w:szCs w:val="32"/>
    </w:rPr>
  </w:style>
  <w:style w:type="paragraph" w:styleId="Heading2">
    <w:name w:val="heading 2"/>
    <w:basedOn w:val="Normal"/>
    <w:next w:val="Normal"/>
    <w:link w:val="Heading2Char"/>
    <w:uiPriority w:val="9"/>
    <w:unhideWhenUsed/>
    <w:qFormat/>
    <w:rsid w:val="00FD0D20"/>
    <w:pPr>
      <w:keepNext/>
      <w:keepLines/>
      <w:spacing w:before="40"/>
      <w:outlineLvl w:val="1"/>
    </w:pPr>
    <w:rPr>
      <w:rFonts w:asciiTheme="majorHAnsi" w:eastAsiaTheme="majorEastAsia" w:hAnsiTheme="majorHAnsi" w:cstheme="majorBidi"/>
      <w:b/>
      <w:color w:val="2F5496" w:themeColor="accent1" w:themeShade="BF"/>
      <w:sz w:val="26"/>
      <w:szCs w:val="26"/>
    </w:rPr>
  </w:style>
  <w:style w:type="paragraph" w:styleId="Heading3">
    <w:name w:val="heading 3"/>
    <w:basedOn w:val="Normal"/>
    <w:next w:val="Normal"/>
    <w:link w:val="Heading3Char"/>
    <w:uiPriority w:val="9"/>
    <w:unhideWhenUsed/>
    <w:qFormat/>
    <w:rsid w:val="00FD0D20"/>
    <w:pPr>
      <w:keepNext/>
      <w:keepLines/>
      <w:spacing w:before="40"/>
      <w:outlineLvl w:val="2"/>
    </w:pPr>
    <w:rPr>
      <w:rFonts w:asciiTheme="majorHAnsi" w:eastAsiaTheme="majorEastAsia" w:hAnsiTheme="majorHAnsi" w:cstheme="majorBidi"/>
      <w: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011A"/>
    <w:rPr>
      <w:rFonts w:ascii="Times New Roman" w:eastAsiaTheme="majorEastAsia" w:hAnsi="Times New Roman" w:cs="Times New Roman (Headings CS)"/>
      <w:b/>
      <w:caps/>
      <w:color w:val="000000" w:themeColor="text1"/>
      <w:szCs w:val="32"/>
    </w:rPr>
  </w:style>
  <w:style w:type="character" w:customStyle="1" w:styleId="Heading2Char">
    <w:name w:val="Heading 2 Char"/>
    <w:basedOn w:val="DefaultParagraphFont"/>
    <w:link w:val="Heading2"/>
    <w:uiPriority w:val="9"/>
    <w:rsid w:val="00FD0D20"/>
    <w:rPr>
      <w:rFonts w:asciiTheme="majorHAnsi" w:eastAsiaTheme="majorEastAsia" w:hAnsiTheme="majorHAnsi" w:cstheme="majorBidi"/>
      <w:b/>
      <w:color w:val="2F5496" w:themeColor="accent1" w:themeShade="BF"/>
      <w:sz w:val="26"/>
      <w:szCs w:val="26"/>
    </w:rPr>
  </w:style>
  <w:style w:type="character" w:customStyle="1" w:styleId="Heading3Char">
    <w:name w:val="Heading 3 Char"/>
    <w:basedOn w:val="DefaultParagraphFont"/>
    <w:link w:val="Heading3"/>
    <w:uiPriority w:val="9"/>
    <w:rsid w:val="00FD0D20"/>
    <w:rPr>
      <w:rFonts w:asciiTheme="majorHAnsi" w:eastAsiaTheme="majorEastAsia" w:hAnsiTheme="majorHAnsi" w:cstheme="majorBidi"/>
      <w:i/>
      <w:color w:val="1F3763" w:themeColor="accent1" w:themeShade="7F"/>
    </w:rPr>
  </w:style>
  <w:style w:type="paragraph" w:styleId="NormalWeb">
    <w:name w:val="Normal (Web)"/>
    <w:basedOn w:val="Normal"/>
    <w:uiPriority w:val="99"/>
    <w:semiHidden/>
    <w:unhideWhenUsed/>
    <w:rsid w:val="001D4CC9"/>
    <w:rPr>
      <w:rFonts w:cs="Times New Roman"/>
    </w:rPr>
  </w:style>
  <w:style w:type="paragraph" w:styleId="ListParagraph">
    <w:name w:val="List Paragraph"/>
    <w:basedOn w:val="Normal"/>
    <w:uiPriority w:val="34"/>
    <w:qFormat/>
    <w:rsid w:val="004F0E1A"/>
    <w:pPr>
      <w:ind w:left="720"/>
      <w:contextualSpacing/>
    </w:pPr>
    <w:rPr>
      <w:rFonts w:eastAsia="Times New Roman" w:cs="Times New Roman"/>
    </w:rPr>
  </w:style>
  <w:style w:type="paragraph" w:customStyle="1" w:styleId="TableMBullet1">
    <w:name w:val="TableMBullet1"/>
    <w:basedOn w:val="Normal"/>
    <w:rsid w:val="00FC5F17"/>
    <w:pPr>
      <w:tabs>
        <w:tab w:val="left" w:pos="288"/>
      </w:tabs>
      <w:spacing w:before="20" w:after="20"/>
      <w:ind w:left="288" w:hanging="288"/>
    </w:pPr>
    <w:rPr>
      <w:rFonts w:ascii="Arial" w:eastAsia="Times New Roman" w:hAnsi="Arial" w:cs="Times New Roman"/>
      <w:kern w:val="20"/>
      <w:sz w:val="20"/>
    </w:rPr>
  </w:style>
  <w:style w:type="character" w:styleId="Hyperlink">
    <w:name w:val="Hyperlink"/>
    <w:basedOn w:val="DefaultParagraphFont"/>
    <w:uiPriority w:val="99"/>
    <w:unhideWhenUsed/>
    <w:rsid w:val="008059A9"/>
    <w:rPr>
      <w:color w:val="0563C1" w:themeColor="hyperlink"/>
      <w:u w:val="single"/>
    </w:rPr>
  </w:style>
  <w:style w:type="table" w:customStyle="1" w:styleId="TableGrid">
    <w:name w:val="TableGrid"/>
    <w:rsid w:val="00652AA3"/>
    <w:rPr>
      <w:rFonts w:eastAsiaTheme="minorEastAsia"/>
      <w:sz w:val="22"/>
      <w:szCs w:val="22"/>
    </w:rPr>
    <w:tblPr>
      <w:tblCellMar>
        <w:top w:w="0" w:type="dxa"/>
        <w:left w:w="0" w:type="dxa"/>
        <w:bottom w:w="0" w:type="dxa"/>
        <w:right w:w="0" w:type="dxa"/>
      </w:tblCellMar>
    </w:tblPr>
  </w:style>
  <w:style w:type="table" w:styleId="TableGrid0">
    <w:name w:val="Table Grid"/>
    <w:basedOn w:val="TableNormal"/>
    <w:uiPriority w:val="39"/>
    <w:rsid w:val="006B7665"/>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9C26D8"/>
    <w:pPr>
      <w:spacing w:before="120" w:after="120"/>
    </w:pPr>
    <w:rPr>
      <w:rFonts w:cstheme="minorHAnsi"/>
      <w:b/>
      <w:bCs/>
      <w:caps/>
      <w:sz w:val="20"/>
      <w:szCs w:val="20"/>
    </w:rPr>
  </w:style>
  <w:style w:type="paragraph" w:styleId="TOC2">
    <w:name w:val="toc 2"/>
    <w:basedOn w:val="Normal"/>
    <w:next w:val="Normal"/>
    <w:autoRedefine/>
    <w:uiPriority w:val="39"/>
    <w:unhideWhenUsed/>
    <w:rsid w:val="00226FFC"/>
    <w:pPr>
      <w:ind w:left="240"/>
    </w:pPr>
    <w:rPr>
      <w:rFonts w:cstheme="minorHAnsi"/>
      <w:smallCaps/>
      <w:sz w:val="20"/>
      <w:szCs w:val="20"/>
    </w:rPr>
  </w:style>
  <w:style w:type="paragraph" w:styleId="TOC3">
    <w:name w:val="toc 3"/>
    <w:basedOn w:val="Normal"/>
    <w:next w:val="Normal"/>
    <w:autoRedefine/>
    <w:uiPriority w:val="39"/>
    <w:unhideWhenUsed/>
    <w:rsid w:val="00226FFC"/>
    <w:pPr>
      <w:ind w:left="480"/>
    </w:pPr>
    <w:rPr>
      <w:rFonts w:cstheme="minorHAnsi"/>
      <w:i/>
      <w:iCs/>
      <w:sz w:val="20"/>
      <w:szCs w:val="20"/>
    </w:rPr>
  </w:style>
  <w:style w:type="paragraph" w:styleId="Footer">
    <w:name w:val="footer"/>
    <w:basedOn w:val="Normal"/>
    <w:link w:val="FooterChar"/>
    <w:uiPriority w:val="99"/>
    <w:unhideWhenUsed/>
    <w:rsid w:val="00226FFC"/>
    <w:pPr>
      <w:tabs>
        <w:tab w:val="center" w:pos="4680"/>
        <w:tab w:val="right" w:pos="9360"/>
      </w:tabs>
    </w:pPr>
  </w:style>
  <w:style w:type="character" w:customStyle="1" w:styleId="FooterChar">
    <w:name w:val="Footer Char"/>
    <w:basedOn w:val="DefaultParagraphFont"/>
    <w:link w:val="Footer"/>
    <w:uiPriority w:val="99"/>
    <w:rsid w:val="00226FFC"/>
  </w:style>
  <w:style w:type="character" w:styleId="PageNumber">
    <w:name w:val="page number"/>
    <w:basedOn w:val="DefaultParagraphFont"/>
    <w:uiPriority w:val="99"/>
    <w:semiHidden/>
    <w:unhideWhenUsed/>
    <w:rsid w:val="00226FFC"/>
  </w:style>
  <w:style w:type="paragraph" w:styleId="Header">
    <w:name w:val="header"/>
    <w:basedOn w:val="Normal"/>
    <w:link w:val="HeaderChar"/>
    <w:uiPriority w:val="99"/>
    <w:unhideWhenUsed/>
    <w:rsid w:val="00A71C55"/>
    <w:pPr>
      <w:tabs>
        <w:tab w:val="center" w:pos="4680"/>
        <w:tab w:val="right" w:pos="9360"/>
      </w:tabs>
    </w:pPr>
  </w:style>
  <w:style w:type="character" w:customStyle="1" w:styleId="HeaderChar">
    <w:name w:val="Header Char"/>
    <w:basedOn w:val="DefaultParagraphFont"/>
    <w:link w:val="Header"/>
    <w:uiPriority w:val="99"/>
    <w:rsid w:val="00A71C55"/>
  </w:style>
  <w:style w:type="character" w:styleId="FollowedHyperlink">
    <w:name w:val="FollowedHyperlink"/>
    <w:basedOn w:val="DefaultParagraphFont"/>
    <w:uiPriority w:val="99"/>
    <w:semiHidden/>
    <w:unhideWhenUsed/>
    <w:rsid w:val="007C276A"/>
    <w:rPr>
      <w:color w:val="954F72" w:themeColor="followedHyperlink"/>
      <w:u w:val="single"/>
    </w:rPr>
  </w:style>
  <w:style w:type="paragraph" w:styleId="TOC4">
    <w:name w:val="toc 4"/>
    <w:basedOn w:val="Normal"/>
    <w:next w:val="Normal"/>
    <w:autoRedefine/>
    <w:uiPriority w:val="39"/>
    <w:unhideWhenUsed/>
    <w:rsid w:val="00447E0F"/>
    <w:pPr>
      <w:ind w:left="720"/>
    </w:pPr>
    <w:rPr>
      <w:rFonts w:cstheme="minorHAnsi"/>
      <w:sz w:val="18"/>
      <w:szCs w:val="18"/>
    </w:rPr>
  </w:style>
  <w:style w:type="paragraph" w:styleId="TOC5">
    <w:name w:val="toc 5"/>
    <w:basedOn w:val="Normal"/>
    <w:next w:val="Normal"/>
    <w:autoRedefine/>
    <w:uiPriority w:val="39"/>
    <w:unhideWhenUsed/>
    <w:rsid w:val="00447E0F"/>
    <w:pPr>
      <w:ind w:left="960"/>
    </w:pPr>
    <w:rPr>
      <w:rFonts w:cstheme="minorHAnsi"/>
      <w:sz w:val="18"/>
      <w:szCs w:val="18"/>
    </w:rPr>
  </w:style>
  <w:style w:type="paragraph" w:styleId="TOC6">
    <w:name w:val="toc 6"/>
    <w:basedOn w:val="Normal"/>
    <w:next w:val="Normal"/>
    <w:autoRedefine/>
    <w:uiPriority w:val="39"/>
    <w:unhideWhenUsed/>
    <w:rsid w:val="00447E0F"/>
    <w:pPr>
      <w:ind w:left="1200"/>
    </w:pPr>
    <w:rPr>
      <w:rFonts w:cstheme="minorHAnsi"/>
      <w:sz w:val="18"/>
      <w:szCs w:val="18"/>
    </w:rPr>
  </w:style>
  <w:style w:type="paragraph" w:styleId="TOC7">
    <w:name w:val="toc 7"/>
    <w:basedOn w:val="Normal"/>
    <w:next w:val="Normal"/>
    <w:autoRedefine/>
    <w:uiPriority w:val="39"/>
    <w:unhideWhenUsed/>
    <w:rsid w:val="00447E0F"/>
    <w:pPr>
      <w:ind w:left="1440"/>
    </w:pPr>
    <w:rPr>
      <w:rFonts w:cstheme="minorHAnsi"/>
      <w:sz w:val="18"/>
      <w:szCs w:val="18"/>
    </w:rPr>
  </w:style>
  <w:style w:type="paragraph" w:styleId="TOC8">
    <w:name w:val="toc 8"/>
    <w:basedOn w:val="Normal"/>
    <w:next w:val="Normal"/>
    <w:autoRedefine/>
    <w:uiPriority w:val="39"/>
    <w:unhideWhenUsed/>
    <w:rsid w:val="00447E0F"/>
    <w:pPr>
      <w:ind w:left="1680"/>
    </w:pPr>
    <w:rPr>
      <w:rFonts w:cstheme="minorHAnsi"/>
      <w:sz w:val="18"/>
      <w:szCs w:val="18"/>
    </w:rPr>
  </w:style>
  <w:style w:type="paragraph" w:styleId="TOC9">
    <w:name w:val="toc 9"/>
    <w:basedOn w:val="Normal"/>
    <w:next w:val="Normal"/>
    <w:autoRedefine/>
    <w:uiPriority w:val="39"/>
    <w:unhideWhenUsed/>
    <w:rsid w:val="00447E0F"/>
    <w:pPr>
      <w:ind w:left="1920"/>
    </w:pPr>
    <w:rPr>
      <w:rFonts w:cstheme="minorHAnsi"/>
      <w:sz w:val="18"/>
      <w:szCs w:val="18"/>
    </w:rPr>
  </w:style>
  <w:style w:type="character" w:styleId="UnresolvedMention">
    <w:name w:val="Unresolved Mention"/>
    <w:basedOn w:val="DefaultParagraphFont"/>
    <w:uiPriority w:val="99"/>
    <w:rsid w:val="009B6C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45386">
      <w:bodyDiv w:val="1"/>
      <w:marLeft w:val="0"/>
      <w:marRight w:val="0"/>
      <w:marTop w:val="0"/>
      <w:marBottom w:val="0"/>
      <w:divBdr>
        <w:top w:val="none" w:sz="0" w:space="0" w:color="auto"/>
        <w:left w:val="none" w:sz="0" w:space="0" w:color="auto"/>
        <w:bottom w:val="none" w:sz="0" w:space="0" w:color="auto"/>
        <w:right w:val="none" w:sz="0" w:space="0" w:color="auto"/>
      </w:divBdr>
    </w:div>
    <w:div w:id="40372208">
      <w:bodyDiv w:val="1"/>
      <w:marLeft w:val="0"/>
      <w:marRight w:val="0"/>
      <w:marTop w:val="0"/>
      <w:marBottom w:val="0"/>
      <w:divBdr>
        <w:top w:val="none" w:sz="0" w:space="0" w:color="auto"/>
        <w:left w:val="none" w:sz="0" w:space="0" w:color="auto"/>
        <w:bottom w:val="none" w:sz="0" w:space="0" w:color="auto"/>
        <w:right w:val="none" w:sz="0" w:space="0" w:color="auto"/>
      </w:divBdr>
      <w:divsChild>
        <w:div w:id="1612279672">
          <w:marLeft w:val="0"/>
          <w:marRight w:val="0"/>
          <w:marTop w:val="0"/>
          <w:marBottom w:val="0"/>
          <w:divBdr>
            <w:top w:val="none" w:sz="0" w:space="0" w:color="auto"/>
            <w:left w:val="none" w:sz="0" w:space="0" w:color="auto"/>
            <w:bottom w:val="none" w:sz="0" w:space="0" w:color="auto"/>
            <w:right w:val="none" w:sz="0" w:space="0" w:color="auto"/>
          </w:divBdr>
          <w:divsChild>
            <w:div w:id="347831804">
              <w:marLeft w:val="0"/>
              <w:marRight w:val="0"/>
              <w:marTop w:val="0"/>
              <w:marBottom w:val="0"/>
              <w:divBdr>
                <w:top w:val="none" w:sz="0" w:space="0" w:color="auto"/>
                <w:left w:val="none" w:sz="0" w:space="0" w:color="auto"/>
                <w:bottom w:val="none" w:sz="0" w:space="0" w:color="auto"/>
                <w:right w:val="none" w:sz="0" w:space="0" w:color="auto"/>
              </w:divBdr>
              <w:divsChild>
                <w:div w:id="50825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57488">
      <w:bodyDiv w:val="1"/>
      <w:marLeft w:val="0"/>
      <w:marRight w:val="0"/>
      <w:marTop w:val="0"/>
      <w:marBottom w:val="0"/>
      <w:divBdr>
        <w:top w:val="none" w:sz="0" w:space="0" w:color="auto"/>
        <w:left w:val="none" w:sz="0" w:space="0" w:color="auto"/>
        <w:bottom w:val="none" w:sz="0" w:space="0" w:color="auto"/>
        <w:right w:val="none" w:sz="0" w:space="0" w:color="auto"/>
      </w:divBdr>
    </w:div>
    <w:div w:id="49816818">
      <w:bodyDiv w:val="1"/>
      <w:marLeft w:val="0"/>
      <w:marRight w:val="0"/>
      <w:marTop w:val="0"/>
      <w:marBottom w:val="0"/>
      <w:divBdr>
        <w:top w:val="none" w:sz="0" w:space="0" w:color="auto"/>
        <w:left w:val="none" w:sz="0" w:space="0" w:color="auto"/>
        <w:bottom w:val="none" w:sz="0" w:space="0" w:color="auto"/>
        <w:right w:val="none" w:sz="0" w:space="0" w:color="auto"/>
      </w:divBdr>
      <w:divsChild>
        <w:div w:id="1902060523">
          <w:marLeft w:val="0"/>
          <w:marRight w:val="0"/>
          <w:marTop w:val="0"/>
          <w:marBottom w:val="0"/>
          <w:divBdr>
            <w:top w:val="none" w:sz="0" w:space="0" w:color="auto"/>
            <w:left w:val="none" w:sz="0" w:space="0" w:color="auto"/>
            <w:bottom w:val="none" w:sz="0" w:space="0" w:color="auto"/>
            <w:right w:val="none" w:sz="0" w:space="0" w:color="auto"/>
          </w:divBdr>
          <w:divsChild>
            <w:div w:id="841774675">
              <w:marLeft w:val="0"/>
              <w:marRight w:val="0"/>
              <w:marTop w:val="0"/>
              <w:marBottom w:val="0"/>
              <w:divBdr>
                <w:top w:val="none" w:sz="0" w:space="0" w:color="auto"/>
                <w:left w:val="none" w:sz="0" w:space="0" w:color="auto"/>
                <w:bottom w:val="none" w:sz="0" w:space="0" w:color="auto"/>
                <w:right w:val="none" w:sz="0" w:space="0" w:color="auto"/>
              </w:divBdr>
              <w:divsChild>
                <w:div w:id="158276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66615">
      <w:bodyDiv w:val="1"/>
      <w:marLeft w:val="0"/>
      <w:marRight w:val="0"/>
      <w:marTop w:val="0"/>
      <w:marBottom w:val="0"/>
      <w:divBdr>
        <w:top w:val="none" w:sz="0" w:space="0" w:color="auto"/>
        <w:left w:val="none" w:sz="0" w:space="0" w:color="auto"/>
        <w:bottom w:val="none" w:sz="0" w:space="0" w:color="auto"/>
        <w:right w:val="none" w:sz="0" w:space="0" w:color="auto"/>
      </w:divBdr>
      <w:divsChild>
        <w:div w:id="17406655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941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9031">
      <w:bodyDiv w:val="1"/>
      <w:marLeft w:val="0"/>
      <w:marRight w:val="0"/>
      <w:marTop w:val="0"/>
      <w:marBottom w:val="0"/>
      <w:divBdr>
        <w:top w:val="none" w:sz="0" w:space="0" w:color="auto"/>
        <w:left w:val="none" w:sz="0" w:space="0" w:color="auto"/>
        <w:bottom w:val="none" w:sz="0" w:space="0" w:color="auto"/>
        <w:right w:val="none" w:sz="0" w:space="0" w:color="auto"/>
      </w:divBdr>
    </w:div>
    <w:div w:id="177430580">
      <w:bodyDiv w:val="1"/>
      <w:marLeft w:val="0"/>
      <w:marRight w:val="0"/>
      <w:marTop w:val="0"/>
      <w:marBottom w:val="0"/>
      <w:divBdr>
        <w:top w:val="none" w:sz="0" w:space="0" w:color="auto"/>
        <w:left w:val="none" w:sz="0" w:space="0" w:color="auto"/>
        <w:bottom w:val="none" w:sz="0" w:space="0" w:color="auto"/>
        <w:right w:val="none" w:sz="0" w:space="0" w:color="auto"/>
      </w:divBdr>
    </w:div>
    <w:div w:id="205416002">
      <w:bodyDiv w:val="1"/>
      <w:marLeft w:val="0"/>
      <w:marRight w:val="0"/>
      <w:marTop w:val="0"/>
      <w:marBottom w:val="0"/>
      <w:divBdr>
        <w:top w:val="none" w:sz="0" w:space="0" w:color="auto"/>
        <w:left w:val="none" w:sz="0" w:space="0" w:color="auto"/>
        <w:bottom w:val="none" w:sz="0" w:space="0" w:color="auto"/>
        <w:right w:val="none" w:sz="0" w:space="0" w:color="auto"/>
      </w:divBdr>
      <w:divsChild>
        <w:div w:id="167720010">
          <w:marLeft w:val="0"/>
          <w:marRight w:val="0"/>
          <w:marTop w:val="0"/>
          <w:marBottom w:val="0"/>
          <w:divBdr>
            <w:top w:val="none" w:sz="0" w:space="0" w:color="auto"/>
            <w:left w:val="none" w:sz="0" w:space="0" w:color="auto"/>
            <w:bottom w:val="none" w:sz="0" w:space="0" w:color="auto"/>
            <w:right w:val="none" w:sz="0" w:space="0" w:color="auto"/>
          </w:divBdr>
          <w:divsChild>
            <w:div w:id="991643186">
              <w:marLeft w:val="0"/>
              <w:marRight w:val="0"/>
              <w:marTop w:val="0"/>
              <w:marBottom w:val="0"/>
              <w:divBdr>
                <w:top w:val="none" w:sz="0" w:space="0" w:color="auto"/>
                <w:left w:val="none" w:sz="0" w:space="0" w:color="auto"/>
                <w:bottom w:val="none" w:sz="0" w:space="0" w:color="auto"/>
                <w:right w:val="none" w:sz="0" w:space="0" w:color="auto"/>
              </w:divBdr>
              <w:divsChild>
                <w:div w:id="50413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08982">
      <w:bodyDiv w:val="1"/>
      <w:marLeft w:val="0"/>
      <w:marRight w:val="0"/>
      <w:marTop w:val="0"/>
      <w:marBottom w:val="0"/>
      <w:divBdr>
        <w:top w:val="none" w:sz="0" w:space="0" w:color="auto"/>
        <w:left w:val="none" w:sz="0" w:space="0" w:color="auto"/>
        <w:bottom w:val="none" w:sz="0" w:space="0" w:color="auto"/>
        <w:right w:val="none" w:sz="0" w:space="0" w:color="auto"/>
      </w:divBdr>
      <w:divsChild>
        <w:div w:id="224491061">
          <w:marLeft w:val="0"/>
          <w:marRight w:val="0"/>
          <w:marTop w:val="0"/>
          <w:marBottom w:val="0"/>
          <w:divBdr>
            <w:top w:val="none" w:sz="0" w:space="0" w:color="auto"/>
            <w:left w:val="none" w:sz="0" w:space="0" w:color="auto"/>
            <w:bottom w:val="none" w:sz="0" w:space="0" w:color="auto"/>
            <w:right w:val="none" w:sz="0" w:space="0" w:color="auto"/>
          </w:divBdr>
          <w:divsChild>
            <w:div w:id="123429358">
              <w:marLeft w:val="0"/>
              <w:marRight w:val="0"/>
              <w:marTop w:val="0"/>
              <w:marBottom w:val="0"/>
              <w:divBdr>
                <w:top w:val="none" w:sz="0" w:space="0" w:color="auto"/>
                <w:left w:val="none" w:sz="0" w:space="0" w:color="auto"/>
                <w:bottom w:val="none" w:sz="0" w:space="0" w:color="auto"/>
                <w:right w:val="none" w:sz="0" w:space="0" w:color="auto"/>
              </w:divBdr>
              <w:divsChild>
                <w:div w:id="77047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01425">
      <w:bodyDiv w:val="1"/>
      <w:marLeft w:val="0"/>
      <w:marRight w:val="0"/>
      <w:marTop w:val="0"/>
      <w:marBottom w:val="0"/>
      <w:divBdr>
        <w:top w:val="none" w:sz="0" w:space="0" w:color="auto"/>
        <w:left w:val="none" w:sz="0" w:space="0" w:color="auto"/>
        <w:bottom w:val="none" w:sz="0" w:space="0" w:color="auto"/>
        <w:right w:val="none" w:sz="0" w:space="0" w:color="auto"/>
      </w:divBdr>
      <w:divsChild>
        <w:div w:id="35548384">
          <w:marLeft w:val="240"/>
          <w:marRight w:val="240"/>
          <w:marTop w:val="0"/>
          <w:marBottom w:val="0"/>
          <w:divBdr>
            <w:top w:val="none" w:sz="0" w:space="0" w:color="auto"/>
            <w:left w:val="none" w:sz="0" w:space="0" w:color="auto"/>
            <w:bottom w:val="none" w:sz="0" w:space="0" w:color="auto"/>
            <w:right w:val="none" w:sz="0" w:space="0" w:color="auto"/>
          </w:divBdr>
          <w:divsChild>
            <w:div w:id="1233732736">
              <w:marLeft w:val="0"/>
              <w:marRight w:val="0"/>
              <w:marTop w:val="0"/>
              <w:marBottom w:val="0"/>
              <w:divBdr>
                <w:top w:val="none" w:sz="0" w:space="0" w:color="auto"/>
                <w:left w:val="none" w:sz="0" w:space="0" w:color="auto"/>
                <w:bottom w:val="none" w:sz="0" w:space="0" w:color="auto"/>
                <w:right w:val="none" w:sz="0" w:space="0" w:color="auto"/>
              </w:divBdr>
              <w:divsChild>
                <w:div w:id="1383291432">
                  <w:marLeft w:val="-240"/>
                  <w:marRight w:val="-240"/>
                  <w:marTop w:val="0"/>
                  <w:marBottom w:val="0"/>
                  <w:divBdr>
                    <w:top w:val="none" w:sz="0" w:space="0" w:color="auto"/>
                    <w:left w:val="none" w:sz="0" w:space="0" w:color="auto"/>
                    <w:bottom w:val="none" w:sz="0" w:space="0" w:color="auto"/>
                    <w:right w:val="none" w:sz="0" w:space="0" w:color="auto"/>
                  </w:divBdr>
                  <w:divsChild>
                    <w:div w:id="101885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887167">
          <w:marLeft w:val="240"/>
          <w:marRight w:val="240"/>
          <w:marTop w:val="0"/>
          <w:marBottom w:val="0"/>
          <w:divBdr>
            <w:top w:val="none" w:sz="0" w:space="0" w:color="auto"/>
            <w:left w:val="none" w:sz="0" w:space="0" w:color="auto"/>
            <w:bottom w:val="none" w:sz="0" w:space="0" w:color="auto"/>
            <w:right w:val="none" w:sz="0" w:space="0" w:color="auto"/>
          </w:divBdr>
          <w:divsChild>
            <w:div w:id="170552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310652">
      <w:bodyDiv w:val="1"/>
      <w:marLeft w:val="0"/>
      <w:marRight w:val="0"/>
      <w:marTop w:val="0"/>
      <w:marBottom w:val="0"/>
      <w:divBdr>
        <w:top w:val="none" w:sz="0" w:space="0" w:color="auto"/>
        <w:left w:val="none" w:sz="0" w:space="0" w:color="auto"/>
        <w:bottom w:val="none" w:sz="0" w:space="0" w:color="auto"/>
        <w:right w:val="none" w:sz="0" w:space="0" w:color="auto"/>
      </w:divBdr>
    </w:div>
    <w:div w:id="511143782">
      <w:bodyDiv w:val="1"/>
      <w:marLeft w:val="0"/>
      <w:marRight w:val="0"/>
      <w:marTop w:val="0"/>
      <w:marBottom w:val="0"/>
      <w:divBdr>
        <w:top w:val="none" w:sz="0" w:space="0" w:color="auto"/>
        <w:left w:val="none" w:sz="0" w:space="0" w:color="auto"/>
        <w:bottom w:val="none" w:sz="0" w:space="0" w:color="auto"/>
        <w:right w:val="none" w:sz="0" w:space="0" w:color="auto"/>
      </w:divBdr>
      <w:divsChild>
        <w:div w:id="21412665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640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01009">
      <w:bodyDiv w:val="1"/>
      <w:marLeft w:val="0"/>
      <w:marRight w:val="0"/>
      <w:marTop w:val="0"/>
      <w:marBottom w:val="0"/>
      <w:divBdr>
        <w:top w:val="none" w:sz="0" w:space="0" w:color="auto"/>
        <w:left w:val="none" w:sz="0" w:space="0" w:color="auto"/>
        <w:bottom w:val="none" w:sz="0" w:space="0" w:color="auto"/>
        <w:right w:val="none" w:sz="0" w:space="0" w:color="auto"/>
      </w:divBdr>
    </w:div>
    <w:div w:id="1036924644">
      <w:bodyDiv w:val="1"/>
      <w:marLeft w:val="0"/>
      <w:marRight w:val="0"/>
      <w:marTop w:val="0"/>
      <w:marBottom w:val="0"/>
      <w:divBdr>
        <w:top w:val="none" w:sz="0" w:space="0" w:color="auto"/>
        <w:left w:val="none" w:sz="0" w:space="0" w:color="auto"/>
        <w:bottom w:val="none" w:sz="0" w:space="0" w:color="auto"/>
        <w:right w:val="none" w:sz="0" w:space="0" w:color="auto"/>
      </w:divBdr>
      <w:divsChild>
        <w:div w:id="1976637029">
          <w:marLeft w:val="0"/>
          <w:marRight w:val="0"/>
          <w:marTop w:val="0"/>
          <w:marBottom w:val="0"/>
          <w:divBdr>
            <w:top w:val="none" w:sz="0" w:space="0" w:color="auto"/>
            <w:left w:val="none" w:sz="0" w:space="0" w:color="auto"/>
            <w:bottom w:val="none" w:sz="0" w:space="0" w:color="auto"/>
            <w:right w:val="none" w:sz="0" w:space="0" w:color="auto"/>
          </w:divBdr>
          <w:divsChild>
            <w:div w:id="54208117">
              <w:marLeft w:val="0"/>
              <w:marRight w:val="0"/>
              <w:marTop w:val="0"/>
              <w:marBottom w:val="0"/>
              <w:divBdr>
                <w:top w:val="none" w:sz="0" w:space="0" w:color="auto"/>
                <w:left w:val="none" w:sz="0" w:space="0" w:color="auto"/>
                <w:bottom w:val="none" w:sz="0" w:space="0" w:color="auto"/>
                <w:right w:val="none" w:sz="0" w:space="0" w:color="auto"/>
              </w:divBdr>
              <w:divsChild>
                <w:div w:id="142514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602672">
      <w:bodyDiv w:val="1"/>
      <w:marLeft w:val="0"/>
      <w:marRight w:val="0"/>
      <w:marTop w:val="0"/>
      <w:marBottom w:val="0"/>
      <w:divBdr>
        <w:top w:val="none" w:sz="0" w:space="0" w:color="auto"/>
        <w:left w:val="none" w:sz="0" w:space="0" w:color="auto"/>
        <w:bottom w:val="none" w:sz="0" w:space="0" w:color="auto"/>
        <w:right w:val="none" w:sz="0" w:space="0" w:color="auto"/>
      </w:divBdr>
      <w:divsChild>
        <w:div w:id="1942561790">
          <w:marLeft w:val="0"/>
          <w:marRight w:val="0"/>
          <w:marTop w:val="0"/>
          <w:marBottom w:val="0"/>
          <w:divBdr>
            <w:top w:val="none" w:sz="0" w:space="0" w:color="auto"/>
            <w:left w:val="none" w:sz="0" w:space="0" w:color="auto"/>
            <w:bottom w:val="none" w:sz="0" w:space="0" w:color="auto"/>
            <w:right w:val="none" w:sz="0" w:space="0" w:color="auto"/>
          </w:divBdr>
          <w:divsChild>
            <w:div w:id="1179999825">
              <w:marLeft w:val="0"/>
              <w:marRight w:val="0"/>
              <w:marTop w:val="0"/>
              <w:marBottom w:val="0"/>
              <w:divBdr>
                <w:top w:val="none" w:sz="0" w:space="0" w:color="auto"/>
                <w:left w:val="none" w:sz="0" w:space="0" w:color="auto"/>
                <w:bottom w:val="none" w:sz="0" w:space="0" w:color="auto"/>
                <w:right w:val="none" w:sz="0" w:space="0" w:color="auto"/>
              </w:divBdr>
              <w:divsChild>
                <w:div w:id="20521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141999">
      <w:bodyDiv w:val="1"/>
      <w:marLeft w:val="0"/>
      <w:marRight w:val="0"/>
      <w:marTop w:val="0"/>
      <w:marBottom w:val="0"/>
      <w:divBdr>
        <w:top w:val="none" w:sz="0" w:space="0" w:color="auto"/>
        <w:left w:val="none" w:sz="0" w:space="0" w:color="auto"/>
        <w:bottom w:val="none" w:sz="0" w:space="0" w:color="auto"/>
        <w:right w:val="none" w:sz="0" w:space="0" w:color="auto"/>
      </w:divBdr>
      <w:divsChild>
        <w:div w:id="1324625001">
          <w:marLeft w:val="0"/>
          <w:marRight w:val="0"/>
          <w:marTop w:val="0"/>
          <w:marBottom w:val="0"/>
          <w:divBdr>
            <w:top w:val="none" w:sz="0" w:space="0" w:color="auto"/>
            <w:left w:val="none" w:sz="0" w:space="0" w:color="auto"/>
            <w:bottom w:val="none" w:sz="0" w:space="0" w:color="auto"/>
            <w:right w:val="none" w:sz="0" w:space="0" w:color="auto"/>
          </w:divBdr>
          <w:divsChild>
            <w:div w:id="885794677">
              <w:marLeft w:val="0"/>
              <w:marRight w:val="0"/>
              <w:marTop w:val="0"/>
              <w:marBottom w:val="0"/>
              <w:divBdr>
                <w:top w:val="none" w:sz="0" w:space="0" w:color="auto"/>
                <w:left w:val="none" w:sz="0" w:space="0" w:color="auto"/>
                <w:bottom w:val="none" w:sz="0" w:space="0" w:color="auto"/>
                <w:right w:val="none" w:sz="0" w:space="0" w:color="auto"/>
              </w:divBdr>
              <w:divsChild>
                <w:div w:id="9898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287077">
      <w:bodyDiv w:val="1"/>
      <w:marLeft w:val="0"/>
      <w:marRight w:val="0"/>
      <w:marTop w:val="0"/>
      <w:marBottom w:val="0"/>
      <w:divBdr>
        <w:top w:val="none" w:sz="0" w:space="0" w:color="auto"/>
        <w:left w:val="none" w:sz="0" w:space="0" w:color="auto"/>
        <w:bottom w:val="none" w:sz="0" w:space="0" w:color="auto"/>
        <w:right w:val="none" w:sz="0" w:space="0" w:color="auto"/>
      </w:divBdr>
      <w:divsChild>
        <w:div w:id="352464218">
          <w:marLeft w:val="0"/>
          <w:marRight w:val="0"/>
          <w:marTop w:val="0"/>
          <w:marBottom w:val="0"/>
          <w:divBdr>
            <w:top w:val="none" w:sz="0" w:space="0" w:color="auto"/>
            <w:left w:val="none" w:sz="0" w:space="0" w:color="auto"/>
            <w:bottom w:val="none" w:sz="0" w:space="0" w:color="auto"/>
            <w:right w:val="none" w:sz="0" w:space="0" w:color="auto"/>
          </w:divBdr>
          <w:divsChild>
            <w:div w:id="2049646454">
              <w:marLeft w:val="0"/>
              <w:marRight w:val="0"/>
              <w:marTop w:val="0"/>
              <w:marBottom w:val="0"/>
              <w:divBdr>
                <w:top w:val="none" w:sz="0" w:space="0" w:color="auto"/>
                <w:left w:val="none" w:sz="0" w:space="0" w:color="auto"/>
                <w:bottom w:val="none" w:sz="0" w:space="0" w:color="auto"/>
                <w:right w:val="none" w:sz="0" w:space="0" w:color="auto"/>
              </w:divBdr>
              <w:divsChild>
                <w:div w:id="2668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79162">
          <w:marLeft w:val="0"/>
          <w:marRight w:val="0"/>
          <w:marTop w:val="0"/>
          <w:marBottom w:val="0"/>
          <w:divBdr>
            <w:top w:val="none" w:sz="0" w:space="0" w:color="auto"/>
            <w:left w:val="none" w:sz="0" w:space="0" w:color="auto"/>
            <w:bottom w:val="none" w:sz="0" w:space="0" w:color="auto"/>
            <w:right w:val="none" w:sz="0" w:space="0" w:color="auto"/>
          </w:divBdr>
          <w:divsChild>
            <w:div w:id="2008048462">
              <w:marLeft w:val="0"/>
              <w:marRight w:val="0"/>
              <w:marTop w:val="0"/>
              <w:marBottom w:val="0"/>
              <w:divBdr>
                <w:top w:val="none" w:sz="0" w:space="0" w:color="auto"/>
                <w:left w:val="none" w:sz="0" w:space="0" w:color="auto"/>
                <w:bottom w:val="none" w:sz="0" w:space="0" w:color="auto"/>
                <w:right w:val="none" w:sz="0" w:space="0" w:color="auto"/>
              </w:divBdr>
            </w:div>
            <w:div w:id="1101074972">
              <w:marLeft w:val="0"/>
              <w:marRight w:val="0"/>
              <w:marTop w:val="0"/>
              <w:marBottom w:val="0"/>
              <w:divBdr>
                <w:top w:val="none" w:sz="0" w:space="0" w:color="auto"/>
                <w:left w:val="none" w:sz="0" w:space="0" w:color="auto"/>
                <w:bottom w:val="none" w:sz="0" w:space="0" w:color="auto"/>
                <w:right w:val="none" w:sz="0" w:space="0" w:color="auto"/>
              </w:divBdr>
            </w:div>
            <w:div w:id="1130175567">
              <w:marLeft w:val="0"/>
              <w:marRight w:val="0"/>
              <w:marTop w:val="0"/>
              <w:marBottom w:val="0"/>
              <w:divBdr>
                <w:top w:val="none" w:sz="0" w:space="0" w:color="auto"/>
                <w:left w:val="none" w:sz="0" w:space="0" w:color="auto"/>
                <w:bottom w:val="none" w:sz="0" w:space="0" w:color="auto"/>
                <w:right w:val="none" w:sz="0" w:space="0" w:color="auto"/>
              </w:divBdr>
              <w:divsChild>
                <w:div w:id="137700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437667">
      <w:bodyDiv w:val="1"/>
      <w:marLeft w:val="0"/>
      <w:marRight w:val="0"/>
      <w:marTop w:val="0"/>
      <w:marBottom w:val="0"/>
      <w:divBdr>
        <w:top w:val="none" w:sz="0" w:space="0" w:color="auto"/>
        <w:left w:val="none" w:sz="0" w:space="0" w:color="auto"/>
        <w:bottom w:val="none" w:sz="0" w:space="0" w:color="auto"/>
        <w:right w:val="none" w:sz="0" w:space="0" w:color="auto"/>
      </w:divBdr>
    </w:div>
    <w:div w:id="1330792159">
      <w:bodyDiv w:val="1"/>
      <w:marLeft w:val="0"/>
      <w:marRight w:val="0"/>
      <w:marTop w:val="0"/>
      <w:marBottom w:val="0"/>
      <w:divBdr>
        <w:top w:val="none" w:sz="0" w:space="0" w:color="auto"/>
        <w:left w:val="none" w:sz="0" w:space="0" w:color="auto"/>
        <w:bottom w:val="none" w:sz="0" w:space="0" w:color="auto"/>
        <w:right w:val="none" w:sz="0" w:space="0" w:color="auto"/>
      </w:divBdr>
      <w:divsChild>
        <w:div w:id="893857336">
          <w:marLeft w:val="446"/>
          <w:marRight w:val="0"/>
          <w:marTop w:val="0"/>
          <w:marBottom w:val="0"/>
          <w:divBdr>
            <w:top w:val="none" w:sz="0" w:space="0" w:color="auto"/>
            <w:left w:val="none" w:sz="0" w:space="0" w:color="auto"/>
            <w:bottom w:val="none" w:sz="0" w:space="0" w:color="auto"/>
            <w:right w:val="none" w:sz="0" w:space="0" w:color="auto"/>
          </w:divBdr>
        </w:div>
        <w:div w:id="1009330855">
          <w:marLeft w:val="1008"/>
          <w:marRight w:val="0"/>
          <w:marTop w:val="0"/>
          <w:marBottom w:val="0"/>
          <w:divBdr>
            <w:top w:val="none" w:sz="0" w:space="0" w:color="auto"/>
            <w:left w:val="none" w:sz="0" w:space="0" w:color="auto"/>
            <w:bottom w:val="none" w:sz="0" w:space="0" w:color="auto"/>
            <w:right w:val="none" w:sz="0" w:space="0" w:color="auto"/>
          </w:divBdr>
        </w:div>
        <w:div w:id="1638142111">
          <w:marLeft w:val="1008"/>
          <w:marRight w:val="0"/>
          <w:marTop w:val="0"/>
          <w:marBottom w:val="0"/>
          <w:divBdr>
            <w:top w:val="none" w:sz="0" w:space="0" w:color="auto"/>
            <w:left w:val="none" w:sz="0" w:space="0" w:color="auto"/>
            <w:bottom w:val="none" w:sz="0" w:space="0" w:color="auto"/>
            <w:right w:val="none" w:sz="0" w:space="0" w:color="auto"/>
          </w:divBdr>
        </w:div>
        <w:div w:id="300623087">
          <w:marLeft w:val="1008"/>
          <w:marRight w:val="0"/>
          <w:marTop w:val="0"/>
          <w:marBottom w:val="0"/>
          <w:divBdr>
            <w:top w:val="none" w:sz="0" w:space="0" w:color="auto"/>
            <w:left w:val="none" w:sz="0" w:space="0" w:color="auto"/>
            <w:bottom w:val="none" w:sz="0" w:space="0" w:color="auto"/>
            <w:right w:val="none" w:sz="0" w:space="0" w:color="auto"/>
          </w:divBdr>
        </w:div>
        <w:div w:id="1226600328">
          <w:marLeft w:val="1008"/>
          <w:marRight w:val="0"/>
          <w:marTop w:val="0"/>
          <w:marBottom w:val="0"/>
          <w:divBdr>
            <w:top w:val="none" w:sz="0" w:space="0" w:color="auto"/>
            <w:left w:val="none" w:sz="0" w:space="0" w:color="auto"/>
            <w:bottom w:val="none" w:sz="0" w:space="0" w:color="auto"/>
            <w:right w:val="none" w:sz="0" w:space="0" w:color="auto"/>
          </w:divBdr>
        </w:div>
      </w:divsChild>
    </w:div>
    <w:div w:id="1372193288">
      <w:bodyDiv w:val="1"/>
      <w:marLeft w:val="0"/>
      <w:marRight w:val="0"/>
      <w:marTop w:val="0"/>
      <w:marBottom w:val="0"/>
      <w:divBdr>
        <w:top w:val="none" w:sz="0" w:space="0" w:color="auto"/>
        <w:left w:val="none" w:sz="0" w:space="0" w:color="auto"/>
        <w:bottom w:val="none" w:sz="0" w:space="0" w:color="auto"/>
        <w:right w:val="none" w:sz="0" w:space="0" w:color="auto"/>
      </w:divBdr>
    </w:div>
    <w:div w:id="1386761116">
      <w:bodyDiv w:val="1"/>
      <w:marLeft w:val="0"/>
      <w:marRight w:val="0"/>
      <w:marTop w:val="0"/>
      <w:marBottom w:val="0"/>
      <w:divBdr>
        <w:top w:val="none" w:sz="0" w:space="0" w:color="auto"/>
        <w:left w:val="none" w:sz="0" w:space="0" w:color="auto"/>
        <w:bottom w:val="none" w:sz="0" w:space="0" w:color="auto"/>
        <w:right w:val="none" w:sz="0" w:space="0" w:color="auto"/>
      </w:divBdr>
      <w:divsChild>
        <w:div w:id="2064789329">
          <w:marLeft w:val="0"/>
          <w:marRight w:val="0"/>
          <w:marTop w:val="0"/>
          <w:marBottom w:val="0"/>
          <w:divBdr>
            <w:top w:val="none" w:sz="0" w:space="0" w:color="auto"/>
            <w:left w:val="none" w:sz="0" w:space="0" w:color="auto"/>
            <w:bottom w:val="none" w:sz="0" w:space="0" w:color="auto"/>
            <w:right w:val="none" w:sz="0" w:space="0" w:color="auto"/>
          </w:divBdr>
          <w:divsChild>
            <w:div w:id="1298989796">
              <w:marLeft w:val="0"/>
              <w:marRight w:val="0"/>
              <w:marTop w:val="0"/>
              <w:marBottom w:val="0"/>
              <w:divBdr>
                <w:top w:val="none" w:sz="0" w:space="0" w:color="auto"/>
                <w:left w:val="none" w:sz="0" w:space="0" w:color="auto"/>
                <w:bottom w:val="none" w:sz="0" w:space="0" w:color="auto"/>
                <w:right w:val="none" w:sz="0" w:space="0" w:color="auto"/>
              </w:divBdr>
              <w:divsChild>
                <w:div w:id="45209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172017">
      <w:bodyDiv w:val="1"/>
      <w:marLeft w:val="0"/>
      <w:marRight w:val="0"/>
      <w:marTop w:val="0"/>
      <w:marBottom w:val="0"/>
      <w:divBdr>
        <w:top w:val="none" w:sz="0" w:space="0" w:color="auto"/>
        <w:left w:val="none" w:sz="0" w:space="0" w:color="auto"/>
        <w:bottom w:val="none" w:sz="0" w:space="0" w:color="auto"/>
        <w:right w:val="none" w:sz="0" w:space="0" w:color="auto"/>
      </w:divBdr>
    </w:div>
    <w:div w:id="1714889239">
      <w:bodyDiv w:val="1"/>
      <w:marLeft w:val="0"/>
      <w:marRight w:val="0"/>
      <w:marTop w:val="0"/>
      <w:marBottom w:val="0"/>
      <w:divBdr>
        <w:top w:val="none" w:sz="0" w:space="0" w:color="auto"/>
        <w:left w:val="none" w:sz="0" w:space="0" w:color="auto"/>
        <w:bottom w:val="none" w:sz="0" w:space="0" w:color="auto"/>
        <w:right w:val="none" w:sz="0" w:space="0" w:color="auto"/>
      </w:divBdr>
      <w:divsChild>
        <w:div w:id="15667987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733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446150">
      <w:bodyDiv w:val="1"/>
      <w:marLeft w:val="0"/>
      <w:marRight w:val="0"/>
      <w:marTop w:val="0"/>
      <w:marBottom w:val="0"/>
      <w:divBdr>
        <w:top w:val="none" w:sz="0" w:space="0" w:color="auto"/>
        <w:left w:val="none" w:sz="0" w:space="0" w:color="auto"/>
        <w:bottom w:val="none" w:sz="0" w:space="0" w:color="auto"/>
        <w:right w:val="none" w:sz="0" w:space="0" w:color="auto"/>
      </w:divBdr>
      <w:divsChild>
        <w:div w:id="1528330228">
          <w:marLeft w:val="0"/>
          <w:marRight w:val="0"/>
          <w:marTop w:val="0"/>
          <w:marBottom w:val="0"/>
          <w:divBdr>
            <w:top w:val="none" w:sz="0" w:space="0" w:color="auto"/>
            <w:left w:val="none" w:sz="0" w:space="0" w:color="auto"/>
            <w:bottom w:val="none" w:sz="0" w:space="0" w:color="auto"/>
            <w:right w:val="none" w:sz="0" w:space="0" w:color="auto"/>
          </w:divBdr>
          <w:divsChild>
            <w:div w:id="1902132634">
              <w:marLeft w:val="0"/>
              <w:marRight w:val="0"/>
              <w:marTop w:val="0"/>
              <w:marBottom w:val="0"/>
              <w:divBdr>
                <w:top w:val="none" w:sz="0" w:space="0" w:color="auto"/>
                <w:left w:val="none" w:sz="0" w:space="0" w:color="auto"/>
                <w:bottom w:val="none" w:sz="0" w:space="0" w:color="auto"/>
                <w:right w:val="none" w:sz="0" w:space="0" w:color="auto"/>
              </w:divBdr>
              <w:divsChild>
                <w:div w:id="151044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482315">
      <w:bodyDiv w:val="1"/>
      <w:marLeft w:val="0"/>
      <w:marRight w:val="0"/>
      <w:marTop w:val="0"/>
      <w:marBottom w:val="0"/>
      <w:divBdr>
        <w:top w:val="none" w:sz="0" w:space="0" w:color="auto"/>
        <w:left w:val="none" w:sz="0" w:space="0" w:color="auto"/>
        <w:bottom w:val="none" w:sz="0" w:space="0" w:color="auto"/>
        <w:right w:val="none" w:sz="0" w:space="0" w:color="auto"/>
      </w:divBdr>
    </w:div>
    <w:div w:id="2071884509">
      <w:bodyDiv w:val="1"/>
      <w:marLeft w:val="0"/>
      <w:marRight w:val="0"/>
      <w:marTop w:val="0"/>
      <w:marBottom w:val="0"/>
      <w:divBdr>
        <w:top w:val="none" w:sz="0" w:space="0" w:color="auto"/>
        <w:left w:val="none" w:sz="0" w:space="0" w:color="auto"/>
        <w:bottom w:val="none" w:sz="0" w:space="0" w:color="auto"/>
        <w:right w:val="none" w:sz="0" w:space="0" w:color="auto"/>
      </w:divBdr>
    </w:div>
    <w:div w:id="2082751225">
      <w:bodyDiv w:val="1"/>
      <w:marLeft w:val="0"/>
      <w:marRight w:val="0"/>
      <w:marTop w:val="0"/>
      <w:marBottom w:val="0"/>
      <w:divBdr>
        <w:top w:val="none" w:sz="0" w:space="0" w:color="auto"/>
        <w:left w:val="none" w:sz="0" w:space="0" w:color="auto"/>
        <w:bottom w:val="none" w:sz="0" w:space="0" w:color="auto"/>
        <w:right w:val="none" w:sz="0" w:space="0" w:color="auto"/>
      </w:divBdr>
      <w:divsChild>
        <w:div w:id="1247612505">
          <w:marLeft w:val="0"/>
          <w:marRight w:val="0"/>
          <w:marTop w:val="0"/>
          <w:marBottom w:val="0"/>
          <w:divBdr>
            <w:top w:val="none" w:sz="0" w:space="0" w:color="auto"/>
            <w:left w:val="none" w:sz="0" w:space="0" w:color="auto"/>
            <w:bottom w:val="none" w:sz="0" w:space="0" w:color="auto"/>
            <w:right w:val="none" w:sz="0" w:space="0" w:color="auto"/>
          </w:divBdr>
          <w:divsChild>
            <w:div w:id="1892498134">
              <w:marLeft w:val="0"/>
              <w:marRight w:val="0"/>
              <w:marTop w:val="0"/>
              <w:marBottom w:val="0"/>
              <w:divBdr>
                <w:top w:val="none" w:sz="0" w:space="0" w:color="auto"/>
                <w:left w:val="none" w:sz="0" w:space="0" w:color="auto"/>
                <w:bottom w:val="none" w:sz="0" w:space="0" w:color="auto"/>
                <w:right w:val="none" w:sz="0" w:space="0" w:color="auto"/>
              </w:divBdr>
              <w:divsChild>
                <w:div w:id="202612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698928">
      <w:bodyDiv w:val="1"/>
      <w:marLeft w:val="0"/>
      <w:marRight w:val="0"/>
      <w:marTop w:val="0"/>
      <w:marBottom w:val="0"/>
      <w:divBdr>
        <w:top w:val="none" w:sz="0" w:space="0" w:color="auto"/>
        <w:left w:val="none" w:sz="0" w:space="0" w:color="auto"/>
        <w:bottom w:val="none" w:sz="0" w:space="0" w:color="auto"/>
        <w:right w:val="none" w:sz="0" w:space="0" w:color="auto"/>
      </w:divBdr>
      <w:divsChild>
        <w:div w:id="445855901">
          <w:marLeft w:val="0"/>
          <w:marRight w:val="0"/>
          <w:marTop w:val="0"/>
          <w:marBottom w:val="0"/>
          <w:divBdr>
            <w:top w:val="none" w:sz="0" w:space="0" w:color="auto"/>
            <w:left w:val="none" w:sz="0" w:space="0" w:color="auto"/>
            <w:bottom w:val="none" w:sz="0" w:space="0" w:color="auto"/>
            <w:right w:val="none" w:sz="0" w:space="0" w:color="auto"/>
          </w:divBdr>
          <w:divsChild>
            <w:div w:id="745496193">
              <w:marLeft w:val="0"/>
              <w:marRight w:val="0"/>
              <w:marTop w:val="0"/>
              <w:marBottom w:val="0"/>
              <w:divBdr>
                <w:top w:val="none" w:sz="0" w:space="0" w:color="auto"/>
                <w:left w:val="none" w:sz="0" w:space="0" w:color="auto"/>
                <w:bottom w:val="none" w:sz="0" w:space="0" w:color="auto"/>
                <w:right w:val="none" w:sz="0" w:space="0" w:color="auto"/>
              </w:divBdr>
              <w:divsChild>
                <w:div w:id="149371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447369">
      <w:bodyDiv w:val="1"/>
      <w:marLeft w:val="0"/>
      <w:marRight w:val="0"/>
      <w:marTop w:val="0"/>
      <w:marBottom w:val="0"/>
      <w:divBdr>
        <w:top w:val="none" w:sz="0" w:space="0" w:color="auto"/>
        <w:left w:val="none" w:sz="0" w:space="0" w:color="auto"/>
        <w:bottom w:val="none" w:sz="0" w:space="0" w:color="auto"/>
        <w:right w:val="none" w:sz="0" w:space="0" w:color="auto"/>
      </w:divBdr>
      <w:divsChild>
        <w:div w:id="347483042">
          <w:marLeft w:val="0"/>
          <w:marRight w:val="0"/>
          <w:marTop w:val="0"/>
          <w:marBottom w:val="0"/>
          <w:divBdr>
            <w:top w:val="none" w:sz="0" w:space="0" w:color="auto"/>
            <w:left w:val="none" w:sz="0" w:space="0" w:color="auto"/>
            <w:bottom w:val="none" w:sz="0" w:space="0" w:color="auto"/>
            <w:right w:val="none" w:sz="0" w:space="0" w:color="auto"/>
          </w:divBdr>
          <w:divsChild>
            <w:div w:id="1840802133">
              <w:marLeft w:val="0"/>
              <w:marRight w:val="0"/>
              <w:marTop w:val="0"/>
              <w:marBottom w:val="0"/>
              <w:divBdr>
                <w:top w:val="none" w:sz="0" w:space="0" w:color="auto"/>
                <w:left w:val="none" w:sz="0" w:space="0" w:color="auto"/>
                <w:bottom w:val="none" w:sz="0" w:space="0" w:color="auto"/>
                <w:right w:val="none" w:sz="0" w:space="0" w:color="auto"/>
              </w:divBdr>
              <w:divsChild>
                <w:div w:id="118922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PNG"/><Relationship Id="rId18" Type="http://schemas.openxmlformats.org/officeDocument/2006/relationships/image" Target="media/image6.png"/><Relationship Id="rId26" Type="http://schemas.openxmlformats.org/officeDocument/2006/relationships/image" Target="media/image12.jpg"/><Relationship Id="rId39" Type="http://schemas.openxmlformats.org/officeDocument/2006/relationships/footer" Target="footer2.xml"/><Relationship Id="rId21" Type="http://schemas.openxmlformats.org/officeDocument/2006/relationships/image" Target="media/image70.jpg"/><Relationship Id="rId34" Type="http://schemas.openxmlformats.org/officeDocument/2006/relationships/hyperlink" Target="https://www.ibm.com/blogs/client-voices/ai-helps-exploration-geologists-improve-predictions/" TargetMode="External"/><Relationship Id="rId42" Type="http://schemas.openxmlformats.org/officeDocument/2006/relationships/theme" Target="theme/theme1.xml"/><Relationship Id="rId7" Type="http://schemas.openxmlformats.org/officeDocument/2006/relationships/hyperlink" Target="mailto:brian.glass@nasa.gov"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60.png"/><Relationship Id="rId29" Type="http://schemas.openxmlformats.org/officeDocument/2006/relationships/image" Target="media/image100.jp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0.jpg"/><Relationship Id="rId24" Type="http://schemas.openxmlformats.org/officeDocument/2006/relationships/image" Target="media/image10.jpg"/><Relationship Id="rId32" Type="http://schemas.openxmlformats.org/officeDocument/2006/relationships/hyperlink" Target="https://doi.org/10.1002/rob.20224" TargetMode="External"/><Relationship Id="rId37" Type="http://schemas.openxmlformats.org/officeDocument/2006/relationships/hyperlink" Target="https://doi.org/10.2118/14988-MS" TargetMode="External"/><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40.png"/><Relationship Id="rId23" Type="http://schemas.openxmlformats.org/officeDocument/2006/relationships/image" Target="media/image9.jpg"/><Relationship Id="rId28" Type="http://schemas.openxmlformats.org/officeDocument/2006/relationships/image" Target="media/image90.jpg"/><Relationship Id="rId36" Type="http://schemas.openxmlformats.org/officeDocument/2006/relationships/hyperlink" Target="https://www.software.slb.com/delfi/ai/customer-successes-using-ai" TargetMode="External"/><Relationship Id="rId10" Type="http://schemas.openxmlformats.org/officeDocument/2006/relationships/image" Target="media/image2.jpg"/><Relationship Id="rId19" Type="http://schemas.openxmlformats.org/officeDocument/2006/relationships/image" Target="media/image7.jpg"/><Relationship Id="rId31" Type="http://schemas.openxmlformats.org/officeDocument/2006/relationships/image" Target="media/image120.jpg"/><Relationship Id="rId4" Type="http://schemas.openxmlformats.org/officeDocument/2006/relationships/webSettings" Target="webSettings.xml"/><Relationship Id="rId9" Type="http://schemas.openxmlformats.org/officeDocument/2006/relationships/image" Target="media/image10.jpeg"/><Relationship Id="rId14" Type="http://schemas.openxmlformats.org/officeDocument/2006/relationships/image" Target="media/image4.png"/><Relationship Id="rId22" Type="http://schemas.openxmlformats.org/officeDocument/2006/relationships/image" Target="media/image8.jpg"/><Relationship Id="rId27" Type="http://schemas.openxmlformats.org/officeDocument/2006/relationships/image" Target="media/image80.jpg"/><Relationship Id="rId30" Type="http://schemas.openxmlformats.org/officeDocument/2006/relationships/image" Target="media/image110.jpg"/><Relationship Id="rId35" Type="http://schemas.openxmlformats.org/officeDocument/2006/relationships/hyperlink" Target="https://doi.org/10.17226/6173" TargetMode="External"/><Relationship Id="rId8" Type="http://schemas.openxmlformats.org/officeDocument/2006/relationships/image" Target="media/image1.jpe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50.png"/><Relationship Id="rId25" Type="http://schemas.openxmlformats.org/officeDocument/2006/relationships/image" Target="media/image11.jpg"/><Relationship Id="rId33" Type="http://schemas.openxmlformats.org/officeDocument/2006/relationships/hyperlink" Target="https://doi.org/10.1016/j.icarus.2020.113778" TargetMode="External"/><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12</Pages>
  <Words>3752</Words>
  <Characters>21392</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bjay1789 bjay1789</dc:creator>
  <cp:keywords/>
  <dc:description/>
  <cp:lastModifiedBy>bjay1789 bjay1789</cp:lastModifiedBy>
  <cp:revision>2</cp:revision>
  <cp:lastPrinted>2021-11-19T00:51:00Z</cp:lastPrinted>
  <dcterms:created xsi:type="dcterms:W3CDTF">2021-12-04T00:48:00Z</dcterms:created>
  <dcterms:modified xsi:type="dcterms:W3CDTF">2021-12-04T00:48:00Z</dcterms:modified>
</cp:coreProperties>
</file>