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4779D3" w14:textId="77777777" w:rsidR="00EB592C" w:rsidRPr="008D5D0F" w:rsidRDefault="00EB592C" w:rsidP="00EB592C">
      <w:pPr>
        <w:rPr>
          <w:b/>
          <w:color w:val="000000" w:themeColor="text1"/>
          <w:sz w:val="20"/>
        </w:rPr>
      </w:pPr>
      <w:r w:rsidRPr="008D5D0F">
        <w:rPr>
          <w:b/>
          <w:color w:val="000000" w:themeColor="text1"/>
          <w:sz w:val="20"/>
        </w:rPr>
        <w:t>Supplementary Information for</w:t>
      </w:r>
    </w:p>
    <w:p w14:paraId="07A4D953" w14:textId="2D103032" w:rsidR="00EB592C" w:rsidRPr="008D5D0F" w:rsidRDefault="001639CB" w:rsidP="00EB592C">
      <w:pPr>
        <w:rPr>
          <w:color w:val="000000" w:themeColor="text1"/>
          <w:sz w:val="28"/>
          <w:szCs w:val="28"/>
        </w:rPr>
      </w:pPr>
      <w:r w:rsidRPr="008D5D0F">
        <w:rPr>
          <w:color w:val="000000" w:themeColor="text1"/>
          <w:sz w:val="28"/>
          <w:szCs w:val="28"/>
        </w:rPr>
        <w:t>Anthropogenic emissions a</w:t>
      </w:r>
      <w:r w:rsidR="002B498E" w:rsidRPr="008D5D0F">
        <w:rPr>
          <w:color w:val="000000" w:themeColor="text1"/>
          <w:sz w:val="28"/>
          <w:szCs w:val="28"/>
        </w:rPr>
        <w:t>re</w:t>
      </w:r>
      <w:r w:rsidRPr="008D5D0F">
        <w:rPr>
          <w:color w:val="000000" w:themeColor="text1"/>
          <w:sz w:val="28"/>
          <w:szCs w:val="28"/>
        </w:rPr>
        <w:t xml:space="preserve"> the main contribution to the rise of atmospheric methane (</w:t>
      </w:r>
      <w:r w:rsidR="00DD155A" w:rsidRPr="008D5D0F">
        <w:rPr>
          <w:color w:val="000000" w:themeColor="text1"/>
          <w:sz w:val="28"/>
          <w:szCs w:val="28"/>
        </w:rPr>
        <w:t>1993</w:t>
      </w:r>
      <w:r w:rsidRPr="008D5D0F">
        <w:rPr>
          <w:color w:val="000000" w:themeColor="text1"/>
          <w:sz w:val="28"/>
          <w:szCs w:val="28"/>
        </w:rPr>
        <w:t>-2017)</w:t>
      </w:r>
    </w:p>
    <w:p w14:paraId="0BF0F5F9" w14:textId="77777777" w:rsidR="002B498E" w:rsidRPr="008D5D0F" w:rsidRDefault="002B498E" w:rsidP="00EB592C">
      <w:pPr>
        <w:rPr>
          <w:color w:val="000000" w:themeColor="text1"/>
          <w:sz w:val="20"/>
        </w:rPr>
      </w:pPr>
    </w:p>
    <w:p w14:paraId="5A3202BE" w14:textId="6D4FA513" w:rsidR="00EB592C" w:rsidRPr="008D5D0F" w:rsidRDefault="00EB592C" w:rsidP="00EB592C">
      <w:pPr>
        <w:spacing w:after="200"/>
        <w:rPr>
          <w:color w:val="000000" w:themeColor="text1"/>
          <w:sz w:val="20"/>
        </w:rPr>
      </w:pPr>
      <w:r w:rsidRPr="008D5D0F">
        <w:rPr>
          <w:color w:val="000000" w:themeColor="text1"/>
          <w:sz w:val="20"/>
        </w:rPr>
        <w:t>Zhen Zhang</w:t>
      </w:r>
      <w:r w:rsidR="00345615" w:rsidRPr="008D5D0F">
        <w:rPr>
          <w:color w:val="000000" w:themeColor="text1"/>
          <w:sz w:val="20"/>
        </w:rPr>
        <w:t xml:space="preserve"> (</w:t>
      </w:r>
      <w:r w:rsidR="00345615" w:rsidRPr="008D5D0F">
        <w:rPr>
          <w:rFonts w:eastAsia="宋体"/>
          <w:color w:val="000000" w:themeColor="text1"/>
          <w:sz w:val="20"/>
          <w:lang w:eastAsia="zh-CN"/>
        </w:rPr>
        <w:t>张臻</w:t>
      </w:r>
      <w:r w:rsidR="00345615" w:rsidRPr="008D5D0F">
        <w:rPr>
          <w:color w:val="000000" w:themeColor="text1"/>
          <w:sz w:val="20"/>
        </w:rPr>
        <w:t>)</w:t>
      </w:r>
      <w:r w:rsidRPr="008D5D0F">
        <w:rPr>
          <w:color w:val="000000" w:themeColor="text1"/>
          <w:sz w:val="20"/>
          <w:vertAlign w:val="superscript"/>
        </w:rPr>
        <w:t>1*</w:t>
      </w:r>
      <w:r w:rsidRPr="008D5D0F">
        <w:rPr>
          <w:color w:val="000000" w:themeColor="text1"/>
          <w:sz w:val="20"/>
        </w:rPr>
        <w:t>, Benjamin Poulter</w:t>
      </w:r>
      <w:r w:rsidRPr="008D5D0F">
        <w:rPr>
          <w:color w:val="000000" w:themeColor="text1"/>
          <w:sz w:val="20"/>
          <w:vertAlign w:val="superscript"/>
        </w:rPr>
        <w:t>2</w:t>
      </w:r>
      <w:r w:rsidRPr="008D5D0F">
        <w:rPr>
          <w:color w:val="000000" w:themeColor="text1"/>
          <w:sz w:val="20"/>
        </w:rPr>
        <w:t>, Sara Knox</w:t>
      </w:r>
      <w:r w:rsidRPr="008D5D0F">
        <w:rPr>
          <w:color w:val="000000" w:themeColor="text1"/>
          <w:sz w:val="20"/>
          <w:vertAlign w:val="superscript"/>
        </w:rPr>
        <w:t>3</w:t>
      </w:r>
      <w:r w:rsidRPr="008D5D0F">
        <w:rPr>
          <w:color w:val="000000" w:themeColor="text1"/>
          <w:sz w:val="20"/>
        </w:rPr>
        <w:t>, Ann Stavert</w:t>
      </w:r>
      <w:r w:rsidRPr="008D5D0F">
        <w:rPr>
          <w:color w:val="000000" w:themeColor="text1"/>
          <w:sz w:val="20"/>
          <w:vertAlign w:val="superscript"/>
        </w:rPr>
        <w:t>4</w:t>
      </w:r>
      <w:r w:rsidRPr="008D5D0F">
        <w:rPr>
          <w:color w:val="000000" w:themeColor="text1"/>
          <w:sz w:val="20"/>
        </w:rPr>
        <w:t>, Gavin McNicol</w:t>
      </w:r>
      <w:r w:rsidRPr="008D5D0F">
        <w:rPr>
          <w:color w:val="000000" w:themeColor="text1"/>
          <w:sz w:val="20"/>
          <w:vertAlign w:val="superscript"/>
        </w:rPr>
        <w:t>5</w:t>
      </w:r>
      <w:r w:rsidRPr="008D5D0F">
        <w:rPr>
          <w:color w:val="000000" w:themeColor="text1"/>
          <w:sz w:val="20"/>
        </w:rPr>
        <w:t>, Etienne Fluet-Chouinard</w:t>
      </w:r>
      <w:r w:rsidRPr="008D5D0F">
        <w:rPr>
          <w:color w:val="000000" w:themeColor="text1"/>
          <w:sz w:val="20"/>
          <w:vertAlign w:val="superscript"/>
        </w:rPr>
        <w:t>6</w:t>
      </w:r>
      <w:r w:rsidRPr="008D5D0F">
        <w:rPr>
          <w:color w:val="000000" w:themeColor="text1"/>
          <w:sz w:val="20"/>
        </w:rPr>
        <w:t>, Aryeh Feinberg</w:t>
      </w:r>
      <w:r w:rsidRPr="008D5D0F">
        <w:rPr>
          <w:color w:val="000000" w:themeColor="text1"/>
          <w:sz w:val="20"/>
          <w:vertAlign w:val="superscript"/>
        </w:rPr>
        <w:t>7</w:t>
      </w:r>
      <w:r w:rsidRPr="008D5D0F">
        <w:rPr>
          <w:color w:val="000000" w:themeColor="text1"/>
          <w:sz w:val="20"/>
        </w:rPr>
        <w:t xml:space="preserve">, Yuanhong </w:t>
      </w:r>
      <w:r w:rsidR="00294F3B" w:rsidRPr="008D5D0F">
        <w:rPr>
          <w:color w:val="000000" w:themeColor="text1"/>
          <w:sz w:val="20"/>
        </w:rPr>
        <w:t>Zhao</w:t>
      </w:r>
      <w:r w:rsidR="00B65043" w:rsidRPr="008D5D0F">
        <w:rPr>
          <w:color w:val="000000" w:themeColor="text1"/>
          <w:sz w:val="20"/>
        </w:rPr>
        <w:t xml:space="preserve"> (</w:t>
      </w:r>
      <w:r w:rsidR="00B65043" w:rsidRPr="008D5D0F">
        <w:rPr>
          <w:rFonts w:eastAsia="宋体" w:hint="eastAsia"/>
          <w:color w:val="000000" w:themeColor="text1"/>
          <w:sz w:val="20"/>
          <w:lang w:eastAsia="zh-CN"/>
        </w:rPr>
        <w:t>赵园红</w:t>
      </w:r>
      <w:r w:rsidR="00B65043" w:rsidRPr="008D5D0F">
        <w:rPr>
          <w:color w:val="000000" w:themeColor="text1"/>
          <w:sz w:val="20"/>
        </w:rPr>
        <w:t>)</w:t>
      </w:r>
      <w:r w:rsidR="00294F3B" w:rsidRPr="008D5D0F">
        <w:rPr>
          <w:color w:val="000000" w:themeColor="text1"/>
          <w:sz w:val="20"/>
          <w:vertAlign w:val="superscript"/>
        </w:rPr>
        <w:t>8</w:t>
      </w:r>
      <w:r w:rsidRPr="008D5D0F">
        <w:rPr>
          <w:color w:val="000000" w:themeColor="text1"/>
          <w:sz w:val="20"/>
        </w:rPr>
        <w:t>, Philippe Bousquet</w:t>
      </w:r>
      <w:r w:rsidRPr="008D5D0F">
        <w:rPr>
          <w:color w:val="000000" w:themeColor="text1"/>
          <w:sz w:val="20"/>
          <w:vertAlign w:val="superscript"/>
        </w:rPr>
        <w:t>9</w:t>
      </w:r>
      <w:r w:rsidRPr="008D5D0F">
        <w:rPr>
          <w:color w:val="000000" w:themeColor="text1"/>
          <w:sz w:val="20"/>
        </w:rPr>
        <w:t>, Josep G. Canadell</w:t>
      </w:r>
      <w:r w:rsidRPr="008D5D0F">
        <w:rPr>
          <w:color w:val="000000" w:themeColor="text1"/>
          <w:sz w:val="20"/>
          <w:vertAlign w:val="superscript"/>
        </w:rPr>
        <w:t>4</w:t>
      </w:r>
      <w:r w:rsidRPr="008D5D0F">
        <w:rPr>
          <w:color w:val="000000" w:themeColor="text1"/>
          <w:sz w:val="20"/>
        </w:rPr>
        <w:t>, Anita Ganesan</w:t>
      </w:r>
      <w:r w:rsidRPr="008D5D0F">
        <w:rPr>
          <w:color w:val="000000" w:themeColor="text1"/>
          <w:sz w:val="20"/>
          <w:vertAlign w:val="superscript"/>
        </w:rPr>
        <w:t>10</w:t>
      </w:r>
      <w:r w:rsidRPr="008D5D0F">
        <w:rPr>
          <w:color w:val="000000" w:themeColor="text1"/>
          <w:sz w:val="20"/>
        </w:rPr>
        <w:t>, Gustaf Hugelius</w:t>
      </w:r>
      <w:r w:rsidRPr="008D5D0F">
        <w:rPr>
          <w:color w:val="000000" w:themeColor="text1"/>
          <w:sz w:val="20"/>
          <w:vertAlign w:val="superscript"/>
        </w:rPr>
        <w:t>11</w:t>
      </w:r>
      <w:r w:rsidRPr="008D5D0F">
        <w:rPr>
          <w:color w:val="000000" w:themeColor="text1"/>
          <w:sz w:val="20"/>
        </w:rPr>
        <w:t>, George Hurtt</w:t>
      </w:r>
      <w:r w:rsidRPr="008D5D0F">
        <w:rPr>
          <w:color w:val="000000" w:themeColor="text1"/>
          <w:sz w:val="20"/>
          <w:vertAlign w:val="superscript"/>
        </w:rPr>
        <w:t>1</w:t>
      </w:r>
      <w:r w:rsidRPr="008D5D0F">
        <w:rPr>
          <w:color w:val="000000" w:themeColor="text1"/>
          <w:sz w:val="20"/>
        </w:rPr>
        <w:t>, Robert B. Jackson</w:t>
      </w:r>
      <w:r w:rsidRPr="008D5D0F">
        <w:rPr>
          <w:color w:val="000000" w:themeColor="text1"/>
          <w:sz w:val="20"/>
          <w:vertAlign w:val="superscript"/>
        </w:rPr>
        <w:t>6,12</w:t>
      </w:r>
      <w:r w:rsidRPr="008D5D0F">
        <w:rPr>
          <w:color w:val="000000" w:themeColor="text1"/>
          <w:sz w:val="20"/>
        </w:rPr>
        <w:t>, Prabir K. Patra</w:t>
      </w:r>
      <w:r w:rsidRPr="008D5D0F">
        <w:rPr>
          <w:color w:val="000000" w:themeColor="text1"/>
          <w:sz w:val="20"/>
          <w:vertAlign w:val="superscript"/>
        </w:rPr>
        <w:t>13</w:t>
      </w:r>
      <w:r w:rsidRPr="008D5D0F">
        <w:rPr>
          <w:color w:val="000000" w:themeColor="text1"/>
          <w:sz w:val="20"/>
        </w:rPr>
        <w:t>, Marielle Saunois</w:t>
      </w:r>
      <w:r w:rsidRPr="008D5D0F">
        <w:rPr>
          <w:color w:val="000000" w:themeColor="text1"/>
          <w:sz w:val="20"/>
          <w:vertAlign w:val="superscript"/>
        </w:rPr>
        <w:t>9</w:t>
      </w:r>
      <w:r w:rsidRPr="008D5D0F">
        <w:rPr>
          <w:color w:val="000000" w:themeColor="text1"/>
          <w:sz w:val="20"/>
        </w:rPr>
        <w:t>, Lena Höglund-Isaksson</w:t>
      </w:r>
      <w:r w:rsidRPr="008D5D0F">
        <w:rPr>
          <w:color w:val="000000" w:themeColor="text1"/>
          <w:sz w:val="20"/>
          <w:vertAlign w:val="superscript"/>
        </w:rPr>
        <w:t>14</w:t>
      </w:r>
      <w:r w:rsidRPr="008D5D0F">
        <w:rPr>
          <w:color w:val="000000" w:themeColor="text1"/>
          <w:sz w:val="20"/>
        </w:rPr>
        <w:t>, Chunlin Huang</w:t>
      </w:r>
      <w:r w:rsidR="00345615" w:rsidRPr="008D5D0F">
        <w:rPr>
          <w:color w:val="000000" w:themeColor="text1"/>
          <w:sz w:val="20"/>
        </w:rPr>
        <w:t xml:space="preserve"> (</w:t>
      </w:r>
      <w:r w:rsidR="00345615" w:rsidRPr="008D5D0F">
        <w:rPr>
          <w:rFonts w:eastAsia="宋体"/>
          <w:color w:val="000000" w:themeColor="text1"/>
          <w:sz w:val="20"/>
          <w:lang w:eastAsia="zh-CN"/>
        </w:rPr>
        <w:t>黄春林</w:t>
      </w:r>
      <w:r w:rsidR="00345615" w:rsidRPr="008D5D0F">
        <w:rPr>
          <w:color w:val="000000" w:themeColor="text1"/>
          <w:sz w:val="20"/>
        </w:rPr>
        <w:t>)</w:t>
      </w:r>
      <w:r w:rsidRPr="008D5D0F">
        <w:rPr>
          <w:color w:val="000000" w:themeColor="text1"/>
          <w:sz w:val="20"/>
          <w:vertAlign w:val="superscript"/>
        </w:rPr>
        <w:t>15</w:t>
      </w:r>
      <w:r w:rsidRPr="008D5D0F">
        <w:rPr>
          <w:color w:val="000000" w:themeColor="text1"/>
          <w:sz w:val="20"/>
        </w:rPr>
        <w:t>, Abhishek Chatterjee</w:t>
      </w:r>
      <w:r w:rsidRPr="008D5D0F">
        <w:rPr>
          <w:color w:val="000000" w:themeColor="text1"/>
          <w:sz w:val="20"/>
          <w:vertAlign w:val="superscript"/>
        </w:rPr>
        <w:t>16,17</w:t>
      </w:r>
      <w:r w:rsidRPr="008D5D0F">
        <w:rPr>
          <w:color w:val="000000" w:themeColor="text1"/>
          <w:sz w:val="20"/>
        </w:rPr>
        <w:t>, Xin Li</w:t>
      </w:r>
      <w:r w:rsidR="00345615" w:rsidRPr="008D5D0F">
        <w:rPr>
          <w:color w:val="000000" w:themeColor="text1"/>
          <w:sz w:val="20"/>
        </w:rPr>
        <w:t xml:space="preserve"> (</w:t>
      </w:r>
      <w:r w:rsidR="00345615" w:rsidRPr="008D5D0F">
        <w:rPr>
          <w:rFonts w:eastAsia="宋体"/>
          <w:color w:val="000000" w:themeColor="text1"/>
          <w:sz w:val="20"/>
          <w:lang w:eastAsia="zh-CN"/>
        </w:rPr>
        <w:t>李新</w:t>
      </w:r>
      <w:r w:rsidR="00345615" w:rsidRPr="008D5D0F">
        <w:rPr>
          <w:color w:val="000000" w:themeColor="text1"/>
          <w:sz w:val="20"/>
          <w:lang w:eastAsia="zh-CN"/>
        </w:rPr>
        <w:t>)</w:t>
      </w:r>
      <w:r w:rsidRPr="008D5D0F">
        <w:rPr>
          <w:color w:val="000000" w:themeColor="text1"/>
          <w:sz w:val="20"/>
          <w:vertAlign w:val="superscript"/>
        </w:rPr>
        <w:t>18</w:t>
      </w:r>
    </w:p>
    <w:p w14:paraId="4BA018B3" w14:textId="77777777" w:rsidR="00EB592C" w:rsidRPr="008D5D0F" w:rsidRDefault="00EB592C" w:rsidP="00EB592C">
      <w:pPr>
        <w:spacing w:after="200"/>
        <w:rPr>
          <w:b/>
          <w:color w:val="000000" w:themeColor="text1"/>
          <w:sz w:val="20"/>
        </w:rPr>
      </w:pPr>
    </w:p>
    <w:p w14:paraId="0BC3610C" w14:textId="77777777" w:rsidR="00EB592C" w:rsidRPr="008D5D0F" w:rsidRDefault="00EB592C" w:rsidP="00EB592C">
      <w:pPr>
        <w:rPr>
          <w:color w:val="000000" w:themeColor="text1"/>
          <w:sz w:val="20"/>
        </w:rPr>
      </w:pPr>
    </w:p>
    <w:p w14:paraId="616EBEDB" w14:textId="58A253EB" w:rsidR="003752EA" w:rsidRPr="00F93643" w:rsidRDefault="00EB592C" w:rsidP="00EB592C">
      <w:pPr>
        <w:rPr>
          <w:rFonts w:eastAsiaTheme="minorEastAsia" w:hint="eastAsia"/>
          <w:color w:val="000000" w:themeColor="text1"/>
          <w:sz w:val="20"/>
          <w:lang w:eastAsia="zh-CN"/>
        </w:rPr>
      </w:pPr>
      <w:r w:rsidRPr="008D5D0F">
        <w:rPr>
          <w:color w:val="000000" w:themeColor="text1"/>
          <w:sz w:val="20"/>
        </w:rPr>
        <w:t>*Corresponding author: Zhen Zhang.</w:t>
      </w:r>
      <w:r w:rsidR="00B44870">
        <w:rPr>
          <w:rFonts w:eastAsiaTheme="minorEastAsia" w:hint="eastAsia"/>
          <w:color w:val="000000" w:themeColor="text1"/>
          <w:sz w:val="20"/>
          <w:lang w:eastAsia="zh-CN"/>
        </w:rPr>
        <w:t xml:space="preserve"> </w:t>
      </w:r>
      <w:r w:rsidR="00B44870" w:rsidRPr="0045465A">
        <w:rPr>
          <w:b/>
          <w:color w:val="000000" w:themeColor="text1"/>
          <w:sz w:val="20"/>
        </w:rPr>
        <w:t xml:space="preserve">Email: </w:t>
      </w:r>
      <w:hyperlink r:id="rId8" w:history="1">
        <w:r w:rsidR="00B44870" w:rsidRPr="0045465A">
          <w:rPr>
            <w:rStyle w:val="affd"/>
            <w:color w:val="000000" w:themeColor="text1"/>
            <w:sz w:val="20"/>
          </w:rPr>
          <w:t>yuisheng@gmail.com</w:t>
        </w:r>
      </w:hyperlink>
      <w:bookmarkStart w:id="0" w:name="_GoBack"/>
      <w:bookmarkEnd w:id="0"/>
    </w:p>
    <w:p w14:paraId="106D87DF" w14:textId="77777777" w:rsidR="003752EA" w:rsidRPr="008D5D0F" w:rsidRDefault="003752EA">
      <w:pPr>
        <w:rPr>
          <w:color w:val="000000" w:themeColor="text1"/>
          <w:sz w:val="20"/>
        </w:rPr>
      </w:pPr>
      <w:r w:rsidRPr="008D5D0F">
        <w:rPr>
          <w:color w:val="000000" w:themeColor="text1"/>
          <w:sz w:val="20"/>
        </w:rPr>
        <w:br w:type="page"/>
      </w:r>
    </w:p>
    <w:p w14:paraId="7118C6F0" w14:textId="77777777" w:rsidR="00EB592C" w:rsidRPr="008D5D0F" w:rsidRDefault="00EB592C" w:rsidP="00EB592C">
      <w:pPr>
        <w:rPr>
          <w:color w:val="000000" w:themeColor="text1"/>
          <w:sz w:val="20"/>
        </w:rPr>
      </w:pPr>
    </w:p>
    <w:p w14:paraId="520236F9" w14:textId="3A03DD5A" w:rsidR="00ED7F9E" w:rsidRPr="008D5D0F" w:rsidRDefault="00ED7F9E" w:rsidP="00EB592C">
      <w:pPr>
        <w:rPr>
          <w:color w:val="000000" w:themeColor="text1"/>
          <w:sz w:val="20"/>
        </w:rPr>
      </w:pPr>
    </w:p>
    <w:p w14:paraId="25AB27D3" w14:textId="77CD3E34" w:rsidR="00ED7F9E" w:rsidRPr="008D5D0F" w:rsidRDefault="00ED7F9E" w:rsidP="00ED7F9E">
      <w:pPr>
        <w:pStyle w:val="1"/>
        <w:rPr>
          <w:b w:val="0"/>
          <w:bCs w:val="0"/>
          <w:color w:val="000000" w:themeColor="text1"/>
          <w:sz w:val="26"/>
          <w:szCs w:val="26"/>
        </w:rPr>
      </w:pPr>
      <w:bookmarkStart w:id="1" w:name="_Toc37816950"/>
      <w:r w:rsidRPr="008D5D0F">
        <w:rPr>
          <w:b w:val="0"/>
          <w:bCs w:val="0"/>
          <w:color w:val="000000" w:themeColor="text1"/>
          <w:sz w:val="26"/>
          <w:szCs w:val="26"/>
        </w:rPr>
        <w:t>List of Acronyms</w:t>
      </w:r>
      <w:bookmarkEnd w:id="1"/>
    </w:p>
    <w:p w14:paraId="32238E10" w14:textId="77777777" w:rsidR="00ED7F9E" w:rsidRPr="008D5D0F" w:rsidRDefault="00ED7F9E" w:rsidP="00ED7F9E">
      <w:pPr>
        <w:spacing w:after="120"/>
        <w:jc w:val="both"/>
        <w:rPr>
          <w:color w:val="000000" w:themeColor="text1"/>
          <w:sz w:val="22"/>
          <w:szCs w:val="22"/>
        </w:rPr>
      </w:pPr>
      <w:r w:rsidRPr="008D5D0F">
        <w:rPr>
          <w:color w:val="000000" w:themeColor="text1"/>
          <w:sz w:val="22"/>
          <w:szCs w:val="22"/>
        </w:rPr>
        <w:t>EDGAR        </w:t>
      </w:r>
      <w:r w:rsidRPr="008D5D0F">
        <w:rPr>
          <w:color w:val="000000" w:themeColor="text1"/>
          <w:sz w:val="22"/>
          <w:szCs w:val="22"/>
        </w:rPr>
        <w:tab/>
        <w:t xml:space="preserve">        </w:t>
      </w:r>
      <w:r w:rsidRPr="008D5D0F">
        <w:rPr>
          <w:color w:val="000000" w:themeColor="text1"/>
          <w:sz w:val="22"/>
          <w:szCs w:val="22"/>
        </w:rPr>
        <w:tab/>
        <w:t>Emission Database for Global Atmospheric Research</w:t>
      </w:r>
    </w:p>
    <w:p w14:paraId="190DCF6F" w14:textId="77777777" w:rsidR="00ED7F9E" w:rsidRPr="008D5D0F" w:rsidRDefault="00ED7F9E" w:rsidP="00ED7F9E">
      <w:pPr>
        <w:spacing w:after="120"/>
        <w:jc w:val="both"/>
        <w:rPr>
          <w:color w:val="000000" w:themeColor="text1"/>
          <w:sz w:val="22"/>
          <w:szCs w:val="22"/>
        </w:rPr>
      </w:pPr>
      <w:r w:rsidRPr="008D5D0F">
        <w:rPr>
          <w:color w:val="000000" w:themeColor="text1"/>
          <w:sz w:val="22"/>
          <w:szCs w:val="22"/>
        </w:rPr>
        <w:t>WOLF2017</w:t>
      </w:r>
      <w:r w:rsidRPr="008D5D0F">
        <w:rPr>
          <w:color w:val="000000" w:themeColor="text1"/>
          <w:sz w:val="22"/>
          <w:szCs w:val="22"/>
        </w:rPr>
        <w:tab/>
      </w:r>
      <w:r w:rsidRPr="008D5D0F">
        <w:rPr>
          <w:color w:val="000000" w:themeColor="text1"/>
          <w:sz w:val="22"/>
          <w:szCs w:val="22"/>
        </w:rPr>
        <w:tab/>
        <w:t>Agricultural CH</w:t>
      </w:r>
      <w:r w:rsidRPr="008D5D0F">
        <w:rPr>
          <w:color w:val="000000" w:themeColor="text1"/>
          <w:sz w:val="22"/>
          <w:szCs w:val="22"/>
          <w:vertAlign w:val="subscript"/>
        </w:rPr>
        <w:t>4</w:t>
      </w:r>
      <w:r w:rsidRPr="008D5D0F">
        <w:rPr>
          <w:color w:val="000000" w:themeColor="text1"/>
          <w:sz w:val="22"/>
          <w:szCs w:val="22"/>
        </w:rPr>
        <w:t xml:space="preserve"> sources includes Inventories for Livestock CH</w:t>
      </w:r>
      <w:r w:rsidRPr="008D5D0F">
        <w:rPr>
          <w:color w:val="000000" w:themeColor="text1"/>
          <w:sz w:val="22"/>
          <w:szCs w:val="22"/>
          <w:vertAlign w:val="subscript"/>
        </w:rPr>
        <w:t>4</w:t>
      </w:r>
      <w:r w:rsidRPr="008D5D0F">
        <w:rPr>
          <w:color w:val="000000" w:themeColor="text1"/>
          <w:sz w:val="22"/>
          <w:szCs w:val="22"/>
        </w:rPr>
        <w:t xml:space="preserve"> from Wolf et al., (2017) and Rice and Waste sectors from EDGARv4.3.2</w:t>
      </w:r>
    </w:p>
    <w:p w14:paraId="41DBA413" w14:textId="77777777" w:rsidR="00ED7F9E" w:rsidRPr="008D5D0F" w:rsidRDefault="00ED7F9E" w:rsidP="00ED7F9E">
      <w:pPr>
        <w:spacing w:after="120"/>
        <w:jc w:val="both"/>
        <w:rPr>
          <w:color w:val="000000" w:themeColor="text1"/>
          <w:sz w:val="22"/>
          <w:szCs w:val="22"/>
        </w:rPr>
      </w:pPr>
      <w:r w:rsidRPr="008D5D0F">
        <w:rPr>
          <w:color w:val="000000" w:themeColor="text1"/>
          <w:sz w:val="22"/>
          <w:szCs w:val="22"/>
        </w:rPr>
        <w:t>GAINS</w:t>
      </w:r>
      <w:r w:rsidRPr="008D5D0F">
        <w:rPr>
          <w:color w:val="000000" w:themeColor="text1"/>
          <w:sz w:val="22"/>
          <w:szCs w:val="22"/>
        </w:rPr>
        <w:tab/>
      </w:r>
      <w:r w:rsidRPr="008D5D0F">
        <w:rPr>
          <w:color w:val="000000" w:themeColor="text1"/>
          <w:sz w:val="22"/>
          <w:szCs w:val="22"/>
        </w:rPr>
        <w:tab/>
      </w:r>
      <w:r w:rsidRPr="008D5D0F">
        <w:rPr>
          <w:color w:val="000000" w:themeColor="text1"/>
          <w:sz w:val="22"/>
          <w:szCs w:val="22"/>
        </w:rPr>
        <w:tab/>
        <w:t>GHG-Air pollution INteraction and Synergies model (GAINS)</w:t>
      </w:r>
    </w:p>
    <w:p w14:paraId="22324312" w14:textId="77777777" w:rsidR="00ED7F9E" w:rsidRPr="008D5D0F" w:rsidRDefault="00ED7F9E" w:rsidP="00ED7F9E">
      <w:pPr>
        <w:spacing w:after="120"/>
        <w:jc w:val="both"/>
        <w:rPr>
          <w:color w:val="000000" w:themeColor="text1"/>
          <w:sz w:val="22"/>
          <w:szCs w:val="22"/>
        </w:rPr>
      </w:pPr>
      <w:r w:rsidRPr="008D5D0F">
        <w:rPr>
          <w:color w:val="000000" w:themeColor="text1"/>
          <w:sz w:val="22"/>
          <w:szCs w:val="22"/>
        </w:rPr>
        <w:t>SCH150</w:t>
      </w:r>
      <w:r w:rsidRPr="008D5D0F">
        <w:rPr>
          <w:color w:val="000000" w:themeColor="text1"/>
          <w:sz w:val="22"/>
          <w:szCs w:val="22"/>
        </w:rPr>
        <w:tab/>
      </w:r>
      <w:r w:rsidRPr="008D5D0F">
        <w:rPr>
          <w:color w:val="000000" w:themeColor="text1"/>
          <w:sz w:val="22"/>
          <w:szCs w:val="22"/>
        </w:rPr>
        <w:tab/>
        <w:t>Industrial Fossil Fuel inventories from Schwietzke et al., (2016)</w:t>
      </w:r>
    </w:p>
    <w:p w14:paraId="7D43DF07" w14:textId="77777777" w:rsidR="00ED7F9E" w:rsidRPr="008D5D0F" w:rsidRDefault="00ED7F9E" w:rsidP="00ED7F9E">
      <w:pPr>
        <w:spacing w:after="120"/>
        <w:jc w:val="both"/>
        <w:rPr>
          <w:color w:val="000000" w:themeColor="text1"/>
          <w:sz w:val="22"/>
          <w:szCs w:val="22"/>
        </w:rPr>
      </w:pPr>
      <w:r w:rsidRPr="008D5D0F">
        <w:rPr>
          <w:color w:val="000000" w:themeColor="text1"/>
          <w:sz w:val="22"/>
          <w:szCs w:val="22"/>
        </w:rPr>
        <w:t>LPJ              </w:t>
      </w:r>
      <w:r w:rsidRPr="008D5D0F">
        <w:rPr>
          <w:color w:val="000000" w:themeColor="text1"/>
          <w:sz w:val="22"/>
          <w:szCs w:val="22"/>
        </w:rPr>
        <w:tab/>
        <w:t xml:space="preserve">        </w:t>
      </w:r>
      <w:r w:rsidRPr="008D5D0F">
        <w:rPr>
          <w:color w:val="000000" w:themeColor="text1"/>
          <w:sz w:val="22"/>
          <w:szCs w:val="22"/>
        </w:rPr>
        <w:tab/>
        <w:t>Lund-Potsdam-Jena Dynamic Global Vegetation Model</w:t>
      </w:r>
    </w:p>
    <w:p w14:paraId="2FD0196A" w14:textId="703B2358" w:rsidR="00ED7F9E" w:rsidRPr="008D5D0F" w:rsidRDefault="00ED7F9E" w:rsidP="00ED7F9E">
      <w:pPr>
        <w:spacing w:after="120"/>
        <w:ind w:left="2160" w:hanging="2160"/>
        <w:jc w:val="both"/>
        <w:rPr>
          <w:color w:val="000000" w:themeColor="text1"/>
          <w:sz w:val="22"/>
          <w:szCs w:val="22"/>
        </w:rPr>
      </w:pPr>
      <w:r w:rsidRPr="008D5D0F">
        <w:rPr>
          <w:color w:val="000000" w:themeColor="text1"/>
          <w:sz w:val="22"/>
          <w:szCs w:val="22"/>
        </w:rPr>
        <w:t>CRU             </w:t>
      </w:r>
      <w:r w:rsidRPr="008D5D0F">
        <w:rPr>
          <w:color w:val="000000" w:themeColor="text1"/>
          <w:sz w:val="22"/>
          <w:szCs w:val="22"/>
        </w:rPr>
        <w:tab/>
        <w:t>Wetland CH</w:t>
      </w:r>
      <w:r w:rsidRPr="008D5D0F">
        <w:rPr>
          <w:color w:val="000000" w:themeColor="text1"/>
          <w:sz w:val="22"/>
          <w:szCs w:val="22"/>
          <w:vertAlign w:val="subscript"/>
        </w:rPr>
        <w:t>4</w:t>
      </w:r>
      <w:r w:rsidRPr="008D5D0F">
        <w:rPr>
          <w:color w:val="000000" w:themeColor="text1"/>
          <w:sz w:val="22"/>
          <w:szCs w:val="22"/>
        </w:rPr>
        <w:t xml:space="preserve"> estimate using meteorological forcing from Climate Research Unit, representing small increases in wetland CH</w:t>
      </w:r>
      <w:r w:rsidRPr="008D5D0F">
        <w:rPr>
          <w:color w:val="000000" w:themeColor="text1"/>
          <w:sz w:val="22"/>
          <w:szCs w:val="22"/>
          <w:vertAlign w:val="subscript"/>
        </w:rPr>
        <w:t>4</w:t>
      </w:r>
      <w:r w:rsidRPr="008D5D0F">
        <w:rPr>
          <w:color w:val="000000" w:themeColor="text1"/>
          <w:sz w:val="22"/>
          <w:szCs w:val="22"/>
        </w:rPr>
        <w:t xml:space="preserve"> due to changing climate</w:t>
      </w:r>
    </w:p>
    <w:p w14:paraId="5D6BB360" w14:textId="4B213CCE" w:rsidR="00ED7F9E" w:rsidRPr="008D5D0F" w:rsidRDefault="00ED7F9E" w:rsidP="00ED7F9E">
      <w:pPr>
        <w:spacing w:after="120"/>
        <w:ind w:left="2160" w:hanging="2160"/>
        <w:jc w:val="both"/>
        <w:rPr>
          <w:color w:val="000000" w:themeColor="text1"/>
          <w:sz w:val="22"/>
          <w:szCs w:val="22"/>
        </w:rPr>
      </w:pPr>
      <w:r w:rsidRPr="008D5D0F">
        <w:rPr>
          <w:color w:val="000000" w:themeColor="text1"/>
          <w:sz w:val="22"/>
          <w:szCs w:val="22"/>
        </w:rPr>
        <w:t>REN                              Wetland CH</w:t>
      </w:r>
      <w:r w:rsidRPr="008D5D0F">
        <w:rPr>
          <w:color w:val="000000" w:themeColor="text1"/>
          <w:sz w:val="22"/>
          <w:szCs w:val="22"/>
          <w:vertAlign w:val="subscript"/>
        </w:rPr>
        <w:t>4</w:t>
      </w:r>
      <w:r w:rsidRPr="008D5D0F">
        <w:rPr>
          <w:color w:val="000000" w:themeColor="text1"/>
          <w:sz w:val="22"/>
          <w:szCs w:val="22"/>
        </w:rPr>
        <w:t xml:space="preserve"> estimate using an ensemble of meteorological forcing from Reanalysis, representing step increases in wetland CH</w:t>
      </w:r>
      <w:r w:rsidRPr="008D5D0F">
        <w:rPr>
          <w:color w:val="000000" w:themeColor="text1"/>
          <w:sz w:val="22"/>
          <w:szCs w:val="22"/>
          <w:vertAlign w:val="subscript"/>
        </w:rPr>
        <w:t>4</w:t>
      </w:r>
      <w:r w:rsidRPr="008D5D0F">
        <w:rPr>
          <w:color w:val="000000" w:themeColor="text1"/>
          <w:sz w:val="22"/>
          <w:szCs w:val="22"/>
        </w:rPr>
        <w:t xml:space="preserve"> due to enhanced precipitation and rising temperature</w:t>
      </w:r>
    </w:p>
    <w:p w14:paraId="07CD48BD" w14:textId="77777777" w:rsidR="00ED7F9E" w:rsidRPr="008D5D0F" w:rsidRDefault="00ED7F9E" w:rsidP="00ED7F9E">
      <w:pPr>
        <w:spacing w:after="120"/>
        <w:jc w:val="both"/>
        <w:rPr>
          <w:color w:val="000000" w:themeColor="text1"/>
          <w:sz w:val="22"/>
          <w:szCs w:val="22"/>
        </w:rPr>
      </w:pPr>
      <w:r w:rsidRPr="008D5D0F">
        <w:rPr>
          <w:color w:val="000000" w:themeColor="text1"/>
          <w:sz w:val="22"/>
          <w:szCs w:val="22"/>
        </w:rPr>
        <w:t>BB4CMIP           </w:t>
      </w:r>
      <w:r w:rsidRPr="008D5D0F">
        <w:rPr>
          <w:color w:val="000000" w:themeColor="text1"/>
          <w:sz w:val="22"/>
          <w:szCs w:val="22"/>
        </w:rPr>
        <w:tab/>
        <w:t>Historic global biomass burning emissions for CMIP6</w:t>
      </w:r>
    </w:p>
    <w:p w14:paraId="696C2C7C" w14:textId="77777777" w:rsidR="00ED7F9E" w:rsidRPr="008D5D0F" w:rsidRDefault="00ED7F9E" w:rsidP="00ED7F9E">
      <w:pPr>
        <w:spacing w:after="120"/>
        <w:jc w:val="both"/>
        <w:rPr>
          <w:color w:val="000000" w:themeColor="text1"/>
          <w:sz w:val="22"/>
          <w:szCs w:val="22"/>
        </w:rPr>
      </w:pPr>
      <w:r w:rsidRPr="008D5D0F">
        <w:rPr>
          <w:color w:val="000000" w:themeColor="text1"/>
          <w:sz w:val="22"/>
          <w:szCs w:val="22"/>
        </w:rPr>
        <w:t>GFED</w:t>
      </w:r>
      <w:r w:rsidRPr="008D5D0F">
        <w:rPr>
          <w:color w:val="000000" w:themeColor="text1"/>
          <w:sz w:val="22"/>
          <w:szCs w:val="22"/>
        </w:rPr>
        <w:tab/>
      </w:r>
      <w:r w:rsidRPr="008D5D0F">
        <w:rPr>
          <w:color w:val="000000" w:themeColor="text1"/>
          <w:sz w:val="22"/>
          <w:szCs w:val="22"/>
        </w:rPr>
        <w:tab/>
      </w:r>
      <w:r w:rsidRPr="008D5D0F">
        <w:rPr>
          <w:color w:val="000000" w:themeColor="text1"/>
          <w:sz w:val="22"/>
          <w:szCs w:val="22"/>
        </w:rPr>
        <w:tab/>
        <w:t>Global Fire Emissions Database</w:t>
      </w:r>
    </w:p>
    <w:p w14:paraId="75F3893B" w14:textId="77777777" w:rsidR="00ED7F9E" w:rsidRPr="008D5D0F" w:rsidRDefault="00ED7F9E" w:rsidP="00ED7F9E">
      <w:pPr>
        <w:spacing w:after="120"/>
        <w:jc w:val="both"/>
        <w:rPr>
          <w:color w:val="000000" w:themeColor="text1"/>
          <w:sz w:val="22"/>
          <w:szCs w:val="22"/>
        </w:rPr>
      </w:pPr>
      <w:r w:rsidRPr="008D5D0F">
        <w:rPr>
          <w:color w:val="000000" w:themeColor="text1"/>
          <w:sz w:val="22"/>
          <w:szCs w:val="22"/>
        </w:rPr>
        <w:t>IAV              </w:t>
      </w:r>
      <w:r w:rsidRPr="008D5D0F">
        <w:rPr>
          <w:color w:val="000000" w:themeColor="text1"/>
          <w:sz w:val="22"/>
          <w:szCs w:val="22"/>
        </w:rPr>
        <w:tab/>
        <w:t xml:space="preserve">        </w:t>
      </w:r>
      <w:r w:rsidRPr="008D5D0F">
        <w:rPr>
          <w:color w:val="000000" w:themeColor="text1"/>
          <w:sz w:val="22"/>
          <w:szCs w:val="22"/>
        </w:rPr>
        <w:tab/>
        <w:t>Interannual Variability</w:t>
      </w:r>
    </w:p>
    <w:p w14:paraId="1AE483C3" w14:textId="77777777" w:rsidR="00ED7F9E" w:rsidRPr="008D5D0F" w:rsidRDefault="00ED7F9E" w:rsidP="00ED7F9E">
      <w:pPr>
        <w:spacing w:after="120"/>
        <w:jc w:val="both"/>
        <w:rPr>
          <w:color w:val="000000" w:themeColor="text1"/>
          <w:sz w:val="22"/>
          <w:szCs w:val="22"/>
        </w:rPr>
      </w:pPr>
      <w:r w:rsidRPr="008D5D0F">
        <w:rPr>
          <w:color w:val="000000" w:themeColor="text1"/>
          <w:sz w:val="22"/>
          <w:szCs w:val="22"/>
        </w:rPr>
        <w:t>MCF</w:t>
      </w:r>
      <w:r w:rsidRPr="008D5D0F">
        <w:rPr>
          <w:color w:val="000000" w:themeColor="text1"/>
          <w:sz w:val="22"/>
          <w:szCs w:val="22"/>
        </w:rPr>
        <w:tab/>
        <w:t xml:space="preserve">        </w:t>
      </w:r>
      <w:r w:rsidRPr="008D5D0F">
        <w:rPr>
          <w:color w:val="000000" w:themeColor="text1"/>
          <w:sz w:val="22"/>
          <w:szCs w:val="22"/>
        </w:rPr>
        <w:tab/>
        <w:t xml:space="preserve">        </w:t>
      </w:r>
      <w:r w:rsidRPr="008D5D0F">
        <w:rPr>
          <w:color w:val="000000" w:themeColor="text1"/>
          <w:sz w:val="22"/>
          <w:szCs w:val="22"/>
        </w:rPr>
        <w:tab/>
        <w:t>Methyl chloroform</w:t>
      </w:r>
    </w:p>
    <w:p w14:paraId="4B9F95E6" w14:textId="77777777" w:rsidR="00ED7F9E" w:rsidRPr="008D5D0F" w:rsidRDefault="00ED7F9E" w:rsidP="00ED7F9E">
      <w:pPr>
        <w:spacing w:after="120"/>
        <w:jc w:val="both"/>
        <w:rPr>
          <w:color w:val="000000" w:themeColor="text1"/>
          <w:sz w:val="22"/>
          <w:szCs w:val="22"/>
        </w:rPr>
      </w:pPr>
      <w:r w:rsidRPr="008D5D0F">
        <w:rPr>
          <w:color w:val="000000" w:themeColor="text1"/>
          <w:sz w:val="22"/>
          <w:szCs w:val="22"/>
        </w:rPr>
        <w:t>IFF</w:t>
      </w:r>
      <w:r w:rsidRPr="008D5D0F">
        <w:rPr>
          <w:color w:val="000000" w:themeColor="text1"/>
          <w:sz w:val="22"/>
          <w:szCs w:val="22"/>
          <w:vertAlign w:val="subscript"/>
        </w:rPr>
        <w:t>CH4</w:t>
      </w:r>
      <w:r w:rsidRPr="008D5D0F">
        <w:rPr>
          <w:color w:val="000000" w:themeColor="text1"/>
          <w:sz w:val="22"/>
          <w:szCs w:val="22"/>
        </w:rPr>
        <w:t xml:space="preserve">          </w:t>
      </w:r>
      <w:r w:rsidRPr="008D5D0F">
        <w:rPr>
          <w:color w:val="000000" w:themeColor="text1"/>
          <w:sz w:val="22"/>
          <w:szCs w:val="22"/>
        </w:rPr>
        <w:tab/>
        <w:t xml:space="preserve">        </w:t>
      </w:r>
      <w:r w:rsidRPr="008D5D0F">
        <w:rPr>
          <w:color w:val="000000" w:themeColor="text1"/>
          <w:sz w:val="22"/>
          <w:szCs w:val="22"/>
        </w:rPr>
        <w:tab/>
        <w:t>Industrial Fossil Fuel CH</w:t>
      </w:r>
      <w:r w:rsidRPr="008D5D0F">
        <w:rPr>
          <w:color w:val="000000" w:themeColor="text1"/>
          <w:sz w:val="22"/>
          <w:szCs w:val="22"/>
          <w:vertAlign w:val="subscript"/>
        </w:rPr>
        <w:t>4</w:t>
      </w:r>
      <w:r w:rsidRPr="008D5D0F">
        <w:rPr>
          <w:color w:val="000000" w:themeColor="text1"/>
          <w:sz w:val="22"/>
          <w:szCs w:val="22"/>
        </w:rPr>
        <w:t xml:space="preserve"> emissions</w:t>
      </w:r>
    </w:p>
    <w:p w14:paraId="44466C06" w14:textId="77777777" w:rsidR="00ED7F9E" w:rsidRPr="008D5D0F" w:rsidRDefault="00ED7F9E" w:rsidP="00ED7F9E">
      <w:pPr>
        <w:spacing w:after="120"/>
        <w:jc w:val="both"/>
        <w:rPr>
          <w:color w:val="000000" w:themeColor="text1"/>
          <w:sz w:val="22"/>
          <w:szCs w:val="22"/>
        </w:rPr>
      </w:pPr>
      <w:r w:rsidRPr="008D5D0F">
        <w:rPr>
          <w:color w:val="000000" w:themeColor="text1"/>
          <w:sz w:val="22"/>
          <w:szCs w:val="22"/>
        </w:rPr>
        <w:t>COA</w:t>
      </w:r>
      <w:r w:rsidRPr="008D5D0F">
        <w:rPr>
          <w:color w:val="000000" w:themeColor="text1"/>
          <w:sz w:val="22"/>
          <w:szCs w:val="22"/>
          <w:vertAlign w:val="subscript"/>
        </w:rPr>
        <w:t>CH4                                </w:t>
      </w:r>
      <w:r w:rsidRPr="008D5D0F">
        <w:rPr>
          <w:color w:val="000000" w:themeColor="text1"/>
          <w:sz w:val="22"/>
          <w:szCs w:val="22"/>
          <w:vertAlign w:val="subscript"/>
        </w:rPr>
        <w:tab/>
      </w:r>
      <w:r w:rsidRPr="008D5D0F">
        <w:rPr>
          <w:color w:val="000000" w:themeColor="text1"/>
          <w:sz w:val="22"/>
          <w:szCs w:val="22"/>
        </w:rPr>
        <w:t>Coal CH</w:t>
      </w:r>
      <w:r w:rsidRPr="008D5D0F">
        <w:rPr>
          <w:color w:val="000000" w:themeColor="text1"/>
          <w:sz w:val="22"/>
          <w:szCs w:val="22"/>
          <w:vertAlign w:val="subscript"/>
        </w:rPr>
        <w:t>4</w:t>
      </w:r>
      <w:r w:rsidRPr="008D5D0F">
        <w:rPr>
          <w:color w:val="000000" w:themeColor="text1"/>
          <w:sz w:val="22"/>
          <w:szCs w:val="22"/>
        </w:rPr>
        <w:t xml:space="preserve"> emissions</w:t>
      </w:r>
    </w:p>
    <w:p w14:paraId="5CAB095B" w14:textId="77777777" w:rsidR="00ED7F9E" w:rsidRPr="008D5D0F" w:rsidRDefault="00ED7F9E" w:rsidP="00ED7F9E">
      <w:pPr>
        <w:spacing w:after="120"/>
        <w:jc w:val="both"/>
        <w:rPr>
          <w:color w:val="000000" w:themeColor="text1"/>
          <w:sz w:val="22"/>
          <w:szCs w:val="22"/>
        </w:rPr>
      </w:pPr>
      <w:r w:rsidRPr="008D5D0F">
        <w:rPr>
          <w:color w:val="000000" w:themeColor="text1"/>
          <w:sz w:val="22"/>
          <w:szCs w:val="22"/>
        </w:rPr>
        <w:t>GAS</w:t>
      </w:r>
      <w:r w:rsidRPr="008D5D0F">
        <w:rPr>
          <w:color w:val="000000" w:themeColor="text1"/>
          <w:sz w:val="22"/>
          <w:szCs w:val="22"/>
          <w:vertAlign w:val="subscript"/>
        </w:rPr>
        <w:t>CH4                                 </w:t>
      </w:r>
      <w:r w:rsidRPr="008D5D0F">
        <w:rPr>
          <w:color w:val="000000" w:themeColor="text1"/>
          <w:sz w:val="22"/>
          <w:szCs w:val="22"/>
          <w:vertAlign w:val="subscript"/>
        </w:rPr>
        <w:tab/>
      </w:r>
      <w:r w:rsidRPr="008D5D0F">
        <w:rPr>
          <w:color w:val="000000" w:themeColor="text1"/>
          <w:sz w:val="22"/>
          <w:szCs w:val="22"/>
        </w:rPr>
        <w:t>Natural Gas/Oil CH</w:t>
      </w:r>
      <w:r w:rsidRPr="008D5D0F">
        <w:rPr>
          <w:color w:val="000000" w:themeColor="text1"/>
          <w:sz w:val="22"/>
          <w:szCs w:val="22"/>
          <w:vertAlign w:val="subscript"/>
        </w:rPr>
        <w:t>4</w:t>
      </w:r>
      <w:r w:rsidRPr="008D5D0F">
        <w:rPr>
          <w:color w:val="000000" w:themeColor="text1"/>
          <w:sz w:val="22"/>
          <w:szCs w:val="22"/>
        </w:rPr>
        <w:t xml:space="preserve"> emissions</w:t>
      </w:r>
    </w:p>
    <w:p w14:paraId="2892C678" w14:textId="77777777" w:rsidR="00ED7F9E" w:rsidRPr="008D5D0F" w:rsidRDefault="00ED7F9E" w:rsidP="00ED7F9E">
      <w:pPr>
        <w:spacing w:after="120"/>
        <w:jc w:val="both"/>
        <w:rPr>
          <w:color w:val="000000" w:themeColor="text1"/>
          <w:sz w:val="22"/>
          <w:szCs w:val="22"/>
        </w:rPr>
      </w:pPr>
      <w:r w:rsidRPr="008D5D0F">
        <w:rPr>
          <w:color w:val="000000" w:themeColor="text1"/>
          <w:sz w:val="22"/>
          <w:szCs w:val="22"/>
        </w:rPr>
        <w:t>AGW</w:t>
      </w:r>
      <w:r w:rsidRPr="008D5D0F">
        <w:rPr>
          <w:color w:val="000000" w:themeColor="text1"/>
          <w:sz w:val="22"/>
          <w:szCs w:val="22"/>
          <w:vertAlign w:val="subscript"/>
        </w:rPr>
        <w:t>CH4</w:t>
      </w:r>
      <w:r w:rsidRPr="008D5D0F">
        <w:rPr>
          <w:color w:val="000000" w:themeColor="text1"/>
          <w:sz w:val="22"/>
          <w:szCs w:val="22"/>
        </w:rPr>
        <w:t xml:space="preserve">                   </w:t>
      </w:r>
      <w:r w:rsidRPr="008D5D0F">
        <w:rPr>
          <w:color w:val="000000" w:themeColor="text1"/>
          <w:sz w:val="22"/>
          <w:szCs w:val="22"/>
        </w:rPr>
        <w:tab/>
        <w:t>Agriculture and Waste CH</w:t>
      </w:r>
      <w:r w:rsidRPr="008D5D0F">
        <w:rPr>
          <w:color w:val="000000" w:themeColor="text1"/>
          <w:sz w:val="22"/>
          <w:szCs w:val="22"/>
          <w:vertAlign w:val="subscript"/>
        </w:rPr>
        <w:t>4</w:t>
      </w:r>
      <w:r w:rsidRPr="008D5D0F">
        <w:rPr>
          <w:color w:val="000000" w:themeColor="text1"/>
          <w:sz w:val="22"/>
          <w:szCs w:val="22"/>
        </w:rPr>
        <w:t xml:space="preserve"> emissions</w:t>
      </w:r>
    </w:p>
    <w:p w14:paraId="21D4BE57" w14:textId="77777777" w:rsidR="00ED7F9E" w:rsidRPr="008D5D0F" w:rsidRDefault="00ED7F9E" w:rsidP="00ED7F9E">
      <w:pPr>
        <w:spacing w:after="120"/>
        <w:jc w:val="both"/>
        <w:rPr>
          <w:color w:val="000000" w:themeColor="text1"/>
          <w:sz w:val="22"/>
          <w:szCs w:val="22"/>
        </w:rPr>
      </w:pPr>
      <w:r w:rsidRPr="008D5D0F">
        <w:rPr>
          <w:color w:val="000000" w:themeColor="text1"/>
          <w:sz w:val="22"/>
          <w:szCs w:val="22"/>
        </w:rPr>
        <w:t>RIC</w:t>
      </w:r>
      <w:r w:rsidRPr="008D5D0F">
        <w:rPr>
          <w:color w:val="000000" w:themeColor="text1"/>
          <w:sz w:val="22"/>
          <w:szCs w:val="22"/>
          <w:vertAlign w:val="subscript"/>
        </w:rPr>
        <w:t>CH4                                  </w:t>
      </w:r>
      <w:r w:rsidRPr="008D5D0F">
        <w:rPr>
          <w:color w:val="000000" w:themeColor="text1"/>
          <w:sz w:val="22"/>
          <w:szCs w:val="22"/>
          <w:vertAlign w:val="subscript"/>
        </w:rPr>
        <w:tab/>
      </w:r>
      <w:r w:rsidRPr="008D5D0F">
        <w:rPr>
          <w:color w:val="000000" w:themeColor="text1"/>
          <w:sz w:val="22"/>
          <w:szCs w:val="22"/>
        </w:rPr>
        <w:t>Agricultural Rice CH</w:t>
      </w:r>
      <w:r w:rsidRPr="008D5D0F">
        <w:rPr>
          <w:color w:val="000000" w:themeColor="text1"/>
          <w:sz w:val="22"/>
          <w:szCs w:val="22"/>
          <w:vertAlign w:val="subscript"/>
        </w:rPr>
        <w:t>4</w:t>
      </w:r>
      <w:r w:rsidRPr="008D5D0F">
        <w:rPr>
          <w:color w:val="000000" w:themeColor="text1"/>
          <w:sz w:val="22"/>
          <w:szCs w:val="22"/>
        </w:rPr>
        <w:t xml:space="preserve"> emissions</w:t>
      </w:r>
    </w:p>
    <w:p w14:paraId="7996D3C9" w14:textId="77777777" w:rsidR="00ED7F9E" w:rsidRPr="008D5D0F" w:rsidRDefault="00ED7F9E" w:rsidP="00ED7F9E">
      <w:pPr>
        <w:spacing w:after="120"/>
        <w:jc w:val="both"/>
        <w:rPr>
          <w:color w:val="000000" w:themeColor="text1"/>
          <w:sz w:val="22"/>
          <w:szCs w:val="22"/>
        </w:rPr>
      </w:pPr>
      <w:r w:rsidRPr="008D5D0F">
        <w:rPr>
          <w:color w:val="000000" w:themeColor="text1"/>
          <w:sz w:val="22"/>
          <w:szCs w:val="22"/>
        </w:rPr>
        <w:t>WAS</w:t>
      </w:r>
      <w:r w:rsidRPr="008D5D0F">
        <w:rPr>
          <w:color w:val="000000" w:themeColor="text1"/>
          <w:sz w:val="22"/>
          <w:szCs w:val="22"/>
          <w:vertAlign w:val="subscript"/>
        </w:rPr>
        <w:t>CH4                               </w:t>
      </w:r>
      <w:r w:rsidRPr="008D5D0F">
        <w:rPr>
          <w:color w:val="000000" w:themeColor="text1"/>
          <w:sz w:val="22"/>
          <w:szCs w:val="22"/>
          <w:vertAlign w:val="subscript"/>
        </w:rPr>
        <w:tab/>
      </w:r>
      <w:r w:rsidRPr="008D5D0F">
        <w:rPr>
          <w:color w:val="000000" w:themeColor="text1"/>
          <w:sz w:val="22"/>
          <w:szCs w:val="22"/>
        </w:rPr>
        <w:t>Waste/Landfill CH</w:t>
      </w:r>
      <w:r w:rsidRPr="008D5D0F">
        <w:rPr>
          <w:color w:val="000000" w:themeColor="text1"/>
          <w:sz w:val="22"/>
          <w:szCs w:val="22"/>
          <w:vertAlign w:val="subscript"/>
        </w:rPr>
        <w:t>4</w:t>
      </w:r>
      <w:r w:rsidRPr="008D5D0F">
        <w:rPr>
          <w:color w:val="000000" w:themeColor="text1"/>
          <w:sz w:val="22"/>
          <w:szCs w:val="22"/>
        </w:rPr>
        <w:t xml:space="preserve"> emissions</w:t>
      </w:r>
    </w:p>
    <w:p w14:paraId="2A47D176" w14:textId="77777777" w:rsidR="00ED7F9E" w:rsidRPr="008D5D0F" w:rsidRDefault="00ED7F9E" w:rsidP="00ED7F9E">
      <w:pPr>
        <w:spacing w:after="120"/>
        <w:jc w:val="both"/>
        <w:rPr>
          <w:color w:val="000000" w:themeColor="text1"/>
          <w:sz w:val="22"/>
          <w:szCs w:val="22"/>
        </w:rPr>
      </w:pPr>
      <w:r w:rsidRPr="008D5D0F">
        <w:rPr>
          <w:color w:val="000000" w:themeColor="text1"/>
          <w:sz w:val="22"/>
          <w:szCs w:val="22"/>
        </w:rPr>
        <w:t>LIV</w:t>
      </w:r>
      <w:r w:rsidRPr="008D5D0F">
        <w:rPr>
          <w:color w:val="000000" w:themeColor="text1"/>
          <w:sz w:val="22"/>
          <w:szCs w:val="22"/>
          <w:vertAlign w:val="subscript"/>
        </w:rPr>
        <w:t>CH4                                   </w:t>
      </w:r>
      <w:r w:rsidRPr="008D5D0F">
        <w:rPr>
          <w:color w:val="000000" w:themeColor="text1"/>
          <w:sz w:val="22"/>
          <w:szCs w:val="22"/>
          <w:vertAlign w:val="subscript"/>
        </w:rPr>
        <w:tab/>
      </w:r>
      <w:r w:rsidRPr="008D5D0F">
        <w:rPr>
          <w:color w:val="000000" w:themeColor="text1"/>
          <w:sz w:val="22"/>
          <w:szCs w:val="22"/>
        </w:rPr>
        <w:t>Livestock CH</w:t>
      </w:r>
      <w:r w:rsidRPr="008D5D0F">
        <w:rPr>
          <w:color w:val="000000" w:themeColor="text1"/>
          <w:sz w:val="22"/>
          <w:szCs w:val="22"/>
          <w:vertAlign w:val="subscript"/>
        </w:rPr>
        <w:t>4</w:t>
      </w:r>
      <w:r w:rsidRPr="008D5D0F">
        <w:rPr>
          <w:color w:val="000000" w:themeColor="text1"/>
          <w:sz w:val="22"/>
          <w:szCs w:val="22"/>
        </w:rPr>
        <w:t xml:space="preserve"> emissions</w:t>
      </w:r>
    </w:p>
    <w:p w14:paraId="203B770F" w14:textId="77777777" w:rsidR="00ED7F9E" w:rsidRPr="008D5D0F" w:rsidRDefault="00ED7F9E" w:rsidP="00ED7F9E">
      <w:pPr>
        <w:spacing w:after="120"/>
        <w:jc w:val="both"/>
        <w:rPr>
          <w:color w:val="000000" w:themeColor="text1"/>
          <w:sz w:val="22"/>
          <w:szCs w:val="22"/>
        </w:rPr>
      </w:pPr>
      <w:r w:rsidRPr="008D5D0F">
        <w:rPr>
          <w:color w:val="000000" w:themeColor="text1"/>
          <w:sz w:val="22"/>
          <w:szCs w:val="22"/>
        </w:rPr>
        <w:t>BB</w:t>
      </w:r>
      <w:r w:rsidRPr="008D5D0F">
        <w:rPr>
          <w:color w:val="000000" w:themeColor="text1"/>
          <w:sz w:val="22"/>
          <w:szCs w:val="22"/>
          <w:vertAlign w:val="subscript"/>
        </w:rPr>
        <w:t>CH4</w:t>
      </w:r>
      <w:r w:rsidRPr="008D5D0F">
        <w:rPr>
          <w:color w:val="000000" w:themeColor="text1"/>
          <w:sz w:val="22"/>
          <w:szCs w:val="22"/>
        </w:rPr>
        <w:t xml:space="preserve">           </w:t>
      </w:r>
      <w:r w:rsidRPr="008D5D0F">
        <w:rPr>
          <w:color w:val="000000" w:themeColor="text1"/>
          <w:sz w:val="22"/>
          <w:szCs w:val="22"/>
        </w:rPr>
        <w:tab/>
        <w:t xml:space="preserve">        </w:t>
      </w:r>
      <w:r w:rsidRPr="008D5D0F">
        <w:rPr>
          <w:color w:val="000000" w:themeColor="text1"/>
          <w:sz w:val="22"/>
          <w:szCs w:val="22"/>
        </w:rPr>
        <w:tab/>
        <w:t>Biomass Burning CH</w:t>
      </w:r>
      <w:r w:rsidRPr="008D5D0F">
        <w:rPr>
          <w:color w:val="000000" w:themeColor="text1"/>
          <w:sz w:val="22"/>
          <w:szCs w:val="22"/>
          <w:vertAlign w:val="subscript"/>
        </w:rPr>
        <w:t>4</w:t>
      </w:r>
      <w:r w:rsidRPr="008D5D0F">
        <w:rPr>
          <w:color w:val="000000" w:themeColor="text1"/>
          <w:sz w:val="22"/>
          <w:szCs w:val="22"/>
        </w:rPr>
        <w:t xml:space="preserve"> emissions</w:t>
      </w:r>
    </w:p>
    <w:p w14:paraId="2453301A" w14:textId="77777777" w:rsidR="00ED7F9E" w:rsidRPr="008D5D0F" w:rsidRDefault="00ED7F9E" w:rsidP="00ED7F9E">
      <w:pPr>
        <w:spacing w:after="120"/>
        <w:jc w:val="both"/>
        <w:rPr>
          <w:color w:val="000000" w:themeColor="text1"/>
          <w:sz w:val="22"/>
          <w:szCs w:val="22"/>
        </w:rPr>
      </w:pPr>
      <w:r w:rsidRPr="008D5D0F">
        <w:rPr>
          <w:color w:val="000000" w:themeColor="text1"/>
          <w:sz w:val="22"/>
          <w:szCs w:val="22"/>
        </w:rPr>
        <w:t>WET</w:t>
      </w:r>
      <w:r w:rsidRPr="008D5D0F">
        <w:rPr>
          <w:color w:val="000000" w:themeColor="text1"/>
          <w:sz w:val="22"/>
          <w:szCs w:val="22"/>
          <w:vertAlign w:val="subscript"/>
        </w:rPr>
        <w:t>CH4</w:t>
      </w:r>
      <w:r w:rsidRPr="008D5D0F">
        <w:rPr>
          <w:color w:val="000000" w:themeColor="text1"/>
          <w:sz w:val="22"/>
          <w:szCs w:val="22"/>
        </w:rPr>
        <w:t xml:space="preserve">                   </w:t>
      </w:r>
      <w:r w:rsidRPr="008D5D0F">
        <w:rPr>
          <w:color w:val="000000" w:themeColor="text1"/>
          <w:sz w:val="22"/>
          <w:szCs w:val="22"/>
        </w:rPr>
        <w:tab/>
        <w:t>Wetland CH</w:t>
      </w:r>
      <w:r w:rsidRPr="008D5D0F">
        <w:rPr>
          <w:color w:val="000000" w:themeColor="text1"/>
          <w:sz w:val="22"/>
          <w:szCs w:val="22"/>
          <w:vertAlign w:val="subscript"/>
        </w:rPr>
        <w:t>4</w:t>
      </w:r>
      <w:r w:rsidRPr="008D5D0F">
        <w:rPr>
          <w:color w:val="000000" w:themeColor="text1"/>
          <w:sz w:val="22"/>
          <w:szCs w:val="22"/>
        </w:rPr>
        <w:t xml:space="preserve"> emissions</w:t>
      </w:r>
    </w:p>
    <w:p w14:paraId="26690B05" w14:textId="77777777" w:rsidR="00ED7F9E" w:rsidRPr="008D5D0F" w:rsidRDefault="00ED7F9E" w:rsidP="00ED7F9E">
      <w:pPr>
        <w:spacing w:after="120"/>
        <w:jc w:val="both"/>
        <w:rPr>
          <w:color w:val="000000" w:themeColor="text1"/>
          <w:sz w:val="22"/>
          <w:szCs w:val="22"/>
        </w:rPr>
      </w:pPr>
      <w:r w:rsidRPr="008D5D0F">
        <w:rPr>
          <w:color w:val="000000" w:themeColor="text1"/>
          <w:sz w:val="22"/>
          <w:szCs w:val="22"/>
        </w:rPr>
        <w:t>GEO</w:t>
      </w:r>
      <w:r w:rsidRPr="008D5D0F">
        <w:rPr>
          <w:color w:val="000000" w:themeColor="text1"/>
          <w:sz w:val="22"/>
          <w:szCs w:val="22"/>
          <w:vertAlign w:val="subscript"/>
        </w:rPr>
        <w:t>CH4                                </w:t>
      </w:r>
      <w:r w:rsidRPr="008D5D0F">
        <w:rPr>
          <w:color w:val="000000" w:themeColor="text1"/>
          <w:sz w:val="22"/>
          <w:szCs w:val="22"/>
          <w:vertAlign w:val="subscript"/>
        </w:rPr>
        <w:tab/>
      </w:r>
      <w:r w:rsidRPr="008D5D0F">
        <w:rPr>
          <w:color w:val="000000" w:themeColor="text1"/>
          <w:sz w:val="22"/>
          <w:szCs w:val="22"/>
        </w:rPr>
        <w:t>Geological CH</w:t>
      </w:r>
      <w:r w:rsidRPr="008D5D0F">
        <w:rPr>
          <w:color w:val="000000" w:themeColor="text1"/>
          <w:sz w:val="22"/>
          <w:szCs w:val="22"/>
          <w:vertAlign w:val="subscript"/>
        </w:rPr>
        <w:t>4</w:t>
      </w:r>
      <w:r w:rsidRPr="008D5D0F">
        <w:rPr>
          <w:color w:val="000000" w:themeColor="text1"/>
          <w:sz w:val="22"/>
          <w:szCs w:val="22"/>
        </w:rPr>
        <w:t xml:space="preserve"> emissions</w:t>
      </w:r>
    </w:p>
    <w:p w14:paraId="26D893C9" w14:textId="77777777" w:rsidR="00ED7F9E" w:rsidRPr="008D5D0F" w:rsidRDefault="00ED7F9E" w:rsidP="00ED7F9E">
      <w:pPr>
        <w:spacing w:after="120"/>
        <w:jc w:val="both"/>
        <w:rPr>
          <w:color w:val="000000" w:themeColor="text1"/>
          <w:sz w:val="22"/>
          <w:szCs w:val="22"/>
        </w:rPr>
      </w:pPr>
      <w:r w:rsidRPr="008D5D0F">
        <w:rPr>
          <w:color w:val="000000" w:themeColor="text1"/>
          <w:sz w:val="22"/>
          <w:szCs w:val="22"/>
        </w:rPr>
        <w:t>OH               </w:t>
      </w:r>
      <w:r w:rsidRPr="008D5D0F">
        <w:rPr>
          <w:color w:val="000000" w:themeColor="text1"/>
          <w:sz w:val="22"/>
          <w:szCs w:val="22"/>
        </w:rPr>
        <w:tab/>
        <w:t xml:space="preserve">        </w:t>
      </w:r>
      <w:r w:rsidRPr="008D5D0F">
        <w:rPr>
          <w:color w:val="000000" w:themeColor="text1"/>
          <w:sz w:val="22"/>
          <w:szCs w:val="22"/>
        </w:rPr>
        <w:tab/>
        <w:t>Hydroxyl Radical</w:t>
      </w:r>
    </w:p>
    <w:p w14:paraId="5DAA5F1C" w14:textId="77777777" w:rsidR="00ED7F9E" w:rsidRPr="008D5D0F" w:rsidRDefault="00ED7F9E" w:rsidP="00ED7F9E">
      <w:pPr>
        <w:spacing w:after="120"/>
        <w:jc w:val="both"/>
        <w:rPr>
          <w:color w:val="000000" w:themeColor="text1"/>
          <w:sz w:val="22"/>
          <w:szCs w:val="22"/>
        </w:rPr>
      </w:pPr>
      <w:r w:rsidRPr="008D5D0F">
        <w:rPr>
          <w:color w:val="000000" w:themeColor="text1"/>
          <w:sz w:val="22"/>
          <w:szCs w:val="22"/>
        </w:rPr>
        <w:t>δ</w:t>
      </w:r>
      <w:r w:rsidRPr="008D5D0F">
        <w:rPr>
          <w:color w:val="000000" w:themeColor="text1"/>
          <w:sz w:val="22"/>
          <w:szCs w:val="22"/>
          <w:vertAlign w:val="superscript"/>
        </w:rPr>
        <w:t>13</w:t>
      </w:r>
      <w:r w:rsidRPr="008D5D0F">
        <w:rPr>
          <w:color w:val="000000" w:themeColor="text1"/>
          <w:sz w:val="22"/>
          <w:szCs w:val="22"/>
        </w:rPr>
        <w:t>C-CH</w:t>
      </w:r>
      <w:r w:rsidRPr="008D5D0F">
        <w:rPr>
          <w:color w:val="000000" w:themeColor="text1"/>
          <w:sz w:val="22"/>
          <w:szCs w:val="22"/>
          <w:vertAlign w:val="subscript"/>
        </w:rPr>
        <w:t>4</w:t>
      </w:r>
      <w:r w:rsidRPr="008D5D0F">
        <w:rPr>
          <w:color w:val="000000" w:themeColor="text1"/>
          <w:sz w:val="22"/>
          <w:szCs w:val="22"/>
        </w:rPr>
        <w:t xml:space="preserve">                    </w:t>
      </w:r>
      <w:r w:rsidRPr="008D5D0F">
        <w:rPr>
          <w:color w:val="000000" w:themeColor="text1"/>
          <w:sz w:val="22"/>
          <w:szCs w:val="22"/>
          <w:vertAlign w:val="superscript"/>
        </w:rPr>
        <w:t>13</w:t>
      </w:r>
      <w:r w:rsidRPr="008D5D0F">
        <w:rPr>
          <w:color w:val="000000" w:themeColor="text1"/>
          <w:sz w:val="22"/>
          <w:szCs w:val="22"/>
        </w:rPr>
        <w:t>C/</w:t>
      </w:r>
      <w:r w:rsidRPr="008D5D0F">
        <w:rPr>
          <w:color w:val="000000" w:themeColor="text1"/>
          <w:sz w:val="22"/>
          <w:szCs w:val="22"/>
          <w:vertAlign w:val="superscript"/>
        </w:rPr>
        <w:t>12</w:t>
      </w:r>
      <w:r w:rsidRPr="008D5D0F">
        <w:rPr>
          <w:color w:val="000000" w:themeColor="text1"/>
          <w:sz w:val="22"/>
          <w:szCs w:val="22"/>
        </w:rPr>
        <w:t>C-ratio in CH</w:t>
      </w:r>
      <w:r w:rsidRPr="008D5D0F">
        <w:rPr>
          <w:color w:val="000000" w:themeColor="text1"/>
          <w:sz w:val="22"/>
          <w:szCs w:val="22"/>
          <w:vertAlign w:val="subscript"/>
        </w:rPr>
        <w:t xml:space="preserve">4 </w:t>
      </w:r>
    </w:p>
    <w:p w14:paraId="6C0F8DE2" w14:textId="77777777" w:rsidR="00ED7F9E" w:rsidRPr="008D5D0F" w:rsidRDefault="00ED7F9E" w:rsidP="00ED7F9E">
      <w:pPr>
        <w:spacing w:after="120"/>
        <w:jc w:val="both"/>
        <w:rPr>
          <w:color w:val="000000" w:themeColor="text1"/>
          <w:sz w:val="22"/>
          <w:szCs w:val="22"/>
        </w:rPr>
      </w:pPr>
      <w:r w:rsidRPr="008D5D0F">
        <w:rPr>
          <w:color w:val="000000" w:themeColor="text1"/>
          <w:sz w:val="22"/>
          <w:szCs w:val="22"/>
        </w:rPr>
        <w:t>ɛ</w:t>
      </w:r>
      <w:r w:rsidRPr="008D5D0F">
        <w:rPr>
          <w:color w:val="000000" w:themeColor="text1"/>
          <w:sz w:val="22"/>
          <w:szCs w:val="22"/>
        </w:rPr>
        <w:tab/>
      </w:r>
      <w:r w:rsidRPr="008D5D0F">
        <w:rPr>
          <w:color w:val="000000" w:themeColor="text1"/>
          <w:sz w:val="22"/>
          <w:szCs w:val="22"/>
        </w:rPr>
        <w:tab/>
      </w:r>
      <w:r w:rsidRPr="008D5D0F">
        <w:rPr>
          <w:color w:val="000000" w:themeColor="text1"/>
          <w:sz w:val="22"/>
          <w:szCs w:val="22"/>
        </w:rPr>
        <w:tab/>
        <w:t>Isotopic fractionation factor</w:t>
      </w:r>
    </w:p>
    <w:p w14:paraId="414F98F1" w14:textId="77777777" w:rsidR="00ED7F9E" w:rsidRPr="008D5D0F" w:rsidRDefault="00ED7F9E" w:rsidP="00EB592C">
      <w:pPr>
        <w:rPr>
          <w:color w:val="000000" w:themeColor="text1"/>
          <w:sz w:val="20"/>
        </w:rPr>
      </w:pPr>
    </w:p>
    <w:p w14:paraId="6BA1266F" w14:textId="77777777" w:rsidR="00EB592C" w:rsidRPr="008D5D0F" w:rsidRDefault="00EB592C" w:rsidP="00EB592C">
      <w:pPr>
        <w:pBdr>
          <w:top w:val="nil"/>
          <w:left w:val="nil"/>
          <w:bottom w:val="nil"/>
          <w:right w:val="nil"/>
          <w:between w:val="nil"/>
        </w:pBdr>
        <w:spacing w:after="200"/>
        <w:contextualSpacing/>
        <w:rPr>
          <w:color w:val="000000" w:themeColor="text1"/>
          <w:sz w:val="20"/>
          <w:lang w:eastAsia="zh-CN"/>
        </w:rPr>
      </w:pPr>
    </w:p>
    <w:p w14:paraId="204C7207" w14:textId="0E53F94E" w:rsidR="00EB592C" w:rsidRPr="008D5D0F" w:rsidRDefault="00EB592C" w:rsidP="00EB592C">
      <w:pPr>
        <w:pBdr>
          <w:top w:val="nil"/>
          <w:left w:val="nil"/>
          <w:bottom w:val="nil"/>
          <w:right w:val="nil"/>
          <w:between w:val="nil"/>
        </w:pBdr>
        <w:contextualSpacing/>
        <w:rPr>
          <w:b/>
          <w:bCs/>
          <w:color w:val="000000" w:themeColor="text1"/>
          <w:sz w:val="20"/>
        </w:rPr>
      </w:pPr>
      <w:bookmarkStart w:id="2" w:name="_Toc37816957"/>
      <w:r w:rsidRPr="008D5D0F">
        <w:rPr>
          <w:b/>
          <w:bCs/>
          <w:color w:val="000000" w:themeColor="text1"/>
          <w:sz w:val="20"/>
        </w:rPr>
        <w:t>1. Modeling strategy</w:t>
      </w:r>
      <w:bookmarkEnd w:id="2"/>
    </w:p>
    <w:p w14:paraId="2FBF3A34" w14:textId="77777777" w:rsidR="00EB592C" w:rsidRPr="008D5D0F" w:rsidRDefault="00EB592C" w:rsidP="00EB592C">
      <w:pPr>
        <w:pBdr>
          <w:top w:val="nil"/>
          <w:left w:val="nil"/>
          <w:bottom w:val="nil"/>
          <w:right w:val="nil"/>
          <w:between w:val="nil"/>
        </w:pBdr>
        <w:contextualSpacing/>
        <w:rPr>
          <w:b/>
          <w:bCs/>
          <w:color w:val="000000" w:themeColor="text1"/>
          <w:sz w:val="20"/>
        </w:rPr>
      </w:pPr>
    </w:p>
    <w:p w14:paraId="5628B78E" w14:textId="28FBDDFD" w:rsidR="00EB592C" w:rsidRPr="008D5D0F" w:rsidRDefault="00EB592C" w:rsidP="00EB592C">
      <w:pPr>
        <w:pBdr>
          <w:top w:val="nil"/>
          <w:left w:val="nil"/>
          <w:bottom w:val="nil"/>
          <w:right w:val="nil"/>
          <w:between w:val="nil"/>
        </w:pBdr>
        <w:contextualSpacing/>
        <w:rPr>
          <w:color w:val="000000" w:themeColor="text1"/>
          <w:sz w:val="20"/>
        </w:rPr>
      </w:pPr>
      <w:r w:rsidRPr="008D5D0F">
        <w:rPr>
          <w:color w:val="000000" w:themeColor="text1"/>
          <w:sz w:val="20"/>
        </w:rPr>
        <w:t>The model was first run for 1980-2017 in inverse mode with CH</w:t>
      </w:r>
      <w:r w:rsidRPr="008D5D0F">
        <w:rPr>
          <w:color w:val="000000" w:themeColor="text1"/>
          <w:sz w:val="20"/>
          <w:vertAlign w:val="subscript"/>
        </w:rPr>
        <w:t>4</w:t>
      </w:r>
      <w:r w:rsidRPr="008D5D0F">
        <w:rPr>
          <w:color w:val="000000" w:themeColor="text1"/>
          <w:sz w:val="20"/>
        </w:rPr>
        <w:t xml:space="preserve"> emissions, emission-weighted average δ</w:t>
      </w:r>
      <w:r w:rsidRPr="008D5D0F">
        <w:rPr>
          <w:color w:val="000000" w:themeColor="text1"/>
          <w:sz w:val="20"/>
          <w:vertAlign w:val="superscript"/>
        </w:rPr>
        <w:t>13</w:t>
      </w:r>
      <w:r w:rsidRPr="008D5D0F">
        <w:rPr>
          <w:color w:val="000000" w:themeColor="text1"/>
          <w:sz w:val="20"/>
        </w:rPr>
        <w:t>C-CH</w:t>
      </w:r>
      <w:r w:rsidRPr="008D5D0F">
        <w:rPr>
          <w:color w:val="000000" w:themeColor="text1"/>
          <w:sz w:val="20"/>
          <w:vertAlign w:val="subscript"/>
        </w:rPr>
        <w:t xml:space="preserve">4 </w:t>
      </w:r>
      <w:r w:rsidRPr="008D5D0F">
        <w:rPr>
          <w:color w:val="000000" w:themeColor="text1"/>
          <w:sz w:val="20"/>
        </w:rPr>
        <w:t>values for the sources, and atmospheric CH</w:t>
      </w:r>
      <w:r w:rsidRPr="008D5D0F">
        <w:rPr>
          <w:color w:val="000000" w:themeColor="text1"/>
          <w:sz w:val="20"/>
          <w:vertAlign w:val="subscript"/>
        </w:rPr>
        <w:t>4</w:t>
      </w:r>
      <w:r w:rsidRPr="008D5D0F">
        <w:rPr>
          <w:color w:val="000000" w:themeColor="text1"/>
          <w:sz w:val="20"/>
        </w:rPr>
        <w:t xml:space="preserve"> and δ</w:t>
      </w:r>
      <w:r w:rsidRPr="008D5D0F">
        <w:rPr>
          <w:color w:val="000000" w:themeColor="text1"/>
          <w:sz w:val="20"/>
          <w:vertAlign w:val="superscript"/>
        </w:rPr>
        <w:t>13</w:t>
      </w:r>
      <w:r w:rsidRPr="008D5D0F">
        <w:rPr>
          <w:color w:val="000000" w:themeColor="text1"/>
          <w:sz w:val="20"/>
        </w:rPr>
        <w:t>C-CH</w:t>
      </w:r>
      <w:r w:rsidRPr="008D5D0F">
        <w:rPr>
          <w:color w:val="000000" w:themeColor="text1"/>
          <w:sz w:val="20"/>
          <w:vertAlign w:val="subscript"/>
        </w:rPr>
        <w:t xml:space="preserve">4 </w:t>
      </w:r>
      <w:r w:rsidRPr="008D5D0F">
        <w:rPr>
          <w:color w:val="000000" w:themeColor="text1"/>
          <w:sz w:val="20"/>
        </w:rPr>
        <w:t xml:space="preserve">observations </w:t>
      </w:r>
      <w:r w:rsidRPr="008D5D0F">
        <w:rPr>
          <w:color w:val="000000" w:themeColor="text1"/>
          <w:sz w:val="20"/>
        </w:rPr>
        <w:fldChar w:fldCharType="begin"/>
      </w:r>
      <w:r w:rsidR="00876334" w:rsidRPr="008D5D0F">
        <w:rPr>
          <w:color w:val="000000" w:themeColor="text1"/>
          <w:sz w:val="20"/>
        </w:rPr>
        <w:instrText xml:space="preserve"> ADDIN ZOTERO_ITEM CSL_CITATION {"citationID":"WVDafkyf","properties":{"formattedCitation":"[1,2]","plainCitation":"[1,2]","noteIndex":0},"citationItems":[{"id":1370,"uris":["http://zotero.org/users/5672304/items/PST3ZMAB"],"uri":["http://zotero.org/users/5672304/items/PST3ZMAB"],"itemData":{"id":1370,"type":"article-journal","container-title":"Science","DOI":"10.1126/science.aad2705","ISSN":"0036-8075, 1095-9203","issue":"6281","language":"en","page":"80-84","source":"DOI.org (Crossref)","title":"A 21st-century shift from fossil-fuel to biogenic methane emissions indicated by 13CH4","volume":"352","author":[{"family":"Schaefer","given":"H."},{"family":"Fletcher","given":"S. E. M."},{"family":"Veidt","given":"C."},{"family":"Lassey","given":"K. R."},{"family":"Brailsford","given":"G. W."},{"family":"Bromley","given":"T. M."},{"family":"Dlugokencky","given":"E. J."},{"family":"Michel","given":"S. E."},{"family":"Miller","given":"J. B."},{"family":"Levin","given":"I."},{"family":"Lowe","given":"D. C."},{"family":"Martin","given":"R. J."},{"family":"Vaughn","given":"B. H."},{"family":"White","given":"J. W. C."}],"issued":{"date-parts":[["2016",4,1]]}}},{"id":1587,"uris":["http://zotero.org/users/5672304/items/RJ3WM5P2"],"uri":["http://zotero.org/users/5672304/items/RJ3WM5P2"],"itemData":{"id":1587,"type":"article-journal","container-title":"Proceedings of the National Academy of Sciences","DOI":"10.1073/pnas.1616020114","ISSN":"0027-8424, 1091-6490","issue":"21","language":"en","page":"5367-5372","source":"DOI.org (Crossref)","title":"Ambiguity in the causes for decadal trends in atmospheric methane and hydroxyl","volume":"114","author":[{"family":"Turner","given":"Alexander J."},{"family":"Frankenberg","given":"Christian"},{"family":"Wennberg","given":"Paul O."},{"family":"Jacob","given":"Daniel J."}],"issued":{"date-parts":[["2017",5,23]]}}}],"schema":"https://github.com/citation-style-language/schema/raw/master/csl-citation.json"} </w:instrText>
      </w:r>
      <w:r w:rsidRPr="008D5D0F">
        <w:rPr>
          <w:color w:val="000000" w:themeColor="text1"/>
          <w:sz w:val="20"/>
        </w:rPr>
        <w:fldChar w:fldCharType="separate"/>
      </w:r>
      <w:r w:rsidR="00876334" w:rsidRPr="008D5D0F">
        <w:rPr>
          <w:color w:val="000000" w:themeColor="text1"/>
          <w:sz w:val="20"/>
        </w:rPr>
        <w:t>[1,2]</w:t>
      </w:r>
      <w:r w:rsidRPr="008D5D0F">
        <w:rPr>
          <w:color w:val="000000" w:themeColor="text1"/>
          <w:sz w:val="20"/>
        </w:rPr>
        <w:fldChar w:fldCharType="end"/>
      </w:r>
      <w:r w:rsidRPr="008D5D0F">
        <w:rPr>
          <w:color w:val="000000" w:themeColor="text1"/>
          <w:sz w:val="20"/>
        </w:rPr>
        <w:t xml:space="preserve"> to derive historic time series of global OH for northern and southern hemisphere and a constant fractionation factor ε for </w:t>
      </w:r>
      <w:r w:rsidRPr="008D5D0F">
        <w:rPr>
          <w:color w:val="000000" w:themeColor="text1"/>
          <w:sz w:val="20"/>
        </w:rPr>
        <w:lastRenderedPageBreak/>
        <w:t xml:space="preserve">each run of the specific emission scenarios. In this inverse mode, the fractionation factor </w:t>
      </w:r>
      <w:r w:rsidRPr="008D5D0F">
        <w:rPr>
          <w:color w:val="000000" w:themeColor="text1"/>
          <w:sz w:val="20"/>
        </w:rPr>
        <w:sym w:font="Symbol" w:char="F065"/>
      </w:r>
      <w:r w:rsidRPr="008D5D0F">
        <w:rPr>
          <w:color w:val="000000" w:themeColor="text1"/>
          <w:sz w:val="20"/>
        </w:rPr>
        <w:t xml:space="preserve"> was adjusted to match the source δ</w:t>
      </w:r>
      <w:r w:rsidRPr="008D5D0F">
        <w:rPr>
          <w:color w:val="000000" w:themeColor="text1"/>
          <w:sz w:val="20"/>
          <w:vertAlign w:val="superscript"/>
        </w:rPr>
        <w:t>13</w:t>
      </w:r>
      <w:r w:rsidRPr="008D5D0F">
        <w:rPr>
          <w:color w:val="000000" w:themeColor="text1"/>
          <w:sz w:val="20"/>
        </w:rPr>
        <w:t>C-CH</w:t>
      </w:r>
      <w:r w:rsidRPr="008D5D0F">
        <w:rPr>
          <w:color w:val="000000" w:themeColor="text1"/>
          <w:sz w:val="20"/>
          <w:vertAlign w:val="subscript"/>
        </w:rPr>
        <w:t>4</w:t>
      </w:r>
      <w:r w:rsidRPr="008D5D0F">
        <w:rPr>
          <w:color w:val="000000" w:themeColor="text1"/>
          <w:sz w:val="20"/>
        </w:rPr>
        <w:t xml:space="preserve"> values for each run, with the optimized δ</w:t>
      </w:r>
      <w:r w:rsidRPr="008D5D0F">
        <w:rPr>
          <w:color w:val="000000" w:themeColor="text1"/>
          <w:sz w:val="20"/>
          <w:vertAlign w:val="superscript"/>
        </w:rPr>
        <w:t>13</w:t>
      </w:r>
      <w:r w:rsidRPr="008D5D0F">
        <w:rPr>
          <w:color w:val="000000" w:themeColor="text1"/>
          <w:sz w:val="20"/>
        </w:rPr>
        <w:t>C-CH</w:t>
      </w:r>
      <w:r w:rsidRPr="008D5D0F">
        <w:rPr>
          <w:color w:val="000000" w:themeColor="text1"/>
          <w:sz w:val="20"/>
          <w:vertAlign w:val="subscript"/>
        </w:rPr>
        <w:t>4</w:t>
      </w:r>
      <w:r w:rsidRPr="008D5D0F">
        <w:rPr>
          <w:color w:val="000000" w:themeColor="text1"/>
          <w:sz w:val="20"/>
        </w:rPr>
        <w:t xml:space="preserve"> value at the onset of the study period (i.e., 1992) using a bisection method, yielding the so-called baseline runs. The derived time series of OH and fractionation factor </w:t>
      </w:r>
      <w:r w:rsidRPr="008D5D0F">
        <w:rPr>
          <w:color w:val="000000" w:themeColor="text1"/>
          <w:sz w:val="20"/>
        </w:rPr>
        <w:sym w:font="Symbol" w:char="F065"/>
      </w:r>
      <w:r w:rsidRPr="008D5D0F">
        <w:rPr>
          <w:color w:val="000000" w:themeColor="text1"/>
          <w:sz w:val="20"/>
        </w:rPr>
        <w:t xml:space="preserve"> were then used for the perturbation runs in the forward mode. Note that the OH time series were calculated by balancing the sources with observations, which were not optimized by observational constraints (e.g., MCF) nor constrained by any mechanical processes. </w:t>
      </w:r>
    </w:p>
    <w:p w14:paraId="7316942E" w14:textId="77777777" w:rsidR="00EB592C" w:rsidRPr="008D5D0F" w:rsidRDefault="00EB592C" w:rsidP="00EB592C">
      <w:pPr>
        <w:pBdr>
          <w:top w:val="nil"/>
          <w:left w:val="nil"/>
          <w:bottom w:val="nil"/>
          <w:right w:val="nil"/>
          <w:between w:val="nil"/>
        </w:pBdr>
        <w:contextualSpacing/>
        <w:rPr>
          <w:color w:val="000000" w:themeColor="text1"/>
          <w:sz w:val="20"/>
        </w:rPr>
      </w:pPr>
    </w:p>
    <w:p w14:paraId="443FA17F" w14:textId="3FFA1EC7" w:rsidR="00EB592C" w:rsidRPr="008D5D0F" w:rsidRDefault="00EB592C" w:rsidP="00EB592C">
      <w:pPr>
        <w:pBdr>
          <w:top w:val="nil"/>
          <w:left w:val="nil"/>
          <w:bottom w:val="nil"/>
          <w:right w:val="nil"/>
          <w:between w:val="nil"/>
        </w:pBdr>
        <w:contextualSpacing/>
        <w:rPr>
          <w:color w:val="000000" w:themeColor="text1"/>
          <w:sz w:val="20"/>
        </w:rPr>
      </w:pPr>
      <w:r w:rsidRPr="008D5D0F">
        <w:rPr>
          <w:color w:val="000000" w:themeColor="text1"/>
          <w:sz w:val="20"/>
        </w:rPr>
        <w:t xml:space="preserve">For the baseline runs, the box model </w:t>
      </w:r>
      <w:r w:rsidR="00876334" w:rsidRPr="008D5D0F">
        <w:rPr>
          <w:color w:val="000000" w:themeColor="text1"/>
          <w:sz w:val="20"/>
        </w:rPr>
        <w:t>can</w:t>
      </w:r>
      <w:r w:rsidRPr="008D5D0F">
        <w:rPr>
          <w:color w:val="000000" w:themeColor="text1"/>
          <w:sz w:val="20"/>
        </w:rPr>
        <w:t>, by design, reproduce the atmospheric history in both CH</w:t>
      </w:r>
      <w:r w:rsidRPr="008D5D0F">
        <w:rPr>
          <w:color w:val="000000" w:themeColor="text1"/>
          <w:sz w:val="20"/>
          <w:vertAlign w:val="subscript"/>
        </w:rPr>
        <w:t>4</w:t>
      </w:r>
      <w:r w:rsidRPr="008D5D0F">
        <w:rPr>
          <w:color w:val="000000" w:themeColor="text1"/>
          <w:sz w:val="20"/>
        </w:rPr>
        <w:t xml:space="preserve"> concentration and δ</w:t>
      </w:r>
      <w:r w:rsidRPr="008D5D0F">
        <w:rPr>
          <w:color w:val="000000" w:themeColor="text1"/>
          <w:sz w:val="20"/>
          <w:vertAlign w:val="superscript"/>
        </w:rPr>
        <w:t>13</w:t>
      </w:r>
      <w:r w:rsidRPr="008D5D0F">
        <w:rPr>
          <w:color w:val="000000" w:themeColor="text1"/>
          <w:sz w:val="20"/>
        </w:rPr>
        <w:t>C-CH</w:t>
      </w:r>
      <w:r w:rsidRPr="008D5D0F">
        <w:rPr>
          <w:color w:val="000000" w:themeColor="text1"/>
          <w:sz w:val="20"/>
          <w:vertAlign w:val="subscript"/>
        </w:rPr>
        <w:t>4</w:t>
      </w:r>
      <w:r w:rsidRPr="008D5D0F">
        <w:rPr>
          <w:color w:val="000000" w:themeColor="text1"/>
          <w:sz w:val="20"/>
        </w:rPr>
        <w:t xml:space="preserve"> value for each run of the emission scenarios. For the perturbation runs, to examine the study period, the source δ</w:t>
      </w:r>
      <w:r w:rsidRPr="008D5D0F">
        <w:rPr>
          <w:color w:val="000000" w:themeColor="text1"/>
          <w:sz w:val="20"/>
          <w:vertAlign w:val="superscript"/>
        </w:rPr>
        <w:t>13</w:t>
      </w:r>
      <w:r w:rsidRPr="008D5D0F">
        <w:rPr>
          <w:color w:val="000000" w:themeColor="text1"/>
          <w:sz w:val="20"/>
        </w:rPr>
        <w:t>C-CH</w:t>
      </w:r>
      <w:r w:rsidRPr="008D5D0F">
        <w:rPr>
          <w:color w:val="000000" w:themeColor="text1"/>
          <w:sz w:val="20"/>
          <w:vertAlign w:val="subscript"/>
        </w:rPr>
        <w:t>4</w:t>
      </w:r>
      <w:r w:rsidRPr="008D5D0F">
        <w:rPr>
          <w:color w:val="000000" w:themeColor="text1"/>
          <w:sz w:val="20"/>
        </w:rPr>
        <w:t xml:space="preserve"> values calculated from Monte Carlo calculations of corresponding emission scenarios were used as inputs. The resulting modeled δ</w:t>
      </w:r>
      <w:r w:rsidRPr="008D5D0F">
        <w:rPr>
          <w:color w:val="000000" w:themeColor="text1"/>
          <w:sz w:val="20"/>
          <w:vertAlign w:val="superscript"/>
        </w:rPr>
        <w:t>13</w:t>
      </w:r>
      <w:r w:rsidRPr="008D5D0F">
        <w:rPr>
          <w:color w:val="000000" w:themeColor="text1"/>
          <w:sz w:val="20"/>
        </w:rPr>
        <w:t>C-CH</w:t>
      </w:r>
      <w:r w:rsidRPr="008D5D0F">
        <w:rPr>
          <w:color w:val="000000" w:themeColor="text1"/>
          <w:sz w:val="20"/>
          <w:vertAlign w:val="subscript"/>
        </w:rPr>
        <w:t>4</w:t>
      </w:r>
      <w:r w:rsidRPr="008D5D0F">
        <w:rPr>
          <w:color w:val="000000" w:themeColor="text1"/>
          <w:sz w:val="20"/>
        </w:rPr>
        <w:t xml:space="preserve"> value was evaluated against the observed δ</w:t>
      </w:r>
      <w:r w:rsidRPr="008D5D0F">
        <w:rPr>
          <w:color w:val="000000" w:themeColor="text1"/>
          <w:sz w:val="20"/>
          <w:vertAlign w:val="superscript"/>
        </w:rPr>
        <w:t>13</w:t>
      </w:r>
      <w:r w:rsidRPr="008D5D0F">
        <w:rPr>
          <w:color w:val="000000" w:themeColor="text1"/>
          <w:sz w:val="20"/>
        </w:rPr>
        <w:t>C-CH</w:t>
      </w:r>
      <w:r w:rsidRPr="008D5D0F">
        <w:rPr>
          <w:color w:val="000000" w:themeColor="text1"/>
          <w:sz w:val="20"/>
          <w:vertAlign w:val="subscript"/>
        </w:rPr>
        <w:t>4</w:t>
      </w:r>
      <w:r w:rsidRPr="008D5D0F">
        <w:rPr>
          <w:color w:val="000000" w:themeColor="text1"/>
          <w:sz w:val="20"/>
        </w:rPr>
        <w:t xml:space="preserve"> value to quantify the biases in the emission scenarios. The assumption for our modeling design is that, due to the large uncertainty and limited understanding of the IAV in OH, the year-to-year changes in atmospheric CH</w:t>
      </w:r>
      <w:r w:rsidRPr="008D5D0F">
        <w:rPr>
          <w:color w:val="000000" w:themeColor="text1"/>
          <w:sz w:val="20"/>
          <w:vertAlign w:val="subscript"/>
        </w:rPr>
        <w:t>4</w:t>
      </w:r>
      <w:r w:rsidRPr="008D5D0F">
        <w:rPr>
          <w:color w:val="000000" w:themeColor="text1"/>
          <w:sz w:val="20"/>
        </w:rPr>
        <w:t xml:space="preserve"> for most of the prior assumptions of the total CH</w:t>
      </w:r>
      <w:r w:rsidRPr="008D5D0F">
        <w:rPr>
          <w:color w:val="000000" w:themeColor="text1"/>
          <w:sz w:val="20"/>
          <w:vertAlign w:val="subscript"/>
        </w:rPr>
        <w:t>4</w:t>
      </w:r>
      <w:r w:rsidRPr="008D5D0F">
        <w:rPr>
          <w:color w:val="000000" w:themeColor="text1"/>
          <w:sz w:val="20"/>
        </w:rPr>
        <w:t xml:space="preserve"> source can be explained by any prescribed variations in the methane removal rate. </w:t>
      </w:r>
    </w:p>
    <w:p w14:paraId="5823577B" w14:textId="77777777" w:rsidR="00EB592C" w:rsidRPr="008D5D0F" w:rsidRDefault="00EB592C" w:rsidP="00EB592C">
      <w:pPr>
        <w:pBdr>
          <w:top w:val="nil"/>
          <w:left w:val="nil"/>
          <w:bottom w:val="nil"/>
          <w:right w:val="nil"/>
          <w:between w:val="nil"/>
        </w:pBdr>
        <w:contextualSpacing/>
        <w:rPr>
          <w:color w:val="000000" w:themeColor="text1"/>
          <w:sz w:val="20"/>
        </w:rPr>
      </w:pPr>
    </w:p>
    <w:p w14:paraId="5EDFFB6C" w14:textId="1D9677A0" w:rsidR="00EB592C" w:rsidRPr="008D5D0F" w:rsidRDefault="00EB592C" w:rsidP="00EB592C">
      <w:pPr>
        <w:pBdr>
          <w:top w:val="nil"/>
          <w:left w:val="nil"/>
          <w:bottom w:val="nil"/>
          <w:right w:val="nil"/>
          <w:between w:val="nil"/>
        </w:pBdr>
        <w:contextualSpacing/>
        <w:rPr>
          <w:b/>
          <w:bCs/>
          <w:color w:val="000000" w:themeColor="text1"/>
          <w:sz w:val="20"/>
        </w:rPr>
      </w:pPr>
      <w:r w:rsidRPr="008D5D0F">
        <w:rPr>
          <w:color w:val="000000" w:themeColor="text1"/>
          <w:sz w:val="20"/>
        </w:rPr>
        <w:t>The bias in the simulated δ</w:t>
      </w:r>
      <w:r w:rsidRPr="008D5D0F">
        <w:rPr>
          <w:color w:val="000000" w:themeColor="text1"/>
          <w:sz w:val="20"/>
          <w:vertAlign w:val="superscript"/>
        </w:rPr>
        <w:t>13</w:t>
      </w:r>
      <w:r w:rsidRPr="008D5D0F">
        <w:rPr>
          <w:color w:val="000000" w:themeColor="text1"/>
          <w:sz w:val="20"/>
        </w:rPr>
        <w:t>C-CH</w:t>
      </w:r>
      <w:r w:rsidRPr="008D5D0F">
        <w:rPr>
          <w:color w:val="000000" w:themeColor="text1"/>
          <w:sz w:val="20"/>
          <w:vertAlign w:val="subscript"/>
        </w:rPr>
        <w:t>4</w:t>
      </w:r>
      <w:r w:rsidRPr="008D5D0F">
        <w:rPr>
          <w:color w:val="000000" w:themeColor="text1"/>
          <w:sz w:val="20"/>
        </w:rPr>
        <w:t xml:space="preserve"> value may come from a single source type or a combination of concurring or compensating sources. The approach of generating a large ensemble of emission scenarios based on different bottom-up estimates implicitly covers the uncertainty in the CH</w:t>
      </w:r>
      <w:r w:rsidRPr="008D5D0F">
        <w:rPr>
          <w:color w:val="000000" w:themeColor="text1"/>
          <w:sz w:val="20"/>
          <w:vertAlign w:val="subscript"/>
        </w:rPr>
        <w:t>4</w:t>
      </w:r>
      <w:r w:rsidRPr="008D5D0F">
        <w:rPr>
          <w:color w:val="000000" w:themeColor="text1"/>
          <w:sz w:val="20"/>
        </w:rPr>
        <w:t xml:space="preserve"> source signature and emission magnitudes. This provides explanations based on mechanisms for attributing the changes in CH</w:t>
      </w:r>
      <w:r w:rsidRPr="008D5D0F">
        <w:rPr>
          <w:color w:val="000000" w:themeColor="text1"/>
          <w:sz w:val="20"/>
          <w:vertAlign w:val="subscript"/>
        </w:rPr>
        <w:t>4</w:t>
      </w:r>
      <w:r w:rsidRPr="008D5D0F">
        <w:rPr>
          <w:color w:val="000000" w:themeColor="text1"/>
          <w:sz w:val="20"/>
        </w:rPr>
        <w:t xml:space="preserve"> sources. The box model was first initialized in 1700 and for the period of 1700-1980 with prescribed anthropogenic emissions and climatology of natural emissions </w:t>
      </w:r>
      <w:r w:rsidRPr="008D5D0F">
        <w:rPr>
          <w:color w:val="000000" w:themeColor="text1"/>
          <w:sz w:val="20"/>
        </w:rPr>
        <w:fldChar w:fldCharType="begin"/>
      </w:r>
      <w:r w:rsidR="00876334" w:rsidRPr="008D5D0F">
        <w:rPr>
          <w:color w:val="000000" w:themeColor="text1"/>
          <w:sz w:val="20"/>
        </w:rPr>
        <w:instrText xml:space="preserve"> ADDIN ZOTERO_ITEM CSL_CITATION {"citationID":"HKRrTun1","properties":{"formattedCitation":"[3]","plainCitation":"[3]","noteIndex":0},"citationItems":[{"id":3555,"uris":["http://zotero.org/users/5672304/items/SHKFAHZ9"],"uri":["http://zotero.org/users/5672304/items/SHKFAHZ9"],"itemData":{"id":3555,"type":"article-journal","abstract":"This study presents a new hypothesis to explain the observed variation of CH4 and δ13C-CH4 over the last millennium. It was originally proposed that the observed minimum of δ13C-CH4 prior to the start of industrialization is caused by a large shift in biomass burning emissions between 1400 and 1700 A.D. According to our new hypothesis, however, the δ13C-CH4 minimum is the first sign of the global rise of anthropogenic CH4 emissions. The main idea is that emissions of isotopically depleted CH4, from, for example, rice cultivation, domestic ruminants, and waste treatment started increasing earlier than the isotopically enriched emissions from fossil fuel, which started with the start of industrialization. However, because the observed increase of atmospheric methane only started around 1750 A.D., these preindustrial anthropogenic emissions must have been accompanied by a net reduction of natural CH4 sources during the Little Ice Age (LIA) compensating for the increase of anthropogenic emissions during that period. Results of transient box model simulations for the last millennium show that under the new hypothesis a close agreement can be obtained between model and measurements. Prior to 1400 A.D., low emissions from anthropogenic biomass burning require a sizable contribution of methane emissions from vegetation to explain the observed high level of δ13C-CH4. During the Little Ice Age, a larger than expected reduction of natural sources is needed, which calls for further verification using a more sophisticated modeling approach and additional constraints from ice core measurements.","container-title":"Global Biogeochemical Cycles","DOI":"10.1029/2007GB002961","ISSN":"0886-6236","issue":"1","journalAbbreviation":"Global Biogeochemical Cycles","note":"publisher: John Wiley &amp; Sons, Ltd","title":"Early anthropogenic CH4 emissions and the variation of CH4 and 13CH4 over the last millennium","URL":"https://doi.org/10.1029/2007GB002961","volume":"22","author":[{"family":"Houweling","given":"S."},{"family":"Werf","given":"G. R.","non-dropping-particle":"van der"},{"family":"Klein Goldewijk","given":"K."},{"family":"Röckmann","given":"T."},{"family":"Aben","given":"I."}],"accessed":{"date-parts":[["2021",2,12]]},"issued":{"date-parts":[["2008",3,1]]}}}],"schema":"https://github.com/citation-style-language/schema/raw/master/csl-citation.json"} </w:instrText>
      </w:r>
      <w:r w:rsidRPr="008D5D0F">
        <w:rPr>
          <w:color w:val="000000" w:themeColor="text1"/>
          <w:sz w:val="20"/>
        </w:rPr>
        <w:fldChar w:fldCharType="separate"/>
      </w:r>
      <w:r w:rsidR="00876334" w:rsidRPr="008D5D0F">
        <w:rPr>
          <w:color w:val="000000" w:themeColor="text1"/>
          <w:sz w:val="20"/>
        </w:rPr>
        <w:t>[3]</w:t>
      </w:r>
      <w:r w:rsidRPr="008D5D0F">
        <w:rPr>
          <w:color w:val="000000" w:themeColor="text1"/>
          <w:sz w:val="20"/>
        </w:rPr>
        <w:fldChar w:fldCharType="end"/>
      </w:r>
      <w:r w:rsidRPr="008D5D0F">
        <w:rPr>
          <w:color w:val="000000" w:themeColor="text1"/>
          <w:sz w:val="20"/>
        </w:rPr>
        <w:t xml:space="preserve"> as the first spin-up phase. The simulations were then run with emission scenario-specific sources for the 1980-1992 period for a second spin-up. The study period is from 1993-2017. These choices avoid the artificial shift in δ</w:t>
      </w:r>
      <w:r w:rsidRPr="008D5D0F">
        <w:rPr>
          <w:color w:val="000000" w:themeColor="text1"/>
          <w:sz w:val="20"/>
          <w:vertAlign w:val="superscript"/>
        </w:rPr>
        <w:t>13</w:t>
      </w:r>
      <w:r w:rsidRPr="008D5D0F">
        <w:rPr>
          <w:color w:val="000000" w:themeColor="text1"/>
          <w:sz w:val="20"/>
        </w:rPr>
        <w:t>C-CH</w:t>
      </w:r>
      <w:r w:rsidRPr="008D5D0F">
        <w:rPr>
          <w:color w:val="000000" w:themeColor="text1"/>
          <w:sz w:val="20"/>
          <w:vertAlign w:val="subscript"/>
        </w:rPr>
        <w:t>4</w:t>
      </w:r>
      <w:r w:rsidRPr="008D5D0F">
        <w:rPr>
          <w:color w:val="000000" w:themeColor="text1"/>
          <w:sz w:val="20"/>
        </w:rPr>
        <w:t xml:space="preserve"> value due to spin-up and remove disruptions by the Mt. Pinatubo eruption.</w:t>
      </w:r>
      <w:r w:rsidRPr="008D5D0F">
        <w:rPr>
          <w:b/>
          <w:bCs/>
          <w:color w:val="000000" w:themeColor="text1"/>
          <w:sz w:val="20"/>
        </w:rPr>
        <w:t xml:space="preserve"> </w:t>
      </w:r>
    </w:p>
    <w:p w14:paraId="51BD5419" w14:textId="77777777" w:rsidR="00EB592C" w:rsidRPr="008D5D0F" w:rsidRDefault="00EB592C" w:rsidP="00EB592C">
      <w:pPr>
        <w:pBdr>
          <w:top w:val="nil"/>
          <w:left w:val="nil"/>
          <w:bottom w:val="nil"/>
          <w:right w:val="nil"/>
          <w:between w:val="nil"/>
        </w:pBdr>
        <w:contextualSpacing/>
        <w:rPr>
          <w:b/>
          <w:bCs/>
          <w:color w:val="000000" w:themeColor="text1"/>
          <w:sz w:val="20"/>
        </w:rPr>
      </w:pPr>
    </w:p>
    <w:p w14:paraId="67501234" w14:textId="77777777" w:rsidR="00EB592C" w:rsidRPr="008D5D0F" w:rsidRDefault="00EB592C" w:rsidP="00EB592C">
      <w:pPr>
        <w:pBdr>
          <w:top w:val="nil"/>
          <w:left w:val="nil"/>
          <w:bottom w:val="nil"/>
          <w:right w:val="nil"/>
          <w:between w:val="nil"/>
        </w:pBdr>
        <w:contextualSpacing/>
        <w:rPr>
          <w:b/>
          <w:bCs/>
          <w:color w:val="000000" w:themeColor="text1"/>
          <w:sz w:val="20"/>
        </w:rPr>
      </w:pPr>
      <w:r w:rsidRPr="008D5D0F">
        <w:rPr>
          <w:color w:val="000000" w:themeColor="text1"/>
          <w:sz w:val="20"/>
        </w:rPr>
        <w:t>Table S1 provides a summary of the data sources used in generating CH</w:t>
      </w:r>
      <w:r w:rsidRPr="008D5D0F">
        <w:rPr>
          <w:color w:val="000000" w:themeColor="text1"/>
          <w:sz w:val="20"/>
          <w:vertAlign w:val="subscript"/>
        </w:rPr>
        <w:t>4</w:t>
      </w:r>
      <w:r w:rsidRPr="008D5D0F">
        <w:rPr>
          <w:color w:val="000000" w:themeColor="text1"/>
          <w:sz w:val="20"/>
        </w:rPr>
        <w:t xml:space="preserve"> source emission scenarios. The time series of hemispheric δ</w:t>
      </w:r>
      <w:r w:rsidRPr="008D5D0F">
        <w:rPr>
          <w:color w:val="000000" w:themeColor="text1"/>
          <w:sz w:val="20"/>
          <w:vertAlign w:val="superscript"/>
        </w:rPr>
        <w:t>13</w:t>
      </w:r>
      <w:r w:rsidRPr="008D5D0F">
        <w:rPr>
          <w:color w:val="000000" w:themeColor="text1"/>
          <w:sz w:val="20"/>
        </w:rPr>
        <w:t>C-CH</w:t>
      </w:r>
      <w:r w:rsidRPr="008D5D0F">
        <w:rPr>
          <w:color w:val="000000" w:themeColor="text1"/>
          <w:sz w:val="20"/>
          <w:vertAlign w:val="subscript"/>
        </w:rPr>
        <w:t>4</w:t>
      </w:r>
      <w:r w:rsidRPr="008D5D0F">
        <w:rPr>
          <w:color w:val="000000" w:themeColor="text1"/>
          <w:sz w:val="20"/>
        </w:rPr>
        <w:t xml:space="preserve"> values is calculated as the emission-weighted average δ</w:t>
      </w:r>
      <w:r w:rsidRPr="008D5D0F">
        <w:rPr>
          <w:color w:val="000000" w:themeColor="text1"/>
          <w:sz w:val="20"/>
          <w:vertAlign w:val="superscript"/>
        </w:rPr>
        <w:t>13</w:t>
      </w:r>
      <w:r w:rsidRPr="008D5D0F">
        <w:rPr>
          <w:color w:val="000000" w:themeColor="text1"/>
          <w:sz w:val="20"/>
        </w:rPr>
        <w:t>C-CH</w:t>
      </w:r>
      <w:r w:rsidRPr="008D5D0F">
        <w:rPr>
          <w:color w:val="000000" w:themeColor="text1"/>
          <w:sz w:val="20"/>
          <w:vertAlign w:val="subscript"/>
        </w:rPr>
        <w:t>4</w:t>
      </w:r>
      <w:r w:rsidRPr="008D5D0F">
        <w:rPr>
          <w:color w:val="000000" w:themeColor="text1"/>
          <w:sz w:val="20"/>
        </w:rPr>
        <w:t xml:space="preserve"> of all CH</w:t>
      </w:r>
      <w:r w:rsidRPr="008D5D0F">
        <w:rPr>
          <w:color w:val="000000" w:themeColor="text1"/>
          <w:sz w:val="20"/>
          <w:vertAlign w:val="subscript"/>
        </w:rPr>
        <w:t>4</w:t>
      </w:r>
      <w:r w:rsidRPr="008D5D0F">
        <w:rPr>
          <w:color w:val="000000" w:themeColor="text1"/>
          <w:sz w:val="20"/>
        </w:rPr>
        <w:t xml:space="preserve"> sectors with a consideration of the spatial variability in δ</w:t>
      </w:r>
      <w:r w:rsidRPr="008D5D0F">
        <w:rPr>
          <w:color w:val="000000" w:themeColor="text1"/>
          <w:sz w:val="20"/>
          <w:vertAlign w:val="superscript"/>
        </w:rPr>
        <w:t>13</w:t>
      </w:r>
      <w:r w:rsidRPr="008D5D0F">
        <w:rPr>
          <w:color w:val="000000" w:themeColor="text1"/>
          <w:sz w:val="20"/>
        </w:rPr>
        <w:t>C-CH</w:t>
      </w:r>
      <w:r w:rsidRPr="008D5D0F">
        <w:rPr>
          <w:color w:val="000000" w:themeColor="text1"/>
          <w:sz w:val="20"/>
          <w:vertAlign w:val="subscript"/>
        </w:rPr>
        <w:t>4</w:t>
      </w:r>
      <w:r w:rsidRPr="008D5D0F">
        <w:rPr>
          <w:color w:val="000000" w:themeColor="text1"/>
          <w:sz w:val="20"/>
        </w:rPr>
        <w:t xml:space="preserve"> values for major CH</w:t>
      </w:r>
      <w:r w:rsidRPr="008D5D0F">
        <w:rPr>
          <w:color w:val="000000" w:themeColor="text1"/>
          <w:sz w:val="20"/>
          <w:vertAlign w:val="subscript"/>
        </w:rPr>
        <w:t>4</w:t>
      </w:r>
      <w:r w:rsidRPr="008D5D0F">
        <w:rPr>
          <w:color w:val="000000" w:themeColor="text1"/>
          <w:sz w:val="20"/>
        </w:rPr>
        <w:t xml:space="preserve"> sectors. The spatial distributions of δ</w:t>
      </w:r>
      <w:r w:rsidRPr="008D5D0F">
        <w:rPr>
          <w:color w:val="000000" w:themeColor="text1"/>
          <w:sz w:val="20"/>
          <w:vertAlign w:val="superscript"/>
        </w:rPr>
        <w:t>13</w:t>
      </w:r>
      <w:r w:rsidRPr="008D5D0F">
        <w:rPr>
          <w:color w:val="000000" w:themeColor="text1"/>
          <w:sz w:val="20"/>
        </w:rPr>
        <w:t>C-CH</w:t>
      </w:r>
      <w:r w:rsidRPr="008D5D0F">
        <w:rPr>
          <w:color w:val="000000" w:themeColor="text1"/>
          <w:sz w:val="20"/>
          <w:vertAlign w:val="subscript"/>
        </w:rPr>
        <w:t>4</w:t>
      </w:r>
      <w:r w:rsidRPr="008D5D0F">
        <w:rPr>
          <w:color w:val="000000" w:themeColor="text1"/>
          <w:sz w:val="20"/>
        </w:rPr>
        <w:t xml:space="preserve"> values were generated at the subcategory level (Table S1). The annual total hemispheric emissions were calculated as the sum of each CH</w:t>
      </w:r>
      <w:r w:rsidRPr="008D5D0F">
        <w:rPr>
          <w:color w:val="000000" w:themeColor="text1"/>
          <w:sz w:val="20"/>
          <w:vertAlign w:val="subscript"/>
        </w:rPr>
        <w:t>4</w:t>
      </w:r>
      <w:r w:rsidRPr="008D5D0F">
        <w:rPr>
          <w:color w:val="000000" w:themeColor="text1"/>
          <w:sz w:val="20"/>
        </w:rPr>
        <w:t xml:space="preserve"> source category. For simplification, we assume constant CH</w:t>
      </w:r>
      <w:r w:rsidRPr="008D5D0F">
        <w:rPr>
          <w:color w:val="000000" w:themeColor="text1"/>
          <w:sz w:val="20"/>
          <w:vertAlign w:val="subscript"/>
        </w:rPr>
        <w:t>4</w:t>
      </w:r>
      <w:r w:rsidRPr="008D5D0F">
        <w:rPr>
          <w:color w:val="000000" w:themeColor="text1"/>
          <w:sz w:val="20"/>
        </w:rPr>
        <w:t xml:space="preserve"> emissions from the other natural sources, including freshwater systems, wild animals, termites, geological sources, and other minor natural sources over the study period.</w:t>
      </w:r>
    </w:p>
    <w:p w14:paraId="05D74DE7" w14:textId="77777777" w:rsidR="00EB592C" w:rsidRPr="008D5D0F" w:rsidRDefault="00EB592C" w:rsidP="00EB592C">
      <w:pPr>
        <w:pBdr>
          <w:top w:val="nil"/>
          <w:left w:val="nil"/>
          <w:bottom w:val="nil"/>
          <w:right w:val="nil"/>
          <w:between w:val="nil"/>
        </w:pBdr>
        <w:spacing w:after="200"/>
        <w:contextualSpacing/>
        <w:rPr>
          <w:color w:val="000000" w:themeColor="text1"/>
          <w:sz w:val="20"/>
        </w:rPr>
      </w:pPr>
    </w:p>
    <w:p w14:paraId="2FD457CF" w14:textId="77777777" w:rsidR="00EB592C" w:rsidRPr="008D5D0F" w:rsidRDefault="00EB592C" w:rsidP="00EB592C">
      <w:pPr>
        <w:pBdr>
          <w:top w:val="nil"/>
          <w:left w:val="nil"/>
          <w:bottom w:val="nil"/>
          <w:right w:val="nil"/>
          <w:between w:val="nil"/>
        </w:pBdr>
        <w:contextualSpacing/>
        <w:rPr>
          <w:b/>
          <w:bCs/>
          <w:color w:val="000000" w:themeColor="text1"/>
          <w:sz w:val="20"/>
        </w:rPr>
      </w:pPr>
      <w:bookmarkStart w:id="3" w:name="_Toc37816959"/>
      <w:r w:rsidRPr="008D5D0F">
        <w:rPr>
          <w:b/>
          <w:bCs/>
          <w:color w:val="000000" w:themeColor="text1"/>
          <w:sz w:val="20"/>
        </w:rPr>
        <w:t>2. Processing of CH</w:t>
      </w:r>
      <w:r w:rsidRPr="008D5D0F">
        <w:rPr>
          <w:b/>
          <w:bCs/>
          <w:color w:val="000000" w:themeColor="text1"/>
          <w:sz w:val="20"/>
          <w:vertAlign w:val="subscript"/>
        </w:rPr>
        <w:t>4</w:t>
      </w:r>
      <w:r w:rsidRPr="008D5D0F">
        <w:rPr>
          <w:b/>
          <w:bCs/>
          <w:color w:val="000000" w:themeColor="text1"/>
          <w:sz w:val="20"/>
        </w:rPr>
        <w:t xml:space="preserve"> sources</w:t>
      </w:r>
    </w:p>
    <w:p w14:paraId="00395F38" w14:textId="77777777" w:rsidR="00EB592C" w:rsidRPr="008D5D0F" w:rsidRDefault="00EB592C" w:rsidP="00EB592C">
      <w:pPr>
        <w:pBdr>
          <w:top w:val="nil"/>
          <w:left w:val="nil"/>
          <w:bottom w:val="nil"/>
          <w:right w:val="nil"/>
          <w:between w:val="nil"/>
        </w:pBdr>
        <w:contextualSpacing/>
        <w:rPr>
          <w:color w:val="000000" w:themeColor="text1"/>
          <w:sz w:val="20"/>
        </w:rPr>
      </w:pPr>
    </w:p>
    <w:p w14:paraId="3406919B" w14:textId="6736FF54" w:rsidR="00EB592C" w:rsidRPr="008D5D0F" w:rsidRDefault="00EB592C" w:rsidP="00EB592C">
      <w:pPr>
        <w:pBdr>
          <w:top w:val="nil"/>
          <w:left w:val="nil"/>
          <w:bottom w:val="nil"/>
          <w:right w:val="nil"/>
          <w:between w:val="nil"/>
        </w:pBdr>
        <w:contextualSpacing/>
        <w:rPr>
          <w:color w:val="000000" w:themeColor="text1"/>
          <w:sz w:val="20"/>
        </w:rPr>
      </w:pPr>
      <w:r w:rsidRPr="008D5D0F">
        <w:rPr>
          <w:b/>
          <w:bCs/>
          <w:color w:val="000000" w:themeColor="text1"/>
          <w:sz w:val="20"/>
        </w:rPr>
        <w:t>Industrial fossil fuel</w:t>
      </w:r>
      <w:bookmarkEnd w:id="3"/>
      <w:r w:rsidRPr="008D5D0F">
        <w:rPr>
          <w:b/>
          <w:bCs/>
          <w:color w:val="000000" w:themeColor="text1"/>
          <w:sz w:val="20"/>
        </w:rPr>
        <w:t>s.</w:t>
      </w:r>
      <w:r w:rsidRPr="008D5D0F">
        <w:rPr>
          <w:color w:val="000000" w:themeColor="text1"/>
          <w:sz w:val="20"/>
        </w:rPr>
        <w:t xml:space="preserve"> We use global IFF</w:t>
      </w:r>
      <w:r w:rsidRPr="008D5D0F">
        <w:rPr>
          <w:color w:val="000000" w:themeColor="text1"/>
          <w:sz w:val="20"/>
          <w:vertAlign w:val="subscript"/>
        </w:rPr>
        <w:t>CH4</w:t>
      </w:r>
      <w:r w:rsidRPr="008D5D0F">
        <w:rPr>
          <w:color w:val="000000" w:themeColor="text1"/>
          <w:sz w:val="20"/>
        </w:rPr>
        <w:t xml:space="preserve"> estimates from four datasets, EDGARv4.2, EDGARv4.3.2, GAINS Eclipse v6, and SCH150. EDGAR is a bottom-up inventory dataset based on the energy balance statistics of International Energy Agency reports, while SCH150 was a gridded anthropogenic CH</w:t>
      </w:r>
      <w:r w:rsidRPr="008D5D0F">
        <w:rPr>
          <w:color w:val="000000" w:themeColor="text1"/>
          <w:sz w:val="20"/>
          <w:vertAlign w:val="subscript"/>
        </w:rPr>
        <w:t>4</w:t>
      </w:r>
      <w:r w:rsidRPr="008D5D0F">
        <w:rPr>
          <w:color w:val="000000" w:themeColor="text1"/>
          <w:sz w:val="20"/>
        </w:rPr>
        <w:t xml:space="preserve"> emission dataset derived from an atmospheric inversion model simulation </w:t>
      </w:r>
      <w:r w:rsidRPr="008D5D0F">
        <w:rPr>
          <w:color w:val="000000" w:themeColor="text1"/>
          <w:sz w:val="20"/>
        </w:rPr>
        <w:fldChar w:fldCharType="begin"/>
      </w:r>
      <w:r w:rsidR="00876334" w:rsidRPr="008D5D0F">
        <w:rPr>
          <w:color w:val="000000" w:themeColor="text1"/>
          <w:sz w:val="20"/>
        </w:rPr>
        <w:instrText xml:space="preserve"> ADDIN ZOTERO_ITEM CSL_CITATION {"citationID":"VUOwxWcz","properties":{"formattedCitation":"[4]","plainCitation":"[4]","noteIndex":0},"citationItems":[{"id":1363,"uris":["http://zotero.org/users/5672304/items/6CGXTJHW"],"uri":["http://zotero.org/users/5672304/items/6CGXTJHW"],"itemData":{"id":1363,"type":"article-journal","container-title":"Nature","DOI":"10.1038/nature19797","ISSN":"0028-0836, 1476-4687","issue":"7623","language":"en","page":"88-91","source":"DOI.org (Crossref)","title":"Upward revision of global fossil fuel methane emissions based on isotope database","volume":"538","author":[{"family":"Schwietzke","given":"Stefan"},{"family":"Sherwood","given":"Owen A."},{"family":"Bruhwiler","given":"Lori M. P."},{"family":"Miller","given":"John B."},{"family":"Etiope","given":"Giuseppe"},{"family":"Dlugokencky","given":"Edward J."},{"family":"Michel","given":"Sylvia Englund"},{"family":"Arling","given":"Victoria A."},{"family":"Vaughn","given":"Bruce H."},{"family":"White","given":"James W. C."},{"family":"Tans","given":"Pieter P."}],"issued":{"date-parts":[["2016",10,5]]}}}],"schema":"https://github.com/citation-style-language/schema/raw/master/csl-citation.json"} </w:instrText>
      </w:r>
      <w:r w:rsidRPr="008D5D0F">
        <w:rPr>
          <w:color w:val="000000" w:themeColor="text1"/>
          <w:sz w:val="20"/>
        </w:rPr>
        <w:fldChar w:fldCharType="separate"/>
      </w:r>
      <w:r w:rsidR="00876334" w:rsidRPr="008D5D0F">
        <w:rPr>
          <w:color w:val="000000" w:themeColor="text1"/>
          <w:sz w:val="20"/>
        </w:rPr>
        <w:t>[4]</w:t>
      </w:r>
      <w:r w:rsidRPr="008D5D0F">
        <w:rPr>
          <w:color w:val="000000" w:themeColor="text1"/>
          <w:sz w:val="20"/>
        </w:rPr>
        <w:fldChar w:fldCharType="end"/>
      </w:r>
      <w:r w:rsidRPr="008D5D0F">
        <w:rPr>
          <w:color w:val="000000" w:themeColor="text1"/>
          <w:sz w:val="20"/>
        </w:rPr>
        <w:t xml:space="preserve"> in which IFF</w:t>
      </w:r>
      <w:r w:rsidRPr="008D5D0F">
        <w:rPr>
          <w:color w:val="000000" w:themeColor="text1"/>
          <w:sz w:val="20"/>
          <w:vertAlign w:val="subscript"/>
        </w:rPr>
        <w:t>CH4</w:t>
      </w:r>
      <w:r w:rsidRPr="008D5D0F">
        <w:rPr>
          <w:color w:val="000000" w:themeColor="text1"/>
          <w:sz w:val="20"/>
        </w:rPr>
        <w:t xml:space="preserve"> was approximately assumed to be in the upward-revised percentile range (~ 150 Tg CH</w:t>
      </w:r>
      <w:r w:rsidRPr="008D5D0F">
        <w:rPr>
          <w:color w:val="000000" w:themeColor="text1"/>
          <w:sz w:val="20"/>
          <w:vertAlign w:val="subscript"/>
        </w:rPr>
        <w:t>4</w:t>
      </w:r>
      <w:r w:rsidRPr="008D5D0F">
        <w:rPr>
          <w:color w:val="000000" w:themeColor="text1"/>
          <w:sz w:val="20"/>
        </w:rPr>
        <w:t xml:space="preserve"> yr</w:t>
      </w:r>
      <w:r w:rsidRPr="008D5D0F">
        <w:rPr>
          <w:color w:val="000000" w:themeColor="text1"/>
          <w:sz w:val="20"/>
          <w:vertAlign w:val="superscript"/>
        </w:rPr>
        <w:t>-1</w:t>
      </w:r>
      <w:r w:rsidRPr="008D5D0F">
        <w:rPr>
          <w:color w:val="000000" w:themeColor="text1"/>
          <w:sz w:val="20"/>
        </w:rPr>
        <w:t xml:space="preserve"> in total) using coal, natural gas/oil, and other industrial sources </w:t>
      </w:r>
      <w:r w:rsidRPr="008D5D0F">
        <w:rPr>
          <w:color w:val="000000" w:themeColor="text1"/>
          <w:sz w:val="20"/>
        </w:rPr>
        <w:fldChar w:fldCharType="begin"/>
      </w:r>
      <w:r w:rsidR="00876334" w:rsidRPr="008D5D0F">
        <w:rPr>
          <w:color w:val="000000" w:themeColor="text1"/>
          <w:sz w:val="20"/>
        </w:rPr>
        <w:instrText xml:space="preserve"> ADDIN ZOTERO_ITEM CSL_CITATION {"citationID":"WFIvuliS","properties":{"formattedCitation":"[5]","plainCitation":"[5]","noteIndex":0},"citationItems":[{"id":1563,"uris":["http://zotero.org/users/5672304/items/LHJ24WZC"],"uri":["http://zotero.org/users/5672304/items/LHJ24WZC"],"itemData":{"id":1563,"type":"article-journal","abstract":"Natural gas (NG)-related fugitive methane (CH4) emissions estimates from life cycle assessments (LCA) and local ﬁeld measurements are highly uncertain. Globally distributed long-term atmospheric measurements and top-down modeling can help understand whether LCA and ﬁeld studies are representative of the global industry average. Attributing sources, such as the NG industry, to global total top-down emissions estimates requires detailed and transparent global a priori bottom-up emissions inventories. Establishing an a priori bottom-up inventory as a tool for top-down modeling is the focus of this work, which extends existing fossil fuel (FF) inventories over the past three decades: (i) It includes ethane (C2H6) emissions, which is a convenient FF tracer gas given available global C2H6 observations. (ii) Fuel speciﬁc CH4 and C2H6 emissions uncertainties are quantiﬁed. (iii) NG CH4 and C2H6 emissions are estimated for diﬀerent fugitive emissions rate (FER; % of dry production) scenarios as a basis for quantifying global average FER top-down. While our global oil and coal CH4 estimates coincide well with EDGAR v4.2 for most years, country-level emissions vary substantially, and coal emissions increase at a lower rate over the past decade. Global emissions grid maps are presented for use in top-down modeling.","container-title":"ACS Sustainable Chemistry &amp; Engineering","DOI":"10.1021/sc500163h","ISSN":"2168-0485, 2168-0485","issue":"8","language":"en","page":"1992-2001","source":"DOI.org (Crossref)","title":"Global Bottom-Up Fossil Fuel Fugitive Methane and Ethane Emissions Inventory for Atmospheric Modeling","volume":"2","author":[{"family":"Schwietzke","given":"Stefan"},{"family":"Griffin","given":"W. Michael"},{"family":"Matthews","given":"H. Scott"},{"family":"Bruhwiler","given":"Lori M. P."}],"issued":{"date-parts":[["2014",8,4]]}}}],"schema":"https://github.com/citation-style-language/schema/raw/master/csl-citation.json"} </w:instrText>
      </w:r>
      <w:r w:rsidRPr="008D5D0F">
        <w:rPr>
          <w:color w:val="000000" w:themeColor="text1"/>
          <w:sz w:val="20"/>
        </w:rPr>
        <w:fldChar w:fldCharType="separate"/>
      </w:r>
      <w:r w:rsidR="00876334" w:rsidRPr="008D5D0F">
        <w:rPr>
          <w:color w:val="000000" w:themeColor="text1"/>
          <w:sz w:val="20"/>
        </w:rPr>
        <w:t>[5]</w:t>
      </w:r>
      <w:r w:rsidRPr="008D5D0F">
        <w:rPr>
          <w:color w:val="000000" w:themeColor="text1"/>
          <w:sz w:val="20"/>
        </w:rPr>
        <w:fldChar w:fldCharType="end"/>
      </w:r>
      <w:r w:rsidRPr="008D5D0F">
        <w:rPr>
          <w:color w:val="000000" w:themeColor="text1"/>
          <w:sz w:val="20"/>
        </w:rPr>
        <w:t xml:space="preserve"> in an atmospheric transport model TM5 simulation. The IFF</w:t>
      </w:r>
      <w:r w:rsidRPr="008D5D0F">
        <w:rPr>
          <w:color w:val="000000" w:themeColor="text1"/>
          <w:sz w:val="20"/>
          <w:vertAlign w:val="subscript"/>
        </w:rPr>
        <w:t>CH4</w:t>
      </w:r>
      <w:r w:rsidRPr="008D5D0F">
        <w:rPr>
          <w:color w:val="000000" w:themeColor="text1"/>
          <w:sz w:val="20"/>
        </w:rPr>
        <w:t xml:space="preserve"> in this study comprises the CH</w:t>
      </w:r>
      <w:r w:rsidRPr="008D5D0F">
        <w:rPr>
          <w:color w:val="000000" w:themeColor="text1"/>
          <w:sz w:val="20"/>
          <w:vertAlign w:val="subscript"/>
        </w:rPr>
        <w:t>4</w:t>
      </w:r>
      <w:r w:rsidRPr="008D5D0F">
        <w:rPr>
          <w:color w:val="000000" w:themeColor="text1"/>
          <w:sz w:val="20"/>
        </w:rPr>
        <w:t xml:space="preserve"> emissions from the energy, fugitive, and industrial process categories, which do not distinguish between shale gas and conventional natural gas. Here, EDGARv.4.2 represents a harmonized gridded time series merging the original EDGARv4.2, an extended gridded product EDGARv4.2FT2010, and an extended time series EDGARv.4.2FT2012. We assume that the yearly gridded emissions have a small IAV in spatial variability during 2010-2012 and that the increase in IFF</w:t>
      </w:r>
      <w:r w:rsidRPr="008D5D0F">
        <w:rPr>
          <w:color w:val="000000" w:themeColor="text1"/>
          <w:sz w:val="20"/>
          <w:vertAlign w:val="subscript"/>
        </w:rPr>
        <w:t>CH4</w:t>
      </w:r>
      <w:r w:rsidRPr="008D5D0F">
        <w:rPr>
          <w:color w:val="000000" w:themeColor="text1"/>
          <w:sz w:val="20"/>
        </w:rPr>
        <w:t xml:space="preserve"> is proportional to the increases in total anthropogenic CH</w:t>
      </w:r>
      <w:r w:rsidRPr="008D5D0F">
        <w:rPr>
          <w:color w:val="000000" w:themeColor="text1"/>
          <w:sz w:val="20"/>
          <w:vertAlign w:val="subscript"/>
        </w:rPr>
        <w:t>4</w:t>
      </w:r>
      <w:r w:rsidRPr="008D5D0F">
        <w:rPr>
          <w:color w:val="000000" w:themeColor="text1"/>
          <w:sz w:val="20"/>
        </w:rPr>
        <w:t xml:space="preserve"> emissions. The CH</w:t>
      </w:r>
      <w:r w:rsidRPr="008D5D0F">
        <w:rPr>
          <w:color w:val="000000" w:themeColor="text1"/>
          <w:sz w:val="20"/>
          <w:vertAlign w:val="subscript"/>
        </w:rPr>
        <w:t>4</w:t>
      </w:r>
      <w:r w:rsidRPr="008D5D0F">
        <w:rPr>
          <w:color w:val="000000" w:themeColor="text1"/>
          <w:sz w:val="20"/>
        </w:rPr>
        <w:t xml:space="preserve"> emissions after 2010 are set up using the spatial distribution of the mean EDGARv4.2 over 2008-2010. The yearly gridded maps for 2011 and 2012 were calculated by scaling the mean of 2008-2010 to match EDGARv4.2FT2012 (gridded map times the ratio between total emissions in EDGARv4.2FT2012 and total emissions in EDGARv4.2). EDGARv4.3.2 suggests that IFF</w:t>
      </w:r>
      <w:r w:rsidRPr="008D5D0F">
        <w:rPr>
          <w:color w:val="000000" w:themeColor="text1"/>
          <w:sz w:val="20"/>
          <w:vertAlign w:val="subscript"/>
        </w:rPr>
        <w:t>CH4</w:t>
      </w:r>
      <w:r w:rsidRPr="008D5D0F">
        <w:rPr>
          <w:color w:val="000000" w:themeColor="text1"/>
          <w:sz w:val="20"/>
        </w:rPr>
        <w:t xml:space="preserve"> declined in the 1970s and then stabilized in the 1980s and 1990s, while EDGARv4.2 shows a constant increase during the 1990s and 2000s. We treated EDGARv4.2 and EDGARv4.3.2 as separate datasets, as the temporal pattern of IFF</w:t>
      </w:r>
      <w:r w:rsidRPr="008D5D0F">
        <w:rPr>
          <w:color w:val="000000" w:themeColor="text1"/>
          <w:sz w:val="20"/>
          <w:vertAlign w:val="subscript"/>
        </w:rPr>
        <w:t>CH4</w:t>
      </w:r>
      <w:r w:rsidRPr="008D5D0F">
        <w:rPr>
          <w:color w:val="000000" w:themeColor="text1"/>
          <w:sz w:val="20"/>
        </w:rPr>
        <w:t xml:space="preserve"> in the new version EDGARv4.3.2 was largely revised due to updated emission factors and statistical methodology, thus reflecting different hypotheses for explaining the changes in IFF</w:t>
      </w:r>
      <w:r w:rsidRPr="008D5D0F">
        <w:rPr>
          <w:color w:val="000000" w:themeColor="text1"/>
          <w:sz w:val="20"/>
          <w:vertAlign w:val="subscript"/>
        </w:rPr>
        <w:t>CH4</w:t>
      </w:r>
      <w:r w:rsidRPr="008D5D0F">
        <w:rPr>
          <w:color w:val="000000" w:themeColor="text1"/>
          <w:sz w:val="20"/>
        </w:rPr>
        <w:t xml:space="preserve"> during the 1980s and 1990s. The GAINS model </w:t>
      </w:r>
      <w:r w:rsidRPr="008D5D0F">
        <w:rPr>
          <w:color w:val="000000" w:themeColor="text1"/>
          <w:sz w:val="20"/>
        </w:rPr>
        <w:fldChar w:fldCharType="begin"/>
      </w:r>
      <w:r w:rsidR="00876334" w:rsidRPr="008D5D0F">
        <w:rPr>
          <w:color w:val="000000" w:themeColor="text1"/>
          <w:sz w:val="20"/>
        </w:rPr>
        <w:instrText xml:space="preserve"> ADDIN ZOTERO_ITEM CSL_CITATION {"citationID":"Axq7Pr5V","properties":{"formattedCitation":"[6]","plainCitation":"[6]","noteIndex":0},"citationItems":[{"id":1464,"uris":["http://zotero.org/users/5672304/items/DMS233YG"],"uri":["http://zotero.org/users/5672304/items/DMS233YG"],"itemData":{"id":1464,"type":"article-journal","abstract":"Existing bottom-up emission inventories of methane from global oil and gas systems do not satisfactorily explain year-on-year variation in atmospheric methane estimated by top-down models. Using a novel bottom-up approach this study quantiﬁes and attributes methane and ethane emissions from global oil and gas production from 1980 to 2012. Country-speciﬁc information on associated gas ﬂows from published sources are combined with inter-annual variations in observed ﬂaring of associated gas from satellite images from 1994 to 2010, to arrive at country-speciﬁc annual estimates of methane and ethane emissions from ﬂows of associated gas. Results conﬁrm trends from top-down models and indicate considerably higher methane and ethane emissions from oil production than previously shown in bottom-up inventories for this time period.","container-title":"Environmental Research Letters","DOI":"10.1088/1748-9326/aa583e","ISSN":"1748-9326","issue":"2","language":"en","page":"024007","source":"DOI.org (Crossref)","title":"Bottom-up simulations of methane and ethane emissions from global oil and gas systems 1980 to 2012","volume":"12","author":[{"family":"Höglund-Isaksson","given":"Lena"}],"issued":{"date-parts":[["2017",2,1]]}}}],"schema":"https://github.com/citation-style-language/schema/raw/master/csl-citation.json"} </w:instrText>
      </w:r>
      <w:r w:rsidRPr="008D5D0F">
        <w:rPr>
          <w:color w:val="000000" w:themeColor="text1"/>
          <w:sz w:val="20"/>
        </w:rPr>
        <w:fldChar w:fldCharType="separate"/>
      </w:r>
      <w:r w:rsidR="00876334" w:rsidRPr="008D5D0F">
        <w:rPr>
          <w:color w:val="000000" w:themeColor="text1"/>
          <w:sz w:val="20"/>
        </w:rPr>
        <w:t>[6]</w:t>
      </w:r>
      <w:r w:rsidRPr="008D5D0F">
        <w:rPr>
          <w:color w:val="000000" w:themeColor="text1"/>
          <w:sz w:val="20"/>
        </w:rPr>
        <w:fldChar w:fldCharType="end"/>
      </w:r>
      <w:r w:rsidRPr="008D5D0F">
        <w:rPr>
          <w:color w:val="000000" w:themeColor="text1"/>
          <w:sz w:val="20"/>
        </w:rPr>
        <w:t xml:space="preserve"> of the </w:t>
      </w:r>
      <w:r w:rsidRPr="008D5D0F">
        <w:rPr>
          <w:color w:val="000000" w:themeColor="text1"/>
          <w:sz w:val="20"/>
        </w:rPr>
        <w:lastRenderedPageBreak/>
        <w:t>International Institute for Applied Systems Analysis (IIASA) is a multipollutant emission estimation model with bottom-up emissions estimates and future mitigation potentials for any externally given energy sector scenario. For this particular exercise, the global energy balance statistics of the International Energy Agency were used. It makes use of country-specific information on associated petroleum gas generation, recovery and venting/flaring rates, with the latter calibrated to satellite image estimates of volumes of gas flared.</w:t>
      </w:r>
    </w:p>
    <w:p w14:paraId="7B0CABDE" w14:textId="77777777" w:rsidR="00EB592C" w:rsidRPr="008D5D0F" w:rsidRDefault="00EB592C" w:rsidP="00EB592C">
      <w:pPr>
        <w:pBdr>
          <w:top w:val="nil"/>
          <w:left w:val="nil"/>
          <w:bottom w:val="nil"/>
          <w:right w:val="nil"/>
          <w:between w:val="nil"/>
        </w:pBdr>
        <w:spacing w:after="200"/>
        <w:contextualSpacing/>
        <w:rPr>
          <w:color w:val="000000" w:themeColor="text1"/>
          <w:sz w:val="20"/>
        </w:rPr>
      </w:pPr>
    </w:p>
    <w:p w14:paraId="302A5398" w14:textId="1521F3DF" w:rsidR="00EB592C" w:rsidRPr="008D5D0F" w:rsidRDefault="00EB592C" w:rsidP="00EB592C">
      <w:pPr>
        <w:pBdr>
          <w:top w:val="nil"/>
          <w:left w:val="nil"/>
          <w:bottom w:val="nil"/>
          <w:right w:val="nil"/>
          <w:between w:val="nil"/>
        </w:pBdr>
        <w:contextualSpacing/>
        <w:rPr>
          <w:color w:val="000000" w:themeColor="text1"/>
          <w:sz w:val="20"/>
        </w:rPr>
      </w:pPr>
      <w:bookmarkStart w:id="4" w:name="_Toc37816960"/>
      <w:r w:rsidRPr="008D5D0F">
        <w:rPr>
          <w:b/>
          <w:bCs/>
          <w:color w:val="000000" w:themeColor="text1"/>
          <w:sz w:val="20"/>
        </w:rPr>
        <w:t>Agriculture and waste</w:t>
      </w:r>
      <w:bookmarkEnd w:id="4"/>
      <w:r w:rsidRPr="008D5D0F">
        <w:rPr>
          <w:b/>
          <w:bCs/>
          <w:color w:val="000000" w:themeColor="text1"/>
          <w:sz w:val="20"/>
        </w:rPr>
        <w:t>.</w:t>
      </w:r>
      <w:r w:rsidRPr="008D5D0F">
        <w:rPr>
          <w:color w:val="000000" w:themeColor="text1"/>
          <w:sz w:val="20"/>
        </w:rPr>
        <w:t xml:space="preserve"> EDGARv4.2, EDGARv4.3.2, and WOLF2017 all use a bottom-up methodology that summarizes the livestock population, country-specific statistics, and emission factors. WOLF2017 represents the sum of livestock CH</w:t>
      </w:r>
      <w:r w:rsidRPr="008D5D0F">
        <w:rPr>
          <w:color w:val="000000" w:themeColor="text1"/>
          <w:sz w:val="20"/>
          <w:vertAlign w:val="subscript"/>
        </w:rPr>
        <w:t>4</w:t>
      </w:r>
      <w:r w:rsidRPr="008D5D0F">
        <w:rPr>
          <w:color w:val="000000" w:themeColor="text1"/>
          <w:sz w:val="20"/>
        </w:rPr>
        <w:t xml:space="preserve"> emissions from </w:t>
      </w:r>
      <w:r w:rsidR="00876334" w:rsidRPr="008D5D0F">
        <w:rPr>
          <w:color w:val="000000" w:themeColor="text1"/>
          <w:sz w:val="20"/>
        </w:rPr>
        <w:fldChar w:fldCharType="begin"/>
      </w:r>
      <w:r w:rsidR="00876334" w:rsidRPr="008D5D0F">
        <w:rPr>
          <w:color w:val="000000" w:themeColor="text1"/>
          <w:sz w:val="20"/>
        </w:rPr>
        <w:instrText xml:space="preserve"> ADDIN ZOTERO_ITEM CSL_CITATION {"citationID":"IkOHErm8","properties":{"formattedCitation":"[7]","plainCitation":"[7]","noteIndex":0},"citationItems":[{"id":1603,"uris":["http://zotero.org/users/5672304/items/MJT7ILHX"],"uri":["http://zotero.org/users/5672304/items/MJT7ILHX"],"itemData":{"id":1603,"type":"article-journal","abstract":"Background:  Livestock play an important role in carbon cycling through consumption of biomass and emissions of methane. Recent research suggests that existing bottom-up inventories of livestock methane emissions in the US, such as those made using 2006 IPCC Tier 1 livestock emissions factors, are too low. This may be due to outdated information used to develop these emissions factors. In this study, we update information for cattle and swine by region, based on reported recent changes in animal body mass, feed quality and quantity, milk productivity, and management of animals and manure. We then use this updated information to calculate new livestock methane emissions factors for enteric fermentation in cattle, and for manure management in cattle and swine.\nResults:  Using the new emissions factors, we estimate global livestock emissions of 119.1 ± 18.2 Tg methane in 2011; this quantity is 11% greater than that obtained using the IPCC 2006 emissions factors, encompassing an 8.4% increase in enteric fermentation methane, a 36.7% increase in manure management methane, and notable variability among regions and sources. For example, revised manure management methane emissions for 2011 in the US increased by 71.8%. For years through 2013, we present (a) annual livestock methane emissions, (b) complete annual livestock carbon budgets, including carbon dioxide emissions, and (c) spatial distributions of livestock methane and other carbon fluxes, downscaled to 0.05 × 0.05 degree resolution.\nConclusions:  Our revised bottom-up estimates of global livestock methane emissions are comparable to recently reported top-down global estimates for recent years, and account for a significant part of the increase in annual methane emissions since 2007. Our results suggest that livestock methane emissions, while not the dominant overall source of global methane emissions, may be a major contributor to the observed annual emissions increases over the 2000s to 2010s. Differences at regional and local scales may help distinguish livestock methane emissions from those of other sectors in future top-down studies. The revised estimates allow improved reconciliation of top-down and bottom-up estimates of methane emissions, will facilitate the development and evaluation of Earth system models, and provide consistent regional and global Tier 1 estimates for environmental assessments.","container-title":"Carbon Balance and Management","DOI":"10.1186/s13021-017-0084-y","ISSN":"1750-0680","issue":"1","language":"en","page":"16","source":"DOI.org (Crossref)","title":"Revised methane emissions factors and spatially distributed annual carbon fluxes for global livestock","volume":"12","author":[{"family":"Wolf","given":"Julie"},{"family":"Asrar","given":"Ghassem R."},{"family":"West","given":"Tristram O."}],"issued":{"date-parts":[["2017",12]]}}}],"schema":"https://github.com/citation-style-language/schema/raw/master/csl-citation.json"} </w:instrText>
      </w:r>
      <w:r w:rsidR="00876334" w:rsidRPr="008D5D0F">
        <w:rPr>
          <w:color w:val="000000" w:themeColor="text1"/>
          <w:sz w:val="20"/>
        </w:rPr>
        <w:fldChar w:fldCharType="separate"/>
      </w:r>
      <w:r w:rsidR="00876334" w:rsidRPr="008D5D0F">
        <w:rPr>
          <w:noProof/>
          <w:color w:val="000000" w:themeColor="text1"/>
          <w:sz w:val="20"/>
        </w:rPr>
        <w:t>[7]</w:t>
      </w:r>
      <w:r w:rsidR="00876334" w:rsidRPr="008D5D0F">
        <w:rPr>
          <w:color w:val="000000" w:themeColor="text1"/>
          <w:sz w:val="20"/>
        </w:rPr>
        <w:fldChar w:fldCharType="end"/>
      </w:r>
      <w:r w:rsidRPr="008D5D0F">
        <w:rPr>
          <w:color w:val="000000" w:themeColor="text1"/>
          <w:sz w:val="20"/>
        </w:rPr>
        <w:t xml:space="preserve"> and rice and landfill/waste emissions from EDGARv4.3.2. WOLF2017 estimates systematically higher livestock emissions based on updated emission factors due to reported recent changes in animal body mass, feed quality and quantity, and management of livestock and manure. Livestock emissions are the largest source in the AGW</w:t>
      </w:r>
      <w:r w:rsidRPr="008D5D0F">
        <w:rPr>
          <w:color w:val="000000" w:themeColor="text1"/>
          <w:sz w:val="20"/>
          <w:vertAlign w:val="subscript"/>
        </w:rPr>
        <w:t>CH4</w:t>
      </w:r>
      <w:r w:rsidRPr="008D5D0F">
        <w:rPr>
          <w:color w:val="000000" w:themeColor="text1"/>
          <w:sz w:val="20"/>
        </w:rPr>
        <w:t xml:space="preserve"> categories, contributing an average of 57% to the total across the three livestock inventories over the study period, while the rice and landfill/waste sectors contribute 21% and 22%, respectively. In addition, the total AGW</w:t>
      </w:r>
      <w:r w:rsidRPr="008D5D0F">
        <w:rPr>
          <w:color w:val="000000" w:themeColor="text1"/>
          <w:sz w:val="20"/>
          <w:vertAlign w:val="subscript"/>
        </w:rPr>
        <w:t>CH4</w:t>
      </w:r>
      <w:r w:rsidRPr="008D5D0F">
        <w:rPr>
          <w:color w:val="000000" w:themeColor="text1"/>
          <w:sz w:val="20"/>
        </w:rPr>
        <w:t xml:space="preserve"> increased from 181 Tg CH</w:t>
      </w:r>
      <w:r w:rsidRPr="008D5D0F">
        <w:rPr>
          <w:color w:val="000000" w:themeColor="text1"/>
          <w:sz w:val="20"/>
          <w:vertAlign w:val="subscript"/>
        </w:rPr>
        <w:t>4</w:t>
      </w:r>
      <w:r w:rsidRPr="008D5D0F">
        <w:rPr>
          <w:color w:val="000000" w:themeColor="text1"/>
          <w:sz w:val="20"/>
        </w:rPr>
        <w:t xml:space="preserve"> yr</w:t>
      </w:r>
      <w:r w:rsidRPr="008D5D0F">
        <w:rPr>
          <w:color w:val="000000" w:themeColor="text1"/>
          <w:sz w:val="20"/>
          <w:vertAlign w:val="superscript"/>
        </w:rPr>
        <w:t>-1</w:t>
      </w:r>
      <w:r w:rsidRPr="008D5D0F">
        <w:rPr>
          <w:color w:val="000000" w:themeColor="text1"/>
          <w:sz w:val="20"/>
        </w:rPr>
        <w:t xml:space="preserve"> to 202 Tg CH</w:t>
      </w:r>
      <w:r w:rsidRPr="008D5D0F">
        <w:rPr>
          <w:color w:val="000000" w:themeColor="text1"/>
          <w:sz w:val="20"/>
          <w:vertAlign w:val="subscript"/>
        </w:rPr>
        <w:t>4</w:t>
      </w:r>
      <w:r w:rsidRPr="008D5D0F">
        <w:rPr>
          <w:color w:val="000000" w:themeColor="text1"/>
          <w:sz w:val="20"/>
        </w:rPr>
        <w:t xml:space="preserve"> yr</w:t>
      </w:r>
      <w:r w:rsidRPr="008D5D0F">
        <w:rPr>
          <w:color w:val="000000" w:themeColor="text1"/>
          <w:sz w:val="20"/>
          <w:vertAlign w:val="superscript"/>
        </w:rPr>
        <w:t>-1</w:t>
      </w:r>
      <w:r w:rsidRPr="008D5D0F">
        <w:rPr>
          <w:color w:val="000000" w:themeColor="text1"/>
          <w:sz w:val="20"/>
        </w:rPr>
        <w:t xml:space="preserve"> from 2000-2006 to 2007-2017, with livestock, rice agriculture, and landfills/waste contributing 50%, 19%, and 31% of the total increase, respectively (Fig. 1C). Changes in livestock populations play a large role in the magnitude of CH</w:t>
      </w:r>
      <w:r w:rsidRPr="008D5D0F">
        <w:rPr>
          <w:color w:val="000000" w:themeColor="text1"/>
          <w:sz w:val="20"/>
          <w:vertAlign w:val="subscript"/>
        </w:rPr>
        <w:t>4</w:t>
      </w:r>
      <w:r w:rsidRPr="008D5D0F">
        <w:rPr>
          <w:color w:val="000000" w:themeColor="text1"/>
          <w:sz w:val="20"/>
        </w:rPr>
        <w:t xml:space="preserve"> fluxes associated with livestock. Given the similar trend in AGW</w:t>
      </w:r>
      <w:r w:rsidRPr="008D5D0F">
        <w:rPr>
          <w:color w:val="000000" w:themeColor="text1"/>
          <w:sz w:val="20"/>
          <w:vertAlign w:val="subscript"/>
        </w:rPr>
        <w:t>CH4</w:t>
      </w:r>
      <w:r w:rsidRPr="008D5D0F">
        <w:rPr>
          <w:color w:val="000000" w:themeColor="text1"/>
          <w:sz w:val="20"/>
        </w:rPr>
        <w:t xml:space="preserve"> in both versions of EDGAR estimates, the trend from EDGARv4.3.2 was scaled to match WOLF2017 in 2000 to derive the time series of the study period for WOLF2017.</w:t>
      </w:r>
    </w:p>
    <w:p w14:paraId="62D5B014" w14:textId="77777777" w:rsidR="00EB592C" w:rsidRPr="008D5D0F" w:rsidRDefault="00EB592C" w:rsidP="00EB592C">
      <w:pPr>
        <w:pBdr>
          <w:top w:val="nil"/>
          <w:left w:val="nil"/>
          <w:bottom w:val="nil"/>
          <w:right w:val="nil"/>
          <w:between w:val="nil"/>
        </w:pBdr>
        <w:spacing w:after="200"/>
        <w:contextualSpacing/>
        <w:rPr>
          <w:color w:val="000000" w:themeColor="text1"/>
          <w:sz w:val="20"/>
        </w:rPr>
      </w:pPr>
    </w:p>
    <w:p w14:paraId="3AD0E282" w14:textId="77777777" w:rsidR="00EB592C" w:rsidRPr="008D5D0F" w:rsidRDefault="00EB592C" w:rsidP="00EB592C">
      <w:pPr>
        <w:pBdr>
          <w:top w:val="nil"/>
          <w:left w:val="nil"/>
          <w:bottom w:val="nil"/>
          <w:right w:val="nil"/>
          <w:between w:val="nil"/>
        </w:pBdr>
        <w:contextualSpacing/>
        <w:rPr>
          <w:color w:val="000000" w:themeColor="text1"/>
          <w:sz w:val="20"/>
        </w:rPr>
      </w:pPr>
      <w:bookmarkStart w:id="5" w:name="_Toc37816961"/>
      <w:r w:rsidRPr="008D5D0F">
        <w:rPr>
          <w:b/>
          <w:bCs/>
          <w:color w:val="000000" w:themeColor="text1"/>
          <w:sz w:val="20"/>
        </w:rPr>
        <w:t>Wetlands</w:t>
      </w:r>
      <w:bookmarkEnd w:id="5"/>
      <w:r w:rsidRPr="008D5D0F">
        <w:rPr>
          <w:color w:val="000000" w:themeColor="text1"/>
          <w:sz w:val="20"/>
        </w:rPr>
        <w:t>. We use the land surface model LPJ-wsl to simulate the spatiotemporal patterns of wetland CH</w:t>
      </w:r>
      <w:r w:rsidRPr="008D5D0F">
        <w:rPr>
          <w:color w:val="000000" w:themeColor="text1"/>
          <w:sz w:val="20"/>
          <w:vertAlign w:val="subscript"/>
        </w:rPr>
        <w:t>4</w:t>
      </w:r>
      <w:r w:rsidRPr="008D5D0F">
        <w:rPr>
          <w:color w:val="000000" w:themeColor="text1"/>
          <w:sz w:val="20"/>
        </w:rPr>
        <w:t xml:space="preserve"> emissions. LPJ-wsl is a process-based dynamic global vegetation model developed for carbon cycle applications, which includes water/carbon processes, vegetation demography and dynamics that are represented by plant functional types (PFTs). The CH</w:t>
      </w:r>
      <w:r w:rsidRPr="008D5D0F">
        <w:rPr>
          <w:color w:val="000000" w:themeColor="text1"/>
          <w:sz w:val="20"/>
          <w:vertAlign w:val="subscript"/>
        </w:rPr>
        <w:t>4</w:t>
      </w:r>
      <w:r w:rsidRPr="008D5D0F">
        <w:rPr>
          <w:color w:val="000000" w:themeColor="text1"/>
          <w:sz w:val="20"/>
        </w:rPr>
        <w:t xml:space="preserve"> emissions are modeled as a function of wetland area, heterotrophic respiration (Rh), and scaling factors that represent soil temperature and moisture effects on methane production in different biomes.</w:t>
      </w:r>
    </w:p>
    <w:p w14:paraId="7A8E56A3" w14:textId="71091EE3" w:rsidR="00EB592C" w:rsidRPr="008D5D0F" w:rsidRDefault="00EB592C" w:rsidP="00EB592C">
      <w:pPr>
        <w:pBdr>
          <w:top w:val="nil"/>
          <w:left w:val="nil"/>
          <w:bottom w:val="nil"/>
          <w:right w:val="nil"/>
          <w:between w:val="nil"/>
        </w:pBdr>
        <w:contextualSpacing/>
        <w:rPr>
          <w:color w:val="000000" w:themeColor="text1"/>
          <w:sz w:val="20"/>
        </w:rPr>
      </w:pPr>
      <w:r w:rsidRPr="008D5D0F">
        <w:rPr>
          <w:color w:val="000000" w:themeColor="text1"/>
          <w:sz w:val="20"/>
        </w:rPr>
        <w:t xml:space="preserve">The wetland area and dynamics were simulated using a topography-based hydrological model (TOPMODEL) with a prescribed high-resolution topographic index product, hydrological data and maps based on global SHuttle Elevation Derivatives at multiple Scales (HydroSHEDS) </w:t>
      </w:r>
      <w:r w:rsidRPr="008D5D0F">
        <w:rPr>
          <w:color w:val="000000" w:themeColor="text1"/>
          <w:sz w:val="20"/>
        </w:rPr>
        <w:fldChar w:fldCharType="begin"/>
      </w:r>
      <w:r w:rsidR="00876334" w:rsidRPr="008D5D0F">
        <w:rPr>
          <w:color w:val="000000" w:themeColor="text1"/>
          <w:sz w:val="20"/>
        </w:rPr>
        <w:instrText xml:space="preserve"> ADDIN ZOTERO_ITEM CSL_CITATION {"citationID":"yiFIFwKd","properties":{"formattedCitation":"[8]","plainCitation":"[8]","noteIndex":0},"citationItems":[{"id":2407,"uris":["http://zotero.org/users/5672304/items/6I7FJFLA"],"uri":["http://zotero.org/users/5672304/items/6I7FJFLA"],"itemData":{"id":2407,"type":"article-journal","abstract":"Modelling land surface water ﬂow is of critical importance for simulating land surface ﬂuxes, predicting runoff and water table dynamics and for many other applications of Land Surface Models. Many approaches are based on the popular hydrology model TOPMODEL (TOPography-based hydrological MODEL), and the most important parameter of this model is the well-known topographic index. Here we present new, high-resolution parameter maps of the topographic index for all ice-free land pixels calculated from hydrologically conditioned HydroSHEDS (Hydrological data and maps based on SHuttle Elevation Derivatives at multiple Scales) data using the GA2 algorithm (GRIDATB 2). At 15 arcsec resolution, these layers are 4 times ﬁner than the resolution of the previously best-available topographic index layers, the compound topographic index of HYDRO1k (CTI). For the largest river catchments occurring on each continent we found that, in comparison with CTI our revised values were up to 20 % lower in, e.g. the Amazon. We found the highest catchment means were for the Murray–Darling and Nelson–Saskatchewan rather than for the Amazon and St. Lawrence as found from the CTI. For the majority of large catchments, however, the spread of our new GA2 index values is very similar to those of CTI, yet with more spatial variability apparent at ﬁne scale. We believe these new index layers represent greatly improved global-scale topographic index values and hope that they will be widely used in land surface modelling applications in the future.","container-title":"Hydrology and Earth System Sciences","DOI":"10.5194/hess-19-91-2015","ISSN":"1607-7938","issue":"1","language":"en","page":"91-104","source":"DOI.org (Crossref)","title":"High-resolution global topographic index values for use in large-scale hydrological modelling","volume":"19","author":[{"family":"Marthews","given":"T. R."},{"family":"Dadson","given":"S. J."},{"family":"Lehner","given":"B."},{"family":"Abele","given":"S."},{"family":"Gedney","given":"N."}],"issued":{"date-parts":[["2015",1,7]]}}}],"schema":"https://github.com/citation-style-language/schema/raw/master/csl-citation.json"} </w:instrText>
      </w:r>
      <w:r w:rsidRPr="008D5D0F">
        <w:rPr>
          <w:color w:val="000000" w:themeColor="text1"/>
          <w:sz w:val="20"/>
        </w:rPr>
        <w:fldChar w:fldCharType="separate"/>
      </w:r>
      <w:r w:rsidR="00876334" w:rsidRPr="008D5D0F">
        <w:rPr>
          <w:color w:val="000000" w:themeColor="text1"/>
          <w:sz w:val="20"/>
        </w:rPr>
        <w:t>[8]</w:t>
      </w:r>
      <w:r w:rsidRPr="008D5D0F">
        <w:rPr>
          <w:color w:val="000000" w:themeColor="text1"/>
          <w:sz w:val="20"/>
        </w:rPr>
        <w:fldChar w:fldCharType="end"/>
      </w:r>
      <w:r w:rsidRPr="008D5D0F">
        <w:rPr>
          <w:color w:val="000000" w:themeColor="text1"/>
          <w:sz w:val="20"/>
        </w:rPr>
        <w:t>. The CH</w:t>
      </w:r>
      <w:r w:rsidRPr="008D5D0F">
        <w:rPr>
          <w:color w:val="000000" w:themeColor="text1"/>
          <w:sz w:val="20"/>
          <w:vertAlign w:val="subscript"/>
        </w:rPr>
        <w:t>4</w:t>
      </w:r>
      <w:r w:rsidRPr="008D5D0F">
        <w:rPr>
          <w:color w:val="000000" w:themeColor="text1"/>
          <w:sz w:val="20"/>
        </w:rPr>
        <w:t xml:space="preserve"> emissions simulated by LPJ-wsl have been validated against observations at the regional and global scales</w:t>
      </w:r>
      <w:r w:rsidRPr="008D5D0F">
        <w:rPr>
          <w:color w:val="000000" w:themeColor="text1"/>
          <w:sz w:val="20"/>
        </w:rPr>
        <w:fldChar w:fldCharType="begin"/>
      </w:r>
      <w:r w:rsidR="00876334" w:rsidRPr="008D5D0F">
        <w:rPr>
          <w:color w:val="000000" w:themeColor="text1"/>
          <w:sz w:val="20"/>
        </w:rPr>
        <w:instrText xml:space="preserve"> ADDIN ZOTERO_ITEM CSL_CITATION {"citationID":"ArblzAzy","properties":{"formattedCitation":"[9,10]","plainCitation":"[9,10]","noteIndex":0},"citationItems":[{"id":2279,"uris":["http://zotero.org/users/5672304/items/Z4XID55P"],"uri":["http://zotero.org/users/5672304/items/Z4XID55P"],"itemData":{"id":2279,"type":"article-journal","abstract":"&lt;p&gt;&lt;strong&gt;Abstract.&lt;/strong&gt; Simulations of the spatiotemporal dynamics of wetlands are key to understanding the role of wetland biogeochemistry under past and future climate. Hydrologic inundation models, such as the TOPography-based hydrological model (TOPMODEL), are based on a fundamental parameter known as the compound topographic index (CTI) and offer a computationally cost-efficient approach to simulate wetland dynamics at global scales. However, there remains a large discrepancy in the implementations of TOPMODEL in land-surface models (LSMs) and thus their performance against observations. This study describes new improvements to TOPMODEL implementation and estimates of global wetland dynamics using the LPJ-wsl (Lund–Potsdam–Jena &lt;i&gt;Wald Schnee und Landschaft&lt;/i&gt; version) Dynamic Global Vegetation Model (DGVM) and quantifies uncertainties by comparing three digital elevation model (DEM) products (HYDRO1k, GMTED, and HydroSHEDS) at different spatial resolution and accuracy on simulated inundation dynamics. In addition, we found that calibrating TOPMODEL with a benchmark wetland data set can help to successfully delineate the seasonal and interannual variation of wetlands, as well as improve the spatial distribution of wetlands to be consistent with inventories. The HydroSHEDS DEM, using a river-basin scheme for aggregating the CTI, shows the best accuracy for capturing the spatiotemporal dynamics of wetlands among the three DEM products. The estimate of global wetland potential/maximum is  </w:instrText>
      </w:r>
      <w:r w:rsidR="00876334" w:rsidRPr="008D5D0F">
        <w:rPr>
          <w:rFonts w:ascii="Cambria Math" w:hAnsi="Cambria Math" w:cs="Cambria Math"/>
          <w:color w:val="000000" w:themeColor="text1"/>
          <w:sz w:val="20"/>
        </w:rPr>
        <w:instrText>∼</w:instrText>
      </w:r>
      <w:r w:rsidR="00876334" w:rsidRPr="008D5D0F">
        <w:rPr>
          <w:color w:val="000000" w:themeColor="text1"/>
          <w:sz w:val="20"/>
        </w:rPr>
        <w:instrText xml:space="preserve"> 10.3 Mkm&lt;sup&gt;2&lt;/sup&gt; (10&lt;sup&gt;6&lt;/sup&gt; km&lt;sup&gt;2&lt;/sup&gt;), with a mean annual maximum of  </w:instrText>
      </w:r>
      <w:r w:rsidR="00876334" w:rsidRPr="008D5D0F">
        <w:rPr>
          <w:rFonts w:ascii="Cambria Math" w:hAnsi="Cambria Math" w:cs="Cambria Math"/>
          <w:color w:val="000000" w:themeColor="text1"/>
          <w:sz w:val="20"/>
        </w:rPr>
        <w:instrText>∼</w:instrText>
      </w:r>
      <w:r w:rsidR="00876334" w:rsidRPr="008D5D0F">
        <w:rPr>
          <w:color w:val="000000" w:themeColor="text1"/>
          <w:sz w:val="20"/>
        </w:rPr>
        <w:instrText xml:space="preserve"> 5.17 Mkm&lt;sup&gt;2&lt;/sup&gt; for 1980–2010. When integrated with wetland methane emission submodule, the uncertainty of global annual CH&lt;sub&gt;4&lt;/sub&gt; emissions from topography inputs is estimated to be 29.0 Tg yr&lt;sup&gt;−1&lt;/sup&gt;. This study demonstrates the feasibility of TOPMODEL to capture spatial heterogeneity of inundation at a large scale and highlights the significance of correcting maximum wetland extent to improve modeling of interannual variations in wetland area. It additionally highlights the importance of an adequate investigation of topographic indices for simulating global wetlands and shows the opportunity to converge wetland estimates across LSMs by identifying the uncertainty associated with existing wetland products.&lt;/p&gt;","container-title":"Biogeosciences","DOI":"10.5194/bg-13-1387-2016","ISSN":"1726-4189","issue":"5","language":"en","page":"1387-1408","source":"DOI.org (Crossref)","title":"Modeling spatiotemporal dynamics of global wetlands: comprehensive evaluation of a new sub-grid TOPMODEL parameterization and uncertainties","title-short":"Modeling spatiotemporal dynamics of global wetlands","volume":"13","author":[{"family":"Zhang","given":"Zhen"},{"family":"Zimmermann","given":"Niklaus E."},{"family":"Kaplan","given":"Jed O."},{"family":"Poulter","given":"Benjamin"}],"issued":{"date-parts":[["2016",3,4]]}}},{"id":2068,"uris":["http://zotero.org/users/5672304/items/RLEBEA6G"],"uri":["http://zotero.org/users/5672304/items/RLEBEA6G"],"itemData":{"id":2068,"type":"article-journal","container-title":"Proceedings of the National Academy of Sciences","DOI":"10.1073/pnas.1618765114","ISSN":"0027-8424, 1091-6490","issue":"36","language":"en","page":"9647-9652","source":"DOI.org (Crossref)","title":"Emerging role of wetland methane emissions in driving 21st century climate change","volume":"114","author":[{"family":"Zhang","given":"Zhen"},{"family":"Zimmermann","given":"Niklaus E."},{"family":"Stenke","given":"Andrea"},{"family":"Li","given":"Xin"},{"family":"Hodson","given":"Elke L."},{"family":"Zhu","given":"Gaofeng"},{"family":"Huang","given":"Chunlin"},{"family":"Poulter","given":"Benjamin"}],"issued":{"date-parts":[["2017",9,5]]}}}],"schema":"https://github.com/citation-style-language/schema/raw/master/csl-citation.json"} </w:instrText>
      </w:r>
      <w:r w:rsidRPr="008D5D0F">
        <w:rPr>
          <w:color w:val="000000" w:themeColor="text1"/>
          <w:sz w:val="20"/>
        </w:rPr>
        <w:fldChar w:fldCharType="separate"/>
      </w:r>
      <w:r w:rsidR="00876334" w:rsidRPr="008D5D0F">
        <w:rPr>
          <w:color w:val="000000" w:themeColor="text1"/>
          <w:sz w:val="20"/>
        </w:rPr>
        <w:t>[9,10]</w:t>
      </w:r>
      <w:r w:rsidRPr="008D5D0F">
        <w:rPr>
          <w:color w:val="000000" w:themeColor="text1"/>
          <w:sz w:val="20"/>
        </w:rPr>
        <w:fldChar w:fldCharType="end"/>
      </w:r>
      <w:r w:rsidRPr="008D5D0F">
        <w:rPr>
          <w:color w:val="000000" w:themeColor="text1"/>
          <w:sz w:val="20"/>
        </w:rPr>
        <w:t>.</w:t>
      </w:r>
    </w:p>
    <w:p w14:paraId="419E9B02" w14:textId="77777777" w:rsidR="00EB592C" w:rsidRPr="008D5D0F" w:rsidRDefault="00EB592C" w:rsidP="00EB592C">
      <w:pPr>
        <w:pBdr>
          <w:top w:val="nil"/>
          <w:left w:val="nil"/>
          <w:bottom w:val="nil"/>
          <w:right w:val="nil"/>
          <w:between w:val="nil"/>
        </w:pBdr>
        <w:spacing w:after="200"/>
        <w:contextualSpacing/>
        <w:rPr>
          <w:color w:val="000000" w:themeColor="text1"/>
          <w:sz w:val="20"/>
        </w:rPr>
      </w:pPr>
    </w:p>
    <w:p w14:paraId="7CAD75DD" w14:textId="2D2F8A05" w:rsidR="00EB592C" w:rsidRPr="008D5D0F" w:rsidRDefault="00EB592C" w:rsidP="00EB592C">
      <w:pPr>
        <w:pBdr>
          <w:top w:val="nil"/>
          <w:left w:val="nil"/>
          <w:bottom w:val="nil"/>
          <w:right w:val="nil"/>
          <w:between w:val="nil"/>
        </w:pBdr>
        <w:contextualSpacing/>
        <w:rPr>
          <w:color w:val="000000" w:themeColor="text1"/>
          <w:sz w:val="20"/>
        </w:rPr>
      </w:pPr>
      <w:r w:rsidRPr="008D5D0F">
        <w:rPr>
          <w:color w:val="000000" w:themeColor="text1"/>
          <w:sz w:val="20"/>
        </w:rPr>
        <w:t>To take into account the uncertainty in estimated wetland CH</w:t>
      </w:r>
      <w:r w:rsidRPr="008D5D0F">
        <w:rPr>
          <w:color w:val="000000" w:themeColor="text1"/>
          <w:sz w:val="20"/>
          <w:vertAlign w:val="subscript"/>
        </w:rPr>
        <w:t>4</w:t>
      </w:r>
      <w:r w:rsidRPr="008D5D0F">
        <w:rPr>
          <w:color w:val="000000" w:themeColor="text1"/>
          <w:sz w:val="20"/>
        </w:rPr>
        <w:t xml:space="preserve"> emissions from climate variables, we applied four wetland CH</w:t>
      </w:r>
      <w:r w:rsidRPr="008D5D0F">
        <w:rPr>
          <w:color w:val="000000" w:themeColor="text1"/>
          <w:sz w:val="20"/>
          <w:vertAlign w:val="subscript"/>
        </w:rPr>
        <w:t>4</w:t>
      </w:r>
      <w:r w:rsidRPr="008D5D0F">
        <w:rPr>
          <w:color w:val="000000" w:themeColor="text1"/>
          <w:sz w:val="20"/>
        </w:rPr>
        <w:t xml:space="preserve"> estimates based on LPJ simulations forced by four climate datasets: one observational geostatistical dataset from the Climate Research Unit (CRU) and three state-of-the-art meteorological reanalysis datasets, including 1-hourly reanalysis Modern-Era Retrospective analysis for Research and Applications Version 2 (MERRA2) from the NASA Global Modeling and Assimilation Office, 6-hourly ERA-Interim from the European Centre for Medium-Range Weather Forecasts data assimilation system, and 6-hourly Japanese 55-year Reanalysis (JRA-55) from the Japan Meteorological Agency. The ensemble mean of CH</w:t>
      </w:r>
      <w:r w:rsidRPr="008D5D0F">
        <w:rPr>
          <w:color w:val="000000" w:themeColor="text1"/>
          <w:sz w:val="20"/>
          <w:vertAlign w:val="subscript"/>
        </w:rPr>
        <w:t>4</w:t>
      </w:r>
      <w:r w:rsidRPr="008D5D0F">
        <w:rPr>
          <w:color w:val="000000" w:themeColor="text1"/>
          <w:sz w:val="20"/>
        </w:rPr>
        <w:t xml:space="preserve"> emissions from simulations with reanalyses was applied in this study (denoted REN). Both of the wetland CH</w:t>
      </w:r>
      <w:r w:rsidRPr="008D5D0F">
        <w:rPr>
          <w:color w:val="000000" w:themeColor="text1"/>
          <w:sz w:val="20"/>
          <w:vertAlign w:val="subscript"/>
        </w:rPr>
        <w:t>4</w:t>
      </w:r>
      <w:r w:rsidRPr="008D5D0F">
        <w:rPr>
          <w:color w:val="000000" w:themeColor="text1"/>
          <w:sz w:val="20"/>
        </w:rPr>
        <w:t xml:space="preserve"> estimates cover the 1980-2017 period </w:t>
      </w:r>
      <w:r w:rsidRPr="008D5D0F">
        <w:rPr>
          <w:color w:val="000000" w:themeColor="text1"/>
          <w:sz w:val="20"/>
        </w:rPr>
        <w:fldChar w:fldCharType="begin"/>
      </w:r>
      <w:r w:rsidR="00876334" w:rsidRPr="008D5D0F">
        <w:rPr>
          <w:color w:val="000000" w:themeColor="text1"/>
          <w:sz w:val="20"/>
        </w:rPr>
        <w:instrText xml:space="preserve"> ADDIN ZOTERO_ITEM CSL_CITATION {"citationID":"c0f2dZUe","properties":{"formattedCitation":"[11]","plainCitation":"[11]","noteIndex":0},"citationItems":[{"id":1617,"uris":["http://zotero.org/users/5672304/items/3YDD8EF8"],"uri":["http://zotero.org/users/5672304/items/3YDD8EF8"],"itemData":{"id":1617,"type":"article-journal","abstract":"Wetlands are thought to be the major contributor to interannual variability in the growth rate of atmospheric methane (CH4) with anomalies driven by the inﬂuence of the El Niñ o-Southern Oscillation (ENSO). Yet it remains unclear whether (i) the increase in total global CH4 emissions during El Niñ o versus La Niñ a events is from wetlands and (ii) how large the contribution of wetland CH4 emissions is to the interannual variability of atmospheric CH4. We used a terrestrial ecosystem model that includes permafrost and wetland dynamics to estimate CH4 emissions, forced by three separate meteorological reanalyses and one gridded observational climate dataset, to simulate the spatio-temporal dynamics of wetland CH4 emissions from 1980–2016. The simulations show that while wetland CH4 responds with negative annual anomalies during the El Niñ o events, the instantaneous growth rate of wetland CH4 emissions exhibits complex phase dynamics. We ﬁnd that wetland CH4 instantaneous growth rates were declined at the onset of the 2015–2016 El Niñ o event but then increased to a record-high at later stages of the El Niñ o event (January through May 2016). We also ﬁnd evidence for a step increase of CH4 emissions by 7.8±1.6 Tg CH4 yr−1 during 2007–2014 compared to the average of 2000–2006 from simulations using meteorological reanalyses, which is equivalent to a </w:instrText>
      </w:r>
      <w:r w:rsidR="00876334" w:rsidRPr="008D5D0F">
        <w:rPr>
          <w:rFonts w:ascii="Cambria Math" w:hAnsi="Cambria Math" w:cs="Cambria Math"/>
          <w:color w:val="000000" w:themeColor="text1"/>
          <w:sz w:val="20"/>
        </w:rPr>
        <w:instrText>∼</w:instrText>
      </w:r>
      <w:r w:rsidR="00876334" w:rsidRPr="008D5D0F">
        <w:rPr>
          <w:color w:val="000000" w:themeColor="text1"/>
          <w:sz w:val="20"/>
        </w:rPr>
        <w:instrText xml:space="preserve">3.5 ppb yr−1 rise in CH4 concentrations. The step increase is mainly caused by the expansion of wetland area in the tropics (30◦S–30◦N) due to an enhancement of tropical precipitation as indicated by the suite of the meteorological reanalyses. Our study highlights the role of wetlands, and the complex temporal phasing with ENSO, in driving the variability and trends of atmospheric CH4 concentrations. In addition, the need to account for uncertainty in meteorological forcings is highlighted in addressing the interannual variability and decadal-scale trends of wetland CH4 ﬂuxes.","container-title":"Environmental Research Letters","DOI":"10.1088/1748-9326/aac939","ISSN":"1748-9326","issue":"7","language":"en","page":"074009","source":"DOI.org (Crossref)","title":"Enhanced response of global wetland methane emissions to the 2015–2016 El Niño-Southern Oscillation event","volume":"13","author":[{"family":"Zhang","given":"Zhen"},{"family":"Zimmermann","given":"Niklaus E"},{"family":"Calle","given":"Leonardo"},{"family":"Hurtt","given":"George"},{"family":"Chatterjee","given":"Abhishek"},{"family":"Poulter","given":"Benjamin"}],"issued":{"date-parts":[["2018",7,1]]}}}],"schema":"https://github.com/citation-style-language/schema/raw/master/csl-citation.json"} </w:instrText>
      </w:r>
      <w:r w:rsidRPr="008D5D0F">
        <w:rPr>
          <w:color w:val="000000" w:themeColor="text1"/>
          <w:sz w:val="20"/>
        </w:rPr>
        <w:fldChar w:fldCharType="separate"/>
      </w:r>
      <w:r w:rsidR="00876334" w:rsidRPr="008D5D0F">
        <w:rPr>
          <w:color w:val="000000" w:themeColor="text1"/>
          <w:sz w:val="20"/>
        </w:rPr>
        <w:t>[11]</w:t>
      </w:r>
      <w:r w:rsidRPr="008D5D0F">
        <w:rPr>
          <w:color w:val="000000" w:themeColor="text1"/>
          <w:sz w:val="20"/>
        </w:rPr>
        <w:fldChar w:fldCharType="end"/>
      </w:r>
      <w:r w:rsidRPr="008D5D0F">
        <w:rPr>
          <w:color w:val="000000" w:themeColor="text1"/>
          <w:sz w:val="20"/>
        </w:rPr>
        <w:t>.</w:t>
      </w:r>
    </w:p>
    <w:p w14:paraId="258F8CD5" w14:textId="77777777" w:rsidR="00EB592C" w:rsidRPr="008D5D0F" w:rsidRDefault="00EB592C" w:rsidP="00EB592C">
      <w:pPr>
        <w:pBdr>
          <w:top w:val="nil"/>
          <w:left w:val="nil"/>
          <w:bottom w:val="nil"/>
          <w:right w:val="nil"/>
          <w:between w:val="nil"/>
        </w:pBdr>
        <w:spacing w:after="200"/>
        <w:contextualSpacing/>
        <w:rPr>
          <w:color w:val="000000" w:themeColor="text1"/>
          <w:sz w:val="20"/>
        </w:rPr>
      </w:pPr>
    </w:p>
    <w:p w14:paraId="0F1A9070" w14:textId="72B659F2" w:rsidR="00EB592C" w:rsidRPr="008D5D0F" w:rsidRDefault="00EB592C" w:rsidP="00EB592C">
      <w:pPr>
        <w:pBdr>
          <w:top w:val="nil"/>
          <w:left w:val="nil"/>
          <w:bottom w:val="nil"/>
          <w:right w:val="nil"/>
          <w:between w:val="nil"/>
        </w:pBdr>
        <w:contextualSpacing/>
        <w:rPr>
          <w:color w:val="000000" w:themeColor="text1"/>
          <w:sz w:val="20"/>
        </w:rPr>
      </w:pPr>
      <w:r w:rsidRPr="008D5D0F">
        <w:rPr>
          <w:color w:val="000000" w:themeColor="text1"/>
          <w:sz w:val="20"/>
        </w:rPr>
        <w:t>In general, LPJ-wsl suggests a step increase in CH</w:t>
      </w:r>
      <w:r w:rsidRPr="008D5D0F">
        <w:rPr>
          <w:color w:val="000000" w:themeColor="text1"/>
          <w:sz w:val="20"/>
          <w:vertAlign w:val="subscript"/>
        </w:rPr>
        <w:t>4</w:t>
      </w:r>
      <w:r w:rsidRPr="008D5D0F">
        <w:rPr>
          <w:color w:val="000000" w:themeColor="text1"/>
          <w:sz w:val="20"/>
        </w:rPr>
        <w:t xml:space="preserve"> emissions by 7.3±1.6 Tg CH</w:t>
      </w:r>
      <w:r w:rsidRPr="008D5D0F">
        <w:rPr>
          <w:color w:val="000000" w:themeColor="text1"/>
          <w:sz w:val="20"/>
          <w:vertAlign w:val="subscript"/>
        </w:rPr>
        <w:t>4</w:t>
      </w:r>
      <w:r w:rsidRPr="008D5D0F">
        <w:rPr>
          <w:color w:val="000000" w:themeColor="text1"/>
          <w:sz w:val="20"/>
        </w:rPr>
        <w:t xml:space="preserve"> yr</w:t>
      </w:r>
      <w:r w:rsidRPr="008D5D0F">
        <w:rPr>
          <w:color w:val="000000" w:themeColor="text1"/>
          <w:sz w:val="20"/>
          <w:vertAlign w:val="superscript"/>
        </w:rPr>
        <w:t>-1</w:t>
      </w:r>
      <w:r w:rsidRPr="008D5D0F">
        <w:rPr>
          <w:color w:val="000000" w:themeColor="text1"/>
          <w:sz w:val="20"/>
        </w:rPr>
        <w:t xml:space="preserve"> during 2007-2017 relative to the period of 2000-2006 when using the meteorological reanalysis, while the CRU-based simulation found a minor increase in CH</w:t>
      </w:r>
      <w:r w:rsidRPr="008D5D0F">
        <w:rPr>
          <w:color w:val="000000" w:themeColor="text1"/>
          <w:sz w:val="20"/>
          <w:vertAlign w:val="subscript"/>
        </w:rPr>
        <w:t>4</w:t>
      </w:r>
      <w:r w:rsidRPr="008D5D0F">
        <w:rPr>
          <w:color w:val="000000" w:themeColor="text1"/>
          <w:sz w:val="20"/>
        </w:rPr>
        <w:t xml:space="preserve"> emissions between these two periods. This step increase is mainly caused by the expanding wetland areas in the tropics due to enhanced precipitation, with a positive trend of 0.8 Tg CH</w:t>
      </w:r>
      <w:r w:rsidRPr="008D5D0F">
        <w:rPr>
          <w:color w:val="000000" w:themeColor="text1"/>
          <w:sz w:val="20"/>
          <w:vertAlign w:val="subscript"/>
        </w:rPr>
        <w:t>4</w:t>
      </w:r>
      <w:r w:rsidRPr="008D5D0F">
        <w:rPr>
          <w:color w:val="000000" w:themeColor="text1"/>
          <w:sz w:val="20"/>
        </w:rPr>
        <w:t xml:space="preserve"> yr</w:t>
      </w:r>
      <w:r w:rsidRPr="008D5D0F">
        <w:rPr>
          <w:color w:val="000000" w:themeColor="text1"/>
          <w:sz w:val="20"/>
          <w:vertAlign w:val="superscript"/>
        </w:rPr>
        <w:t>-1</w:t>
      </w:r>
      <w:r w:rsidRPr="008D5D0F">
        <w:rPr>
          <w:color w:val="000000" w:themeColor="text1"/>
          <w:sz w:val="20"/>
        </w:rPr>
        <w:t xml:space="preserve"> yr</w:t>
      </w:r>
      <w:r w:rsidRPr="008D5D0F">
        <w:rPr>
          <w:color w:val="000000" w:themeColor="text1"/>
          <w:sz w:val="20"/>
          <w:vertAlign w:val="superscript"/>
        </w:rPr>
        <w:t>-1</w:t>
      </w:r>
      <w:r w:rsidRPr="008D5D0F">
        <w:rPr>
          <w:color w:val="000000" w:themeColor="text1"/>
          <w:sz w:val="20"/>
        </w:rPr>
        <w:t xml:space="preserve"> for 2000-2017. This positive trend found in the tropics is generally larger than the WetCHARTs estimates but lower than the recent atmospheric inversions </w:t>
      </w:r>
      <w:r w:rsidRPr="008D5D0F">
        <w:rPr>
          <w:color w:val="000000" w:themeColor="text1"/>
          <w:sz w:val="20"/>
        </w:rPr>
        <w:fldChar w:fldCharType="begin"/>
      </w:r>
      <w:r w:rsidR="00876334" w:rsidRPr="008D5D0F">
        <w:rPr>
          <w:color w:val="000000" w:themeColor="text1"/>
          <w:sz w:val="20"/>
        </w:rPr>
        <w:instrText xml:space="preserve"> ADDIN ZOTERO_ITEM CSL_CITATION {"citationID":"YPbb8nfp","properties":{"formattedCitation":"[12\\uc0\\u8211{}14]","plainCitation":"[12–14]","noteIndex":0},"citationItems":[{"id":3164,"uris":["http://zotero.org/users/5672304/items/MPNA4RLQ"],"uri":["http://zotero.org/users/5672304/items/MPNA4RLQ"],"itemData":{"id":3164,"type":"article-journal","abstract":"&lt;p&gt;&lt;strong&gt;Abstract.&lt;/strong&gt; Emissions of methane (&lt;span class=\"inline-formula\"&gt;CH&lt;sub&gt;4&lt;/sub&gt;&lt;/span&gt;) from tropical ecosystems, and how they respond to changes in climate, represent one of the biggest uncertainties associated with the global &lt;span class=\"inline-formula\"&gt;CH&lt;sub&gt;4&lt;/sub&gt;&lt;/span&gt; budget. Historically, this has been due to the dearth of pan-tropical in situ measurements, which is particularly acute in Africa. By virtue of their superior spatial coverage, satellite observations of atmospheric &lt;span class=\"inline-formula\"&gt;CH&lt;sub&gt;4&lt;/sub&gt;&lt;/span&gt; columns can help to narrow down some of the uncertainties in the tropical &lt;span class=\"inline-formula\"&gt;CH&lt;sub&gt;4&lt;/sub&gt;&lt;/span&gt; emission budget. We use proxy column retrievals of atmospheric &lt;span class=\"inline-formula\"&gt;CH&lt;sub&gt;4&lt;/sub&gt;&lt;/span&gt; (&lt;span class=\"inline-formula\"&gt;XCH&lt;sub&gt;4&lt;/sub&gt;&lt;/span&gt;) from the Japanese Greenhouse gases Observing Satellite (GOSAT) and the nested version of the GEOS-Chem atmospheric chemistry and transport model (&lt;span class=\"inline-formula\"&gt;&lt;math xmlns=\"http://www.w3.org/1998/Math/MathML\" id=\"M7\" display=\"inline\" overflow=\"scroll\" dspmath=\"mathml\"&gt;&lt;mrow&gt;&lt;mn mathvariant=\"normal\"&gt;0.5&lt;/mn&gt;&lt;msup&gt;&lt;mi/&gt;&lt;mo&gt;</w:instrText>
      </w:r>
      <w:r w:rsidR="00876334" w:rsidRPr="008D5D0F">
        <w:rPr>
          <w:rFonts w:ascii="Cambria Math" w:hAnsi="Cambria Math" w:cs="Cambria Math"/>
          <w:color w:val="000000" w:themeColor="text1"/>
          <w:sz w:val="20"/>
        </w:rPr>
        <w:instrText>∘</w:instrText>
      </w:r>
      <w:r w:rsidR="00876334" w:rsidRPr="008D5D0F">
        <w:rPr>
          <w:color w:val="000000" w:themeColor="text1"/>
          <w:sz w:val="20"/>
        </w:rPr>
        <w:instrText>&lt;/mo&gt;&lt;/msup&gt;&lt;mspace width=\"0.125em\" linebreak=\"nobreak\"/&gt;&lt;mo&gt;×&lt;/mo&gt;&lt;mspace linebreak=\"nobreak\" width=\"0.125em\"/&gt;&lt;mn mathvariant=\"normal\"&gt;0.625&lt;/mn&gt;&lt;msup&gt;&lt;mi/&gt;&lt;mo&gt;</w:instrText>
      </w:r>
      <w:r w:rsidR="00876334" w:rsidRPr="008D5D0F">
        <w:rPr>
          <w:rFonts w:ascii="Cambria Math" w:hAnsi="Cambria Math" w:cs="Cambria Math"/>
          <w:color w:val="000000" w:themeColor="text1"/>
          <w:sz w:val="20"/>
        </w:rPr>
        <w:instrText>∘</w:instrText>
      </w:r>
      <w:r w:rsidR="00876334" w:rsidRPr="008D5D0F">
        <w:rPr>
          <w:color w:val="000000" w:themeColor="text1"/>
          <w:sz w:val="20"/>
        </w:rPr>
        <w:instrText xml:space="preserve">&lt;/mo&gt;&lt;/msup&gt;&lt;/mrow&gt;&lt;/math&gt;&lt;span&gt;&lt;svg:svg xmlns:svg=\"http://www.w3.org/2000/svg\" width=\"67pt\" height=\"11pt\" class=\"svg-formula\" dspmath=\"mathimg\" md5hash=\"94db5c4ea3c5edbcf2cb8e6a20a0a27f\"&gt;&lt;svg:image xmlns:xlink=\"http://www.w3.org/1999/xlink\" xlink:href=\"acp-19-14721-2019-ie00001.svg\" width=\"67pt\" height=\"11pt\" src=\"acp-19-14721-2019-ie00001.png\"/&gt;&lt;/svg:svg&gt;&lt;/span&gt;&lt;/span&gt;) to infer emissions from tropical Africa between 2010 and 2016. Proxy retrievals of &lt;span class=\"inline-formula\"&gt;XCH&lt;sub&gt;4&lt;/sub&gt;&lt;/span&gt; are less sensitive to scattering due to clouds and aerosol than full physics retrievals, but the method assumes that the global distribution of carbon dioxide (&lt;span class=\"inline-formula\"&gt;CO&lt;sub&gt;2&lt;/sub&gt;&lt;/span&gt;) is known. We explore the sensitivity of inferred a posteriori emissions to this source of systematic error by using two different &lt;span class=\"inline-formula\"&gt;XCH&lt;sub&gt;4&lt;/sub&gt;&lt;/span&gt; data products that are determined using different model &lt;span class=\"inline-formula\"&gt;CO&lt;sub&gt;2&lt;/sub&gt;&lt;/span&gt; fields. We infer monthly emissions from GOSAT &lt;span class=\"inline-formula\"&gt;XCH&lt;sub&gt;4&lt;/sub&gt;&lt;/span&gt; data using a hierarchical Bayesian framework, allowing us to report seasonal cycles and trends in annual mean values. We find mean tropical African emissions between 2010 and 2016 range from 76 (74–78) to 80 (78–82)&amp;thinsp;Tg&amp;thinsp;yr&lt;span class=\"inline-formula\"&gt;&lt;sup&gt;−1&lt;/sup&gt;&lt;/span&gt;, depending on the proxy &lt;span class=\"inline-formula\"&gt;XCH&lt;sub&gt;4&lt;/sub&gt;&lt;/span&gt; data used, with larger differences in Northern Hemisphere Africa than Southern Hemisphere Africa. We find a robust positive linear trend in tropical African &lt;span class=\"inline-formula\"&gt;CH&lt;sub&gt;4&lt;/sub&gt;&lt;/span&gt; emissions for our 7-year study period, with values of 1.5 (1.1–1.9)&amp;thinsp;Tg&amp;thinsp;yr&lt;span class=\"inline-formula\"&gt;&lt;sup&gt;−1&lt;/sup&gt;&lt;/span&gt; or 2.1 (1.7–2.5)&amp;thinsp;Tg&amp;thinsp;yr&lt;span class=\"inline-formula\"&gt;&lt;sup&gt;−1&lt;/sup&gt;&lt;/span&gt;, depending on the &lt;span class=\"inline-formula\"&gt;CO&lt;sub&gt;2&lt;/sub&gt;&lt;/span&gt; data product used in the proxy retrieval. This linear emissions trend accounts for around a third of the global emissions growth rate during this period. A substantial portion of this increase is due to a short-term increase in emissions of 3&amp;thinsp;Tg&amp;thinsp;yr&lt;span class=\"inline-formula\"&gt;&lt;sup&gt;−1&lt;/sup&gt;&lt;/span&gt; between 2011 and 2015 from the Sudd in South Sudan. Using satellite land surface temperature anomalies and altimetry data, we find this increase in &lt;span class=\"inline-formula\"&gt;CH&lt;sub&gt;4&lt;/sub&gt;&lt;/span&gt; emissions is consistent with an increase in wetland extent due to increased inflow from the White Nile, although the data indicate that the Sudd was anomalously dry at the start of our inversion period. We find a strong seasonality in emissions across Northern Hemisphere Africa, with the timing of the seasonal emissions peak coincident with the seasonal peak in ground water storage. In contrast, we find that a posteriori &lt;span class=\"inline-formula\"&gt;CH&lt;sub&gt;4&lt;/sub&gt;&lt;/span&gt; emissions from the wetland area of the Congo Basin are approximately constant throughout the year, consistent with less temporal variability in wetland extent, and significantly smaller than a priori estimates.&lt;/p&gt;","container-title":"Atmospheric Chemistry and Physics","DOI":"https://doi.org/10.5194/acp-19-14721-2019","ISSN":"1680-7316","issue":"23","language":"English","note":"publisher: Copernicus GmbH","page":"14721-14740","source":"www.atmos-chem-phys.net","title":"An increase in methane emissions from tropical Africa between 2010 and 2016 inferred from satellite data","volume":"19","author":[{"family":"Lunt","given":"Mark F."},{"family":"Palmer","given":"Paul I."},{"family":"Feng","given":"Liang"},{"family":"Taylor","given":"Christopher M."},{"family":"Boesch","given":"Hartmut"},{"family":"Parker","given":"Robert J."}],"issued":{"date-parts":[["2019",12,11]]}}},{"id":3741,"uris":["http://zotero.org/users/5672304/items/BGVXNDSH"],"uri":["http://zotero.org/users/5672304/items/BGVXNDSH"],"itemData":{"id":3741,"type":"article-journal","container-title":"Atmospheric Chemistry and Physics","DOI":"10.5194/acp-21-12631-2021","issue":"16","page":"12631–12647","title":"Accelerating methane growth rate from 2010 to 2017: leading contributions from the tropics and East Asia","volume":"21","author":[{"family":"Yin","given":"Y."},{"family":"Chevallier","given":"F."},{"family":"Ciais","given":"P."},{"family":"Bousquet","given":"P."},{"family":"Saunois","given":"M."},{"family":"Zheng","given":"B."},{"family":"Worden","given":"J."},{"family":"Bloom","given":"A. A."},{"family":"Parker","given":"R. J."},{"family":"Jacob","given":"D. J."},{"family":"Dlugokencky","given":"E. J."},{"family":"Frankenberg","given":"C."}],"issued":{"date-parts":[["2021"]]}}},{"id":3742,"uris":["http://zotero.org/users/5672304/items/ENDLFWMQ"],"uri":["http://zotero.org/users/5672304/items/ENDLFWMQ"],"itemData":{"id":3742,"type":"article-journal","container-title":"Atmospheric Chemistry and Physics","DOI":"10.5194/acp-21-3643-2021","issue":"5","page":"3643–3666","title":"Attribution of the accelerating increase in atmospheric methane during 2010–2018 by inverse analysis of GOSAT observations","volume":"21","author":[{"family":"Zhang","given":"Y."},{"family":"Jacob","given":"D. J."},{"family":"Lu","given":"X."},{"family":"Maasakkers","given":"J. D."},{"family":"Scarpelli","given":"T. R."},{"family":"Sheng","given":"J.-X."},{"family":"Shen","given":"L."},{"family":"Qu","given":"Z."},{"family":"Sulprizio","given":"M. P."},{"family":"Chang","given":"J."},{"family":"Bloom","given":"A. A."},{"family":"Ma","given":"S."},{"family":"Worden","given":"J."},{"family":"Parker","given":"R. J."},{"family":"Boesch","given":"H."}],"issued":{"date-parts":[["2021"]]}}}],"schema":"https://github.com/citation-style-language/schema/raw/master/csl-citation.json"} </w:instrText>
      </w:r>
      <w:r w:rsidRPr="008D5D0F">
        <w:rPr>
          <w:color w:val="000000" w:themeColor="text1"/>
          <w:sz w:val="20"/>
        </w:rPr>
        <w:fldChar w:fldCharType="separate"/>
      </w:r>
      <w:r w:rsidR="00876334" w:rsidRPr="008D5D0F">
        <w:rPr>
          <w:color w:val="000000" w:themeColor="text1"/>
          <w:sz w:val="20"/>
        </w:rPr>
        <w:t>[12–14]</w:t>
      </w:r>
      <w:r w:rsidRPr="008D5D0F">
        <w:rPr>
          <w:color w:val="000000" w:themeColor="text1"/>
          <w:sz w:val="20"/>
        </w:rPr>
        <w:fldChar w:fldCharType="end"/>
      </w:r>
      <w:r w:rsidRPr="008D5D0F">
        <w:rPr>
          <w:color w:val="000000" w:themeColor="text1"/>
          <w:sz w:val="20"/>
        </w:rPr>
        <w:t xml:space="preserve"> of GOSAT data, which suggest a positive trend of 1.5-2.1 Tg CH</w:t>
      </w:r>
      <w:r w:rsidRPr="008D5D0F">
        <w:rPr>
          <w:color w:val="000000" w:themeColor="text1"/>
          <w:sz w:val="20"/>
          <w:vertAlign w:val="subscript"/>
        </w:rPr>
        <w:t>4</w:t>
      </w:r>
      <w:r w:rsidRPr="008D5D0F">
        <w:rPr>
          <w:color w:val="000000" w:themeColor="text1"/>
          <w:sz w:val="20"/>
        </w:rPr>
        <w:t xml:space="preserve"> yr</w:t>
      </w:r>
      <w:r w:rsidRPr="008D5D0F">
        <w:rPr>
          <w:color w:val="000000" w:themeColor="text1"/>
          <w:sz w:val="20"/>
          <w:vertAlign w:val="superscript"/>
        </w:rPr>
        <w:t>-1</w:t>
      </w:r>
      <w:r w:rsidRPr="008D5D0F">
        <w:rPr>
          <w:color w:val="000000" w:themeColor="text1"/>
          <w:sz w:val="20"/>
        </w:rPr>
        <w:t xml:space="preserve"> yr</w:t>
      </w:r>
      <w:r w:rsidRPr="008D5D0F">
        <w:rPr>
          <w:color w:val="000000" w:themeColor="text1"/>
          <w:sz w:val="20"/>
          <w:vertAlign w:val="superscript"/>
        </w:rPr>
        <w:t>-1</w:t>
      </w:r>
      <w:r w:rsidRPr="008D5D0F">
        <w:rPr>
          <w:color w:val="000000" w:themeColor="text1"/>
          <w:sz w:val="20"/>
        </w:rPr>
        <w:t xml:space="preserve"> in the region for 2010-2018.</w:t>
      </w:r>
    </w:p>
    <w:p w14:paraId="0923CFFD" w14:textId="77777777" w:rsidR="00EB592C" w:rsidRPr="008D5D0F" w:rsidRDefault="00EB592C" w:rsidP="00EB592C">
      <w:pPr>
        <w:pBdr>
          <w:top w:val="nil"/>
          <w:left w:val="nil"/>
          <w:bottom w:val="nil"/>
          <w:right w:val="nil"/>
          <w:between w:val="nil"/>
        </w:pBdr>
        <w:spacing w:after="200"/>
        <w:contextualSpacing/>
        <w:rPr>
          <w:color w:val="000000" w:themeColor="text1"/>
          <w:sz w:val="20"/>
        </w:rPr>
      </w:pPr>
    </w:p>
    <w:p w14:paraId="3DEED256" w14:textId="28BCCD7B" w:rsidR="00EB592C" w:rsidRPr="008D5D0F" w:rsidRDefault="00EB592C" w:rsidP="00EB592C">
      <w:pPr>
        <w:pBdr>
          <w:top w:val="nil"/>
          <w:left w:val="nil"/>
          <w:bottom w:val="nil"/>
          <w:right w:val="nil"/>
          <w:between w:val="nil"/>
        </w:pBdr>
        <w:contextualSpacing/>
        <w:rPr>
          <w:color w:val="000000" w:themeColor="text1"/>
          <w:sz w:val="20"/>
        </w:rPr>
      </w:pPr>
      <w:bookmarkStart w:id="6" w:name="_Toc37816962"/>
      <w:r w:rsidRPr="008D5D0F">
        <w:rPr>
          <w:b/>
          <w:bCs/>
          <w:color w:val="000000" w:themeColor="text1"/>
          <w:sz w:val="20"/>
        </w:rPr>
        <w:t>Biofuel and biomass burning</w:t>
      </w:r>
      <w:bookmarkEnd w:id="6"/>
      <w:r w:rsidRPr="008D5D0F">
        <w:rPr>
          <w:b/>
          <w:bCs/>
          <w:color w:val="000000" w:themeColor="text1"/>
          <w:sz w:val="20"/>
        </w:rPr>
        <w:t>.</w:t>
      </w:r>
      <w:r w:rsidRPr="008D5D0F">
        <w:rPr>
          <w:color w:val="000000" w:themeColor="text1"/>
          <w:sz w:val="20"/>
        </w:rPr>
        <w:t xml:space="preserve"> Two datasets were applied to represent hypotheses for BB</w:t>
      </w:r>
      <w:r w:rsidRPr="008D5D0F">
        <w:rPr>
          <w:color w:val="000000" w:themeColor="text1"/>
          <w:sz w:val="20"/>
          <w:vertAlign w:val="subscript"/>
        </w:rPr>
        <w:t>CH4</w:t>
      </w:r>
      <w:r w:rsidRPr="008D5D0F">
        <w:rPr>
          <w:color w:val="000000" w:themeColor="text1"/>
          <w:sz w:val="20"/>
        </w:rPr>
        <w:t xml:space="preserve">: GFED (version 4.1s) </w:t>
      </w:r>
      <w:r w:rsidRPr="008D5D0F">
        <w:rPr>
          <w:color w:val="000000" w:themeColor="text1"/>
          <w:sz w:val="20"/>
        </w:rPr>
        <w:fldChar w:fldCharType="begin"/>
      </w:r>
      <w:r w:rsidR="00876334" w:rsidRPr="008D5D0F">
        <w:rPr>
          <w:color w:val="000000" w:themeColor="text1"/>
          <w:sz w:val="20"/>
        </w:rPr>
        <w:instrText xml:space="preserve"> ADDIN ZOTERO_ITEM CSL_CITATION {"citationID":"poL1Zktq","properties":{"formattedCitation":"[15]","plainCitation":"[15]","noteIndex":0},"citationItems":[{"id":2784,"uris":["http://zotero.org/users/5672304/items/LZXTVQ7W"],"uri":["http://zotero.org/users/5672304/items/LZXTVQ7W"],"itemData":{"id":2784,"type":"article-journal","abstract":"&lt;p&gt;&lt;strong&gt;Abstract.&lt;/strong&gt; Climate, land use, and other anthropogenic and natural drivers have the potential to influence fire dynamics in many regions. To develop a mechanistic understanding of the changing role of these drivers and their impact on atmospheric composition, long-term fire records are needed that fuse information from different satellite and in situ data streams. Here we describe the fourth version of the Global Fire Emissions Database (GFED) and quantify global fire emissions patterns during 1997–2016. The modeling system, based on the Carnegie–Ames–Stanford Approach (CASA) biogeochemical model, has several modifications from the previous version and uses higher quality input datasets. Significant upgrades include (1) new burned area estimates with contributions from small fires, (2) a revised fuel consumption parameterization optimized using field observations, (3) modifications that improve the representation of fuel consumption in frequently burning landscapes, and (4) fire severity estimates that better represent continental differences in burning processes across boreal regions of North America and Eurasia. The new version has a higher spatial resolution (0.25°) and uses a different set of emission factors that separately resolves trace gas and aerosol emissions from temperate and boreal forest ecosystems. Global mean carbon emissions using the burned area dataset with small fires (GFED4s) were 2.2&lt;span class=\"thinspace\"&gt;&lt;/span&gt; × &lt;span class=\"thinspace\"&gt;&lt;/span&gt;10&lt;sup&gt;15&lt;/sup&gt; grams of carbon per year (Pg&lt;span class=\"thinspace\"&gt;&lt;/span&gt;C&lt;span class=\"thinspace\"&gt;&lt;/span&gt;yr&lt;sup&gt;−1&lt;/sup&gt;) during 1997–2016, with a maximum in 1997 (3.0&lt;span class=\"thinspace\"&gt;&lt;/span&gt;Pg&lt;span class=\"thinspace\"&gt;&lt;/span&gt;C&lt;span class=\"thinspace\"&gt;&lt;/span&gt;yr&lt;sup&gt;−1&lt;/sup&gt;) and minimum in 2013 (1.8&lt;span class=\"thinspace\"&gt;&lt;/span&gt;Pg&lt;span class=\"thinspace\"&gt;&lt;/span&gt;C&lt;span class=\"thinspace\"&gt;&lt;/span&gt;yr&lt;sup&gt;−1&lt;/sup&gt;). These estimates were 11&lt;span class=\"thinspace\"&gt;&lt;/span&gt;% higher than our previous estimates (GFED3) during 1997–2011, when the two datasets overlapped. This net increase was the result of a substantial increase in burned area (37&lt;span class=\"thinspace\"&gt;&lt;/span&gt;%), mostly due to the inclusion of small fires, and a modest decrease in mean fuel consumption (−19&lt;span class=\"thinspace\"&gt;&lt;/span&gt;%) to better match estimates from field studies, primarily in savannas and grasslands. For trace gas and aerosol emissions, differences between GFED4s and GFED3 were often larger due to the use of revised emission factors. If small fire burned area was excluded (GFED4 without the &lt;q&gt;s&lt;/q&gt; for small fires), average emissions were 1.5&lt;span class=\"thinspace\"&gt;&lt;/span&gt;Pg&lt;span class=\"thinspace\"&gt;&lt;/span&gt;C&lt;span class=\"thinspace\"&gt;&lt;/span&gt;yr&lt;sup&gt;−1&lt;/sup&gt;. The addition of small fires had the largest impact on emissions in temperate North America, Central America, Europe, and temperate Asia. This small fire layer carries substantial uncertainties; improving these estimates will require use of new burned area products derived from high-resolution satellite imagery. Our revised dataset provides an internally consistent set of burned area and emissions that may contribute to a better understanding of multi-decadal changes in fire dynamics and their impact on the Earth system. GFED data are available from &lt;a href=\"http://www.globalfiredata.org\" title=\"\" class=\"ref\"&gt;http://www.globalfiredata.org&lt;/a&gt;.&lt;/p&gt;","container-title":"Earth System Science Data","DOI":"https://doi.org/10.5194/essd-9-697-2017","ISSN":"1866-3508","issue":"2","language":"English","page":"697-720","source":"www.earth-syst-sci-data.net","title":"Global fire emissions estimates during 1997–2016","volume":"9","author":[{"family":"Werf","given":"Guido R.","dropping-particle":"van der"},{"family":"Randerson","given":"James T."},{"family":"Giglio","given":"Louis"},{"family":"Leeuwen","given":"Thijs T.","dropping-particle":"van"},{"family":"Chen","given":"Yang"},{"family":"Rogers","given":"Brendan M."},{"family":"Mu","given":"Mingquan"},{"family":"Marle","given":"Margreet J. E.","dropping-particle":"van"},{"family":"Morton","given":"Douglas C."},{"family":"Collatz","given":"G. James"},{"family":"Yokelson","given":"Robert J."},{"family":"Kasibhatla","given":"Prasad S."}],"issued":{"date-parts":[["2017",9,12]]}}}],"schema":"https://github.com/citation-style-language/schema/raw/master/csl-citation.json"} </w:instrText>
      </w:r>
      <w:r w:rsidRPr="008D5D0F">
        <w:rPr>
          <w:color w:val="000000" w:themeColor="text1"/>
          <w:sz w:val="20"/>
        </w:rPr>
        <w:fldChar w:fldCharType="separate"/>
      </w:r>
      <w:r w:rsidR="00876334" w:rsidRPr="008D5D0F">
        <w:rPr>
          <w:color w:val="000000" w:themeColor="text1"/>
          <w:sz w:val="20"/>
        </w:rPr>
        <w:t>[15]</w:t>
      </w:r>
      <w:r w:rsidRPr="008D5D0F">
        <w:rPr>
          <w:color w:val="000000" w:themeColor="text1"/>
          <w:sz w:val="20"/>
        </w:rPr>
        <w:fldChar w:fldCharType="end"/>
      </w:r>
      <w:r w:rsidRPr="008D5D0F">
        <w:rPr>
          <w:color w:val="000000" w:themeColor="text1"/>
          <w:sz w:val="20"/>
        </w:rPr>
        <w:t xml:space="preserve"> and a satellite-based estimate </w:t>
      </w:r>
      <w:r w:rsidRPr="008D5D0F">
        <w:rPr>
          <w:color w:val="000000" w:themeColor="text1"/>
          <w:sz w:val="20"/>
        </w:rPr>
        <w:fldChar w:fldCharType="begin"/>
      </w:r>
      <w:r w:rsidR="00876334" w:rsidRPr="008D5D0F">
        <w:rPr>
          <w:color w:val="000000" w:themeColor="text1"/>
          <w:sz w:val="20"/>
        </w:rPr>
        <w:instrText xml:space="preserve"> ADDIN ZOTERO_ITEM CSL_CITATION {"citationID":"k9x7jcAT","properties":{"formattedCitation":"[16]","plainCitation":"[16]","noteIndex":0},"citationItems":[{"id":1607,"uris":["http://zotero.org/users/5672304/items/EA4BN6FX"],"uri":["http://zotero.org/users/5672304/items/EA4BN6FX"],"itemData":{"id":1607,"type":"article-journal","container-title":"Nature Communications","DOI":"10.1038/s41467-017-02246-0","ISSN":"2041-1723","issue":"1","language":"en","page":"2227","source":"DOI.org (Crossref)","title":"Reduced biomass burning emissions reconcile conflicting estimates of the post-2006 atmospheric methane budget","volume":"8","author":[{"family":"Worden","given":"John R."},{"family":"Bloom","given":"A. Anthony"},{"family":"Pandey","given":"Sudhanshu"},{"family":"Jiang","given":"Zhe"},{"family":"Worden","given":"Helen M."},{"family":"Walker","given":"Thomas W."},{"family":"Houweling","given":"Sander"},{"family":"Röckmann","given":"Thomas"}],"issued":{"date-parts":[["2017",12]]}}}],"schema":"https://github.com/citation-style-language/schema/raw/master/csl-citation.json"} </w:instrText>
      </w:r>
      <w:r w:rsidRPr="008D5D0F">
        <w:rPr>
          <w:color w:val="000000" w:themeColor="text1"/>
          <w:sz w:val="20"/>
        </w:rPr>
        <w:fldChar w:fldCharType="separate"/>
      </w:r>
      <w:r w:rsidR="00876334" w:rsidRPr="008D5D0F">
        <w:rPr>
          <w:color w:val="000000" w:themeColor="text1"/>
          <w:sz w:val="20"/>
        </w:rPr>
        <w:t>[16]</w:t>
      </w:r>
      <w:r w:rsidRPr="008D5D0F">
        <w:rPr>
          <w:color w:val="000000" w:themeColor="text1"/>
          <w:sz w:val="20"/>
        </w:rPr>
        <w:fldChar w:fldCharType="end"/>
      </w:r>
      <w:r w:rsidRPr="008D5D0F">
        <w:rPr>
          <w:color w:val="000000" w:themeColor="text1"/>
          <w:sz w:val="20"/>
        </w:rPr>
        <w:t xml:space="preserve"> (denoted Worden2017). GFED represents the conventional view that has been widely applied in atmospheric models. Worden2017 is one recent estimate based on inversion modeling of the Terra Measurement of Pollution in the Troposphere (MOPITT) satellite observations and inventories. Worden2017 is a revised BB</w:t>
      </w:r>
      <w:r w:rsidRPr="008D5D0F">
        <w:rPr>
          <w:color w:val="000000" w:themeColor="text1"/>
          <w:sz w:val="20"/>
          <w:vertAlign w:val="subscript"/>
        </w:rPr>
        <w:t>CH4</w:t>
      </w:r>
      <w:r w:rsidRPr="008D5D0F">
        <w:rPr>
          <w:color w:val="000000" w:themeColor="text1"/>
          <w:sz w:val="20"/>
        </w:rPr>
        <w:t xml:space="preserve"> dataset that uses the same burned area from GFED v4.1 but uses CO flux estimates based on MOPITT retrievals and the atmospheric transport model </w:t>
      </w:r>
      <w:r w:rsidRPr="008D5D0F">
        <w:rPr>
          <w:color w:val="000000" w:themeColor="text1"/>
          <w:sz w:val="20"/>
        </w:rPr>
        <w:lastRenderedPageBreak/>
        <w:t>GEOS-CHEM to constrain the CH</w:t>
      </w:r>
      <w:r w:rsidRPr="008D5D0F">
        <w:rPr>
          <w:color w:val="000000" w:themeColor="text1"/>
          <w:sz w:val="20"/>
          <w:vertAlign w:val="subscript"/>
        </w:rPr>
        <w:t>4</w:t>
      </w:r>
      <w:r w:rsidRPr="008D5D0F">
        <w:rPr>
          <w:color w:val="000000" w:themeColor="text1"/>
          <w:sz w:val="20"/>
        </w:rPr>
        <w:t xml:space="preserve"> emission factors, which showed a higher decrease in BB</w:t>
      </w:r>
      <w:r w:rsidRPr="008D5D0F">
        <w:rPr>
          <w:color w:val="000000" w:themeColor="text1"/>
          <w:sz w:val="20"/>
          <w:vertAlign w:val="subscript"/>
        </w:rPr>
        <w:t>CH4</w:t>
      </w:r>
      <w:r w:rsidRPr="008D5D0F">
        <w:rPr>
          <w:color w:val="000000" w:themeColor="text1"/>
          <w:sz w:val="20"/>
        </w:rPr>
        <w:t xml:space="preserve"> than BB4CMIP during 2000-2012. Both datasets are subject to uncertainty in the estimates of the burned area as a proxy for biomass burning. We use BB4CMIP, which applies the GFED mapped burned area with a fractional contribution of different fire types from terrestrial ecosystem fires, agricultural waste burning</w:t>
      </w:r>
      <w:r w:rsidR="003752EA" w:rsidRPr="008D5D0F">
        <w:rPr>
          <w:color w:val="000000" w:themeColor="text1"/>
          <w:sz w:val="20"/>
        </w:rPr>
        <w:t xml:space="preserve"> (e.g. crop waste fires)</w:t>
      </w:r>
      <w:r w:rsidRPr="008D5D0F">
        <w:rPr>
          <w:color w:val="000000" w:themeColor="text1"/>
          <w:sz w:val="20"/>
        </w:rPr>
        <w:t>, and deforestation and degradation with estimates starting from 1750, to complete the full-time series for years before 1997 for Worden2017. Biofuel emissions from EDGARv4.2 are applied to generate GFED-based and Worden2017-based BB</w:t>
      </w:r>
      <w:r w:rsidRPr="008D5D0F">
        <w:rPr>
          <w:color w:val="000000" w:themeColor="text1"/>
          <w:sz w:val="20"/>
          <w:vertAlign w:val="subscript"/>
        </w:rPr>
        <w:t>CH4</w:t>
      </w:r>
      <w:r w:rsidRPr="008D5D0F">
        <w:rPr>
          <w:color w:val="000000" w:themeColor="text1"/>
          <w:sz w:val="20"/>
        </w:rPr>
        <w:t xml:space="preserve"> scenarios to make them consistent with the setup in </w:t>
      </w:r>
      <w:r w:rsidRPr="008D5D0F">
        <w:rPr>
          <w:color w:val="000000" w:themeColor="text1"/>
          <w:sz w:val="20"/>
        </w:rPr>
        <w:fldChar w:fldCharType="begin"/>
      </w:r>
      <w:r w:rsidR="003752EA" w:rsidRPr="008D5D0F">
        <w:rPr>
          <w:color w:val="000000" w:themeColor="text1"/>
          <w:sz w:val="20"/>
        </w:rPr>
        <w:instrText xml:space="preserve"> ADDIN ZOTERO_ITEM CSL_CITATION {"citationID":"a7i9nak5dh","properties":{"formattedCitation":"(16)","plainCitation":"(16)","dontUpdate":true,"noteIndex":0},"citationItems":[{"id":1607,"uris":["http://zotero.org/users/5672304/items/EA4BN6FX"],"uri":["http://zotero.org/users/5672304/items/EA4BN6FX"],"itemData":{"id":1607,"type":"article-journal","container-title":"Nature Communications","DOI":"10.1038/s41467-017-02246-0","ISSN":"2041-1723","issue":"1","language":"en","page":"2227","source":"DOI.org (Crossref)","title":"Reduced biomass burning emissions reconcile conflicting estimates of the post-2006 atmospheric methane budget","volume":"8","author":[{"family":"Worden","given":"John R."},{"family":"Bloom","given":"A. Anthony"},{"family":"Pandey","given":"Sudhanshu"},{"family":"Jiang","given":"Zhe"},{"family":"Worden","given":"Helen M."},{"family":"Walker","given":"Thomas W."},{"family":"Houweling","given":"Sander"},{"family":"Röckmann","given":"Thomas"}],"issued":{"date-parts":[["2017",12]]}}}],"schema":"https://github.com/citation-style-language/schema/raw/master/csl-citation.json"} </w:instrText>
      </w:r>
      <w:r w:rsidRPr="008D5D0F">
        <w:rPr>
          <w:color w:val="000000" w:themeColor="text1"/>
          <w:sz w:val="20"/>
        </w:rPr>
        <w:fldChar w:fldCharType="separate"/>
      </w:r>
      <w:r w:rsidR="00F07BC4" w:rsidRPr="008D5D0F">
        <w:rPr>
          <w:color w:val="000000" w:themeColor="text1"/>
          <w:sz w:val="20"/>
        </w:rPr>
        <w:t>[</w:t>
      </w:r>
      <w:r w:rsidRPr="008D5D0F">
        <w:rPr>
          <w:color w:val="000000" w:themeColor="text1"/>
          <w:sz w:val="20"/>
        </w:rPr>
        <w:t>16</w:t>
      </w:r>
      <w:r w:rsidR="00F07BC4" w:rsidRPr="008D5D0F">
        <w:rPr>
          <w:color w:val="000000" w:themeColor="text1"/>
          <w:sz w:val="20"/>
        </w:rPr>
        <w:t>]</w:t>
      </w:r>
      <w:r w:rsidRPr="008D5D0F">
        <w:rPr>
          <w:color w:val="000000" w:themeColor="text1"/>
          <w:sz w:val="20"/>
        </w:rPr>
        <w:fldChar w:fldCharType="end"/>
      </w:r>
      <w:r w:rsidRPr="008D5D0F">
        <w:rPr>
          <w:color w:val="000000" w:themeColor="text1"/>
          <w:sz w:val="20"/>
        </w:rPr>
        <w:t xml:space="preserve"> (see Table S1).</w:t>
      </w:r>
    </w:p>
    <w:p w14:paraId="0E07F447" w14:textId="77777777" w:rsidR="00EB592C" w:rsidRPr="008D5D0F" w:rsidRDefault="00EB592C" w:rsidP="00EB592C">
      <w:pPr>
        <w:pBdr>
          <w:top w:val="nil"/>
          <w:left w:val="nil"/>
          <w:bottom w:val="nil"/>
          <w:right w:val="nil"/>
          <w:between w:val="nil"/>
        </w:pBdr>
        <w:spacing w:after="200"/>
        <w:contextualSpacing/>
        <w:rPr>
          <w:color w:val="000000" w:themeColor="text1"/>
          <w:sz w:val="20"/>
        </w:rPr>
      </w:pPr>
    </w:p>
    <w:p w14:paraId="623302C3" w14:textId="68BA8BA1" w:rsidR="00EB592C" w:rsidRPr="008D5D0F" w:rsidRDefault="00EB592C" w:rsidP="00EB592C">
      <w:pPr>
        <w:pBdr>
          <w:top w:val="nil"/>
          <w:left w:val="nil"/>
          <w:bottom w:val="nil"/>
          <w:right w:val="nil"/>
          <w:between w:val="nil"/>
        </w:pBdr>
        <w:contextualSpacing/>
        <w:rPr>
          <w:color w:val="000000" w:themeColor="text1"/>
          <w:sz w:val="20"/>
        </w:rPr>
      </w:pPr>
      <w:bookmarkStart w:id="7" w:name="_Toc37816963"/>
      <w:r w:rsidRPr="008D5D0F">
        <w:rPr>
          <w:b/>
          <w:bCs/>
          <w:color w:val="000000" w:themeColor="text1"/>
          <w:sz w:val="20"/>
        </w:rPr>
        <w:t>Geological sources</w:t>
      </w:r>
      <w:bookmarkEnd w:id="7"/>
      <w:r w:rsidRPr="008D5D0F">
        <w:rPr>
          <w:b/>
          <w:bCs/>
          <w:color w:val="000000" w:themeColor="text1"/>
          <w:sz w:val="20"/>
        </w:rPr>
        <w:t>.</w:t>
      </w:r>
      <w:r w:rsidRPr="008D5D0F">
        <w:rPr>
          <w:color w:val="000000" w:themeColor="text1"/>
          <w:sz w:val="20"/>
        </w:rPr>
        <w:t xml:space="preserve"> Geological sources include onshore and offshore CH</w:t>
      </w:r>
      <w:r w:rsidRPr="008D5D0F">
        <w:rPr>
          <w:color w:val="000000" w:themeColor="text1"/>
          <w:sz w:val="20"/>
          <w:vertAlign w:val="subscript"/>
        </w:rPr>
        <w:t>4</w:t>
      </w:r>
      <w:r w:rsidRPr="008D5D0F">
        <w:rPr>
          <w:color w:val="000000" w:themeColor="text1"/>
          <w:sz w:val="20"/>
        </w:rPr>
        <w:t xml:space="preserve"> emissions. We tested two hypotheses for geological CH</w:t>
      </w:r>
      <w:r w:rsidRPr="008D5D0F">
        <w:rPr>
          <w:color w:val="000000" w:themeColor="text1"/>
          <w:sz w:val="20"/>
          <w:vertAlign w:val="subscript"/>
        </w:rPr>
        <w:t>4</w:t>
      </w:r>
      <w:r w:rsidRPr="008D5D0F">
        <w:rPr>
          <w:color w:val="000000" w:themeColor="text1"/>
          <w:sz w:val="20"/>
        </w:rPr>
        <w:t xml:space="preserve"> emissions based on recent debates </w:t>
      </w:r>
      <w:r w:rsidRPr="008D5D0F">
        <w:rPr>
          <w:color w:val="000000" w:themeColor="text1"/>
          <w:sz w:val="20"/>
        </w:rPr>
        <w:fldChar w:fldCharType="begin"/>
      </w:r>
      <w:r w:rsidR="00837AC2" w:rsidRPr="008D5D0F">
        <w:rPr>
          <w:color w:val="000000" w:themeColor="text1"/>
          <w:sz w:val="20"/>
        </w:rPr>
        <w:instrText xml:space="preserve"> ADDIN ZOTERO_ITEM CSL_CITATION {"citationID":"Y82hNHV1","properties":{"formattedCitation":"[17,18]","plainCitation":"[17,18]","noteIndex":0},"citationItems":[{"id":1914,"uris":["http://zotero.org/users/5672304/items/HFXA392Z"],"uri":["http://zotero.org/users/5672304/items/HFXA392Z"],"itemData":{"id":1914,"type":"article-journal","container-title":"Nature","DOI":"10.1038/nature23316","ISSN":"0028-0836, 1476-4687","issue":"7668","language":"en","page":"443-446","source":"DOI.org (Crossref)","title":"Minimal geological methane emissions during the Younger Dryas–Preboreal abrupt warming event","volume":"548","author":[{"family":"Petrenko","given":"Vasilii V."},{"family":"Smith","given":"Andrew M."},{"family":"Schaefer","given":"Hinrich"},{"family":"Riedel","given":"Katja"},{"family":"Brook","given":"Edward"},{"family":"Baggenstos","given":"Daniel"},{"family":"Harth","given":"Christina"},{"family":"Hua","given":"Quan"},{"family":"Buizert","given":"Christo"},{"family":"Schilt","given":"Adrian"},{"family":"Fain","given":"Xavier"},{"family":"Mitchell","given":"Logan"},{"family":"Bauska","given":"Thomas"},{"family":"Orsi","given":"Anais"},{"family":"Weiss","given":"Ray F."},{"family":"Severinghaus","given":"Jeffrey P."}],"issued":{"date-parts":[["2017",8]]}}},{"id":3173,"uris":["http://zotero.org/users/5672304/items/VLBRREVT"],"uri":["http://zotero.org/users/5672304/items/VLBRREVT"],"itemData":{"id":3173,"type":"article-journal","abstract":"Isotopic evidence from ice cores indicates that preindustrial-era geological methane emissions were lower than previously thought, suggesting that present-day emissions of methane from fossil fuels are underestimated.","container-title":"Nature","DOI":"10.1038/s41586-020-1991-8","ISSN":"1476-4687","issue":"7795","language":"en","note":"number: 7795\npublisher: Nature Publishing Group","page":"409-412","source":"www.nature.com","title":"Preindustrial 14CH4 indicates greater anthropogenic fossil CH4 emissions","volume":"578","author":[{"family":"Hmiel","given":"Benjamin"},{"family":"Petrenko","given":"V. V."},{"family":"Dyonisius","given":"M. N."},{"family":"Buizert","given":"C."},{"family":"Smith","given":"A. M."},{"family":"Place","given":"P. F."},{"family":"Harth","given":"C."},{"family":"Beaudette","given":"R."},{"family":"Hua","given":"Q."},{"family":"Yang","given":"B."},{"family":"Vimont","given":"I."},{"family":"Michel","given":"S. E."},{"family":"Severinghaus","given":"J. P."},{"family":"Etheridge","given":"D."},{"family":"Bromley","given":"T."},{"family":"Schmitt","given":"J."},{"family":"Faïn","given":"X."},{"family":"Weiss","given":"R. F."},{"family":"Dlugokencky","given":"E."}],"issued":{"date-parts":[["2020",2]]}}}],"schema":"https://github.com/citation-style-language/schema/raw/master/csl-citation.json"} </w:instrText>
      </w:r>
      <w:r w:rsidRPr="008D5D0F">
        <w:rPr>
          <w:color w:val="000000" w:themeColor="text1"/>
          <w:sz w:val="20"/>
        </w:rPr>
        <w:fldChar w:fldCharType="separate"/>
      </w:r>
      <w:r w:rsidR="00837AC2" w:rsidRPr="008D5D0F">
        <w:rPr>
          <w:color w:val="000000" w:themeColor="text1"/>
          <w:sz w:val="20"/>
        </w:rPr>
        <w:t>[17,18]</w:t>
      </w:r>
      <w:r w:rsidRPr="008D5D0F">
        <w:rPr>
          <w:color w:val="000000" w:themeColor="text1"/>
          <w:sz w:val="20"/>
        </w:rPr>
        <w:fldChar w:fldCharType="end"/>
      </w:r>
      <w:r w:rsidRPr="008D5D0F">
        <w:rPr>
          <w:color w:val="000000" w:themeColor="text1"/>
          <w:sz w:val="20"/>
        </w:rPr>
        <w:t xml:space="preserve"> regarding geological methane: one scenario hypothesizes that natural geologic sources account for a substantial component of the atmospheric methane budget </w:t>
      </w:r>
      <w:r w:rsidRPr="008D5D0F">
        <w:rPr>
          <w:color w:val="000000" w:themeColor="text1"/>
          <w:sz w:val="20"/>
        </w:rPr>
        <w:fldChar w:fldCharType="begin"/>
      </w:r>
      <w:r w:rsidR="00837AC2" w:rsidRPr="008D5D0F">
        <w:rPr>
          <w:color w:val="000000" w:themeColor="text1"/>
          <w:sz w:val="20"/>
        </w:rPr>
        <w:instrText xml:space="preserve"> ADDIN ZOTERO_ITEM CSL_CITATION {"citationID":"0IHn7MRP","properties":{"formattedCitation":"[19]","plainCitation":"[19]","noteIndex":0},"citationItems":[{"id":1436,"uris":["http://zotero.org/users/5672304/items/DQGJPVSR"],"uri":["http://zotero.org/users/5672304/items/DQGJPVSR"],"itemData":{"id":1436,"type":"article-journal","abstract":"The “methane-led hypotheses” assume that gas hydrates and marine seeps are the sole geologic factors controlling Quaternary atmospheric and climate changes. Nevertheless, a wider class of geologic sources of methane exist which could have played a role in past climate changes. Beyond offshore seepage, relevant geologic emissions of methane (GEM) are from onshore seepage, including mud volcanism, microseepage and geothermal flux; altogether GEM are the second most important natural source of atmospheric methane at present. The amount of methane entering the atmosphere from onshore GEM seems to prevail on that from offshore seepage. Onshore sources inject a predominantly isotopically heavy (13C-enriched) methane into the atmosphere. They are controlled mainly by endogenic (geodynamic) processes, which induce large-scale gas flow variations over geologic and millennial time scales, and only partially by exogenic (surface) conditions, so that they are not affected by negative feedbacks. The eventual influence on atmospheric methane concentration does not necessarily require catastrophic or abrupt releases, as proposed for the “clathrate gun hypothesis”. Enhanced degassing from these sources could have contributed to the methane trends observed in the ice core records, and could explain the late Quaternary peaks of increased methane concentrations accompanied by the enrichment of isotopically heavy methane, as recently observed. This hypothesis shall be tested by means of robust multidisciplinary studies, mainly based on a series of atmospheric, biologic and geologic proxies.","container-title":"Global and Planetary Change","DOI":"10.1016/j.gloplacha.2007.08.008","ISSN":"09218181","issue":"1-2","language":"en","page":"79-88","source":"DOI.org (Crossref)","title":"Did geologic emissions of methane play any role in Quaternary climate change?","volume":"61","author":[{"family":"Etiope","given":"G"},{"family":"Milkov","given":"A"},{"family":"Derbyshire","given":"E"}],"issued":{"date-parts":[["2008",3]]}}}],"schema":"https://github.com/citation-style-language/schema/raw/master/csl-citation.json"} </w:instrText>
      </w:r>
      <w:r w:rsidRPr="008D5D0F">
        <w:rPr>
          <w:color w:val="000000" w:themeColor="text1"/>
          <w:sz w:val="20"/>
        </w:rPr>
        <w:fldChar w:fldCharType="separate"/>
      </w:r>
      <w:r w:rsidR="00837AC2" w:rsidRPr="008D5D0F">
        <w:rPr>
          <w:color w:val="000000" w:themeColor="text1"/>
          <w:sz w:val="20"/>
        </w:rPr>
        <w:t>[19]</w:t>
      </w:r>
      <w:r w:rsidRPr="008D5D0F">
        <w:rPr>
          <w:color w:val="000000" w:themeColor="text1"/>
          <w:sz w:val="20"/>
        </w:rPr>
        <w:fldChar w:fldCharType="end"/>
      </w:r>
      <w:r w:rsidRPr="008D5D0F">
        <w:rPr>
          <w:color w:val="000000" w:themeColor="text1"/>
          <w:sz w:val="20"/>
        </w:rPr>
        <w:t>, and the other hypothesizes that contemporary natural GEO</w:t>
      </w:r>
      <w:r w:rsidRPr="008D5D0F">
        <w:rPr>
          <w:color w:val="000000" w:themeColor="text1"/>
          <w:sz w:val="20"/>
          <w:vertAlign w:val="subscript"/>
        </w:rPr>
        <w:t>CH4</w:t>
      </w:r>
      <w:r w:rsidRPr="008D5D0F">
        <w:rPr>
          <w:color w:val="000000" w:themeColor="text1"/>
          <w:sz w:val="20"/>
        </w:rPr>
        <w:t xml:space="preserve"> emissions are overestimated according to paleoradiocarbon evidence </w:t>
      </w:r>
      <w:r w:rsidRPr="008D5D0F">
        <w:rPr>
          <w:color w:val="000000" w:themeColor="text1"/>
          <w:sz w:val="20"/>
        </w:rPr>
        <w:fldChar w:fldCharType="begin"/>
      </w:r>
      <w:r w:rsidR="003752EA" w:rsidRPr="008D5D0F">
        <w:rPr>
          <w:color w:val="000000" w:themeColor="text1"/>
          <w:sz w:val="20"/>
        </w:rPr>
        <w:instrText xml:space="preserve"> ADDIN ZOTERO_ITEM CSL_CITATION {"citationID":"zO343TzY","properties":{"formattedCitation":"(17)","plainCitation":"(17)","dontUpdate":true,"noteIndex":0},"citationItems":[{"id":1914,"uris":["http://zotero.org/users/5672304/items/HFXA392Z"],"uri":["http://zotero.org/users/5672304/items/HFXA392Z"],"itemData":{"id":1914,"type":"article-journal","container-title":"Nature","DOI":"10.1038/nature23316","ISSN":"0028-0836, 1476-4687","issue":"7668","language":"en","page":"443-446","source":"DOI.org (Crossref)","title":"Minimal geological methane emissions during the Younger Dryas–Preboreal abrupt warming event","volume":"548","author":[{"family":"Petrenko","given":"Vasilii V."},{"family":"Smith","given":"Andrew M."},{"family":"Schaefer","given":"Hinrich"},{"family":"Riedel","given":"Katja"},{"family":"Brook","given":"Edward"},{"family":"Baggenstos","given":"Daniel"},{"family":"Harth","given":"Christina"},{"family":"Hua","given":"Quan"},{"family":"Buizert","given":"Christo"},{"family":"Schilt","given":"Adrian"},{"family":"Fain","given":"Xavier"},{"family":"Mitchell","given":"Logan"},{"family":"Bauska","given":"Thomas"},{"family":"Orsi","given":"Anais"},{"family":"Weiss","given":"Ray F."},{"family":"Severinghaus","given":"Jeffrey P."}],"issued":{"date-parts":[["2017",8]]}}}],"schema":"https://github.com/citation-style-language/schema/raw/master/csl-citation.json"} </w:instrText>
      </w:r>
      <w:r w:rsidRPr="008D5D0F">
        <w:rPr>
          <w:color w:val="000000" w:themeColor="text1"/>
          <w:sz w:val="20"/>
        </w:rPr>
        <w:fldChar w:fldCharType="separate"/>
      </w:r>
      <w:r w:rsidR="00F07BC4" w:rsidRPr="008D5D0F">
        <w:rPr>
          <w:color w:val="000000" w:themeColor="text1"/>
          <w:sz w:val="20"/>
        </w:rPr>
        <w:t>[</w:t>
      </w:r>
      <w:r w:rsidRPr="008D5D0F">
        <w:rPr>
          <w:color w:val="000000" w:themeColor="text1"/>
          <w:sz w:val="20"/>
        </w:rPr>
        <w:t>17</w:t>
      </w:r>
      <w:r w:rsidR="00F07BC4" w:rsidRPr="008D5D0F">
        <w:rPr>
          <w:color w:val="000000" w:themeColor="text1"/>
          <w:sz w:val="20"/>
        </w:rPr>
        <w:t>]</w:t>
      </w:r>
      <w:r w:rsidRPr="008D5D0F">
        <w:rPr>
          <w:color w:val="000000" w:themeColor="text1"/>
          <w:sz w:val="20"/>
        </w:rPr>
        <w:fldChar w:fldCharType="end"/>
      </w:r>
      <w:r w:rsidRPr="008D5D0F">
        <w:rPr>
          <w:color w:val="000000" w:themeColor="text1"/>
          <w:sz w:val="20"/>
        </w:rPr>
        <w:t>. In the former scenario, GEO</w:t>
      </w:r>
      <w:r w:rsidRPr="008D5D0F">
        <w:rPr>
          <w:color w:val="000000" w:themeColor="text1"/>
          <w:sz w:val="20"/>
          <w:vertAlign w:val="subscript"/>
        </w:rPr>
        <w:t>CH4</w:t>
      </w:r>
      <w:r w:rsidRPr="008D5D0F">
        <w:rPr>
          <w:color w:val="000000" w:themeColor="text1"/>
          <w:sz w:val="20"/>
        </w:rPr>
        <w:t xml:space="preserve"> is estimated to have a mean value of 52 Tg CH</w:t>
      </w:r>
      <w:r w:rsidRPr="008D5D0F">
        <w:rPr>
          <w:color w:val="000000" w:themeColor="text1"/>
          <w:sz w:val="20"/>
          <w:vertAlign w:val="subscript"/>
        </w:rPr>
        <w:t>4</w:t>
      </w:r>
      <w:r w:rsidRPr="008D5D0F">
        <w:rPr>
          <w:color w:val="000000" w:themeColor="text1"/>
          <w:sz w:val="20"/>
        </w:rPr>
        <w:t xml:space="preserve"> yr</w:t>
      </w:r>
      <w:r w:rsidRPr="008D5D0F">
        <w:rPr>
          <w:color w:val="000000" w:themeColor="text1"/>
          <w:sz w:val="20"/>
          <w:vertAlign w:val="superscript"/>
        </w:rPr>
        <w:t>-1</w:t>
      </w:r>
      <w:r w:rsidRPr="008D5D0F">
        <w:rPr>
          <w:color w:val="000000" w:themeColor="text1"/>
          <w:sz w:val="20"/>
        </w:rPr>
        <w:t>, while in the latter scenario, GEO</w:t>
      </w:r>
      <w:r w:rsidRPr="008D5D0F">
        <w:rPr>
          <w:color w:val="000000" w:themeColor="text1"/>
          <w:sz w:val="20"/>
          <w:vertAlign w:val="subscript"/>
        </w:rPr>
        <w:t>CH4</w:t>
      </w:r>
      <w:r w:rsidRPr="008D5D0F">
        <w:rPr>
          <w:color w:val="000000" w:themeColor="text1"/>
          <w:sz w:val="20"/>
        </w:rPr>
        <w:t xml:space="preserve"> is assumed to be 15 Tg CH</w:t>
      </w:r>
      <w:r w:rsidRPr="008D5D0F">
        <w:rPr>
          <w:color w:val="000000" w:themeColor="text1"/>
          <w:sz w:val="20"/>
          <w:vertAlign w:val="subscript"/>
        </w:rPr>
        <w:t>4</w:t>
      </w:r>
      <w:r w:rsidRPr="008D5D0F">
        <w:rPr>
          <w:color w:val="000000" w:themeColor="text1"/>
          <w:sz w:val="20"/>
        </w:rPr>
        <w:t xml:space="preserve"> yr</w:t>
      </w:r>
      <w:r w:rsidRPr="008D5D0F">
        <w:rPr>
          <w:color w:val="000000" w:themeColor="text1"/>
          <w:sz w:val="20"/>
          <w:vertAlign w:val="superscript"/>
        </w:rPr>
        <w:t>-1</w:t>
      </w:r>
      <w:r w:rsidRPr="008D5D0F">
        <w:rPr>
          <w:color w:val="000000" w:themeColor="text1"/>
          <w:sz w:val="20"/>
        </w:rPr>
        <w:t xml:space="preserve">, which is a conservative value with 95% confidence of the estimate </w:t>
      </w:r>
      <w:r w:rsidRPr="008D5D0F">
        <w:rPr>
          <w:color w:val="000000" w:themeColor="text1"/>
          <w:sz w:val="20"/>
          <w:vertAlign w:val="superscript"/>
        </w:rPr>
        <w:fldChar w:fldCharType="begin"/>
      </w:r>
      <w:r w:rsidR="003752EA" w:rsidRPr="008D5D0F">
        <w:rPr>
          <w:color w:val="000000" w:themeColor="text1"/>
          <w:sz w:val="20"/>
          <w:vertAlign w:val="superscript"/>
        </w:rPr>
        <w:instrText xml:space="preserve"> ADDIN ZOTERO_ITEM CSL_CITATION {"citationID":"5csLhC70","properties":{"formattedCitation":"(17)","plainCitation":"(17)","dontUpdate":true,"noteIndex":0},"citationItems":[{"id":1914,"uris":["http://zotero.org/users/5672304/items/HFXA392Z"],"uri":["http://zotero.org/users/5672304/items/HFXA392Z"],"itemData":{"id":1914,"type":"article-journal","container-title":"Nature","DOI":"10.1038/nature23316","ISSN":"0028-0836, 1476-4687","issue":"7668","language":"en","page":"443-446","source":"DOI.org (Crossref)","title":"Minimal geological methane emissions during the Younger Dryas–Preboreal abrupt warming event","volume":"548","author":[{"family":"Petrenko","given":"Vasilii V."},{"family":"Smith","given":"Andrew M."},{"family":"Schaefer","given":"Hinrich"},{"family":"Riedel","given":"Katja"},{"family":"Brook","given":"Edward"},{"family":"Baggenstos","given":"Daniel"},{"family":"Harth","given":"Christina"},{"family":"Hua","given":"Quan"},{"family":"Buizert","given":"Christo"},{"family":"Schilt","given":"Adrian"},{"family":"Fain","given":"Xavier"},{"family":"Mitchell","given":"Logan"},{"family":"Bauska","given":"Thomas"},{"family":"Orsi","given":"Anais"},{"family":"Weiss","given":"Ray F."},{"family":"Severinghaus","given":"Jeffrey P."}],"issued":{"date-parts":[["2017",8]]}}}],"schema":"https://github.com/citation-style-language/schema/raw/master/csl-citation.json"} </w:instrText>
      </w:r>
      <w:r w:rsidRPr="008D5D0F">
        <w:rPr>
          <w:color w:val="000000" w:themeColor="text1"/>
          <w:sz w:val="20"/>
          <w:vertAlign w:val="superscript"/>
        </w:rPr>
        <w:fldChar w:fldCharType="separate"/>
      </w:r>
      <w:r w:rsidR="00F07BC4" w:rsidRPr="008D5D0F">
        <w:rPr>
          <w:color w:val="000000" w:themeColor="text1"/>
          <w:sz w:val="20"/>
        </w:rPr>
        <w:t>[</w:t>
      </w:r>
      <w:r w:rsidRPr="008D5D0F">
        <w:rPr>
          <w:color w:val="000000" w:themeColor="text1"/>
          <w:sz w:val="20"/>
        </w:rPr>
        <w:t>17</w:t>
      </w:r>
      <w:r w:rsidR="00F07BC4" w:rsidRPr="008D5D0F">
        <w:rPr>
          <w:color w:val="000000" w:themeColor="text1"/>
          <w:sz w:val="20"/>
        </w:rPr>
        <w:t>]</w:t>
      </w:r>
      <w:r w:rsidRPr="008D5D0F">
        <w:rPr>
          <w:color w:val="000000" w:themeColor="text1"/>
          <w:sz w:val="20"/>
        </w:rPr>
        <w:fldChar w:fldCharType="end"/>
      </w:r>
      <w:r w:rsidRPr="008D5D0F">
        <w:rPr>
          <w:color w:val="000000" w:themeColor="text1"/>
          <w:sz w:val="20"/>
        </w:rPr>
        <w:t>. Note that this hypothesis suggests that the contemporary geologic source is likely less than 15 Tg CH</w:t>
      </w:r>
      <w:r w:rsidRPr="008D5D0F">
        <w:rPr>
          <w:color w:val="000000" w:themeColor="text1"/>
          <w:sz w:val="20"/>
          <w:vertAlign w:val="subscript"/>
        </w:rPr>
        <w:t>4</w:t>
      </w:r>
      <w:r w:rsidRPr="008D5D0F">
        <w:rPr>
          <w:color w:val="000000" w:themeColor="text1"/>
          <w:sz w:val="20"/>
        </w:rPr>
        <w:t xml:space="preserve"> yr</w:t>
      </w:r>
      <w:r w:rsidRPr="008D5D0F">
        <w:rPr>
          <w:color w:val="000000" w:themeColor="text1"/>
          <w:sz w:val="20"/>
          <w:vertAlign w:val="superscript"/>
        </w:rPr>
        <w:t>-1</w:t>
      </w:r>
      <w:r w:rsidRPr="008D5D0F">
        <w:rPr>
          <w:color w:val="000000" w:themeColor="text1"/>
          <w:sz w:val="20"/>
        </w:rPr>
        <w:t xml:space="preserve"> due to more erosion associated with the lower sea level in the late glacial period. The deducted GEO</w:t>
      </w:r>
      <w:r w:rsidRPr="008D5D0F">
        <w:rPr>
          <w:color w:val="000000" w:themeColor="text1"/>
          <w:sz w:val="20"/>
          <w:vertAlign w:val="subscript"/>
        </w:rPr>
        <w:t>CH4</w:t>
      </w:r>
      <w:r w:rsidRPr="008D5D0F">
        <w:rPr>
          <w:color w:val="000000" w:themeColor="text1"/>
          <w:sz w:val="20"/>
        </w:rPr>
        <w:t xml:space="preserve"> in the latter hypothesis was added to the gas/oil sector of IFF</w:t>
      </w:r>
      <w:r w:rsidRPr="008D5D0F">
        <w:rPr>
          <w:color w:val="000000" w:themeColor="text1"/>
          <w:sz w:val="20"/>
          <w:vertAlign w:val="subscript"/>
        </w:rPr>
        <w:t>CH4</w:t>
      </w:r>
      <w:r w:rsidRPr="008D5D0F">
        <w:rPr>
          <w:color w:val="000000" w:themeColor="text1"/>
          <w:sz w:val="20"/>
        </w:rPr>
        <w:t xml:space="preserve"> by scaling IFF</w:t>
      </w:r>
      <w:r w:rsidRPr="008D5D0F">
        <w:rPr>
          <w:color w:val="000000" w:themeColor="text1"/>
          <w:sz w:val="20"/>
          <w:vertAlign w:val="subscript"/>
        </w:rPr>
        <w:t>CH4</w:t>
      </w:r>
      <w:r w:rsidRPr="008D5D0F">
        <w:rPr>
          <w:color w:val="000000" w:themeColor="text1"/>
          <w:sz w:val="20"/>
        </w:rPr>
        <w:t xml:space="preserve"> with a factor to balance the methane budget. This treatment was made based on evidence from several recent studies, which suggest that the current natural fossil fuel CH</w:t>
      </w:r>
      <w:r w:rsidRPr="008D5D0F">
        <w:rPr>
          <w:color w:val="000000" w:themeColor="text1"/>
          <w:sz w:val="20"/>
          <w:vertAlign w:val="subscript"/>
        </w:rPr>
        <w:t>4</w:t>
      </w:r>
      <w:r w:rsidRPr="008D5D0F">
        <w:rPr>
          <w:color w:val="000000" w:themeColor="text1"/>
          <w:sz w:val="20"/>
        </w:rPr>
        <w:t xml:space="preserve"> emissions (i.e., geological seepages) are overestimated, and industrial fossil fuels are underestimated </w:t>
      </w:r>
      <w:r w:rsidRPr="008D5D0F">
        <w:rPr>
          <w:color w:val="000000" w:themeColor="text1"/>
          <w:sz w:val="20"/>
        </w:rPr>
        <w:fldChar w:fldCharType="begin"/>
      </w:r>
      <w:r w:rsidR="00837AC2" w:rsidRPr="008D5D0F">
        <w:rPr>
          <w:color w:val="000000" w:themeColor="text1"/>
          <w:sz w:val="20"/>
        </w:rPr>
        <w:instrText xml:space="preserve"> ADDIN ZOTERO_ITEM CSL_CITATION {"citationID":"uUvH9qBO","properties":{"formattedCitation":"[4,17,20]","plainCitation":"[4,17,20]","noteIndex":0},"citationItems":[{"id":1363,"uris":["http://zotero.org/users/5672304/items/6CGXTJHW"],"uri":["http://zotero.org/users/5672304/items/6CGXTJHW"],"itemData":{"id":1363,"type":"article-journal","container-title":"Nature","DOI":"10.1038/nature19797","ISSN":"0028-0836, 1476-4687","issue":"7623","language":"en","page":"88-91","source":"DOI.org (Crossref)","title":"Upward revision of global fossil fuel methane emissions based on isotope database","volume":"538","author":[{"family":"Schwietzke","given":"Stefan"},{"family":"Sherwood","given":"Owen A."},{"family":"Bruhwiler","given":"Lori M. P."},{"family":"Miller","given":"John B."},{"family":"Etiope","given":"Giuseppe"},{"family":"Dlugokencky","given":"Edward J."},{"family":"Michel","given":"Sylvia Englund"},{"family":"Arling","given":"Victoria A."},{"family":"Vaughn","given":"Bruce H."},{"family":"White","given":"James W. C."},{"family":"Tans","given":"Pieter P."}],"issued":{"date-parts":[["2016",10,5]]}}},{"id":1914,"uris":["http://zotero.org/users/5672304/items/HFXA392Z"],"uri":["http://zotero.org/users/5672304/items/HFXA392Z"],"itemData":{"id":1914,"type":"article-journal","container-title":"Nature","DOI":"10.1038/nature23316","ISSN":"0028-0836, 1476-4687","issue":"7668","language":"en","page":"443-446","source":"DOI.org (Crossref)","title":"Minimal geological methane emissions during the Younger Dryas–Preboreal abrupt warming event","volume":"548","author":[{"family":"Petrenko","given":"Vasilii V."},{"family":"Smith","given":"Andrew M."},{"family":"Schaefer","given":"Hinrich"},{"family":"Riedel","given":"Katja"},{"family":"Brook","given":"Edward"},{"family":"Baggenstos","given":"Daniel"},{"family":"Harth","given":"Christina"},{"family":"Hua","given":"Quan"},{"family":"Buizert","given":"Christo"},{"family":"Schilt","given":"Adrian"},{"family":"Fain","given":"Xavier"},{"family":"Mitchell","given":"Logan"},{"family":"Bauska","given":"Thomas"},{"family":"Orsi","given":"Anais"},{"family":"Weiss","given":"Ray F."},{"family":"Severinghaus","given":"Jeffrey P."}],"issued":{"date-parts":[["2017",8]]}}},{"id":1424,"uris":["http://zotero.org/users/5672304/items/MLETU3AA"],"uri":["http://zotero.org/users/5672304/items/MLETU3AA"],"itemData":{"id":1424,"type":"article-journal","container-title":"Nature Geoscience","DOI":"10.1038/s41561-018-0073-0","ISSN":"1752-0894, 1752-0908","issue":"3","language":"en","page":"178-184","source":"DOI.org (Crossref)","title":"Discrepancy between simulated and observed ethane and propane levels explained by underestimated fossil emissions","volume":"11","author":[{"family":"Dalsøren","given":"Stig B."},{"family":"Myhre","given":"Gunnar"},{"family":"Hodnebrog","given":"Øivind"},{"family":"Myhre","given":"Cathrine Lund"},{"family":"Stohl","given":"Andreas"},{"family":"Pisso","given":"Ignacio"},{"family":"Schwietzke","given":"Stefan"},{"family":"Höglund-Isaksson","given":"Lena"},{"family":"Helmig","given":"Detlev"},{"family":"Reimann","given":"Stefan"},{"family":"Sauvage","given":"Stéphane"},{"family":"Schmidbauer","given":"Norbert"},{"family":"Read","given":"Katie A."},{"family":"Carpenter","given":"Lucy J."},{"family":"Lewis","given":"Alastair C."},{"family":"Punjabi","given":"Shalini"},{"family":"Wallasch","given":"Markus"}],"issued":{"date-parts":[["2018",3]]}}}],"schema":"https://github.com/citation-style-language/schema/raw/master/csl-citation.json"} </w:instrText>
      </w:r>
      <w:r w:rsidRPr="008D5D0F">
        <w:rPr>
          <w:color w:val="000000" w:themeColor="text1"/>
          <w:sz w:val="20"/>
        </w:rPr>
        <w:fldChar w:fldCharType="separate"/>
      </w:r>
      <w:r w:rsidR="00837AC2" w:rsidRPr="008D5D0F">
        <w:rPr>
          <w:color w:val="000000" w:themeColor="text1"/>
          <w:sz w:val="20"/>
        </w:rPr>
        <w:t>[4,17,20]</w:t>
      </w:r>
      <w:r w:rsidRPr="008D5D0F">
        <w:rPr>
          <w:color w:val="000000" w:themeColor="text1"/>
          <w:sz w:val="20"/>
        </w:rPr>
        <w:fldChar w:fldCharType="end"/>
      </w:r>
      <w:r w:rsidRPr="008D5D0F">
        <w:rPr>
          <w:color w:val="000000" w:themeColor="text1"/>
          <w:sz w:val="20"/>
        </w:rPr>
        <w:t>. The GEO</w:t>
      </w:r>
      <w:r w:rsidRPr="008D5D0F">
        <w:rPr>
          <w:color w:val="000000" w:themeColor="text1"/>
          <w:sz w:val="20"/>
          <w:vertAlign w:val="subscript"/>
        </w:rPr>
        <w:t>CH4</w:t>
      </w:r>
      <w:r w:rsidRPr="008D5D0F">
        <w:rPr>
          <w:color w:val="000000" w:themeColor="text1"/>
          <w:sz w:val="20"/>
        </w:rPr>
        <w:t xml:space="preserve"> in both scenarios is set to be constant with values of 52 Tg CH</w:t>
      </w:r>
      <w:r w:rsidRPr="008D5D0F">
        <w:rPr>
          <w:color w:val="000000" w:themeColor="text1"/>
          <w:sz w:val="20"/>
          <w:vertAlign w:val="subscript"/>
        </w:rPr>
        <w:t>4</w:t>
      </w:r>
      <w:r w:rsidRPr="008D5D0F">
        <w:rPr>
          <w:color w:val="000000" w:themeColor="text1"/>
          <w:sz w:val="20"/>
        </w:rPr>
        <w:t xml:space="preserve"> yr</w:t>
      </w:r>
      <w:r w:rsidRPr="008D5D0F">
        <w:rPr>
          <w:color w:val="000000" w:themeColor="text1"/>
          <w:sz w:val="20"/>
          <w:vertAlign w:val="superscript"/>
        </w:rPr>
        <w:t>-1</w:t>
      </w:r>
      <w:r w:rsidRPr="008D5D0F">
        <w:rPr>
          <w:color w:val="000000" w:themeColor="text1"/>
          <w:sz w:val="20"/>
        </w:rPr>
        <w:t xml:space="preserve"> and 15 Tg CH</w:t>
      </w:r>
      <w:r w:rsidRPr="008D5D0F">
        <w:rPr>
          <w:color w:val="000000" w:themeColor="text1"/>
          <w:sz w:val="20"/>
          <w:vertAlign w:val="subscript"/>
        </w:rPr>
        <w:t>4</w:t>
      </w:r>
      <w:r w:rsidRPr="008D5D0F">
        <w:rPr>
          <w:color w:val="000000" w:themeColor="text1"/>
          <w:sz w:val="20"/>
        </w:rPr>
        <w:t xml:space="preserve"> yr</w:t>
      </w:r>
      <w:r w:rsidRPr="008D5D0F">
        <w:rPr>
          <w:color w:val="000000" w:themeColor="text1"/>
          <w:sz w:val="20"/>
          <w:vertAlign w:val="superscript"/>
        </w:rPr>
        <w:t>-1</w:t>
      </w:r>
      <w:r w:rsidRPr="008D5D0F">
        <w:rPr>
          <w:color w:val="000000" w:themeColor="text1"/>
          <w:sz w:val="20"/>
        </w:rPr>
        <w:t xml:space="preserve"> for the former and latter attribution scenarios, respectively, in this study, assuming that GEO</w:t>
      </w:r>
      <w:r w:rsidRPr="008D5D0F">
        <w:rPr>
          <w:color w:val="000000" w:themeColor="text1"/>
          <w:sz w:val="20"/>
          <w:vertAlign w:val="subscript"/>
        </w:rPr>
        <w:t>CH4</w:t>
      </w:r>
      <w:r w:rsidRPr="008D5D0F">
        <w:rPr>
          <w:color w:val="000000" w:themeColor="text1"/>
          <w:sz w:val="20"/>
        </w:rPr>
        <w:t xml:space="preserve"> has no IAV during the time period, as suggested by previous studies </w:t>
      </w:r>
      <w:r w:rsidRPr="008D5D0F">
        <w:rPr>
          <w:color w:val="000000" w:themeColor="text1"/>
          <w:sz w:val="20"/>
        </w:rPr>
        <w:fldChar w:fldCharType="begin"/>
      </w:r>
      <w:r w:rsidR="00837AC2" w:rsidRPr="008D5D0F">
        <w:rPr>
          <w:color w:val="000000" w:themeColor="text1"/>
          <w:sz w:val="20"/>
        </w:rPr>
        <w:instrText xml:space="preserve"> ADDIN ZOTERO_ITEM CSL_CITATION {"citationID":"JM8egLWI","properties":{"formattedCitation":"[1,21]","plainCitation":"[1,21]","noteIndex":0},"citationItems":[{"id":1370,"uris":["http://zotero.org/users/5672304/items/PST3ZMAB"],"uri":["http://zotero.org/users/5672304/items/PST3ZMAB"],"itemData":{"id":1370,"type":"article-journal","container-title":"Science","DOI":"10.1126/science.aad2705","ISSN":"0036-8075, 1095-9203","issue":"6281","language":"en","page":"80-84","source":"DOI.org (Crossref)","title":"A 21st-century shift from fossil-fuel to biogenic methane emissions indicated by 13CH4","volume":"352","author":[{"family":"Schaefer","given":"H."},{"family":"Fletcher","given":"S. E. M."},{"family":"Veidt","given":"C."},{"family":"Lassey","given":"K. R."},{"family":"Brailsford","given":"G. W."},{"family":"Bromley","given":"T. M."},{"family":"Dlugokencky","given":"E. J."},{"family":"Michel","given":"S. E."},{"family":"Miller","given":"J. B."},{"family":"Levin","given":"I."},{"family":"Lowe","given":"D. C."},{"family":"Martin","given":"R. J."},{"family":"Vaughn","given":"B. H."},{"family":"White","given":"J. W. C."}],"issued":{"date-parts":[["2016",4,1]]}}},{"id":1438,"uris":["http://zotero.org/users/5672304/items/CRB94NFU"],"uri":["http://zotero.org/users/5672304/items/CRB94NFU"],"itemData":{"id":1438,"type":"article-journal","container-title":"Reviews of Geophysics","DOI":"10.1002/rog.20011","ISSN":"87551209","issue":"2","language":"en","page":"276-299","source":"DOI.org (Crossref)","title":"Abiotic methane on earth","title-short":"ABIOTIC METHANE ON EARTH","volume":"51","author":[{"family":"Etiope","given":"Giuseppe"},{"family":"Sherwood Lollar","given":"Barbara"}],"issued":{"date-parts":[["2013",4]]}}}],"schema":"https://github.com/citation-style-language/schema/raw/master/csl-citation.json"} </w:instrText>
      </w:r>
      <w:r w:rsidRPr="008D5D0F">
        <w:rPr>
          <w:color w:val="000000" w:themeColor="text1"/>
          <w:sz w:val="20"/>
        </w:rPr>
        <w:fldChar w:fldCharType="separate"/>
      </w:r>
      <w:r w:rsidR="00837AC2" w:rsidRPr="008D5D0F">
        <w:rPr>
          <w:color w:val="000000" w:themeColor="text1"/>
          <w:sz w:val="20"/>
        </w:rPr>
        <w:t>[1,21]</w:t>
      </w:r>
      <w:r w:rsidRPr="008D5D0F">
        <w:rPr>
          <w:color w:val="000000" w:themeColor="text1"/>
          <w:sz w:val="20"/>
        </w:rPr>
        <w:fldChar w:fldCharType="end"/>
      </w:r>
      <w:r w:rsidRPr="008D5D0F">
        <w:rPr>
          <w:color w:val="000000" w:themeColor="text1"/>
          <w:sz w:val="20"/>
        </w:rPr>
        <w:t>. The hemispheric total of GEO</w:t>
      </w:r>
      <w:r w:rsidRPr="008D5D0F">
        <w:rPr>
          <w:color w:val="000000" w:themeColor="text1"/>
          <w:sz w:val="20"/>
          <w:vertAlign w:val="subscript"/>
        </w:rPr>
        <w:t>CH4</w:t>
      </w:r>
      <w:r w:rsidRPr="008D5D0F">
        <w:rPr>
          <w:color w:val="000000" w:themeColor="text1"/>
          <w:sz w:val="20"/>
        </w:rPr>
        <w:t xml:space="preserve"> is calculated based on a gridded map of geological methane emissions </w:t>
      </w:r>
      <w:r w:rsidRPr="008D5D0F">
        <w:rPr>
          <w:color w:val="000000" w:themeColor="text1"/>
          <w:sz w:val="20"/>
        </w:rPr>
        <w:fldChar w:fldCharType="begin"/>
      </w:r>
      <w:r w:rsidR="00837AC2" w:rsidRPr="008D5D0F">
        <w:rPr>
          <w:color w:val="000000" w:themeColor="text1"/>
          <w:sz w:val="20"/>
        </w:rPr>
        <w:instrText xml:space="preserve"> ADDIN ZOTERO_ITEM CSL_CITATION {"citationID":"UbmTRjby","properties":{"formattedCitation":"[22]","plainCitation":"[22]","noteIndex":0},"citationItems":[{"id":3557,"uris":["http://zotero.org/users/5672304/items/QS5PU6AR"],"uri":["http://zotero.org/users/5672304/items/QS5PU6AR"],"itemData":{"id":3557,"type":"article-journal","container-title":"Earth Syst. Sci. Data","DOI":"10.5194/essd-11-1-2019","ISSN":"1866-3516","issue":"1","journalAbbreviation":"Earth Syst. Sci. Data","note":"publisher: Copernicus Publications","page":"1-22","title":"Gridded maps of geological methane emissions and their isotopic signature","volume":"11","author":[{"family":"Etiope","given":"G."},{"family":"Ciotoli","given":"G."},{"family":"Schwietzke","given":"S."},{"family":"Schoell","given":"M."}],"issued":{"date-parts":[["2019",1,7]]}}}],"schema":"https://github.com/citation-style-language/schema/raw/master/csl-citation.json"} </w:instrText>
      </w:r>
      <w:r w:rsidRPr="008D5D0F">
        <w:rPr>
          <w:color w:val="000000" w:themeColor="text1"/>
          <w:sz w:val="20"/>
        </w:rPr>
        <w:fldChar w:fldCharType="separate"/>
      </w:r>
      <w:r w:rsidR="00837AC2" w:rsidRPr="008D5D0F">
        <w:rPr>
          <w:color w:val="000000" w:themeColor="text1"/>
          <w:sz w:val="20"/>
        </w:rPr>
        <w:t>[22]</w:t>
      </w:r>
      <w:r w:rsidRPr="008D5D0F">
        <w:rPr>
          <w:color w:val="000000" w:themeColor="text1"/>
          <w:sz w:val="20"/>
        </w:rPr>
        <w:fldChar w:fldCharType="end"/>
      </w:r>
      <w:r w:rsidRPr="008D5D0F">
        <w:rPr>
          <w:color w:val="000000" w:themeColor="text1"/>
          <w:sz w:val="20"/>
        </w:rPr>
        <w:t>.</w:t>
      </w:r>
    </w:p>
    <w:p w14:paraId="59FDCACE" w14:textId="77777777" w:rsidR="00EB592C" w:rsidRPr="008D5D0F" w:rsidRDefault="00EB592C" w:rsidP="00EB592C">
      <w:pPr>
        <w:pBdr>
          <w:top w:val="nil"/>
          <w:left w:val="nil"/>
          <w:bottom w:val="nil"/>
          <w:right w:val="nil"/>
          <w:between w:val="nil"/>
        </w:pBdr>
        <w:spacing w:after="200"/>
        <w:contextualSpacing/>
        <w:rPr>
          <w:color w:val="000000" w:themeColor="text1"/>
          <w:sz w:val="20"/>
        </w:rPr>
      </w:pPr>
    </w:p>
    <w:p w14:paraId="785A241D" w14:textId="0E71C1C2" w:rsidR="00EB592C" w:rsidRPr="008D5D0F" w:rsidRDefault="00EB592C" w:rsidP="00EB592C">
      <w:pPr>
        <w:pBdr>
          <w:top w:val="nil"/>
          <w:left w:val="nil"/>
          <w:bottom w:val="nil"/>
          <w:right w:val="nil"/>
          <w:between w:val="nil"/>
        </w:pBdr>
        <w:contextualSpacing/>
        <w:rPr>
          <w:color w:val="000000" w:themeColor="text1"/>
          <w:sz w:val="20"/>
        </w:rPr>
      </w:pPr>
      <w:bookmarkStart w:id="8" w:name="_Toc37816964"/>
      <w:r w:rsidRPr="008D5D0F">
        <w:rPr>
          <w:b/>
          <w:bCs/>
          <w:color w:val="000000" w:themeColor="text1"/>
          <w:sz w:val="20"/>
        </w:rPr>
        <w:t>Other sources</w:t>
      </w:r>
      <w:bookmarkEnd w:id="8"/>
      <w:r w:rsidRPr="008D5D0F">
        <w:rPr>
          <w:b/>
          <w:bCs/>
          <w:color w:val="000000" w:themeColor="text1"/>
          <w:sz w:val="20"/>
        </w:rPr>
        <w:t>.</w:t>
      </w:r>
      <w:r w:rsidRPr="008D5D0F">
        <w:rPr>
          <w:color w:val="000000" w:themeColor="text1"/>
          <w:sz w:val="20"/>
        </w:rPr>
        <w:t xml:space="preserve"> The other sources include freshwater ecosystems, termites, oceanic hydrate sources, wild animals, permafrost, and potential vegetation sources. In recent syntheses </w:t>
      </w:r>
      <w:r w:rsidRPr="008D5D0F">
        <w:rPr>
          <w:color w:val="000000" w:themeColor="text1"/>
          <w:sz w:val="20"/>
        </w:rPr>
        <w:fldChar w:fldCharType="begin"/>
      </w:r>
      <w:r w:rsidR="00837AC2" w:rsidRPr="008D5D0F">
        <w:rPr>
          <w:color w:val="000000" w:themeColor="text1"/>
          <w:sz w:val="20"/>
        </w:rPr>
        <w:instrText xml:space="preserve"> ADDIN ZOTERO_ITEM CSL_CITATION {"citationID":"r6MasJgA","properties":{"formattedCitation":"[23,24]","plainCitation":"[23,24]","noteIndex":0},"citationItems":[{"id":2686,"uris":["http://zotero.org/groups/2345889/items/XC4XQ3E6"],"uri":["http://zotero.org/groups/2345889/items/XC4XQ3E6"],"itemData":{"id":2686,"type":"article-journal","abstract":"&lt;p&gt;&lt;strong&gt;Abstract.&lt;/strong&gt; The global methane (CH&lt;sub&gt;4&lt;/sub&gt;) budget is becoming an increasingly important component for managing realistic pathways to mitigate climate change. This relevance, due to a shorter atmospheric lifetime and a stronger warming potential than carbon dioxide, is challenged by the still unexplained changes of atmospheric CH&lt;sub&gt;4&lt;/sub&gt; over the past decade. Emissions and concentrations of CH&lt;sub&gt;4&lt;/sub&gt; are continuing to increase, making CH&lt;sub&gt;4&lt;/sub&gt; the second most important human-induced greenhouse gas after carbon dioxide. Two major difficulties in reducing uncertainties come from the large variety of diffusive CH&lt;sub&gt;4&lt;/sub&gt; sources that overlap geographically, and from the destruction of CH&lt;sub&gt;4&lt;/sub&gt; by the very short-lived hydroxyl radical (OH). To address these difficulties, we have established a consortium of multi-disciplinary scientists under the umbrella of the Global Carbon Project to synthesize and stimulate research on the methane cycle, and producing regular (</w:instrText>
      </w:r>
      <w:r w:rsidR="00837AC2" w:rsidRPr="008D5D0F">
        <w:rPr>
          <w:rFonts w:ascii="Cambria Math" w:hAnsi="Cambria Math" w:cs="Cambria Math"/>
          <w:color w:val="000000" w:themeColor="text1"/>
          <w:sz w:val="20"/>
        </w:rPr>
        <w:instrText>∼</w:instrText>
      </w:r>
      <w:r w:rsidR="00837AC2" w:rsidRPr="008D5D0F">
        <w:rPr>
          <w:color w:val="000000" w:themeColor="text1"/>
          <w:sz w:val="20"/>
        </w:rPr>
        <w:instrText> biennial) updates of the global methane budget. This consortium includes atmospheric physicists and chemists, biogeochemists of surface and marine emissions, and socio-economists who study anthropogenic emissions. Following Kirschke et al. (2013), we propose here the first version of a living review paper that integrates results of top-down studies (exploiting atmospheric observations within an atmospheric inverse-modelling framework) and bottom-up models, inventories and data-driven approaches (including process-based models for estimating land surface emissions and atmospheric chemistry, and inventories for anthropogenic emissions, data-driven extrapolations). &lt;br&gt;&lt;br&gt; For the 2003–2012 decade, global methane emissions are estimated by top-down inversions at 558&lt;span class=\"thinspace\"&gt;&lt;/span&gt;Tg&lt;span class=\"thinspace\"&gt;&lt;/span&gt;CH&lt;sub&gt;4&lt;/sub&gt;&lt;span class=\"thinspace\"&gt;&lt;/span&gt;yr&lt;sup&gt;−1&lt;/sup&gt;, range 540–568. About 60&lt;span class=\"thinspace\"&gt;&lt;/span&gt;% of global emissions are anthropogenic (range 50–65&lt;span class=\"thinspace\"&gt;&lt;/span&gt;%). Since 2010, the bottom-up global emission inventories have been closer to methane emissions in the most carbon-intensive Representative Concentrations Pathway (RCP8.5) and higher than all other RCP scenarios. Bottom-up approaches suggest larger global emissions (736&lt;span class=\"thinspace\"&gt;&lt;/span&gt;Tg&lt;span class=\"thinspace\"&gt;&lt;/span&gt;CH&lt;sub&gt;4&lt;/sub&gt;&lt;span class=\"thinspace\"&gt;&lt;/span&gt;yr&lt;sup&gt;−1&lt;/sup&gt;, range 596–884) mostly because of larger natural emissions from individual sources such as inland waters, natural wetlands and geological sources. Considering the atmospheric constraints on the top-down budget, it is likely that some of the individual emissions reported by the bottom-up approaches are overestimated, leading to too large global emissions. Latitudinal data from top-down emissions indicate a predominance of tropical emissions (</w:instrText>
      </w:r>
      <w:r w:rsidR="00837AC2" w:rsidRPr="008D5D0F">
        <w:rPr>
          <w:rFonts w:ascii="Cambria Math" w:hAnsi="Cambria Math" w:cs="Cambria Math"/>
          <w:color w:val="000000" w:themeColor="text1"/>
          <w:sz w:val="20"/>
        </w:rPr>
        <w:instrText>∼</w:instrText>
      </w:r>
      <w:r w:rsidR="00837AC2" w:rsidRPr="008D5D0F">
        <w:rPr>
          <w:color w:val="000000" w:themeColor="text1"/>
          <w:sz w:val="20"/>
        </w:rPr>
        <w:instrText> 64&lt;span class=\"thinspace\"&gt;&lt;/span&gt;% of the global budget, &amp;amp;lt;&lt;span class=\"thinspace\"&gt;&lt;/span&gt;30°&lt;span class=\"thinspace\"&gt;&lt;/span&gt;N) as compared to mid (</w:instrText>
      </w:r>
      <w:r w:rsidR="00837AC2" w:rsidRPr="008D5D0F">
        <w:rPr>
          <w:rFonts w:ascii="Cambria Math" w:hAnsi="Cambria Math" w:cs="Cambria Math"/>
          <w:color w:val="000000" w:themeColor="text1"/>
          <w:sz w:val="20"/>
        </w:rPr>
        <w:instrText>∼</w:instrText>
      </w:r>
      <w:r w:rsidR="00837AC2" w:rsidRPr="008D5D0F">
        <w:rPr>
          <w:color w:val="000000" w:themeColor="text1"/>
          <w:sz w:val="20"/>
        </w:rPr>
        <w:instrText>&lt;span class=\"thinspace\"&gt;&lt;/span&gt;32&lt;span class=\"thinspace\"&gt;&lt;/span&gt;%, 30–60°&lt;span class=\"thinspace\"&gt;&lt;/span&gt;N) and high northern latitudes (</w:instrText>
      </w:r>
      <w:r w:rsidR="00837AC2" w:rsidRPr="008D5D0F">
        <w:rPr>
          <w:rFonts w:ascii="Cambria Math" w:hAnsi="Cambria Math" w:cs="Cambria Math"/>
          <w:color w:val="000000" w:themeColor="text1"/>
          <w:sz w:val="20"/>
        </w:rPr>
        <w:instrText>∼</w:instrText>
      </w:r>
      <w:r w:rsidR="00837AC2" w:rsidRPr="008D5D0F">
        <w:rPr>
          <w:color w:val="000000" w:themeColor="text1"/>
          <w:sz w:val="20"/>
        </w:rPr>
        <w:instrText> 4&lt;span class=\"thinspace\"&gt;&lt;/span&gt;%, 60–90°&lt;span class=\"thinspace\"&gt;&lt;/span&gt;N). Top-down inversions consistently infer lower emissions in China (</w:instrText>
      </w:r>
      <w:r w:rsidR="00837AC2" w:rsidRPr="008D5D0F">
        <w:rPr>
          <w:rFonts w:ascii="Cambria Math" w:hAnsi="Cambria Math" w:cs="Cambria Math"/>
          <w:color w:val="000000" w:themeColor="text1"/>
          <w:sz w:val="20"/>
        </w:rPr>
        <w:instrText>∼</w:instrText>
      </w:r>
      <w:r w:rsidR="00837AC2" w:rsidRPr="008D5D0F">
        <w:rPr>
          <w:color w:val="000000" w:themeColor="text1"/>
          <w:sz w:val="20"/>
        </w:rPr>
        <w:instrText> 58&lt;span class=\"thinspace\"&gt;&lt;/span&gt;Tg&lt;span class=\"thinspace\"&gt;&lt;/span&gt;CH&lt;sub&gt;4&lt;/sub&gt;&lt;span class=\"thinspace\"&gt;&lt;/span&gt;yr&lt;sup&gt;−1&lt;/sup&gt;, range 51–72, −14&lt;span class=\"thinspace\"&gt;&lt;/span&gt;%) and higher emissions in Africa (86&lt;span class=\"thinspace\"&gt;&lt;/span&gt;Tg&lt;span class=\"thinspace\"&gt;&lt;/span&gt;CH&lt;sub&gt;4&lt;/sub&gt;&lt;span class=\"thinspace\"&gt;&lt;/span&gt;yr&lt;sup&gt;−1&lt;/sup&gt;, range 73–108, +19&lt;span class=\"thinspace\"&gt;&lt;/span&gt;%) than bottom-up values used as prior estimates. Overall, uncertainties for anthropogenic emissions appear smaller than those from natural sources, and the uncertainties on source categories appear larger for top-down inversions than for bottom-up inventories and models. &lt;br&gt;&lt;br&gt; The most important source of uncertainty on the methane budget is attributable to emissions from wetland and other inland waters. We show that the wetland extent could contribute 30–40&lt;span class=\"thinspace\"&gt;&lt;/span&gt;% on the estimated range for wetland emissions. Other priorities for improving the methane budget include the following: (i) the development of process-based models for inland-water emissions, (ii) the intensification of methane observations at local scale (flux measurements) to constrain bottom-up land surface models, and at regional scale (surface networks and satellites) to constrain top-down inversions, (iii) improvements in the estimation of atmospheric loss by OH, and (iv) improvements of the transport models integrated in top-down inversions. The data presented here can be downloaded from the Carbon Dioxide Information Analysis Center (&lt;a href=\"http://doi.org/10.3334/CDIAC/GLOBAL_METHANE_BUDGET_2016_V1.1\" target=\"_blank\"&gt;http://doi.org/10.3334/CDIAC/GLOBAL_METHANE_BUDGET_2016_V1.1&lt;/a&gt;) and the Global Carbon Project.&lt;/p&gt;","container-title":"Earth System Science Data","DOI":"10.5194/essd-8-697-2016","ISSN":"1866-3516","issue":"2","language":"en","page":"697-751","source":"DOI.org (Crossref)","title":"The global methane budget 2000–2012","volume":"8","author":[{"family":"Saunois","given":"Marielle"},{"family":"Bousquet","given":"Philippe"},{"family":"Poulter","given":"Ben"},{"family":"Peregon","given":"Anna"},{"family":"Ciais","given":"Philippe"},{"family":"Canadell","given":"Josep G."},{"family":"Dlugokencky","given":"Edward J."},{"family":"Etiope","given":"Giuseppe"},{"family":"Bastviken","given":"David"},{"family":"Houweling","given":"Sander"},{"family":"Janssens-Maenhout","given":"Greet"},{"family":"Tubiello","given":"Francesco N."},{"family":"Castaldi","given":"Simona"},{"family":"Jackson","given":"Robert B."},{"family":"Alexe","given":"Mihai"},{"family":"Arora","given":"Vivek K."},{"family":"Beerling","given":"David J."},{"family":"Bergamaschi","given":"Peter"},{"family":"Blake","given":"Donald R."},{"family":"Brailsford","given":"Gordon"},{"family":"Brovkin","given":"Victor"},{"family":"Bruhwiler","given":"Lori"},{"family":"Crevoisier","given":"Cyril"},{"family":"Crill","given":"Patrick"},{"family":"Covey","given":"Kristofer"},{"family":"Curry","given":"Charles"},{"family":"Frankenberg","given":"Christian"},{"family":"Gedney","given":"Nicola"},{"family":"Höglund-Isaksson","given":"Lena"},{"family":"Ishizawa","given":"Misa"},{"family":"Ito","given":"Akihiko"},{"family":"Joos","given":"Fortunat"},{"family":"Kim","given":"Heon-Sook"},{"family":"Kleinen","given":"Thomas"},{"family":"Krummel","given":"Paul"},{"family":"Lamarque","given":"Jean-François"},{"family":"Langenfelds","given":"Ray"},{"family":"Locatelli","given":"Robin"},{"family":"Machida","given":"Toshinobu"},{"family":"Maksyutov","given":"Shamil"},{"family":"McDonald","given":"Kyle C."},{"family":"Marshall","given":"Julia"},{"family":"Melton","given":"Joe R."},{"family":"Morino","given":"Isamu"},{"family":"Naik","given":"Vaishali"},{"family":"O&amp;amp;apos;Doherty","given":"Simon"},{"family":"Parmentier","given":"Frans-Jan W."},{"family":"Patra","given":"Prabir K."},{"family":"Peng","given":"Changhui"},{"family":"Peng","given":"Shushi"},{"family":"Peters","given":"Glen P."},{"family":"Pison","given":"Isabelle"},{"family":"Prigent","given":"Catherine"},{"family":"Prinn","given":"Ronald"},{"family":"Ramonet","given":"Michel"},{"family":"Riley","given":"William J."},{"family":"Saito","given":"Makoto"},{"family":"Santini","given":"Monia"},{"family":"Schroeder","given":"Ronny"},{"family":"Simpson","given":"Isobel J."},{"family":"Spahni","given":"Renato"},{"family":"Steele","given":"Paul"},{"family":"Takizawa","given":"Atsushi"},{"family":"Thornton","given":"Brett F."},{"family":"Tian","given":"Hanqin"},{"family":"Tohjima","given":"Yasunori"},{"family":"Viovy","given":"Nicolas"},{"family":"Voulgarakis","given":"Apostolos"},{"family":"Weele","given":"Michiel","non-dropping-particle":"van"},{"family":"Werf","given":"Guido R.","non-dropping-particle":"van der"},{"family":"Weiss","given":"Ray"},{"family":"Wiedinmyer","given":"Christine"},{"family":"Wilton","given":"David J."},{"family":"Wiltshire","given":"Andy"},{"family":"Worthy","given":"Doug"},{"family":"Wunch","given":"Debra"},{"family":"Xu","given":"Xiyan"},{"family":"Yoshida","given":"Yukio"},{"family":"Zhang","given":"Bowen"},{"family":"Zhang","given":"Zhen"},{"family":"Zhu","given":"Qiuan"}],"issued":{"date-parts":[["2016",12,12]]}}},{"id":3329,"uris":["http://zotero.org/users/5672304/items/9YG5IVDG"],"uri":["http://zotero.org/users/5672304/items/9YG5IVDG"],"itemData":{"id":3329,"type":"article-journal","abstract":"&lt;p&gt;&lt;strong&gt;Abstract.&lt;/strong&gt; Understanding and quantifying the global methane (&lt;span class=\"inline-formula\"&gt;CH&lt;sub&gt;4&lt;/sub&gt;&lt;/span&gt;) budget is important for assessing realistic pathways to mitigate climate change. Atmospheric emissions and concentrations of &lt;span class=\"inline-formula\"&gt;CH&lt;sub&gt;4&lt;/sub&gt;&lt;/span&gt; continue to increase, making &lt;span class=\"inline-formula\"&gt;CH&lt;sub&gt;4&lt;/sub&gt;&lt;/span&gt; the second most important human-influenced greenhouse gas in terms of climate forcing, after carbon dioxide (&lt;span class=\"inline-formula\"&gt;CO&lt;sub&gt;2&lt;/sub&gt;&lt;/span&gt;). The relative importance of &lt;span class=\"inline-formula\"&gt;CH&lt;sub&gt;4&lt;/sub&gt;&lt;/span&gt; compared to &lt;span class=\"inline-formula\"&gt;CO&lt;sub&gt;2&lt;/sub&gt;&lt;/span&gt; depends on its shorter atmospheric lifetime, stronger warming potential, and variations in atmospheric growth rate over the past decade, the causes of which are still debated. Two major challenges in reducing uncertainties in the atmospheric growth rate arise from the variety of geographically overlapping &lt;span class=\"inline-formula\"&gt;CH&lt;sub&gt;4&lt;/sub&gt;&lt;/span&gt; sources and from the destruction of &lt;span class=\"inline-formula\"&gt;CH&lt;sub&gt;4&lt;/sub&gt;&lt;/span&gt; by short-lived hydroxyl radicals (OH). To address these challenges, we have established a consortium of multidisciplinary scientists under the umbrella of the Global Carbon Project to synthesize and stimulate new research aimed at improving and regularly updating the global methane budget. Following Saunois et al. (2016), we present here the second version of the living review paper dedicated to the decadal methane budget, integrating results of top-down studies (atmospheric observations within an atmospheric inverse-modelling framework) and bottom-up estimates (including process-based models for estimating land surface emissions and atmospheric chemistry, inventories of anthropogenic emissions, and data-driven extrapolations).&lt;/p&gt; &lt;p&gt;&lt;span id=\"page1564\"/&gt;For the 2008–2017 decade, global methane emissions are estimated by atmospheric inversions (a top-down approach) to be 576&amp;thinsp;Tg&amp;thinsp;&lt;span class=\"inline-formula\"&gt;CH&lt;sub&gt;4&lt;/sub&gt;&lt;/span&gt;&amp;thinsp;yr&lt;span class=\"inline-formula\"&gt;&lt;sup&gt;−1&lt;/sup&gt;&lt;/span&gt; (range 550–594, corresponding to the minimum and maximum estimates of the model ensemble). Of this total, 359&amp;thinsp;Tg&amp;thinsp;&lt;span class=\"inline-formula\"&gt;CH&lt;sub&gt;4&lt;/sub&gt;&lt;/span&gt;&amp;thinsp;yr&lt;span class=\"inline-formula\"&gt;&lt;sup&gt;−1&lt;/sup&gt;&lt;/span&gt; or &lt;span class=\"inline-formula\"&gt;</w:instrText>
      </w:r>
      <w:r w:rsidR="00837AC2" w:rsidRPr="008D5D0F">
        <w:rPr>
          <w:rFonts w:ascii="Cambria Math" w:hAnsi="Cambria Math" w:cs="Cambria Math"/>
          <w:color w:val="000000" w:themeColor="text1"/>
          <w:sz w:val="20"/>
        </w:rPr>
        <w:instrText>∼</w:instrText>
      </w:r>
      <w:r w:rsidR="00837AC2" w:rsidRPr="008D5D0F">
        <w:rPr>
          <w:color w:val="000000" w:themeColor="text1"/>
          <w:sz w:val="20"/>
        </w:rPr>
        <w:instrText>&lt;/span&gt;&amp;thinsp;60&amp;thinsp;% is attributed to anthropogenic sources, that is emissions caused by direct human activity (i.e. anthropogenic emissions; range 336–376&amp;thinsp;Tg&amp;thinsp;&lt;span class=\"inline-formula\"&gt;CH&lt;sub&gt;4&lt;/sub&gt;&lt;/span&gt;&amp;thinsp;yr&lt;span class=\"inline-formula\"&gt;&lt;sup&gt;−1&lt;/sup&gt;&lt;/span&gt; or 50&amp;thinsp;%–65&amp;thinsp;%). The mean annual total emission for the new decade (2008–2017) is 29&amp;thinsp;Tg&amp;thinsp;&lt;span class=\"inline-formula\"&gt;CH&lt;sub&gt;4&lt;/sub&gt;&lt;/span&gt;&amp;thinsp;yr&lt;span class=\"inline-formula\"&gt;&lt;sup&gt;−1&lt;/sup&gt;&lt;/span&gt; larger than our estimate for the previous decade (2000–2009), and 24&amp;thinsp;Tg&amp;thinsp;&lt;span class=\"inline-formula\"&gt;CH&lt;sub&gt;4&lt;/sub&gt;&lt;/span&gt;&amp;thinsp;yr&lt;span class=\"inline-formula\"&gt;&lt;sup&gt;−1&lt;/sup&gt;&lt;/span&gt; larger than the one reported in the previous budget for 2003–2012 (Saunois et al., 2016). Since 2012, global &lt;span class=\"inline-formula\"&gt;CH&lt;sub&gt;4&lt;/sub&gt;&lt;/span&gt; emissions have been tracking the warmest scenarios assessed by the Intergovernmental Panel on Climate Change. Bottom-up methods suggest almost 30&amp;thinsp;% larger global emissions (737&amp;thinsp;Tg&amp;thinsp;&lt;span class=\"inline-formula\"&gt;CH&lt;sub&gt;4&lt;/sub&gt;&lt;/span&gt;&amp;thinsp;yr&lt;span class=\"inline-formula\"&gt;&lt;sup&gt;−1&lt;/sup&gt;&lt;/span&gt;, range 594–881) than top-down inversion methods. Indeed, bottom-up estimates for natural sources such as natural wetlands, other inland water systems, and geological sources are higher than top-down estimates. The atmospheric constraints on the top-down budget suggest that at least some of these bottom-up emissions are overestimated. The latitudinal distribution of atmospheric observation-based emissions indicates a predominance of tropical emissions (&lt;span class=\"inline-formula\"&gt;</w:instrText>
      </w:r>
      <w:r w:rsidR="00837AC2" w:rsidRPr="008D5D0F">
        <w:rPr>
          <w:rFonts w:ascii="Cambria Math" w:hAnsi="Cambria Math" w:cs="Cambria Math"/>
          <w:color w:val="000000" w:themeColor="text1"/>
          <w:sz w:val="20"/>
        </w:rPr>
        <w:instrText>∼</w:instrText>
      </w:r>
      <w:r w:rsidR="00837AC2" w:rsidRPr="008D5D0F">
        <w:rPr>
          <w:color w:val="000000" w:themeColor="text1"/>
          <w:sz w:val="20"/>
        </w:rPr>
        <w:instrText>&lt;/span&gt;&amp;thinsp;65&amp;thinsp;% of the global budget, &lt;span class=\"inline-formula\"&gt;&amp;lt;&lt;/span&gt;&amp;thinsp;30&lt;span class=\"inline-formula\"&gt;&lt;sup&gt;</w:instrText>
      </w:r>
      <w:r w:rsidR="00837AC2" w:rsidRPr="008D5D0F">
        <w:rPr>
          <w:rFonts w:ascii="Cambria Math" w:hAnsi="Cambria Math" w:cs="Cambria Math"/>
          <w:color w:val="000000" w:themeColor="text1"/>
          <w:sz w:val="20"/>
        </w:rPr>
        <w:instrText>∘</w:instrText>
      </w:r>
      <w:r w:rsidR="00837AC2" w:rsidRPr="008D5D0F">
        <w:rPr>
          <w:color w:val="000000" w:themeColor="text1"/>
          <w:sz w:val="20"/>
        </w:rPr>
        <w:instrText>&lt;/sup&gt;&lt;/span&gt;&amp;thinsp;N) compared to mid-latitudes (&lt;span class=\"inline-formula\"&gt;</w:instrText>
      </w:r>
      <w:r w:rsidR="00837AC2" w:rsidRPr="008D5D0F">
        <w:rPr>
          <w:rFonts w:ascii="Cambria Math" w:hAnsi="Cambria Math" w:cs="Cambria Math"/>
          <w:color w:val="000000" w:themeColor="text1"/>
          <w:sz w:val="20"/>
        </w:rPr>
        <w:instrText>∼</w:instrText>
      </w:r>
      <w:r w:rsidR="00837AC2" w:rsidRPr="008D5D0F">
        <w:rPr>
          <w:color w:val="000000" w:themeColor="text1"/>
          <w:sz w:val="20"/>
        </w:rPr>
        <w:instrText>&lt;/span&gt;&amp;thinsp;30&amp;thinsp;%, 30–60&lt;span class=\"inline-formula\"&gt;&lt;sup&gt;</w:instrText>
      </w:r>
      <w:r w:rsidR="00837AC2" w:rsidRPr="008D5D0F">
        <w:rPr>
          <w:rFonts w:ascii="Cambria Math" w:hAnsi="Cambria Math" w:cs="Cambria Math"/>
          <w:color w:val="000000" w:themeColor="text1"/>
          <w:sz w:val="20"/>
        </w:rPr>
        <w:instrText>∘</w:instrText>
      </w:r>
      <w:r w:rsidR="00837AC2" w:rsidRPr="008D5D0F">
        <w:rPr>
          <w:color w:val="000000" w:themeColor="text1"/>
          <w:sz w:val="20"/>
        </w:rPr>
        <w:instrText>&lt;/sup&gt;&lt;/span&gt;&amp;thinsp;N) and high northern latitudes (&lt;span class=\"inline-formula\"&gt;</w:instrText>
      </w:r>
      <w:r w:rsidR="00837AC2" w:rsidRPr="008D5D0F">
        <w:rPr>
          <w:rFonts w:ascii="Cambria Math" w:hAnsi="Cambria Math" w:cs="Cambria Math"/>
          <w:color w:val="000000" w:themeColor="text1"/>
          <w:sz w:val="20"/>
        </w:rPr>
        <w:instrText>∼</w:instrText>
      </w:r>
      <w:r w:rsidR="00837AC2" w:rsidRPr="008D5D0F">
        <w:rPr>
          <w:color w:val="000000" w:themeColor="text1"/>
          <w:sz w:val="20"/>
        </w:rPr>
        <w:instrText>&lt;/span&gt;&amp;thinsp;4&amp;thinsp;%, 60–90&lt;span class=\"inline-formula\"&gt;&lt;sup&gt;</w:instrText>
      </w:r>
      <w:r w:rsidR="00837AC2" w:rsidRPr="008D5D0F">
        <w:rPr>
          <w:rFonts w:ascii="Cambria Math" w:hAnsi="Cambria Math" w:cs="Cambria Math"/>
          <w:color w:val="000000" w:themeColor="text1"/>
          <w:sz w:val="20"/>
        </w:rPr>
        <w:instrText>∘</w:instrText>
      </w:r>
      <w:r w:rsidR="00837AC2" w:rsidRPr="008D5D0F">
        <w:rPr>
          <w:color w:val="000000" w:themeColor="text1"/>
          <w:sz w:val="20"/>
        </w:rPr>
        <w:instrText xml:space="preserve">&lt;/sup&gt;&lt;/span&gt;&amp;thinsp;N). The most important source of uncertainty in the methane budget is attributable to natural emissions, especially those from wetlands and other inland waters.&lt;/p&gt; &lt;p&gt;Some of our global source estimates are smaller than those in previously published budgets (Saunois et al., 2016; Kirschke et al., 2013). In particular wetland emissions are about 35&amp;thinsp;Tg&amp;thinsp;&lt;span class=\"inline-formula\"&gt;CH&lt;sub&gt;4&lt;/sub&gt;&lt;/span&gt;&amp;thinsp;yr&lt;span class=\"inline-formula\"&gt;&lt;sup&gt;−1&lt;/sup&gt;&lt;/span&gt; lower due to improved partition wetlands and other inland waters. Emissions from geological sources and wild animals are also found to be smaller by 7&amp;thinsp;Tg&amp;thinsp;&lt;span class=\"inline-formula\"&gt;CH&lt;sub&gt;4&lt;/sub&gt;&lt;/span&gt;&amp;thinsp;yr&lt;span class=\"inline-formula\"&gt;&lt;sup&gt;−1&lt;/sup&gt;&lt;/span&gt; by 8&amp;thinsp;Tg&amp;thinsp;&lt;span class=\"inline-formula\"&gt;CH&lt;sub&gt;4&lt;/sub&gt;&lt;/span&gt;&amp;thinsp;yr&lt;span class=\"inline-formula\"&gt;&lt;sup&gt;−1&lt;/sup&gt;&lt;/span&gt;, respectively. However, the overall discrepancy between bottom-up and top-down estimates has been reduced by only 5&amp;thinsp;% compared to Saunois et al. (2016), due to a higher estimate of emissions from inland waters, highlighting the need for more detailed research on emissions factors. Priorities for improving the methane budget include (i) a global, high-resolution map of water-saturated soils and inundated areas emitting methane based on a robust classification of different types of emitting habitats; (ii) further development of process-based models for inland-water emissions; (iii) intensification of methane observations at local scales (e.g., FLUXNET-&lt;span class=\"inline-formula\"&gt;CH&lt;sub&gt;4&lt;/sub&gt;&lt;/span&gt; measurements) and urban-scale monitoring to constrain bottom-up land surface models, and at regional scales (surface networks and satellites) to constrain atmospheric inversions; (iv) improvements of transport models and the representation of photochemical sinks in top-down inversions; and (v) development of a 3D variational inversion system using isotopic and/or co-emitted species such as ethane to improve source partitioning.&lt;/p&gt; &lt;p&gt;The data presented here can be downloaded from &lt;a href=\"https://doi.org/10.18160/GCP-CH4-2019\"&gt;https://doi.org/10.18160/GCP-CH4-2019&lt;/a&gt; (Saunois et al., 2020) and from the Global Carbon Project.&lt;/p&gt;","container-title":"Earth System Science Data","DOI":"https://doi.org/10.5194/essd-12-1561-2020","ISSN":"1866-3508","issue":"3","language":"English","note":"publisher: Copernicus GmbH","page":"1561-1623","source":"essd.copernicus.org","title":"The Global Methane Budget 2000–2017","volume":"12","author":[{"family":"Saunois","given":"Marielle"},{"family":"Stavert","given":"Ann R."},{"family":"Poulter","given":"Ben"},{"family":"Bousquet","given":"Philippe"},{"family":"Canadell","given":"Josep G."},{"family":"Jackson","given":"Robert B."},{"family":"Raymond","given":"Peter A."},{"family":"Dlugokencky","given":"Edward J."},{"family":"Houweling","given":"Sander"},{"family":"Patra","given":"Prabir K."},{"family":"Ciais","given":"Philippe"},{"family":"Arora","given":"Vivek K."},{"family":"Bastviken","given":"David"},{"family":"Bergamaschi","given":"Peter"},{"family":"Blake","given":"Donald R."},{"family":"Brailsford","given":"Gordon"},{"family":"Bruhwiler","given":"Lori"},{"family":"Carlson","given":"Kimberly M."},{"family":"Carrol","given":"Mark"},{"family":"Castaldi","given":"Simona"},{"family":"Chandra","given":"Naveen"},{"family":"Crevoisier","given":"Cyril"},{"family":"Crill","given":"Patrick M."},{"family":"Covey","given":"Kristofer"},{"family":"Curry","given":"Charles L."},{"family":"Etiope","given":"Giuseppe"},{"family":"Frankenberg","given":"Christian"},{"family":"Gedney","given":"Nicola"},{"family":"Hegglin","given":"Michaela I."},{"family":"Höglund-Isaksson","given":"Lena"},{"family":"Hugelius","given":"Gustaf"},{"family":"Ishizawa","given":"Misa"},{"family":"Ito","given":"Akihiko"},{"family":"Janssens-Maenhout","given":"Greet"},{"family":"Jensen","given":"Katherine M."},{"family":"Joos","given":"Fortunat"},{"family":"Kleinen","given":"Thomas"},{"family":"Krummel","given":"Paul B."},{"family":"Langenfelds","given":"Ray L."},{"family":"Laruelle","given":"Goulven G."},{"family":"Liu","given":"Licheng"},{"family":"Machida","given":"Toshinobu"},{"family":"Maksyutov","given":"Shamil"},{"family":"McDonald","given":"Kyle C."},{"family":"McNorton","given":"Joe"},{"family":"Miller","given":"Paul A."},{"family":"Melton","given":"Joe R."},{"family":"Morino","given":"Isamu"},{"family":"Müller","given":"Jurek"},{"family":"Murguia-Flores","given":"Fabiola"},{"family":"Naik","given":"Vaishali"},{"family":"Niwa","given":"Yosuke"},{"family":"Noce","given":"Sergio"},{"family":"O'Doherty","given":"Simon"},{"family":"Parker","given":"Robert J."},{"family":"Peng","given":"Changhui"},{"family":"Peng","given":"Shushi"},{"family":"Peters","given":"Glen P."},{"family":"Prigent","given":"Catherine"},{"family":"Prinn","given":"Ronald"},{"family":"Ramonet","given":"Michel"},{"family":"Regnier","given":"Pierre"},{"family":"Riley","given":"William J."},{"family":"Rosentreter","given":"Judith A."},{"family":"Segers","given":"Arjo"},{"family":"Simpson","given":"Isobel J."},{"family":"Shi","given":"Hao"},{"family":"Smith","given":"Steven J."},{"family":"Steele","given":"L. Paul"},{"family":"Thornton","given":"Brett F."},{"family":"Tian","given":"Hanqin"},{"family":"Tohjima","given":"Yasunori"},{"family":"Tubiello","given":"Francesco N."},{"family":"Tsuruta","given":"Aki"},{"family":"Viovy","given":"Nicolas"},{"family":"Voulgarakis","given":"Apostolos"},{"family":"Weber","given":"Thomas S."},{"family":"Weele","given":"Michiel","non-dropping-particle":"van"},{"family":"Werf","given":"Guido R.","non-dropping-particle":"van der"},{"family":"Weiss","given":"Ray F."},{"family":"Worthy","given":"Doug"},{"family":"Wunch","given":"Debra"},{"family":"Yin","given":"Yi"},{"family":"Yoshida","given":"Yukio"},{"family":"Zhang","given":"Wenxin"},{"family":"Zhang","given":"Zhen"},{"family":"Zhao","given":"Yuanhong"},{"family":"Zheng","given":"Bo"},{"family":"Zhu","given":"Qing"},{"family":"Zhu","given":"Qiuan"},{"family":"Zhuang","given":"Qianlai"}],"issued":{"date-parts":[["2020",7,15]]}}}],"schema":"https://github.com/citation-style-language/schema/raw/master/csl-citation.json"} </w:instrText>
      </w:r>
      <w:r w:rsidRPr="008D5D0F">
        <w:rPr>
          <w:color w:val="000000" w:themeColor="text1"/>
          <w:sz w:val="20"/>
        </w:rPr>
        <w:fldChar w:fldCharType="separate"/>
      </w:r>
      <w:r w:rsidR="00837AC2" w:rsidRPr="008D5D0F">
        <w:rPr>
          <w:color w:val="000000" w:themeColor="text1"/>
          <w:sz w:val="20"/>
        </w:rPr>
        <w:t>[23,24]</w:t>
      </w:r>
      <w:r w:rsidRPr="008D5D0F">
        <w:rPr>
          <w:color w:val="000000" w:themeColor="text1"/>
          <w:sz w:val="20"/>
        </w:rPr>
        <w:fldChar w:fldCharType="end"/>
      </w:r>
      <w:r w:rsidRPr="008D5D0F">
        <w:rPr>
          <w:color w:val="000000" w:themeColor="text1"/>
          <w:sz w:val="20"/>
        </w:rPr>
        <w:t>, the estimate for freshwater systems has been revised to a range of 99-272 Tg CH</w:t>
      </w:r>
      <w:r w:rsidRPr="008D5D0F">
        <w:rPr>
          <w:color w:val="000000" w:themeColor="text1"/>
          <w:sz w:val="20"/>
          <w:vertAlign w:val="subscript"/>
        </w:rPr>
        <w:t>4</w:t>
      </w:r>
      <w:r w:rsidRPr="008D5D0F">
        <w:rPr>
          <w:color w:val="000000" w:themeColor="text1"/>
          <w:sz w:val="20"/>
        </w:rPr>
        <w:t xml:space="preserve"> yr</w:t>
      </w:r>
      <w:r w:rsidRPr="008D5D0F">
        <w:rPr>
          <w:color w:val="000000" w:themeColor="text1"/>
          <w:sz w:val="20"/>
          <w:vertAlign w:val="superscript"/>
        </w:rPr>
        <w:t>-1</w:t>
      </w:r>
      <w:r w:rsidRPr="008D5D0F">
        <w:rPr>
          <w:color w:val="000000" w:themeColor="text1"/>
          <w:sz w:val="20"/>
        </w:rPr>
        <w:t xml:space="preserve"> (mean of 185 Tg CH</w:t>
      </w:r>
      <w:r w:rsidRPr="008D5D0F">
        <w:rPr>
          <w:color w:val="000000" w:themeColor="text1"/>
          <w:sz w:val="20"/>
          <w:vertAlign w:val="subscript"/>
        </w:rPr>
        <w:t xml:space="preserve">4 </w:t>
      </w:r>
      <w:r w:rsidRPr="008D5D0F">
        <w:rPr>
          <w:color w:val="000000" w:themeColor="text1"/>
          <w:sz w:val="20"/>
        </w:rPr>
        <w:t>yr</w:t>
      </w:r>
      <w:r w:rsidRPr="008D5D0F">
        <w:rPr>
          <w:color w:val="000000" w:themeColor="text1"/>
          <w:sz w:val="20"/>
          <w:vertAlign w:val="superscript"/>
        </w:rPr>
        <w:t>-1</w:t>
      </w:r>
      <w:r w:rsidRPr="008D5D0F">
        <w:rPr>
          <w:color w:val="000000" w:themeColor="text1"/>
          <w:sz w:val="20"/>
        </w:rPr>
        <w:t>). However, this is likely an overestimate, as there is generally double-counting in bottom-up estimates of freshwater systems</w:t>
      </w:r>
      <w:r w:rsidR="00B60289" w:rsidRPr="008D5D0F">
        <w:rPr>
          <w:color w:val="000000" w:themeColor="text1"/>
          <w:sz w:val="20"/>
        </w:rPr>
        <w:t xml:space="preserve"> (e.g. lakes, rivers, and ponds)</w:t>
      </w:r>
      <w:r w:rsidRPr="008D5D0F">
        <w:rPr>
          <w:color w:val="000000" w:themeColor="text1"/>
          <w:sz w:val="20"/>
        </w:rPr>
        <w:t xml:space="preserve"> and global wetlands and an overestimation in other sources, such as vegetation. Double counting occurs because, for freshwater ecosystems, the prior estimates used for parameter calibration are usually derived from the inversion model, which does not distinguish freshwater systems and wetlands. The use of inversion models is necessitated in part by the large uncertainties associated with regional upscaling of site-level observations of highly variable CH</w:t>
      </w:r>
      <w:r w:rsidRPr="008D5D0F">
        <w:rPr>
          <w:color w:val="000000" w:themeColor="text1"/>
          <w:sz w:val="20"/>
          <w:vertAlign w:val="subscript"/>
        </w:rPr>
        <w:t>4</w:t>
      </w:r>
      <w:r w:rsidRPr="008D5D0F">
        <w:rPr>
          <w:color w:val="000000" w:themeColor="text1"/>
          <w:sz w:val="20"/>
        </w:rPr>
        <w:t xml:space="preserve"> fluxes.</w:t>
      </w:r>
      <w:r w:rsidR="00B074B7" w:rsidRPr="008D5D0F">
        <w:rPr>
          <w:color w:val="000000" w:themeColor="text1"/>
          <w:sz w:val="20"/>
        </w:rPr>
        <w:t xml:space="preserve"> </w:t>
      </w:r>
      <w:r w:rsidR="005F1B1E" w:rsidRPr="008D5D0F">
        <w:rPr>
          <w:color w:val="000000" w:themeColor="text1"/>
          <w:sz w:val="20"/>
        </w:rPr>
        <w:t>In addition, the inland freshwater distribution (e.g. lake, ponds, and rivers) applied in the upscaling</w:t>
      </w:r>
      <w:r w:rsidR="00837AC2" w:rsidRPr="008D5D0F">
        <w:rPr>
          <w:color w:val="000000" w:themeColor="text1"/>
          <w:sz w:val="20"/>
        </w:rPr>
        <w:t xml:space="preserve"> </w:t>
      </w:r>
      <w:r w:rsidR="00837AC2" w:rsidRPr="008D5D0F">
        <w:rPr>
          <w:color w:val="000000" w:themeColor="text1"/>
          <w:sz w:val="20"/>
        </w:rPr>
        <w:fldChar w:fldCharType="begin"/>
      </w:r>
      <w:r w:rsidR="00837AC2" w:rsidRPr="008D5D0F">
        <w:rPr>
          <w:color w:val="000000" w:themeColor="text1"/>
          <w:sz w:val="20"/>
        </w:rPr>
        <w:instrText xml:space="preserve"> ADDIN ZOTERO_ITEM CSL_CITATION {"citationID":"vXBkZxL2","properties":{"formattedCitation":"[25,26]","plainCitation":"[25,26]","noteIndex":0},"citationItems":[{"id":2797,"uris":["http://zotero.org/users/5672304/items/3MC9HC8R"],"uri":["http://zotero.org/users/5672304/items/3MC9HC8R"],"itemData":{"id":2797,"type":"article-journal","abstract":"Expanding the role of rivers\nThe surfaces of rivers and streams are interfaces for a host of chemical exchanges with the atmosphere and biosphere. For instance, carbon dioxide outgassing from rivers is estimated to be equivalent to one-fifth of combined emissions from fossil fuel combustion and cement production. Allen and Pavelsky used satellite imagery to estimate the surface area of rivers and streams (see the Perspective by Palmer and Ruhi). The stunning map that they generated results in an upward revision, by about one-third, to the total surface area of rivers and streams on Earth.\nScience, this issue p. 585; see also p. 546\nThe turbulent surfaces of rivers and streams are natural hotspots of biogeochemical exchange with the atmosphere. At the global scale, the total river-atmosphere flux of trace gasses such as carbon dioxide depends on the proportion of Earth’s surface that is covered by the fluvial network, yet the total surface area of rivers and streams is poorly constrained. We used a global database of planform river hydromorphology and a statistical approach to show that global river and stream surface area at mean annual discharge is 773,000 ± 79,000 square kilometers (0.58 ± 0.06%) of Earth’s nonglaciated land surface, an area 44 ± 15% larger than previous spatial estimates. We found that rivers and streams likely play a greater role in controlling land-atmosphere fluxes than is currently represented in global carbon budgets.\nA global map of rivers and streams from satellite imagery requires an upward revision of 35% to their global surface area.\nA global map of rivers and streams from satellite imagery requires an upward revision of 35% to their global surface area.","container-title":"Science","DOI":"10.1126/science.aat0636","ISSN":"0036-8075, 1095-9203","issue":"6402","language":"en","note":"PMID: 29954985","page":"585-588","source":"science.sciencemag.org","title":"Global extent of rivers and streams","volume":"361","author":[{"family":"Allen","given":"George H."},{"family":"Pavelsky","given":"Tamlin M."}],"issued":{"date-parts":[["2018",8,10]]}}},{"id":2184,"uris":["http://zotero.org/users/5672304/items/FYZWXFC8"],"uri":["http://zotero.org/users/5672304/items/FYZWXFC8"],"itemData":{"id":2184,"type":"article-journal","container-title":"Nature Communications","DOI":"10.1038/ncomms13603","ISSN":"2041-1723","issue":"1","language":"en","page":"13603","source":"DOI.org (Crossref)","title":"Estimating the volume and age of water stored in global lakes using a geo-statistical approach","volume":"7","author":[{"family":"Messager","given":"Mathis Loïc"},{"family":"Lehner","given":"Bernhard"},{"family":"Grill","given":"Günther"},{"family":"Nedeva","given":"Irena"},{"family":"Schmitt","given":"Oliver"}],"issued":{"date-parts":[["2016",12]]}}}],"schema":"https://github.com/citation-style-language/schema/raw/master/csl-citation.json"} </w:instrText>
      </w:r>
      <w:r w:rsidR="00837AC2" w:rsidRPr="008D5D0F">
        <w:rPr>
          <w:color w:val="000000" w:themeColor="text1"/>
          <w:sz w:val="20"/>
        </w:rPr>
        <w:fldChar w:fldCharType="separate"/>
      </w:r>
      <w:r w:rsidR="00837AC2" w:rsidRPr="008D5D0F">
        <w:rPr>
          <w:noProof/>
          <w:color w:val="000000" w:themeColor="text1"/>
          <w:sz w:val="20"/>
        </w:rPr>
        <w:t>[25,26]</w:t>
      </w:r>
      <w:r w:rsidR="00837AC2" w:rsidRPr="008D5D0F">
        <w:rPr>
          <w:color w:val="000000" w:themeColor="text1"/>
          <w:sz w:val="20"/>
        </w:rPr>
        <w:fldChar w:fldCharType="end"/>
      </w:r>
      <w:r w:rsidR="005F1B1E" w:rsidRPr="008D5D0F">
        <w:rPr>
          <w:color w:val="000000" w:themeColor="text1"/>
          <w:sz w:val="20"/>
        </w:rPr>
        <w:t xml:space="preserve"> are potentially overlapped with the distribution in the wetland CH</w:t>
      </w:r>
      <w:r w:rsidR="005F1B1E" w:rsidRPr="008D5D0F">
        <w:rPr>
          <w:color w:val="000000" w:themeColor="text1"/>
          <w:sz w:val="20"/>
          <w:vertAlign w:val="subscript"/>
        </w:rPr>
        <w:t>4</w:t>
      </w:r>
      <w:r w:rsidR="005F1B1E" w:rsidRPr="008D5D0F">
        <w:rPr>
          <w:color w:val="000000" w:themeColor="text1"/>
          <w:sz w:val="20"/>
        </w:rPr>
        <w:t xml:space="preserve"> estimates due to the difficulty in accurate splitting between wetland and freshwater extent </w:t>
      </w:r>
      <w:r w:rsidR="00837AC2" w:rsidRPr="008D5D0F">
        <w:rPr>
          <w:color w:val="000000" w:themeColor="text1"/>
          <w:sz w:val="20"/>
        </w:rPr>
        <w:fldChar w:fldCharType="begin"/>
      </w:r>
      <w:r w:rsidR="00837AC2" w:rsidRPr="008D5D0F">
        <w:rPr>
          <w:color w:val="000000" w:themeColor="text1"/>
          <w:sz w:val="20"/>
        </w:rPr>
        <w:instrText xml:space="preserve"> ADDIN ZOTERO_ITEM CSL_CITATION {"citationID":"NC0RHg07","properties":{"formattedCitation":"[27]","plainCitation":"[27]","noteIndex":0},"citationItems":[{"id":3711,"uris":["http://zotero.org/users/5672304/items/3FMF27H8"],"uri":["http://zotero.org/users/5672304/items/3FMF27H8"],"itemData":{"id":3711,"type":"article-journal","container-title":"Earth System Science Data","DOI":"10.5194/essd-13-2001-2021","issue":"5","page":"2001–2023","title":"Development of the global dataset of Wetland Area and Dynamics for Methane Modeling (WAD2M)","volume":"13","author":[{"family":"Zhang","given":"Z."},{"family":"Fluet-Chouinard","given":"E."},{"family":"Jensen","given":"K."},{"family":"McDonald","given":"K."},{"family":"Hugelius","given":"G."},{"family":"Gumbricht","given":"T."},{"family":"Carroll","given":"M."},{"family":"Prigent","given":"C."},{"family":"Bartsch","given":"A."},{"family":"Poulter","given":"B."}],"issued":{"date-parts":[["2021"]]}}}],"schema":"https://github.com/citation-style-language/schema/raw/master/csl-citation.json"} </w:instrText>
      </w:r>
      <w:r w:rsidR="00837AC2" w:rsidRPr="008D5D0F">
        <w:rPr>
          <w:color w:val="000000" w:themeColor="text1"/>
          <w:sz w:val="20"/>
        </w:rPr>
        <w:fldChar w:fldCharType="separate"/>
      </w:r>
      <w:r w:rsidR="00837AC2" w:rsidRPr="008D5D0F">
        <w:rPr>
          <w:noProof/>
          <w:color w:val="000000" w:themeColor="text1"/>
          <w:sz w:val="20"/>
        </w:rPr>
        <w:t>[27]</w:t>
      </w:r>
      <w:r w:rsidR="00837AC2" w:rsidRPr="008D5D0F">
        <w:rPr>
          <w:color w:val="000000" w:themeColor="text1"/>
          <w:sz w:val="20"/>
        </w:rPr>
        <w:fldChar w:fldCharType="end"/>
      </w:r>
      <w:r w:rsidR="005F1B1E" w:rsidRPr="008D5D0F">
        <w:rPr>
          <w:color w:val="000000" w:themeColor="text1"/>
          <w:sz w:val="20"/>
        </w:rPr>
        <w:t>.</w:t>
      </w:r>
      <w:r w:rsidR="00B60289" w:rsidRPr="008D5D0F">
        <w:rPr>
          <w:color w:val="000000" w:themeColor="text1"/>
          <w:sz w:val="20"/>
        </w:rPr>
        <w:t xml:space="preserve"> </w:t>
      </w:r>
      <w:r w:rsidRPr="008D5D0F">
        <w:rPr>
          <w:color w:val="000000" w:themeColor="text1"/>
          <w:sz w:val="20"/>
        </w:rPr>
        <w:t>Here, we assume that the total CH</w:t>
      </w:r>
      <w:r w:rsidRPr="008D5D0F">
        <w:rPr>
          <w:color w:val="000000" w:themeColor="text1"/>
          <w:sz w:val="20"/>
          <w:vertAlign w:val="subscript"/>
        </w:rPr>
        <w:t>4</w:t>
      </w:r>
      <w:r w:rsidRPr="008D5D0F">
        <w:rPr>
          <w:color w:val="000000" w:themeColor="text1"/>
          <w:sz w:val="20"/>
        </w:rPr>
        <w:t xml:space="preserve"> emissions from freshwater systems, wild animals, and other residual natural sources are constant at 61 Tg CH</w:t>
      </w:r>
      <w:r w:rsidRPr="008D5D0F">
        <w:rPr>
          <w:color w:val="000000" w:themeColor="text1"/>
          <w:sz w:val="20"/>
          <w:vertAlign w:val="subscript"/>
        </w:rPr>
        <w:t>4</w:t>
      </w:r>
      <w:r w:rsidRPr="008D5D0F">
        <w:rPr>
          <w:color w:val="000000" w:themeColor="text1"/>
          <w:sz w:val="20"/>
        </w:rPr>
        <w:t xml:space="preserve"> yr</w:t>
      </w:r>
      <w:r w:rsidRPr="008D5D0F">
        <w:rPr>
          <w:color w:val="000000" w:themeColor="text1"/>
          <w:sz w:val="20"/>
          <w:vertAlign w:val="superscript"/>
        </w:rPr>
        <w:t>-1</w:t>
      </w:r>
      <w:r w:rsidRPr="008D5D0F">
        <w:rPr>
          <w:color w:val="000000" w:themeColor="text1"/>
          <w:sz w:val="20"/>
        </w:rPr>
        <w:t xml:space="preserve"> (with a value of 9 Tg CH</w:t>
      </w:r>
      <w:r w:rsidRPr="008D5D0F">
        <w:rPr>
          <w:color w:val="000000" w:themeColor="text1"/>
          <w:sz w:val="20"/>
          <w:vertAlign w:val="subscript"/>
        </w:rPr>
        <w:t>4</w:t>
      </w:r>
      <w:r w:rsidRPr="008D5D0F">
        <w:rPr>
          <w:color w:val="000000" w:themeColor="text1"/>
          <w:sz w:val="20"/>
        </w:rPr>
        <w:t xml:space="preserve"> yr</w:t>
      </w:r>
      <w:r w:rsidRPr="008D5D0F">
        <w:rPr>
          <w:color w:val="000000" w:themeColor="text1"/>
          <w:sz w:val="20"/>
          <w:vertAlign w:val="superscript"/>
        </w:rPr>
        <w:t>-1</w:t>
      </w:r>
      <w:r w:rsidRPr="008D5D0F">
        <w:rPr>
          <w:color w:val="000000" w:themeColor="text1"/>
          <w:sz w:val="20"/>
        </w:rPr>
        <w:t xml:space="preserve"> from termites, 40 Tg CH</w:t>
      </w:r>
      <w:r w:rsidRPr="008D5D0F">
        <w:rPr>
          <w:color w:val="000000" w:themeColor="text1"/>
          <w:sz w:val="20"/>
          <w:vertAlign w:val="subscript"/>
        </w:rPr>
        <w:t>4</w:t>
      </w:r>
      <w:r w:rsidRPr="008D5D0F">
        <w:rPr>
          <w:color w:val="000000" w:themeColor="text1"/>
          <w:sz w:val="20"/>
        </w:rPr>
        <w:t xml:space="preserve"> yr</w:t>
      </w:r>
      <w:r w:rsidRPr="008D5D0F">
        <w:rPr>
          <w:color w:val="000000" w:themeColor="text1"/>
          <w:sz w:val="20"/>
          <w:vertAlign w:val="superscript"/>
        </w:rPr>
        <w:t xml:space="preserve">-1 </w:t>
      </w:r>
      <w:r w:rsidRPr="008D5D0F">
        <w:rPr>
          <w:color w:val="000000" w:themeColor="text1"/>
          <w:sz w:val="20"/>
        </w:rPr>
        <w:t>from freshwater, 10 Tg CH</w:t>
      </w:r>
      <w:r w:rsidRPr="008D5D0F">
        <w:rPr>
          <w:color w:val="000000" w:themeColor="text1"/>
          <w:sz w:val="20"/>
          <w:vertAlign w:val="subscript"/>
        </w:rPr>
        <w:t>4</w:t>
      </w:r>
      <w:r w:rsidRPr="008D5D0F">
        <w:rPr>
          <w:color w:val="000000" w:themeColor="text1"/>
          <w:sz w:val="20"/>
        </w:rPr>
        <w:t xml:space="preserve"> yr</w:t>
      </w:r>
      <w:r w:rsidRPr="008D5D0F">
        <w:rPr>
          <w:color w:val="000000" w:themeColor="text1"/>
          <w:sz w:val="20"/>
          <w:vertAlign w:val="superscript"/>
        </w:rPr>
        <w:t>-1</w:t>
      </w:r>
      <w:r w:rsidRPr="008D5D0F">
        <w:rPr>
          <w:color w:val="000000" w:themeColor="text1"/>
          <w:sz w:val="20"/>
        </w:rPr>
        <w:t xml:space="preserve"> from wild animals and 2 Tg CH</w:t>
      </w:r>
      <w:r w:rsidRPr="008D5D0F">
        <w:rPr>
          <w:color w:val="000000" w:themeColor="text1"/>
          <w:sz w:val="20"/>
          <w:vertAlign w:val="subscript"/>
        </w:rPr>
        <w:t>4</w:t>
      </w:r>
      <w:r w:rsidRPr="008D5D0F">
        <w:rPr>
          <w:color w:val="000000" w:themeColor="text1"/>
          <w:sz w:val="20"/>
        </w:rPr>
        <w:t xml:space="preserve"> yr</w:t>
      </w:r>
      <w:r w:rsidRPr="008D5D0F">
        <w:rPr>
          <w:color w:val="000000" w:themeColor="text1"/>
          <w:sz w:val="20"/>
          <w:vertAlign w:val="superscript"/>
        </w:rPr>
        <w:t>-1</w:t>
      </w:r>
      <w:r w:rsidRPr="008D5D0F">
        <w:rPr>
          <w:color w:val="000000" w:themeColor="text1"/>
          <w:sz w:val="20"/>
        </w:rPr>
        <w:t xml:space="preserve"> from permafrost) for the purpose of balancing the global CH</w:t>
      </w:r>
      <w:r w:rsidRPr="008D5D0F">
        <w:rPr>
          <w:color w:val="000000" w:themeColor="text1"/>
          <w:sz w:val="20"/>
          <w:vertAlign w:val="subscript"/>
        </w:rPr>
        <w:t>4</w:t>
      </w:r>
      <w:r w:rsidRPr="008D5D0F">
        <w:rPr>
          <w:color w:val="000000" w:themeColor="text1"/>
          <w:sz w:val="20"/>
        </w:rPr>
        <w:t xml:space="preserve"> budget and simplification.</w:t>
      </w:r>
    </w:p>
    <w:p w14:paraId="3528603A" w14:textId="77777777" w:rsidR="00EB592C" w:rsidRPr="008D5D0F" w:rsidRDefault="00EB592C" w:rsidP="00EB592C">
      <w:pPr>
        <w:pBdr>
          <w:top w:val="nil"/>
          <w:left w:val="nil"/>
          <w:bottom w:val="nil"/>
          <w:right w:val="nil"/>
          <w:between w:val="nil"/>
        </w:pBdr>
        <w:spacing w:after="200"/>
        <w:contextualSpacing/>
        <w:rPr>
          <w:color w:val="000000" w:themeColor="text1"/>
          <w:sz w:val="20"/>
        </w:rPr>
      </w:pPr>
    </w:p>
    <w:p w14:paraId="690055ED" w14:textId="7D941DCB" w:rsidR="00EB592C" w:rsidRPr="008D5D0F" w:rsidRDefault="00EB592C" w:rsidP="00EB592C">
      <w:pPr>
        <w:pBdr>
          <w:top w:val="nil"/>
          <w:left w:val="nil"/>
          <w:bottom w:val="nil"/>
          <w:right w:val="nil"/>
          <w:between w:val="nil"/>
        </w:pBdr>
        <w:contextualSpacing/>
        <w:rPr>
          <w:color w:val="000000" w:themeColor="text1"/>
          <w:sz w:val="20"/>
        </w:rPr>
      </w:pPr>
      <w:bookmarkStart w:id="9" w:name="_Toc37816965"/>
      <w:r w:rsidRPr="008D5D0F">
        <w:rPr>
          <w:b/>
          <w:bCs/>
          <w:color w:val="000000" w:themeColor="text1"/>
          <w:sz w:val="20"/>
        </w:rPr>
        <w:t>Extrapolations of bottom-up estimates</w:t>
      </w:r>
      <w:bookmarkEnd w:id="9"/>
      <w:r w:rsidRPr="008D5D0F">
        <w:rPr>
          <w:b/>
          <w:bCs/>
          <w:color w:val="000000" w:themeColor="text1"/>
          <w:sz w:val="20"/>
        </w:rPr>
        <w:t>.</w:t>
      </w:r>
      <w:r w:rsidRPr="008D5D0F">
        <w:rPr>
          <w:color w:val="000000" w:themeColor="text1"/>
          <w:sz w:val="20"/>
        </w:rPr>
        <w:t xml:space="preserve"> As this study aimed to investigate the variation in atmospheric CH</w:t>
      </w:r>
      <w:r w:rsidRPr="008D5D0F">
        <w:rPr>
          <w:color w:val="000000" w:themeColor="text1"/>
          <w:sz w:val="20"/>
          <w:vertAlign w:val="subscript"/>
        </w:rPr>
        <w:t>4</w:t>
      </w:r>
      <w:r w:rsidRPr="008D5D0F">
        <w:rPr>
          <w:color w:val="000000" w:themeColor="text1"/>
          <w:sz w:val="20"/>
        </w:rPr>
        <w:t xml:space="preserve"> from 1993-2017, we built extrapolated estimates for EDGARv4.2, WOLF2017, SCH150, and Worden2017 applied in this study up to 2017 using two statistical datasets: i) FAOSTAT emissions for the CH</w:t>
      </w:r>
      <w:r w:rsidRPr="008D5D0F">
        <w:rPr>
          <w:color w:val="000000" w:themeColor="text1"/>
          <w:sz w:val="20"/>
          <w:vertAlign w:val="subscript"/>
        </w:rPr>
        <w:t>4</w:t>
      </w:r>
      <w:r w:rsidRPr="008D5D0F">
        <w:rPr>
          <w:color w:val="000000" w:themeColor="text1"/>
          <w:sz w:val="20"/>
        </w:rPr>
        <w:t xml:space="preserve"> sectors of enteric fermentation, manure management and rice cultivation and ii) BP statistical review of fossil fuel production and consumption (</w:t>
      </w:r>
      <w:hyperlink r:id="rId9" w:history="1">
        <w:r w:rsidRPr="008D5D0F">
          <w:rPr>
            <w:rStyle w:val="affd"/>
            <w:color w:val="000000" w:themeColor="text1"/>
            <w:sz w:val="20"/>
          </w:rPr>
          <w:t>http://www.bp.com</w:t>
        </w:r>
      </w:hyperlink>
      <w:r w:rsidRPr="008D5D0F">
        <w:rPr>
          <w:color w:val="000000" w:themeColor="text1"/>
          <w:sz w:val="20"/>
          <w:u w:val="single"/>
        </w:rPr>
        <w:t>, last access Aug. 28 2019</w:t>
      </w:r>
      <w:r w:rsidRPr="008D5D0F">
        <w:rPr>
          <w:color w:val="000000" w:themeColor="text1"/>
          <w:sz w:val="20"/>
        </w:rPr>
        <w:t>) for the CH</w:t>
      </w:r>
      <w:r w:rsidRPr="008D5D0F">
        <w:rPr>
          <w:color w:val="000000" w:themeColor="text1"/>
          <w:sz w:val="20"/>
          <w:vertAlign w:val="subscript"/>
        </w:rPr>
        <w:t>4</w:t>
      </w:r>
      <w:r w:rsidRPr="008D5D0F">
        <w:rPr>
          <w:color w:val="000000" w:themeColor="text1"/>
          <w:sz w:val="20"/>
        </w:rPr>
        <w:t xml:space="preserve"> sectors of coal, oil, and gas. The extrapolation follows the data-driven approach applied in </w:t>
      </w:r>
      <w:r w:rsidRPr="008D5D0F">
        <w:rPr>
          <w:color w:val="000000" w:themeColor="text1"/>
          <w:sz w:val="20"/>
        </w:rPr>
        <w:fldChar w:fldCharType="begin"/>
      </w:r>
      <w:r w:rsidR="00837AC2" w:rsidRPr="008D5D0F">
        <w:rPr>
          <w:color w:val="000000" w:themeColor="text1"/>
          <w:sz w:val="20"/>
        </w:rPr>
        <w:instrText xml:space="preserve"> ADDIN ZOTERO_ITEM CSL_CITATION {"citationID":"1jaS1rIk","properties":{"formattedCitation":"[28]","plainCitation":"[28]","noteIndex":0},"citationItems":[{"id":1558,"uris":["http://zotero.org/users/5672304/items/ZRJLZ3W3"],"uri":["http://zotero.org/users/5672304/items/ZRJLZ3W3"],"itemData":{"id":1558,"type":"article-journal","abstract":"&lt;p&gt;&lt;strong&gt;Abstract.&lt;/strong&gt; The global methane (CH&lt;sub&gt;4&lt;/sub&gt;) budget is becoming an increasingly important component for managing realistic pathways to mitigate climate change. This relevance, due to a shorter atmospheric lifetime and a stronger warming potential than carbon dioxide, is challenged by the still unexplained changes of atmospheric CH&lt;sub&gt;4&lt;/sub&gt; over the past decade. Emissions and concentrations of CH&lt;sub&gt;4&lt;/sub&gt; are continuing to increase, making CH&lt;sub&gt;4&lt;/sub&gt; the second most important human-induced greenhouse gas after carbon dioxide. Two major difficulties in reducing uncertainties come from the large variety of diffusive CH&lt;sub&gt;4&lt;/sub&gt; sources that overlap geographically, and from the destruction of CH&lt;sub&gt;4&lt;/sub&gt; by the very short-lived hydroxyl radical (OH). To address these difficulties, we have established a consortium of multi-disciplinary scientists under the umbrella of the Global Carbon Project to synthesize and stimulate research on the methane cycle, and producing regular (</w:instrText>
      </w:r>
      <w:r w:rsidR="00837AC2" w:rsidRPr="008D5D0F">
        <w:rPr>
          <w:rFonts w:ascii="Cambria Math" w:hAnsi="Cambria Math" w:cs="Cambria Math"/>
          <w:color w:val="000000" w:themeColor="text1"/>
          <w:sz w:val="20"/>
        </w:rPr>
        <w:instrText>∼</w:instrText>
      </w:r>
      <w:r w:rsidR="00837AC2" w:rsidRPr="008D5D0F">
        <w:rPr>
          <w:color w:val="000000" w:themeColor="text1"/>
          <w:sz w:val="20"/>
        </w:rPr>
        <w:instrText> biennial) updates of the global methane budget. This consortium includes atmospheric physicists and chemists, biogeochemists of surface and marine emissions, and socio-economists who study anthropogenic emissions. Following Kirschke et al. (2013), we propose here the first version of a living review paper that integrates results of top-down studies (exploiting atmospheric observations within an atmospheric inverse-modelling framework) and bottom-up models, inventories and data-driven approaches (including process-based models for estimating land surface emissions and atmospheric chemistry, and inventories for anthropogenic emissions, data-driven extrapolations). &lt;br&gt;&lt;br&gt; For the 2003–2012 decade, global methane emissions are estimated by top-down inversions at 558&lt;span class=\"thinspace\"&gt;&lt;/span&gt;Tg&lt;span class=\"thinspace\"&gt;&lt;/span&gt;CH&lt;sub&gt;4&lt;/sub&gt;&lt;span class=\"thinspace\"&gt;&lt;/span&gt;yr&lt;sup&gt;−1&lt;/sup&gt;, range 540–568. About 60&lt;span class=\"thinspace\"&gt;&lt;/span&gt;% of global emissions are anthropogenic (range 50–65&lt;span class=\"thinspace\"&gt;&lt;/span&gt;%). Since 2010, the bottom-up global emission inventories have been closer to methane emissions in the most carbon-intensive Representative Concentrations Pathway (RCP8.5) and higher than all other RCP scenarios. Bottom-up approaches suggest larger global emissions (736&lt;span class=\"thinspace\"&gt;&lt;/span&gt;Tg&lt;span class=\"thinspace\"&gt;&lt;/span&gt;CH&lt;sub&gt;4&lt;/sub&gt;&lt;span class=\"thinspace\"&gt;&lt;/span&gt;yr&lt;sup&gt;−1&lt;/sup&gt;, range 596–884) mostly because of larger natural emissions from individual sources such as inland waters, natural wetlands and geological sources. Considering the atmospheric constraints on the top-down budget, it is likely that some of the individual emissions reported by the bottom-up approaches are overestimated, leading to too large global emissions. Latitudinal data from top-down emissions indicate a predominance of tropical emissions (</w:instrText>
      </w:r>
      <w:r w:rsidR="00837AC2" w:rsidRPr="008D5D0F">
        <w:rPr>
          <w:rFonts w:ascii="Cambria Math" w:hAnsi="Cambria Math" w:cs="Cambria Math"/>
          <w:color w:val="000000" w:themeColor="text1"/>
          <w:sz w:val="20"/>
        </w:rPr>
        <w:instrText>∼</w:instrText>
      </w:r>
      <w:r w:rsidR="00837AC2" w:rsidRPr="008D5D0F">
        <w:rPr>
          <w:color w:val="000000" w:themeColor="text1"/>
          <w:sz w:val="20"/>
        </w:rPr>
        <w:instrText> 64&lt;span class=\"thinspace\"&gt;&lt;/span&gt;% of the global budget, &amp;amp;lt;&lt;span class=\"thinspace\"&gt;&lt;/span&gt;30°&lt;span class=\"thinspace\"&gt;&lt;/span&gt;N) as compared to mid (</w:instrText>
      </w:r>
      <w:r w:rsidR="00837AC2" w:rsidRPr="008D5D0F">
        <w:rPr>
          <w:rFonts w:ascii="Cambria Math" w:hAnsi="Cambria Math" w:cs="Cambria Math"/>
          <w:color w:val="000000" w:themeColor="text1"/>
          <w:sz w:val="20"/>
        </w:rPr>
        <w:instrText>∼</w:instrText>
      </w:r>
      <w:r w:rsidR="00837AC2" w:rsidRPr="008D5D0F">
        <w:rPr>
          <w:color w:val="000000" w:themeColor="text1"/>
          <w:sz w:val="20"/>
        </w:rPr>
        <w:instrText>&lt;span class=\"thinspace\"&gt;&lt;/span&gt;32&lt;span class=\"thinspace\"&gt;&lt;/span&gt;%, 30–60°&lt;span class=\"thinspace\"&gt;&lt;/span&gt;N) and high northern latitudes (</w:instrText>
      </w:r>
      <w:r w:rsidR="00837AC2" w:rsidRPr="008D5D0F">
        <w:rPr>
          <w:rFonts w:ascii="Cambria Math" w:hAnsi="Cambria Math" w:cs="Cambria Math"/>
          <w:color w:val="000000" w:themeColor="text1"/>
          <w:sz w:val="20"/>
        </w:rPr>
        <w:instrText>∼</w:instrText>
      </w:r>
      <w:r w:rsidR="00837AC2" w:rsidRPr="008D5D0F">
        <w:rPr>
          <w:color w:val="000000" w:themeColor="text1"/>
          <w:sz w:val="20"/>
        </w:rPr>
        <w:instrText> 4&lt;span class=\"thinspace\"&gt;&lt;/span&gt;%, 60–90°&lt;span class=\"thinspace\"&gt;&lt;/span&gt;N). Top-down inversions consistently infer lower emissions in China (</w:instrText>
      </w:r>
      <w:r w:rsidR="00837AC2" w:rsidRPr="008D5D0F">
        <w:rPr>
          <w:rFonts w:ascii="Cambria Math" w:hAnsi="Cambria Math" w:cs="Cambria Math"/>
          <w:color w:val="000000" w:themeColor="text1"/>
          <w:sz w:val="20"/>
        </w:rPr>
        <w:instrText>∼</w:instrText>
      </w:r>
      <w:r w:rsidR="00837AC2" w:rsidRPr="008D5D0F">
        <w:rPr>
          <w:color w:val="000000" w:themeColor="text1"/>
          <w:sz w:val="20"/>
        </w:rPr>
        <w:instrText xml:space="preserve"> 58&lt;span class=\"thinspace\"&gt;&lt;/span&gt;Tg&lt;span class=\"thinspace\"&gt;&lt;/span&gt;CH&lt;sub&gt;4&lt;/sub&gt;&lt;span class=\"thinspace\"&gt;&lt;/span&gt;yr&lt;sup&gt;−1&lt;/sup&gt;, range 51–72, −14&lt;span class=\"thinspace\"&gt;&lt;/span&gt;%) and higher emissions in Africa (86&lt;span class=\"thinspace\"&gt;&lt;/span&gt;Tg&lt;span class=\"thinspace\"&gt;&lt;/span&gt;CH&lt;sub&gt;4&lt;/sub&gt;&lt;span class=\"thinspace\"&gt;&lt;/span&gt;yr&lt;sup&gt;−1&lt;/sup&gt;, range 73–108, +19&lt;span class=\"thinspace\"&gt;&lt;/span&gt;%) than bottom-up values used as prior estimates. Overall, uncertainties for anthropogenic emissions appear smaller than those from natural sources, and the uncertainties on source categories appear larger for top-down inversions than for bottom-up inventories and models. &lt;br&gt;&lt;br&gt; The most important source of uncertainty on the methane budget is attributable to emissions from wetland and other inland waters. We show that the wetland extent could contribute 30–40&lt;span class=\"thinspace\"&gt;&lt;/span&gt;% on the estimated range for wetland emissions. Other priorities for improving the methane budget include the following: (i) the development of process-based models for inland-water emissions, (ii) the intensification of methane observations at local scale (flux measurements) to constrain bottom-up land surface models, and at regional scale (surface networks and satellites) to constrain top-down inversions, (iii) improvements in the estimation of atmospheric loss by OH, and (iv) improvements of the transport models integrated in top-down inversions. The data presented here can be downloaded from the Carbon Dioxide Information Analysis Center (&lt;a href=\"http://doi.org/10.3334/CDIAC/GLOBAL_METHANE_BUDGET_2016_V1.1\" target=\"_blank\"&gt;http://doi.org/10.3334/CDIAC/GLOBAL_METHANE_BUDGET_2016_V1.1&lt;/a&gt;) and the Global Carbon Project.&lt;/p&gt;","container-title":"Earth System Science Data","DOI":"10.5194/essd-8-697-2016","ISSN":"1866-3516","issue":"2","language":"en","page":"697-751","source":"DOI.org (Crossref)","title":"The Global Methane Budget 2000–2012","volume":"8","author":[{"family":"Saunois","given":"Marielle"},{"family":"Bousquet","given":"Philippe"},{"family":"Poulter","given":"Ben"},{"family":"Peregon","given":"Anna"},{"family":"Ciais","given":"Philippe"},{"family":"Canadell","given":"Josep G."},{"family":"Dlugokencky","given":"Edward J."},{"family":"Etiope","given":"Giuseppe"},{"family":"Bastviken","given":"David"},{"family":"Houweling","given":"Sander"},{"family":"Janssens-Maenhout","given":"Greet"},{"family":"Tubiello","given":"Francesco N."},{"family":"Castaldi","given":"Simona"},{"family":"Jackson","given":"Robert B."},{"family":"Alexe","given":"Mihai"},{"family":"Arora","given":"Vivek K."},{"family":"Beerling","given":"David J."},{"family":"Bergamaschi","given":"Peter"},{"family":"Blake","given":"Donald R."},{"family":"Brailsford","given":"Gordon"},{"family":"Brovkin","given":"Victor"},{"family":"Bruhwiler","given":"Lori"},{"family":"Crevoisier","given":"Cyril"},{"family":"Crill","given":"Patrick"},{"family":"Covey","given":"Kristofer"},{"family":"Curry","given":"Charles"},{"family":"Frankenberg","given":"Christian"},{"family":"Gedney","given":"Nicola"},{"family":"Höglund-Isaksson","given":"Lena"},{"family":"Ishizawa","given":"Misa"},{"family":"Ito","given":"Akihiko"},{"family":"Joos","given":"Fortunat"},{"family":"Kim","given":"Heon-Sook"},{"family":"Kleinen","given":"Thomas"},{"family":"Krummel","given":"Paul"},{"family":"Lamarque","given":"Jean-François"},{"family":"Langenfelds","given":"Ray"},{"family":"Locatelli","given":"Robin"},{"family":"Machida","given":"Toshinobu"},{"family":"Maksyutov","given":"Shamil"},{"family":"McDonald","given":"Kyle C."},{"family":"Marshall","given":"Julia"},{"family":"Melton","given":"Joe R."},{"family":"Morino","given":"Isamu"},{"family":"Naik","given":"Vaishali"},{"family":"O&amp;amp;apos;Doherty","given":"Simon"},{"family":"Parmentier","given":"Frans-Jan W."},{"family":"Patra","given":"Prabir K."},{"family":"Peng","given":"Changhui"},{"family":"Peng","given":"Shushi"},{"family":"Peters","given":"Glen P."},{"family":"Pison","given":"Isabelle"},{"family":"Prigent","given":"Catherine"},{"family":"Prinn","given":"Ronald"},{"family":"Ramonet","given":"Michel"},{"family":"Riley","given":"William J."},{"family":"Saito","given":"Makoto"},{"family":"Santini","given":"Monia"},{"family":"Schroeder","given":"Ronny"},{"family":"Simpson","given":"Isobel J."},{"family":"Spahni","given":"Renato"},{"family":"Steele","given":"Paul"},{"family":"Takizawa","given":"Atsushi"},{"family":"Thornton","given":"Brett F."},{"family":"Tian","given":"Hanqin"},{"family":"Tohjima","given":"Yasunori"},{"family":"Viovy","given":"Nicolas"},{"family":"Voulgarakis","given":"Apostolos"},{"family":"Weele","given":"Michiel","non-dropping-particle":"van"},{"family":"Werf","given":"Guido R.","non-dropping-particle":"van der"},{"family":"Weiss","given":"Ray"},{"family":"Wiedinmyer","given":"Christine"},{"family":"Wilton","given":"David J."},{"family":"Wiltshire","given":"Andy"},{"family":"Worthy","given":"Doug"},{"family":"Wunch","given":"Debra"},{"family":"Xu","given":"Xiyan"},{"family":"Yoshida","given":"Yukio"},{"family":"Zhang","given":"Bowen"},{"family":"Zhang","given":"Zhen"},{"family":"Zhu","given":"Qiuan"}],"issued":{"date-parts":[["2016",12,12]]}}}],"schema":"https://github.com/citation-style-language/schema/raw/master/csl-citation.json"} </w:instrText>
      </w:r>
      <w:r w:rsidRPr="008D5D0F">
        <w:rPr>
          <w:color w:val="000000" w:themeColor="text1"/>
          <w:sz w:val="20"/>
        </w:rPr>
        <w:fldChar w:fldCharType="separate"/>
      </w:r>
      <w:r w:rsidR="00837AC2" w:rsidRPr="008D5D0F">
        <w:rPr>
          <w:color w:val="000000" w:themeColor="text1"/>
          <w:sz w:val="20"/>
        </w:rPr>
        <w:t>[28]</w:t>
      </w:r>
      <w:r w:rsidRPr="008D5D0F">
        <w:rPr>
          <w:color w:val="000000" w:themeColor="text1"/>
          <w:sz w:val="20"/>
        </w:rPr>
        <w:fldChar w:fldCharType="end"/>
      </w:r>
      <w:r w:rsidRPr="008D5D0F">
        <w:rPr>
          <w:color w:val="000000" w:themeColor="text1"/>
          <w:sz w:val="20"/>
        </w:rPr>
        <w:t xml:space="preserve">, and we use the same extrapolated datasets EDGARv4.3.2 and GAINS inventories from a recent synthesis </w:t>
      </w:r>
      <w:r w:rsidRPr="008D5D0F">
        <w:rPr>
          <w:color w:val="000000" w:themeColor="text1"/>
          <w:sz w:val="20"/>
        </w:rPr>
        <w:fldChar w:fldCharType="begin"/>
      </w:r>
      <w:r w:rsidR="00837AC2" w:rsidRPr="008D5D0F">
        <w:rPr>
          <w:color w:val="000000" w:themeColor="text1"/>
          <w:sz w:val="20"/>
        </w:rPr>
        <w:instrText xml:space="preserve"> ADDIN ZOTERO_ITEM CSL_CITATION {"citationID":"7G6sQWu3","properties":{"formattedCitation":"[24]","plainCitation":"[24]","noteIndex":0},"citationItems":[{"id":3329,"uris":["http://zotero.org/users/5672304/items/9YG5IVDG"],"uri":["http://zotero.org/users/5672304/items/9YG5IVDG"],"itemData":{"id":3329,"type":"article-journal","abstract":"&lt;p&gt;&lt;strong&gt;Abstract.&lt;/strong&gt; Understanding and quantifying the global methane (&lt;span class=\"inline-formula\"&gt;CH&lt;sub&gt;4&lt;/sub&gt;&lt;/span&gt;) budget is important for assessing realistic pathways to mitigate climate change. Atmospheric emissions and concentrations of &lt;span class=\"inline-formula\"&gt;CH&lt;sub&gt;4&lt;/sub&gt;&lt;/span&gt; continue to increase, making &lt;span class=\"inline-formula\"&gt;CH&lt;sub&gt;4&lt;/sub&gt;&lt;/span&gt; the second most important human-influenced greenhouse gas in terms of climate forcing, after carbon dioxide (&lt;span class=\"inline-formula\"&gt;CO&lt;sub&gt;2&lt;/sub&gt;&lt;/span&gt;). The relative importance of &lt;span class=\"inline-formula\"&gt;CH&lt;sub&gt;4&lt;/sub&gt;&lt;/span&gt; compared to &lt;span class=\"inline-formula\"&gt;CO&lt;sub&gt;2&lt;/sub&gt;&lt;/span&gt; depends on its shorter atmospheric lifetime, stronger warming potential, and variations in atmospheric growth rate over the past decade, the causes of which are still debated. Two major challenges in reducing uncertainties in the atmospheric growth rate arise from the variety of geographically overlapping &lt;span class=\"inline-formula\"&gt;CH&lt;sub&gt;4&lt;/sub&gt;&lt;/span&gt; sources and from the destruction of &lt;span class=\"inline-formula\"&gt;CH&lt;sub&gt;4&lt;/sub&gt;&lt;/span&gt; by short-lived hydroxyl radicals (OH). To address these challenges, we have established a consortium of multidisciplinary scientists under the umbrella of the Global Carbon Project to synthesize and stimulate new research aimed at improving and regularly updating the global methane budget. Following Saunois et al. (2016), we present here the second version of the living review paper dedicated to the decadal methane budget, integrating results of top-down studies (atmospheric observations within an atmospheric inverse-modelling framework) and bottom-up estimates (including process-based models for estimating land surface emissions and atmospheric chemistry, inventories of anthropogenic emissions, and data-driven extrapolations).&lt;/p&gt; &lt;p&gt;&lt;span id=\"page1564\"/&gt;For the 2008–2017 decade, global methane emissions are estimated by atmospheric inversions (a top-down approach) to be 576&amp;thinsp;Tg&amp;thinsp;&lt;span class=\"inline-formula\"&gt;CH&lt;sub&gt;4&lt;/sub&gt;&lt;/span&gt;&amp;thinsp;yr&lt;span class=\"inline-formula\"&gt;&lt;sup&gt;−1&lt;/sup&gt;&lt;/span&gt; (range 550–594, corresponding to the minimum and maximum estimates of the model ensemble). Of this total, 359&amp;thinsp;Tg&amp;thinsp;&lt;span class=\"inline-formula\"&gt;CH&lt;sub&gt;4&lt;/sub&gt;&lt;/span&gt;&amp;thinsp;yr&lt;span class=\"inline-formula\"&gt;&lt;sup&gt;−1&lt;/sup&gt;&lt;/span&gt; or &lt;span class=\"inline-formula\"&gt;</w:instrText>
      </w:r>
      <w:r w:rsidR="00837AC2" w:rsidRPr="008D5D0F">
        <w:rPr>
          <w:rFonts w:ascii="Cambria Math" w:hAnsi="Cambria Math" w:cs="Cambria Math"/>
          <w:color w:val="000000" w:themeColor="text1"/>
          <w:sz w:val="20"/>
        </w:rPr>
        <w:instrText>∼</w:instrText>
      </w:r>
      <w:r w:rsidR="00837AC2" w:rsidRPr="008D5D0F">
        <w:rPr>
          <w:color w:val="000000" w:themeColor="text1"/>
          <w:sz w:val="20"/>
        </w:rPr>
        <w:instrText>&lt;/span&gt;&amp;thinsp;60&amp;thinsp;% is attributed to anthropogenic sources, that is emissions caused by direct human activity (i.e. anthropogenic emissions; range 336–376&amp;thinsp;Tg&amp;thinsp;&lt;span class=\"inline-formula\"&gt;CH&lt;sub&gt;4&lt;/sub&gt;&lt;/span&gt;&amp;thinsp;yr&lt;span class=\"inline-formula\"&gt;&lt;sup&gt;−1&lt;/sup&gt;&lt;/span&gt; or 50&amp;thinsp;%–65&amp;thinsp;%). The mean annual total emission for the new decade (2008–2017) is 29&amp;thinsp;Tg&amp;thinsp;&lt;span class=\"inline-formula\"&gt;CH&lt;sub&gt;4&lt;/sub&gt;&lt;/span&gt;&amp;thinsp;yr&lt;span class=\"inline-formula\"&gt;&lt;sup&gt;−1&lt;/sup&gt;&lt;/span&gt; larger than our estimate for the previous decade (2000–2009), and 24&amp;thinsp;Tg&amp;thinsp;&lt;span class=\"inline-formula\"&gt;CH&lt;sub&gt;4&lt;/sub&gt;&lt;/span&gt;&amp;thinsp;yr&lt;span class=\"inline-formula\"&gt;&lt;sup&gt;−1&lt;/sup&gt;&lt;/span&gt; larger than the one reported in the previous budget for 2003–2012 (Saunois et al., 2016). Since 2012, global &lt;span class=\"inline-formula\"&gt;CH&lt;sub&gt;4&lt;/sub&gt;&lt;/span&gt; emissions have been tracking the warmest scenarios assessed by the Intergovernmental Panel on Climate Change. Bottom-up methods suggest almost 30&amp;thinsp;% larger global emissions (737&amp;thinsp;Tg&amp;thinsp;&lt;span class=\"inline-formula\"&gt;CH&lt;sub&gt;4&lt;/sub&gt;&lt;/span&gt;&amp;thinsp;yr&lt;span class=\"inline-formula\"&gt;&lt;sup&gt;−1&lt;/sup&gt;&lt;/span&gt;, range 594–881) than top-down inversion methods. Indeed, bottom-up estimates for natural sources such as natural wetlands, other inland water systems, and geological sources are higher than top-down estimates. The atmospheric constraints on the top-down budget suggest that at least some of these bottom-up emissions are overestimated. The latitudinal distribution of atmospheric observation-based emissions indicates a predominance of tropical emissions (&lt;span class=\"inline-formula\"&gt;</w:instrText>
      </w:r>
      <w:r w:rsidR="00837AC2" w:rsidRPr="008D5D0F">
        <w:rPr>
          <w:rFonts w:ascii="Cambria Math" w:hAnsi="Cambria Math" w:cs="Cambria Math"/>
          <w:color w:val="000000" w:themeColor="text1"/>
          <w:sz w:val="20"/>
        </w:rPr>
        <w:instrText>∼</w:instrText>
      </w:r>
      <w:r w:rsidR="00837AC2" w:rsidRPr="008D5D0F">
        <w:rPr>
          <w:color w:val="000000" w:themeColor="text1"/>
          <w:sz w:val="20"/>
        </w:rPr>
        <w:instrText>&lt;/span&gt;&amp;thinsp;65&amp;thinsp;% of the global budget, &lt;span class=\"inline-formula\"&gt;&amp;lt;&lt;/span&gt;&amp;thinsp;30&lt;span class=\"inline-formula\"&gt;&lt;sup&gt;</w:instrText>
      </w:r>
      <w:r w:rsidR="00837AC2" w:rsidRPr="008D5D0F">
        <w:rPr>
          <w:rFonts w:ascii="Cambria Math" w:hAnsi="Cambria Math" w:cs="Cambria Math"/>
          <w:color w:val="000000" w:themeColor="text1"/>
          <w:sz w:val="20"/>
        </w:rPr>
        <w:instrText>∘</w:instrText>
      </w:r>
      <w:r w:rsidR="00837AC2" w:rsidRPr="008D5D0F">
        <w:rPr>
          <w:color w:val="000000" w:themeColor="text1"/>
          <w:sz w:val="20"/>
        </w:rPr>
        <w:instrText>&lt;/sup&gt;&lt;/span&gt;&amp;thinsp;N) compared to mid-latitudes (&lt;span class=\"inline-formula\"&gt;</w:instrText>
      </w:r>
      <w:r w:rsidR="00837AC2" w:rsidRPr="008D5D0F">
        <w:rPr>
          <w:rFonts w:ascii="Cambria Math" w:hAnsi="Cambria Math" w:cs="Cambria Math"/>
          <w:color w:val="000000" w:themeColor="text1"/>
          <w:sz w:val="20"/>
        </w:rPr>
        <w:instrText>∼</w:instrText>
      </w:r>
      <w:r w:rsidR="00837AC2" w:rsidRPr="008D5D0F">
        <w:rPr>
          <w:color w:val="000000" w:themeColor="text1"/>
          <w:sz w:val="20"/>
        </w:rPr>
        <w:instrText>&lt;/span&gt;&amp;thinsp;30&amp;thinsp;%, 30–60&lt;span class=\"inline-formula\"&gt;&lt;sup&gt;</w:instrText>
      </w:r>
      <w:r w:rsidR="00837AC2" w:rsidRPr="008D5D0F">
        <w:rPr>
          <w:rFonts w:ascii="Cambria Math" w:hAnsi="Cambria Math" w:cs="Cambria Math"/>
          <w:color w:val="000000" w:themeColor="text1"/>
          <w:sz w:val="20"/>
        </w:rPr>
        <w:instrText>∘</w:instrText>
      </w:r>
      <w:r w:rsidR="00837AC2" w:rsidRPr="008D5D0F">
        <w:rPr>
          <w:color w:val="000000" w:themeColor="text1"/>
          <w:sz w:val="20"/>
        </w:rPr>
        <w:instrText>&lt;/sup&gt;&lt;/span&gt;&amp;thinsp;N) and high northern latitudes (&lt;span class=\"inline-formula\"&gt;</w:instrText>
      </w:r>
      <w:r w:rsidR="00837AC2" w:rsidRPr="008D5D0F">
        <w:rPr>
          <w:rFonts w:ascii="Cambria Math" w:hAnsi="Cambria Math" w:cs="Cambria Math"/>
          <w:color w:val="000000" w:themeColor="text1"/>
          <w:sz w:val="20"/>
        </w:rPr>
        <w:instrText>∼</w:instrText>
      </w:r>
      <w:r w:rsidR="00837AC2" w:rsidRPr="008D5D0F">
        <w:rPr>
          <w:color w:val="000000" w:themeColor="text1"/>
          <w:sz w:val="20"/>
        </w:rPr>
        <w:instrText>&lt;/span&gt;&amp;thinsp;4&amp;thinsp;%, 60–90&lt;span class=\"inline-formula\"&gt;&lt;sup&gt;</w:instrText>
      </w:r>
      <w:r w:rsidR="00837AC2" w:rsidRPr="008D5D0F">
        <w:rPr>
          <w:rFonts w:ascii="Cambria Math" w:hAnsi="Cambria Math" w:cs="Cambria Math"/>
          <w:color w:val="000000" w:themeColor="text1"/>
          <w:sz w:val="20"/>
        </w:rPr>
        <w:instrText>∘</w:instrText>
      </w:r>
      <w:r w:rsidR="00837AC2" w:rsidRPr="008D5D0F">
        <w:rPr>
          <w:color w:val="000000" w:themeColor="text1"/>
          <w:sz w:val="20"/>
        </w:rPr>
        <w:instrText xml:space="preserve">&lt;/sup&gt;&lt;/span&gt;&amp;thinsp;N). The most important source of uncertainty in the methane budget is attributable to natural emissions, especially those from wetlands and other inland waters.&lt;/p&gt; &lt;p&gt;Some of our global source estimates are smaller than those in previously published budgets (Saunois et al., 2016; Kirschke et al., 2013). In particular wetland emissions are about 35&amp;thinsp;Tg&amp;thinsp;&lt;span class=\"inline-formula\"&gt;CH&lt;sub&gt;4&lt;/sub&gt;&lt;/span&gt;&amp;thinsp;yr&lt;span class=\"inline-formula\"&gt;&lt;sup&gt;−1&lt;/sup&gt;&lt;/span&gt; lower due to improved partition wetlands and other inland waters. Emissions from geological sources and wild animals are also found to be smaller by 7&amp;thinsp;Tg&amp;thinsp;&lt;span class=\"inline-formula\"&gt;CH&lt;sub&gt;4&lt;/sub&gt;&lt;/span&gt;&amp;thinsp;yr&lt;span class=\"inline-formula\"&gt;&lt;sup&gt;−1&lt;/sup&gt;&lt;/span&gt; by 8&amp;thinsp;Tg&amp;thinsp;&lt;span class=\"inline-formula\"&gt;CH&lt;sub&gt;4&lt;/sub&gt;&lt;/span&gt;&amp;thinsp;yr&lt;span class=\"inline-formula\"&gt;&lt;sup&gt;−1&lt;/sup&gt;&lt;/span&gt;, respectively. However, the overall discrepancy between bottom-up and top-down estimates has been reduced by only 5&amp;thinsp;% compared to Saunois et al. (2016), due to a higher estimate of emissions from inland waters, highlighting the need for more detailed research on emissions factors. Priorities for improving the methane budget include (i) a global, high-resolution map of water-saturated soils and inundated areas emitting methane based on a robust classification of different types of emitting habitats; (ii) further development of process-based models for inland-water emissions; (iii) intensification of methane observations at local scales (e.g., FLUXNET-&lt;span class=\"inline-formula\"&gt;CH&lt;sub&gt;4&lt;/sub&gt;&lt;/span&gt; measurements) and urban-scale monitoring to constrain bottom-up land surface models, and at regional scales (surface networks and satellites) to constrain atmospheric inversions; (iv) improvements of transport models and the representation of photochemical sinks in top-down inversions; and (v) development of a 3D variational inversion system using isotopic and/or co-emitted species such as ethane to improve source partitioning.&lt;/p&gt; &lt;p&gt;The data presented here can be downloaded from &lt;a href=\"https://doi.org/10.18160/GCP-CH4-2019\"&gt;https://doi.org/10.18160/GCP-CH4-2019&lt;/a&gt; (Saunois et al., 2020) and from the Global Carbon Project.&lt;/p&gt;","container-title":"Earth System Science Data","DOI":"https://doi.org/10.5194/essd-12-1561-2020","ISSN":"1866-3508","issue":"3","language":"English","note":"publisher: Copernicus GmbH","page":"1561-1623","source":"essd.copernicus.org","title":"The Global Methane Budget 2000–2017","volume":"12","author":[{"family":"Saunois","given":"Marielle"},{"family":"Stavert","given":"Ann R."},{"family":"Poulter","given":"Ben"},{"family":"Bousquet","given":"Philippe"},{"family":"Canadell","given":"Josep G."},{"family":"Jackson","given":"Robert B."},{"family":"Raymond","given":"Peter A."},{"family":"Dlugokencky","given":"Edward J."},{"family":"Houweling","given":"Sander"},{"family":"Patra","given":"Prabir K."},{"family":"Ciais","given":"Philippe"},{"family":"Arora","given":"Vivek K."},{"family":"Bastviken","given":"David"},{"family":"Bergamaschi","given":"Peter"},{"family":"Blake","given":"Donald R."},{"family":"Brailsford","given":"Gordon"},{"family":"Bruhwiler","given":"Lori"},{"family":"Carlson","given":"Kimberly M."},{"family":"Carrol","given":"Mark"},{"family":"Castaldi","given":"Simona"},{"family":"Chandra","given":"Naveen"},{"family":"Crevoisier","given":"Cyril"},{"family":"Crill","given":"Patrick M."},{"family":"Covey","given":"Kristofer"},{"family":"Curry","given":"Charles L."},{"family":"Etiope","given":"Giuseppe"},{"family":"Frankenberg","given":"Christian"},{"family":"Gedney","given":"Nicola"},{"family":"Hegglin","given":"Michaela I."},{"family":"Höglund-Isaksson","given":"Lena"},{"family":"Hugelius","given":"Gustaf"},{"family":"Ishizawa","given":"Misa"},{"family":"Ito","given":"Akihiko"},{"family":"Janssens-Maenhout","given":"Greet"},{"family":"Jensen","given":"Katherine M."},{"family":"Joos","given":"Fortunat"},{"family":"Kleinen","given":"Thomas"},{"family":"Krummel","given":"Paul B."},{"family":"Langenfelds","given":"Ray L."},{"family":"Laruelle","given":"Goulven G."},{"family":"Liu","given":"Licheng"},{"family":"Machida","given":"Toshinobu"},{"family":"Maksyutov","given":"Shamil"},{"family":"McDonald","given":"Kyle C."},{"family":"McNorton","given":"Joe"},{"family":"Miller","given":"Paul A."},{"family":"Melton","given":"Joe R."},{"family":"Morino","given":"Isamu"},{"family":"Müller","given":"Jurek"},{"family":"Murguia-Flores","given":"Fabiola"},{"family":"Naik","given":"Vaishali"},{"family":"Niwa","given":"Yosuke"},{"family":"Noce","given":"Sergio"},{"family":"O'Doherty","given":"Simon"},{"family":"Parker","given":"Robert J."},{"family":"Peng","given":"Changhui"},{"family":"Peng","given":"Shushi"},{"family":"Peters","given":"Glen P."},{"family":"Prigent","given":"Catherine"},{"family":"Prinn","given":"Ronald"},{"family":"Ramonet","given":"Michel"},{"family":"Regnier","given":"Pierre"},{"family":"Riley","given":"William J."},{"family":"Rosentreter","given":"Judith A."},{"family":"Segers","given":"Arjo"},{"family":"Simpson","given":"Isobel J."},{"family":"Shi","given":"Hao"},{"family":"Smith","given":"Steven J."},{"family":"Steele","given":"L. Paul"},{"family":"Thornton","given":"Brett F."},{"family":"Tian","given":"Hanqin"},{"family":"Tohjima","given":"Yasunori"},{"family":"Tubiello","given":"Francesco N."},{"family":"Tsuruta","given":"Aki"},{"family":"Viovy","given":"Nicolas"},{"family":"Voulgarakis","given":"Apostolos"},{"family":"Weber","given":"Thomas S."},{"family":"Weele","given":"Michiel","non-dropping-particle":"van"},{"family":"Werf","given":"Guido R.","non-dropping-particle":"van der"},{"family":"Weiss","given":"Ray F."},{"family":"Worthy","given":"Doug"},{"family":"Wunch","given":"Debra"},{"family":"Yin","given":"Yi"},{"family":"Yoshida","given":"Yukio"},{"family":"Zhang","given":"Wenxin"},{"family":"Zhang","given":"Zhen"},{"family":"Zhao","given":"Yuanhong"},{"family":"Zheng","given":"Bo"},{"family":"Zhu","given":"Qing"},{"family":"Zhu","given":"Qiuan"},{"family":"Zhuang","given":"Qianlai"}],"issued":{"date-parts":[["2020",7,15]]}}}],"schema":"https://github.com/citation-style-language/schema/raw/master/csl-citation.json"} </w:instrText>
      </w:r>
      <w:r w:rsidRPr="008D5D0F">
        <w:rPr>
          <w:color w:val="000000" w:themeColor="text1"/>
          <w:sz w:val="20"/>
        </w:rPr>
        <w:fldChar w:fldCharType="separate"/>
      </w:r>
      <w:r w:rsidR="00837AC2" w:rsidRPr="008D5D0F">
        <w:rPr>
          <w:color w:val="000000" w:themeColor="text1"/>
          <w:sz w:val="20"/>
        </w:rPr>
        <w:t>[24]</w:t>
      </w:r>
      <w:r w:rsidRPr="008D5D0F">
        <w:rPr>
          <w:color w:val="000000" w:themeColor="text1"/>
          <w:sz w:val="20"/>
        </w:rPr>
        <w:fldChar w:fldCharType="end"/>
      </w:r>
      <w:r w:rsidRPr="008D5D0F">
        <w:rPr>
          <w:color w:val="000000" w:themeColor="text1"/>
          <w:sz w:val="20"/>
        </w:rPr>
        <w:t>. For CH</w:t>
      </w:r>
      <w:r w:rsidRPr="008D5D0F">
        <w:rPr>
          <w:color w:val="000000" w:themeColor="text1"/>
          <w:sz w:val="20"/>
          <w:vertAlign w:val="subscript"/>
        </w:rPr>
        <w:t>4</w:t>
      </w:r>
      <w:r w:rsidRPr="008D5D0F">
        <w:rPr>
          <w:color w:val="000000" w:themeColor="text1"/>
          <w:sz w:val="20"/>
        </w:rPr>
        <w:t xml:space="preserve"> sectors in EDGARv4.2 (i.e., COAL, OIL, GAS, RIC, MNM (Manure), and ENF (Enteric)), WOLF2017 (MNM and ENF), SCH150 (COAL, OIL, and GAS), where FAO and BP statistics have estimates, the methane emissions for year </w:t>
      </w:r>
      <w:r w:rsidRPr="008D5D0F">
        <w:rPr>
          <w:i/>
          <w:color w:val="000000" w:themeColor="text1"/>
          <w:sz w:val="20"/>
        </w:rPr>
        <w:t>t</w:t>
      </w:r>
      <w:r w:rsidRPr="008D5D0F">
        <w:rPr>
          <w:color w:val="000000" w:themeColor="text1"/>
          <w:sz w:val="20"/>
        </w:rPr>
        <w:t xml:space="preserve"> are set up to equal the emissions in 2012 times the ratio between the emissions of the reference dataset (i.e., 0.5 FAOSTAT/BP) in year </w:t>
      </w:r>
      <w:r w:rsidRPr="008D5D0F">
        <w:rPr>
          <w:i/>
          <w:color w:val="000000" w:themeColor="text1"/>
          <w:sz w:val="20"/>
        </w:rPr>
        <w:t>t</w:t>
      </w:r>
      <w:r w:rsidRPr="008D5D0F">
        <w:rPr>
          <w:color w:val="000000" w:themeColor="text1"/>
          <w:sz w:val="20"/>
        </w:rPr>
        <w:t xml:space="preserve"> (</w:t>
      </w:r>
      <w:r w:rsidRPr="008D5D0F">
        <w:rPr>
          <w:i/>
          <w:color w:val="000000" w:themeColor="text1"/>
          <w:sz w:val="20"/>
        </w:rPr>
        <w:t>E</w:t>
      </w:r>
      <w:r w:rsidRPr="008D5D0F">
        <w:rPr>
          <w:i/>
          <w:color w:val="000000" w:themeColor="text1"/>
          <w:sz w:val="20"/>
          <w:vertAlign w:val="subscript"/>
        </w:rPr>
        <w:t>REF</w:t>
      </w:r>
      <w:r w:rsidRPr="008D5D0F">
        <w:rPr>
          <w:color w:val="000000" w:themeColor="text1"/>
          <w:sz w:val="20"/>
        </w:rPr>
        <w:t>) and the emissions of the reference dataset in 2012. For each emission sector</w:t>
      </w:r>
      <w:r w:rsidRPr="008D5D0F">
        <w:rPr>
          <w:i/>
          <w:color w:val="000000" w:themeColor="text1"/>
          <w:sz w:val="20"/>
        </w:rPr>
        <w:t xml:space="preserve"> i</w:t>
      </w:r>
      <w:r w:rsidRPr="008D5D0F">
        <w:rPr>
          <w:color w:val="000000" w:themeColor="text1"/>
          <w:sz w:val="20"/>
        </w:rPr>
        <w:t>, the region-specific emissions using a region map defined in Regional Carbon Cycle Assessment and Processes (RECCAP) for the extrapolated inventories (E</w:t>
      </w:r>
      <w:r w:rsidRPr="008D5D0F">
        <w:rPr>
          <w:color w:val="000000" w:themeColor="text1"/>
          <w:sz w:val="20"/>
          <w:vertAlign w:val="subscript"/>
        </w:rPr>
        <w:t>EXT</w:t>
      </w:r>
      <w:r w:rsidRPr="008D5D0F">
        <w:rPr>
          <w:color w:val="000000" w:themeColor="text1"/>
          <w:sz w:val="20"/>
        </w:rPr>
        <w:t xml:space="preserve">) in year </w:t>
      </w:r>
      <w:r w:rsidRPr="008D5D0F">
        <w:rPr>
          <w:i/>
          <w:color w:val="000000" w:themeColor="text1"/>
          <w:sz w:val="20"/>
        </w:rPr>
        <w:t>t</w:t>
      </w:r>
      <w:r w:rsidRPr="008D5D0F">
        <w:rPr>
          <w:color w:val="000000" w:themeColor="text1"/>
          <w:sz w:val="20"/>
        </w:rPr>
        <w:t xml:space="preserve"> are estimated as follows:</w:t>
      </w:r>
    </w:p>
    <w:p w14:paraId="4CED6287" w14:textId="7DCA634B" w:rsidR="00EB592C" w:rsidRPr="008D5D0F" w:rsidRDefault="00630D7A" w:rsidP="00E079BC">
      <w:pPr>
        <w:pBdr>
          <w:top w:val="nil"/>
          <w:left w:val="nil"/>
          <w:bottom w:val="nil"/>
          <w:right w:val="nil"/>
          <w:between w:val="nil"/>
        </w:pBdr>
        <w:spacing w:after="200"/>
        <w:contextualSpacing/>
        <w:jc w:val="right"/>
        <w:rPr>
          <w:color w:val="000000" w:themeColor="text1"/>
          <w:sz w:val="20"/>
        </w:rPr>
      </w:pPr>
      <m:oMath>
        <m:sSubSup>
          <m:sSubSupPr>
            <m:ctrlPr>
              <w:rPr>
                <w:rFonts w:ascii="Cambria Math" w:hAnsi="Cambria Math"/>
                <w:color w:val="000000" w:themeColor="text1"/>
                <w:sz w:val="20"/>
              </w:rPr>
            </m:ctrlPr>
          </m:sSubSupPr>
          <m:e>
            <m:r>
              <w:rPr>
                <w:rFonts w:ascii="Cambria Math" w:hAnsi="Cambria Math"/>
                <w:color w:val="000000" w:themeColor="text1"/>
                <w:sz w:val="20"/>
              </w:rPr>
              <m:t>E</m:t>
            </m:r>
          </m:e>
          <m:sub>
            <m:r>
              <w:rPr>
                <w:rFonts w:ascii="Cambria Math" w:hAnsi="Cambria Math"/>
                <w:color w:val="000000" w:themeColor="text1"/>
                <w:sz w:val="20"/>
              </w:rPr>
              <m:t>EXT</m:t>
            </m:r>
          </m:sub>
          <m:sup>
            <m:r>
              <w:rPr>
                <w:rFonts w:ascii="Cambria Math" w:hAnsi="Cambria Math"/>
                <w:color w:val="000000" w:themeColor="text1"/>
                <w:sz w:val="20"/>
              </w:rPr>
              <m:t>i</m:t>
            </m:r>
          </m:sup>
        </m:sSubSup>
        <m:d>
          <m:dPr>
            <m:ctrlPr>
              <w:rPr>
                <w:rFonts w:ascii="Cambria Math" w:hAnsi="Cambria Math"/>
                <w:color w:val="000000" w:themeColor="text1"/>
                <w:sz w:val="20"/>
              </w:rPr>
            </m:ctrlPr>
          </m:dPr>
          <m:e>
            <m:r>
              <w:rPr>
                <w:rFonts w:ascii="Cambria Math" w:hAnsi="Cambria Math"/>
                <w:color w:val="000000" w:themeColor="text1"/>
                <w:sz w:val="20"/>
              </w:rPr>
              <m:t>t</m:t>
            </m:r>
          </m:e>
        </m:d>
        <m:r>
          <m:rPr>
            <m:sty m:val="p"/>
          </m:rPr>
          <w:rPr>
            <w:rFonts w:ascii="Cambria Math" w:hAnsi="Cambria Math"/>
            <w:color w:val="000000" w:themeColor="text1"/>
            <w:sz w:val="20"/>
          </w:rPr>
          <m:t>=</m:t>
        </m:r>
        <m:sSubSup>
          <m:sSubSupPr>
            <m:ctrlPr>
              <w:rPr>
                <w:rFonts w:ascii="Cambria Math" w:hAnsi="Cambria Math"/>
                <w:color w:val="000000" w:themeColor="text1"/>
                <w:sz w:val="20"/>
              </w:rPr>
            </m:ctrlPr>
          </m:sSubSupPr>
          <m:e>
            <m:r>
              <w:rPr>
                <w:rFonts w:ascii="Cambria Math" w:hAnsi="Cambria Math"/>
                <w:color w:val="000000" w:themeColor="text1"/>
                <w:sz w:val="20"/>
              </w:rPr>
              <m:t>E</m:t>
            </m:r>
          </m:e>
          <m:sub>
            <m:r>
              <w:rPr>
                <w:rFonts w:ascii="Cambria Math" w:hAnsi="Cambria Math"/>
                <w:color w:val="000000" w:themeColor="text1"/>
                <w:sz w:val="20"/>
              </w:rPr>
              <m:t>EXT</m:t>
            </m:r>
          </m:sub>
          <m:sup>
            <m:r>
              <w:rPr>
                <w:rFonts w:ascii="Cambria Math" w:hAnsi="Cambria Math"/>
                <w:color w:val="000000" w:themeColor="text1"/>
                <w:sz w:val="20"/>
              </w:rPr>
              <m:t>i</m:t>
            </m:r>
          </m:sup>
        </m:sSubSup>
        <m:d>
          <m:dPr>
            <m:ctrlPr>
              <w:rPr>
                <w:rFonts w:ascii="Cambria Math" w:hAnsi="Cambria Math"/>
                <w:color w:val="000000" w:themeColor="text1"/>
                <w:sz w:val="20"/>
              </w:rPr>
            </m:ctrlPr>
          </m:dPr>
          <m:e>
            <m:r>
              <m:rPr>
                <m:sty m:val="p"/>
              </m:rPr>
              <w:rPr>
                <w:rFonts w:ascii="Cambria Math" w:hAnsi="Cambria Math"/>
                <w:color w:val="000000" w:themeColor="text1"/>
                <w:sz w:val="20"/>
              </w:rPr>
              <m:t>2012</m:t>
            </m:r>
          </m:e>
        </m:d>
        <m:r>
          <m:rPr>
            <m:sty m:val="p"/>
          </m:rPr>
          <w:rPr>
            <w:rFonts w:ascii="Cambria Math" w:hAnsi="Cambria Math"/>
            <w:color w:val="000000" w:themeColor="text1"/>
            <w:sz w:val="20"/>
          </w:rPr>
          <m:t>× (</m:t>
        </m:r>
        <m:f>
          <m:fPr>
            <m:ctrlPr>
              <w:rPr>
                <w:rFonts w:ascii="Cambria Math" w:hAnsi="Cambria Math"/>
                <w:color w:val="000000" w:themeColor="text1"/>
                <w:sz w:val="20"/>
              </w:rPr>
            </m:ctrlPr>
          </m:fPr>
          <m:num>
            <m:sSubSup>
              <m:sSubSupPr>
                <m:ctrlPr>
                  <w:rPr>
                    <w:rFonts w:ascii="Cambria Math" w:hAnsi="Cambria Math"/>
                    <w:color w:val="000000" w:themeColor="text1"/>
                    <w:sz w:val="20"/>
                  </w:rPr>
                </m:ctrlPr>
              </m:sSubSupPr>
              <m:e>
                <m:r>
                  <w:rPr>
                    <w:rFonts w:ascii="Cambria Math" w:hAnsi="Cambria Math"/>
                    <w:color w:val="000000" w:themeColor="text1"/>
                    <w:sz w:val="20"/>
                  </w:rPr>
                  <m:t>E</m:t>
                </m:r>
              </m:e>
              <m:sub>
                <m:r>
                  <w:rPr>
                    <w:rFonts w:ascii="Cambria Math" w:hAnsi="Cambria Math"/>
                    <w:color w:val="000000" w:themeColor="text1"/>
                    <w:sz w:val="20"/>
                  </w:rPr>
                  <m:t>REF</m:t>
                </m:r>
              </m:sub>
              <m:sup>
                <m:r>
                  <w:rPr>
                    <w:rFonts w:ascii="Cambria Math" w:hAnsi="Cambria Math"/>
                    <w:color w:val="000000" w:themeColor="text1"/>
                    <w:sz w:val="20"/>
                  </w:rPr>
                  <m:t>i</m:t>
                </m:r>
              </m:sup>
            </m:sSubSup>
            <m:d>
              <m:dPr>
                <m:ctrlPr>
                  <w:rPr>
                    <w:rFonts w:ascii="Cambria Math" w:hAnsi="Cambria Math"/>
                    <w:color w:val="000000" w:themeColor="text1"/>
                    <w:sz w:val="20"/>
                  </w:rPr>
                </m:ctrlPr>
              </m:dPr>
              <m:e>
                <m:r>
                  <w:rPr>
                    <w:rFonts w:ascii="Cambria Math" w:hAnsi="Cambria Math"/>
                    <w:color w:val="000000" w:themeColor="text1"/>
                    <w:sz w:val="20"/>
                  </w:rPr>
                  <m:t>t</m:t>
                </m:r>
              </m:e>
            </m:d>
          </m:num>
          <m:den>
            <m:sSubSup>
              <m:sSubSupPr>
                <m:ctrlPr>
                  <w:rPr>
                    <w:rFonts w:ascii="Cambria Math" w:hAnsi="Cambria Math"/>
                    <w:color w:val="000000" w:themeColor="text1"/>
                    <w:sz w:val="20"/>
                  </w:rPr>
                </m:ctrlPr>
              </m:sSubSupPr>
              <m:e>
                <m:r>
                  <w:rPr>
                    <w:rFonts w:ascii="Cambria Math" w:hAnsi="Cambria Math"/>
                    <w:color w:val="000000" w:themeColor="text1"/>
                    <w:sz w:val="20"/>
                  </w:rPr>
                  <m:t>E</m:t>
                </m:r>
              </m:e>
              <m:sub>
                <m:r>
                  <w:rPr>
                    <w:rFonts w:ascii="Cambria Math" w:hAnsi="Cambria Math"/>
                    <w:color w:val="000000" w:themeColor="text1"/>
                    <w:sz w:val="20"/>
                  </w:rPr>
                  <m:t>REF</m:t>
                </m:r>
              </m:sub>
              <m:sup>
                <m:r>
                  <w:rPr>
                    <w:rFonts w:ascii="Cambria Math" w:hAnsi="Cambria Math"/>
                    <w:color w:val="000000" w:themeColor="text1"/>
                    <w:sz w:val="20"/>
                  </w:rPr>
                  <m:t>i</m:t>
                </m:r>
              </m:sup>
            </m:sSubSup>
            <m:r>
              <m:rPr>
                <m:sty m:val="p"/>
              </m:rPr>
              <w:rPr>
                <w:rFonts w:ascii="Cambria Math" w:hAnsi="Cambria Math"/>
                <w:color w:val="000000" w:themeColor="text1"/>
                <w:sz w:val="20"/>
              </w:rPr>
              <m:t>(2012)</m:t>
            </m:r>
          </m:den>
        </m:f>
        <m:r>
          <m:rPr>
            <m:sty m:val="p"/>
          </m:rPr>
          <w:rPr>
            <w:rFonts w:ascii="Cambria Math" w:hAnsi="Cambria Math"/>
            <w:color w:val="000000" w:themeColor="text1"/>
            <w:sz w:val="20"/>
          </w:rPr>
          <m:t>)</m:t>
        </m:r>
      </m:oMath>
      <w:r w:rsidR="00EB592C" w:rsidRPr="008D5D0F">
        <w:rPr>
          <w:color w:val="000000" w:themeColor="text1"/>
          <w:sz w:val="20"/>
        </w:rPr>
        <w:t xml:space="preserve">                                               (1)</w:t>
      </w:r>
    </w:p>
    <w:p w14:paraId="49E9B16E" w14:textId="77777777" w:rsidR="00EB592C" w:rsidRPr="008D5D0F" w:rsidRDefault="00EB592C" w:rsidP="00EB592C">
      <w:pPr>
        <w:pBdr>
          <w:top w:val="nil"/>
          <w:left w:val="nil"/>
          <w:bottom w:val="nil"/>
          <w:right w:val="nil"/>
          <w:between w:val="nil"/>
        </w:pBdr>
        <w:contextualSpacing/>
        <w:rPr>
          <w:color w:val="000000" w:themeColor="text1"/>
          <w:sz w:val="20"/>
        </w:rPr>
      </w:pPr>
      <w:r w:rsidRPr="008D5D0F">
        <w:rPr>
          <w:color w:val="000000" w:themeColor="text1"/>
          <w:sz w:val="20"/>
        </w:rPr>
        <w:t>For CH</w:t>
      </w:r>
      <w:r w:rsidRPr="008D5D0F">
        <w:rPr>
          <w:color w:val="000000" w:themeColor="text1"/>
          <w:sz w:val="20"/>
          <w:vertAlign w:val="subscript"/>
        </w:rPr>
        <w:t>4</w:t>
      </w:r>
      <w:r w:rsidRPr="008D5D0F">
        <w:rPr>
          <w:color w:val="000000" w:themeColor="text1"/>
          <w:sz w:val="20"/>
        </w:rPr>
        <w:t xml:space="preserve"> sectors (i.e., ENE (energy), FFF (fossil fuel fires), TNR (transport), TRO (road transport), IND (industry), SWD (solid waste), WWT (wastewater), RCOP (biofuel), and AWB (agricultural waste burning)) in EDGARv4.2 where the FAO and BP datasets do not exist, we calculate the ratio between the regional totals of the reference year (i.e., 2012) and the last 3 years of data (2010-2012) and then linearly propagate the ratios for 2013-2017. For the biomass burning sector, we use the burned area from GFED4.1 and the CH</w:t>
      </w:r>
      <w:r w:rsidRPr="008D5D0F">
        <w:rPr>
          <w:color w:val="000000" w:themeColor="text1"/>
          <w:sz w:val="20"/>
          <w:vertAlign w:val="subscript"/>
        </w:rPr>
        <w:t>4</w:t>
      </w:r>
      <w:r w:rsidRPr="008D5D0F">
        <w:rPr>
          <w:color w:val="000000" w:themeColor="text1"/>
          <w:sz w:val="20"/>
        </w:rPr>
        <w:t>/CO ratio from the last three years of data (2010-2012) in the Worden2017 dataset to extend Worden2017 up to 2017 assuming a linear trend in the CH</w:t>
      </w:r>
      <w:r w:rsidRPr="008D5D0F">
        <w:rPr>
          <w:color w:val="000000" w:themeColor="text1"/>
          <w:sz w:val="20"/>
          <w:vertAlign w:val="subscript"/>
        </w:rPr>
        <w:t>4</w:t>
      </w:r>
      <w:r w:rsidRPr="008D5D0F">
        <w:rPr>
          <w:color w:val="000000" w:themeColor="text1"/>
          <w:sz w:val="20"/>
        </w:rPr>
        <w:t>/CO ratio.</w:t>
      </w:r>
    </w:p>
    <w:p w14:paraId="2548A161" w14:textId="77777777" w:rsidR="00EB592C" w:rsidRPr="008D5D0F" w:rsidRDefault="00EB592C" w:rsidP="00EB592C">
      <w:pPr>
        <w:pStyle w:val="SMSubheading"/>
        <w:rPr>
          <w:color w:val="000000" w:themeColor="text1"/>
          <w:sz w:val="20"/>
          <w:u w:val="none"/>
        </w:rPr>
      </w:pPr>
    </w:p>
    <w:p w14:paraId="6E63C699" w14:textId="77777777" w:rsidR="00EB592C" w:rsidRPr="008D5D0F" w:rsidRDefault="00EB592C" w:rsidP="00EB592C">
      <w:pPr>
        <w:pBdr>
          <w:top w:val="nil"/>
          <w:left w:val="nil"/>
          <w:bottom w:val="nil"/>
          <w:right w:val="nil"/>
          <w:between w:val="nil"/>
        </w:pBdr>
        <w:contextualSpacing/>
        <w:rPr>
          <w:b/>
          <w:bCs/>
          <w:color w:val="000000" w:themeColor="text1"/>
          <w:sz w:val="20"/>
          <w:vertAlign w:val="subscript"/>
        </w:rPr>
      </w:pPr>
      <w:r w:rsidRPr="008D5D0F">
        <w:rPr>
          <w:b/>
          <w:bCs/>
          <w:color w:val="000000" w:themeColor="text1"/>
          <w:sz w:val="20"/>
        </w:rPr>
        <w:t>3. Processing of δ</w:t>
      </w:r>
      <w:r w:rsidRPr="008D5D0F">
        <w:rPr>
          <w:b/>
          <w:bCs/>
          <w:color w:val="000000" w:themeColor="text1"/>
          <w:sz w:val="20"/>
          <w:vertAlign w:val="superscript"/>
        </w:rPr>
        <w:t>13</w:t>
      </w:r>
      <w:r w:rsidRPr="008D5D0F">
        <w:rPr>
          <w:b/>
          <w:bCs/>
          <w:color w:val="000000" w:themeColor="text1"/>
          <w:sz w:val="20"/>
        </w:rPr>
        <w:t>C-CH</w:t>
      </w:r>
      <w:r w:rsidRPr="008D5D0F">
        <w:rPr>
          <w:b/>
          <w:bCs/>
          <w:color w:val="000000" w:themeColor="text1"/>
          <w:sz w:val="20"/>
          <w:vertAlign w:val="subscript"/>
        </w:rPr>
        <w:t>4</w:t>
      </w:r>
      <w:r w:rsidRPr="008D5D0F">
        <w:rPr>
          <w:b/>
          <w:bCs/>
          <w:color w:val="000000" w:themeColor="text1"/>
          <w:sz w:val="20"/>
        </w:rPr>
        <w:t xml:space="preserve"> in source</w:t>
      </w:r>
    </w:p>
    <w:p w14:paraId="04C6DCEA" w14:textId="77777777" w:rsidR="00EB592C" w:rsidRPr="008D5D0F" w:rsidRDefault="00EB592C" w:rsidP="00EB592C">
      <w:pPr>
        <w:pStyle w:val="SMSubheading"/>
        <w:rPr>
          <w:color w:val="000000" w:themeColor="text1"/>
          <w:sz w:val="20"/>
          <w:u w:val="none"/>
        </w:rPr>
      </w:pPr>
    </w:p>
    <w:p w14:paraId="5C159DE6" w14:textId="606A71BE" w:rsidR="00EB592C" w:rsidRPr="008D5D0F" w:rsidRDefault="00EB592C" w:rsidP="00EB592C">
      <w:pPr>
        <w:pBdr>
          <w:top w:val="nil"/>
          <w:left w:val="nil"/>
          <w:bottom w:val="nil"/>
          <w:right w:val="nil"/>
          <w:between w:val="nil"/>
        </w:pBdr>
        <w:contextualSpacing/>
        <w:rPr>
          <w:color w:val="000000" w:themeColor="text1"/>
          <w:sz w:val="20"/>
          <w:vertAlign w:val="subscript"/>
        </w:rPr>
      </w:pPr>
      <w:bookmarkStart w:id="10" w:name="_Toc37816967"/>
      <w:r w:rsidRPr="008D5D0F">
        <w:rPr>
          <w:b/>
          <w:bCs/>
          <w:color w:val="000000" w:themeColor="text1"/>
          <w:sz w:val="20"/>
        </w:rPr>
        <w:t>Industrial fossil fuel δ</w:t>
      </w:r>
      <w:r w:rsidRPr="008D5D0F">
        <w:rPr>
          <w:b/>
          <w:bCs/>
          <w:color w:val="000000" w:themeColor="text1"/>
          <w:sz w:val="20"/>
          <w:vertAlign w:val="superscript"/>
        </w:rPr>
        <w:t>13</w:t>
      </w:r>
      <w:r w:rsidRPr="008D5D0F">
        <w:rPr>
          <w:b/>
          <w:bCs/>
          <w:color w:val="000000" w:themeColor="text1"/>
          <w:sz w:val="20"/>
        </w:rPr>
        <w:t>C-CH</w:t>
      </w:r>
      <w:r w:rsidRPr="008D5D0F">
        <w:rPr>
          <w:b/>
          <w:bCs/>
          <w:color w:val="000000" w:themeColor="text1"/>
          <w:sz w:val="20"/>
          <w:vertAlign w:val="subscript"/>
        </w:rPr>
        <w:t>4</w:t>
      </w:r>
      <w:bookmarkEnd w:id="10"/>
      <w:r w:rsidRPr="008D5D0F">
        <w:rPr>
          <w:b/>
          <w:bCs/>
          <w:color w:val="000000" w:themeColor="text1"/>
          <w:sz w:val="20"/>
          <w:vertAlign w:val="subscript"/>
        </w:rPr>
        <w:t>.</w:t>
      </w:r>
      <w:r w:rsidRPr="008D5D0F">
        <w:rPr>
          <w:color w:val="000000" w:themeColor="text1"/>
          <w:sz w:val="20"/>
          <w:vertAlign w:val="subscript"/>
        </w:rPr>
        <w:t xml:space="preserve"> </w:t>
      </w:r>
      <w:r w:rsidRPr="008D5D0F">
        <w:rPr>
          <w:color w:val="000000" w:themeColor="text1"/>
          <w:sz w:val="20"/>
        </w:rPr>
        <w:t>The calculation of the coal δ</w:t>
      </w:r>
      <w:r w:rsidRPr="008D5D0F">
        <w:rPr>
          <w:color w:val="000000" w:themeColor="text1"/>
          <w:sz w:val="20"/>
          <w:vertAlign w:val="superscript"/>
        </w:rPr>
        <w:t>13</w:t>
      </w:r>
      <w:r w:rsidRPr="008D5D0F">
        <w:rPr>
          <w:color w:val="000000" w:themeColor="text1"/>
          <w:sz w:val="20"/>
        </w:rPr>
        <w:t>C-CH</w:t>
      </w:r>
      <w:r w:rsidRPr="008D5D0F">
        <w:rPr>
          <w:color w:val="000000" w:themeColor="text1"/>
          <w:sz w:val="20"/>
          <w:vertAlign w:val="subscript"/>
        </w:rPr>
        <w:t>4</w:t>
      </w:r>
      <w:r w:rsidRPr="008D5D0F">
        <w:rPr>
          <w:color w:val="000000" w:themeColor="text1"/>
          <w:sz w:val="20"/>
        </w:rPr>
        <w:t xml:space="preserve"> value was made using country-level coal values from a database </w:t>
      </w:r>
      <w:r w:rsidRPr="008D5D0F">
        <w:rPr>
          <w:color w:val="000000" w:themeColor="text1"/>
          <w:sz w:val="20"/>
        </w:rPr>
        <w:fldChar w:fldCharType="begin"/>
      </w:r>
      <w:r w:rsidR="00837AC2" w:rsidRPr="008D5D0F">
        <w:rPr>
          <w:color w:val="000000" w:themeColor="text1"/>
          <w:sz w:val="20"/>
        </w:rPr>
        <w:instrText xml:space="preserve"> ADDIN ZOTERO_ITEM CSL_CITATION {"citationID":"xqVOCWf9","properties":{"formattedCitation":"[29]","plainCitation":"[29]","noteIndex":0},"citationItems":[{"id":1364,"uris":["http://zotero.org/users/5672304/items/SPCNGDYG"],"uri":["http://zotero.org/users/5672304/items/SPCNGDYG"],"itemData":{"id":1364,"type":"article-journal","abstract":"The concentration of atmospheric methane (CH4) has more than doubled over the industrial era. To help constrain global and regional CH4 budgets, inverse (top-down) models incorporate data on the concentration and stable carbon (δ13C) and hydrogen (δ2H) isotopic ratios of atmospheric CH4. These models depend on accurate δ13C and δ2H end-member source signatures for each of the main emissions categories. Compared with meticulous measurement and calibration of isotopic CH4 in the atmosphere, there has been relatively less effort to characterize globally representative isotopic source signatures, particularly for fossil fuel sources. Most global CH4 budget models have so far relied on outdated source signature values derived from globally nonrepresentative data. To correct this deﬁciency, we present a comprehensive, globally representative end-member database of the δ13C and δ2H of CH4 from fossil fuel (conventional natural gas, shale gas, and coal), modern microbial (wetlands, rice paddies, ruminants, termites, and landﬁlls and/or waste) and biomass burning sources. Gas molecular compositional data for fossil fuel categories are also included with the database. The database comprises 10 706 samples (8734 fossil fuel, 1972 non-fossil) from 190 published references. Mean (unweighted) δ13C signatures for fossil fuel CH4 are signiﬁcantly lighter than values commonly used in CH4 budget models, thus highlighting potential underestimation of fossil fuel CH4 emissions in previous CH4 budget models. This living database will be updated every 2–3 years to provide the atmospheric modeling community with the most complete CH4 source signature data possible. Database digital object identiﬁer (DOI): https://doi.org/10.15138/G3201T.","container-title":"Earth System Science Data","DOI":"10.5194/essd-9-639-2017","ISSN":"1866-3516","issue":"2","language":"en","page":"639-656","source":"DOI.org (Crossref)","title":"Global Inventory of Gas Geochemistry Data from Fossil Fuel, Microbial and Burning Sources, version 2017","volume":"9","author":[{"family":"Sherwood","given":"Owen A."},{"family":"Schwietzke","given":"Stefan"},{"family":"Arling","given":"Victoria A."},{"family":"Etiope","given":"Giuseppe"}],"issued":{"date-parts":[["2017",8,31]]}}}],"schema":"https://github.com/citation-style-language/schema/raw/master/csl-citation.json"} </w:instrText>
      </w:r>
      <w:r w:rsidRPr="008D5D0F">
        <w:rPr>
          <w:color w:val="000000" w:themeColor="text1"/>
          <w:sz w:val="20"/>
        </w:rPr>
        <w:fldChar w:fldCharType="separate"/>
      </w:r>
      <w:r w:rsidR="00837AC2" w:rsidRPr="008D5D0F">
        <w:rPr>
          <w:color w:val="000000" w:themeColor="text1"/>
          <w:sz w:val="20"/>
        </w:rPr>
        <w:t>[29]</w:t>
      </w:r>
      <w:r w:rsidRPr="008D5D0F">
        <w:rPr>
          <w:color w:val="000000" w:themeColor="text1"/>
          <w:sz w:val="20"/>
        </w:rPr>
        <w:fldChar w:fldCharType="end"/>
      </w:r>
      <w:r w:rsidRPr="008D5D0F">
        <w:rPr>
          <w:color w:val="000000" w:themeColor="text1"/>
          <w:sz w:val="20"/>
        </w:rPr>
        <w:t xml:space="preserve">, which provides coal isotopic values from 13 countries based on 1402 empirical samples, by averaging available measurements from coal mines in those countries. For the regions that do not have measurements available, we applied the mean coal values calculated from </w:t>
      </w:r>
      <w:r w:rsidRPr="008D5D0F">
        <w:rPr>
          <w:color w:val="000000" w:themeColor="text1"/>
          <w:sz w:val="20"/>
        </w:rPr>
        <w:fldChar w:fldCharType="begin"/>
      </w:r>
      <w:r w:rsidR="00837AC2" w:rsidRPr="008D5D0F">
        <w:rPr>
          <w:color w:val="000000" w:themeColor="text1"/>
          <w:sz w:val="20"/>
        </w:rPr>
        <w:instrText xml:space="preserve"> ADDIN ZOTERO_ITEM CSL_CITATION {"citationID":"ikEd813u","properties":{"formattedCitation":"[4]","plainCitation":"[4]","noteIndex":0},"citationItems":[{"id":1363,"uris":["http://zotero.org/users/5672304/items/6CGXTJHW"],"uri":["http://zotero.org/users/5672304/items/6CGXTJHW"],"itemData":{"id":1363,"type":"article-journal","container-title":"Nature","DOI":"10.1038/nature19797","ISSN":"0028-0836, 1476-4687","issue":"7623","language":"en","page":"88-91","source":"DOI.org (Crossref)","title":"Upward revision of global fossil fuel methane emissions based on isotope database","volume":"538","author":[{"family":"Schwietzke","given":"Stefan"},{"family":"Sherwood","given":"Owen A."},{"family":"Bruhwiler","given":"Lori M. P."},{"family":"Miller","given":"John B."},{"family":"Etiope","given":"Giuseppe"},{"family":"Dlugokencky","given":"Edward J."},{"family":"Michel","given":"Sylvia Englund"},{"family":"Arling","given":"Victoria A."},{"family":"Vaughn","given":"Bruce H."},{"family":"White","given":"James W. C."},{"family":"Tans","given":"Pieter P."}],"issued":{"date-parts":[["2016",10,5]]}}}],"schema":"https://github.com/citation-style-language/schema/raw/master/csl-citation.json"} </w:instrText>
      </w:r>
      <w:r w:rsidRPr="008D5D0F">
        <w:rPr>
          <w:color w:val="000000" w:themeColor="text1"/>
          <w:sz w:val="20"/>
        </w:rPr>
        <w:fldChar w:fldCharType="separate"/>
      </w:r>
      <w:r w:rsidR="00837AC2" w:rsidRPr="008D5D0F">
        <w:rPr>
          <w:color w:val="000000" w:themeColor="text1"/>
          <w:sz w:val="20"/>
        </w:rPr>
        <w:t>[4]</w:t>
      </w:r>
      <w:r w:rsidRPr="008D5D0F">
        <w:rPr>
          <w:color w:val="000000" w:themeColor="text1"/>
          <w:sz w:val="20"/>
        </w:rPr>
        <w:fldChar w:fldCharType="end"/>
      </w:r>
      <w:r w:rsidRPr="008D5D0F">
        <w:rPr>
          <w:color w:val="000000" w:themeColor="text1"/>
          <w:sz w:val="20"/>
        </w:rPr>
        <w:t>. We use the country-level natural gas/oil δ</w:t>
      </w:r>
      <w:r w:rsidRPr="008D5D0F">
        <w:rPr>
          <w:color w:val="000000" w:themeColor="text1"/>
          <w:sz w:val="20"/>
          <w:vertAlign w:val="superscript"/>
        </w:rPr>
        <w:t>13</w:t>
      </w:r>
      <w:r w:rsidRPr="008D5D0F">
        <w:rPr>
          <w:color w:val="000000" w:themeColor="text1"/>
          <w:sz w:val="20"/>
        </w:rPr>
        <w:t>C-CH</w:t>
      </w:r>
      <w:r w:rsidRPr="008D5D0F">
        <w:rPr>
          <w:color w:val="000000" w:themeColor="text1"/>
          <w:sz w:val="20"/>
          <w:vertAlign w:val="subscript"/>
        </w:rPr>
        <w:t>4</w:t>
      </w:r>
      <w:r w:rsidRPr="008D5D0F">
        <w:rPr>
          <w:color w:val="000000" w:themeColor="text1"/>
          <w:sz w:val="20"/>
        </w:rPr>
        <w:t xml:space="preserve"> values from </w:t>
      </w:r>
      <w:r w:rsidRPr="008D5D0F">
        <w:rPr>
          <w:color w:val="000000" w:themeColor="text1"/>
          <w:sz w:val="20"/>
        </w:rPr>
        <w:fldChar w:fldCharType="begin"/>
      </w:r>
      <w:r w:rsidR="00837AC2" w:rsidRPr="008D5D0F">
        <w:rPr>
          <w:color w:val="000000" w:themeColor="text1"/>
          <w:sz w:val="20"/>
        </w:rPr>
        <w:instrText xml:space="preserve"> ADDIN ZOTERO_ITEM CSL_CITATION {"citationID":"jtVbNjjP","properties":{"formattedCitation":"[29]","plainCitation":"[29]","noteIndex":0},"citationItems":[{"id":1364,"uris":["http://zotero.org/users/5672304/items/SPCNGDYG"],"uri":["http://zotero.org/users/5672304/items/SPCNGDYG"],"itemData":{"id":1364,"type":"article-journal","abstract":"The concentration of atmospheric methane (CH4) has more than doubled over the industrial era. To help constrain global and regional CH4 budgets, inverse (top-down) models incorporate data on the concentration and stable carbon (δ13C) and hydrogen (δ2H) isotopic ratios of atmospheric CH4. These models depend on accurate δ13C and δ2H end-member source signatures for each of the main emissions categories. Compared with meticulous measurement and calibration of isotopic CH4 in the atmosphere, there has been relatively less effort to characterize globally representative isotopic source signatures, particularly for fossil fuel sources. Most global CH4 budget models have so far relied on outdated source signature values derived from globally nonrepresentative data. To correct this deﬁciency, we present a comprehensive, globally representative end-member database of the δ13C and δ2H of CH4 from fossil fuel (conventional natural gas, shale gas, and coal), modern microbial (wetlands, rice paddies, ruminants, termites, and landﬁlls and/or waste) and biomass burning sources. Gas molecular compositional data for fossil fuel categories are also included with the database. The database comprises 10 706 samples (8734 fossil fuel, 1972 non-fossil) from 190 published references. Mean (unweighted) δ13C signatures for fossil fuel CH4 are signiﬁcantly lighter than values commonly used in CH4 budget models, thus highlighting potential underestimation of fossil fuel CH4 emissions in previous CH4 budget models. This living database will be updated every 2–3 years to provide the atmospheric modeling community with the most complete CH4 source signature data possible. Database digital object identiﬁer (DOI): https://doi.org/10.15138/G3201T.","container-title":"Earth System Science Data","DOI":"10.5194/essd-9-639-2017","ISSN":"1866-3516","issue":"2","language":"en","page":"639-656","source":"DOI.org (Crossref)","title":"Global Inventory of Gas Geochemistry Data from Fossil Fuel, Microbial and Burning Sources, version 2017","volume":"9","author":[{"family":"Sherwood","given":"Owen A."},{"family":"Schwietzke","given":"Stefan"},{"family":"Arling","given":"Victoria A."},{"family":"Etiope","given":"Giuseppe"}],"issued":{"date-parts":[["2017",8,31]]}}}],"schema":"https://github.com/citation-style-language/schema/raw/master/csl-citation.json"} </w:instrText>
      </w:r>
      <w:r w:rsidRPr="008D5D0F">
        <w:rPr>
          <w:color w:val="000000" w:themeColor="text1"/>
          <w:sz w:val="20"/>
        </w:rPr>
        <w:fldChar w:fldCharType="separate"/>
      </w:r>
      <w:r w:rsidR="00837AC2" w:rsidRPr="008D5D0F">
        <w:rPr>
          <w:color w:val="000000" w:themeColor="text1"/>
          <w:sz w:val="20"/>
        </w:rPr>
        <w:t>[29]</w:t>
      </w:r>
      <w:r w:rsidRPr="008D5D0F">
        <w:rPr>
          <w:color w:val="000000" w:themeColor="text1"/>
          <w:sz w:val="20"/>
        </w:rPr>
        <w:fldChar w:fldCharType="end"/>
      </w:r>
      <w:r w:rsidRPr="008D5D0F">
        <w:rPr>
          <w:color w:val="000000" w:themeColor="text1"/>
          <w:sz w:val="20"/>
        </w:rPr>
        <w:t xml:space="preserve"> and </w:t>
      </w:r>
      <w:r w:rsidRPr="008D5D0F">
        <w:rPr>
          <w:color w:val="000000" w:themeColor="text1"/>
          <w:sz w:val="20"/>
        </w:rPr>
        <w:fldChar w:fldCharType="begin"/>
      </w:r>
      <w:r w:rsidR="00837AC2" w:rsidRPr="008D5D0F">
        <w:rPr>
          <w:color w:val="000000" w:themeColor="text1"/>
          <w:sz w:val="20"/>
        </w:rPr>
        <w:instrText xml:space="preserve"> ADDIN ZOTERO_ITEM CSL_CITATION {"citationID":"jRNU1dGA","properties":{"formattedCitation":"[4]","plainCitation":"[4]","noteIndex":0},"citationItems":[{"id":1363,"uris":["http://zotero.org/users/5672304/items/6CGXTJHW"],"uri":["http://zotero.org/users/5672304/items/6CGXTJHW"],"itemData":{"id":1363,"type":"article-journal","container-title":"Nature","DOI":"10.1038/nature19797","ISSN":"0028-0836, 1476-4687","issue":"7623","language":"en","page":"88-91","source":"DOI.org (Crossref)","title":"Upward revision of global fossil fuel methane emissions based on isotope database","volume":"538","author":[{"family":"Schwietzke","given":"Stefan"},{"family":"Sherwood","given":"Owen A."},{"family":"Bruhwiler","given":"Lori M. P."},{"family":"Miller","given":"John B."},{"family":"Etiope","given":"Giuseppe"},{"family":"Dlugokencky","given":"Edward J."},{"family":"Michel","given":"Sylvia Englund"},{"family":"Arling","given":"Victoria A."},{"family":"Vaughn","given":"Bruce H."},{"family":"White","given":"James W. C."},{"family":"Tans","given":"Pieter P."}],"issued":{"date-parts":[["2016",10,5]]}}}],"schema":"https://github.com/citation-style-language/schema/raw/master/csl-citation.json"} </w:instrText>
      </w:r>
      <w:r w:rsidRPr="008D5D0F">
        <w:rPr>
          <w:color w:val="000000" w:themeColor="text1"/>
          <w:sz w:val="20"/>
        </w:rPr>
        <w:fldChar w:fldCharType="separate"/>
      </w:r>
      <w:r w:rsidR="00837AC2" w:rsidRPr="008D5D0F">
        <w:rPr>
          <w:color w:val="000000" w:themeColor="text1"/>
          <w:sz w:val="20"/>
        </w:rPr>
        <w:t>[4]</w:t>
      </w:r>
      <w:r w:rsidRPr="008D5D0F">
        <w:rPr>
          <w:color w:val="000000" w:themeColor="text1"/>
          <w:sz w:val="20"/>
        </w:rPr>
        <w:fldChar w:fldCharType="end"/>
      </w:r>
      <w:r w:rsidRPr="008D5D0F">
        <w:rPr>
          <w:color w:val="000000" w:themeColor="text1"/>
          <w:sz w:val="20"/>
        </w:rPr>
        <w:t xml:space="preserve"> to include the consideration of spatial variability in δ</w:t>
      </w:r>
      <w:r w:rsidRPr="008D5D0F">
        <w:rPr>
          <w:color w:val="000000" w:themeColor="text1"/>
          <w:sz w:val="20"/>
          <w:vertAlign w:val="superscript"/>
        </w:rPr>
        <w:t>13</w:t>
      </w:r>
      <w:r w:rsidRPr="008D5D0F">
        <w:rPr>
          <w:color w:val="000000" w:themeColor="text1"/>
          <w:sz w:val="20"/>
        </w:rPr>
        <w:t>C-CH</w:t>
      </w:r>
      <w:r w:rsidRPr="008D5D0F">
        <w:rPr>
          <w:color w:val="000000" w:themeColor="text1"/>
          <w:sz w:val="20"/>
          <w:vertAlign w:val="subscript"/>
        </w:rPr>
        <w:t>4</w:t>
      </w:r>
      <w:r w:rsidRPr="008D5D0F">
        <w:rPr>
          <w:color w:val="000000" w:themeColor="text1"/>
          <w:sz w:val="20"/>
        </w:rPr>
        <w:t xml:space="preserve"> values. The isotopic value map is based on measurements from 43 countries, accounting for ~ 70% of natural gas/oil emissions from 2000-2010. We applied the global mean calculated by </w:t>
      </w:r>
      <w:r w:rsidRPr="008D5D0F">
        <w:rPr>
          <w:color w:val="000000" w:themeColor="text1"/>
          <w:sz w:val="20"/>
        </w:rPr>
        <w:fldChar w:fldCharType="begin"/>
      </w:r>
      <w:r w:rsidR="00837AC2" w:rsidRPr="008D5D0F">
        <w:rPr>
          <w:color w:val="000000" w:themeColor="text1"/>
          <w:sz w:val="20"/>
        </w:rPr>
        <w:instrText xml:space="preserve"> ADDIN ZOTERO_ITEM CSL_CITATION {"citationID":"2F4LCGsT","properties":{"formattedCitation":"[4]","plainCitation":"[4]","noteIndex":0},"citationItems":[{"id":1363,"uris":["http://zotero.org/users/5672304/items/6CGXTJHW"],"uri":["http://zotero.org/users/5672304/items/6CGXTJHW"],"itemData":{"id":1363,"type":"article-journal","container-title":"Nature","DOI":"10.1038/nature19797","ISSN":"0028-0836, 1476-4687","issue":"7623","language":"en","page":"88-91","source":"DOI.org (Crossref)","title":"Upward revision of global fossil fuel methane emissions based on isotope database","volume":"538","author":[{"family":"Schwietzke","given":"Stefan"},{"family":"Sherwood","given":"Owen A."},{"family":"Bruhwiler","given":"Lori M. P."},{"family":"Miller","given":"John B."},{"family":"Etiope","given":"Giuseppe"},{"family":"Dlugokencky","given":"Edward J."},{"family":"Michel","given":"Sylvia Englund"},{"family":"Arling","given":"Victoria A."},{"family":"Vaughn","given":"Bruce H."},{"family":"White","given":"James W. C."},{"family":"Tans","given":"Pieter P."}],"issued":{"date-parts":[["2016",10,5]]}}}],"schema":"https://github.com/citation-style-language/schema/raw/master/csl-citation.json"} </w:instrText>
      </w:r>
      <w:r w:rsidRPr="008D5D0F">
        <w:rPr>
          <w:color w:val="000000" w:themeColor="text1"/>
          <w:sz w:val="20"/>
        </w:rPr>
        <w:fldChar w:fldCharType="separate"/>
      </w:r>
      <w:r w:rsidR="00837AC2" w:rsidRPr="008D5D0F">
        <w:rPr>
          <w:color w:val="000000" w:themeColor="text1"/>
          <w:sz w:val="20"/>
        </w:rPr>
        <w:t>[4]</w:t>
      </w:r>
      <w:r w:rsidRPr="008D5D0F">
        <w:rPr>
          <w:color w:val="000000" w:themeColor="text1"/>
          <w:sz w:val="20"/>
        </w:rPr>
        <w:fldChar w:fldCharType="end"/>
      </w:r>
      <w:r w:rsidRPr="008D5D0F">
        <w:rPr>
          <w:color w:val="000000" w:themeColor="text1"/>
          <w:sz w:val="20"/>
        </w:rPr>
        <w:t xml:space="preserve"> wherever data were unavailable.</w:t>
      </w:r>
    </w:p>
    <w:p w14:paraId="445776CB" w14:textId="77777777" w:rsidR="00EB592C" w:rsidRPr="008D5D0F" w:rsidRDefault="00EB592C" w:rsidP="00EB592C">
      <w:pPr>
        <w:pBdr>
          <w:top w:val="nil"/>
          <w:left w:val="nil"/>
          <w:bottom w:val="nil"/>
          <w:right w:val="nil"/>
          <w:between w:val="nil"/>
        </w:pBdr>
        <w:spacing w:after="200"/>
        <w:contextualSpacing/>
        <w:rPr>
          <w:color w:val="000000" w:themeColor="text1"/>
          <w:sz w:val="20"/>
        </w:rPr>
      </w:pPr>
    </w:p>
    <w:p w14:paraId="6A751559" w14:textId="33EFD3E7" w:rsidR="00EB592C" w:rsidRPr="008D5D0F" w:rsidRDefault="00EB592C" w:rsidP="00EB592C">
      <w:pPr>
        <w:pBdr>
          <w:top w:val="nil"/>
          <w:left w:val="nil"/>
          <w:bottom w:val="nil"/>
          <w:right w:val="nil"/>
          <w:between w:val="nil"/>
        </w:pBdr>
        <w:contextualSpacing/>
        <w:rPr>
          <w:color w:val="000000" w:themeColor="text1"/>
          <w:sz w:val="20"/>
          <w:vertAlign w:val="subscript"/>
        </w:rPr>
      </w:pPr>
      <w:bookmarkStart w:id="11" w:name="_Toc37816968"/>
      <w:r w:rsidRPr="008D5D0F">
        <w:rPr>
          <w:b/>
          <w:bCs/>
          <w:color w:val="000000" w:themeColor="text1"/>
          <w:sz w:val="20"/>
        </w:rPr>
        <w:t>Livestock δ</w:t>
      </w:r>
      <w:r w:rsidRPr="008D5D0F">
        <w:rPr>
          <w:b/>
          <w:bCs/>
          <w:color w:val="000000" w:themeColor="text1"/>
          <w:sz w:val="20"/>
          <w:vertAlign w:val="superscript"/>
        </w:rPr>
        <w:t>13</w:t>
      </w:r>
      <w:r w:rsidRPr="008D5D0F">
        <w:rPr>
          <w:b/>
          <w:bCs/>
          <w:color w:val="000000" w:themeColor="text1"/>
          <w:sz w:val="20"/>
        </w:rPr>
        <w:t>C-CH</w:t>
      </w:r>
      <w:r w:rsidRPr="008D5D0F">
        <w:rPr>
          <w:b/>
          <w:bCs/>
          <w:color w:val="000000" w:themeColor="text1"/>
          <w:sz w:val="20"/>
          <w:vertAlign w:val="subscript"/>
        </w:rPr>
        <w:t>4</w:t>
      </w:r>
      <w:bookmarkEnd w:id="11"/>
      <w:r w:rsidRPr="008D5D0F">
        <w:rPr>
          <w:b/>
          <w:bCs/>
          <w:color w:val="000000" w:themeColor="text1"/>
          <w:sz w:val="20"/>
          <w:vertAlign w:val="subscript"/>
        </w:rPr>
        <w:t>.</w:t>
      </w:r>
      <w:r w:rsidRPr="008D5D0F">
        <w:rPr>
          <w:color w:val="000000" w:themeColor="text1"/>
          <w:sz w:val="20"/>
          <w:vertAlign w:val="subscript"/>
        </w:rPr>
        <w:t xml:space="preserve"> </w:t>
      </w:r>
      <w:r w:rsidRPr="008D5D0F">
        <w:rPr>
          <w:color w:val="000000" w:themeColor="text1"/>
          <w:sz w:val="20"/>
        </w:rPr>
        <w:t xml:space="preserve">We use the C3/C4 fraction map </w:t>
      </w:r>
      <w:r w:rsidRPr="008D5D0F">
        <w:rPr>
          <w:color w:val="000000" w:themeColor="text1"/>
          <w:sz w:val="20"/>
        </w:rPr>
        <w:fldChar w:fldCharType="begin"/>
      </w:r>
      <w:r w:rsidR="00837AC2" w:rsidRPr="008D5D0F">
        <w:rPr>
          <w:color w:val="000000" w:themeColor="text1"/>
          <w:sz w:val="20"/>
        </w:rPr>
        <w:instrText xml:space="preserve"> ADDIN ZOTERO_ITEM CSL_CITATION {"citationID":"PsPZbgB4","properties":{"formattedCitation":"[30]","plainCitation":"[30]","noteIndex":0},"citationItems":[{"id":1978,"uris":["http://zotero.org/users/5672304/items/I43KFPVW"],"uri":["http://zotero.org/users/5672304/items/I43KFPVW"],"itemData":{"id":1978,"type":"article-journal","container-title":"Global Biogeochemical Cycles","DOI":"10.1029/2001GB001807","ISSN":"08866236","issue":"1","language":"en","page":"6-1-6-14","source":"DOI.org (Crossref)","title":"Global distribution of C3 and C4 vegetation: Carbon cycle implications","title-short":"Global distribution of C &lt;sub&gt;3&lt;/sub&gt; and C &lt;sub&gt;4&lt;/sub&gt; vegetation","volume":"17","author":[{"family":"Still","given":"Christopher J."},{"family":"Berry","given":"Joseph A."},{"family":"Collatz","given":"G. James"},{"family":"DeFries","given":"Ruth S."}],"issued":{"date-parts":[["2003",3]]}}}],"schema":"https://github.com/citation-style-language/schema/raw/master/csl-citation.json"} </w:instrText>
      </w:r>
      <w:r w:rsidRPr="008D5D0F">
        <w:rPr>
          <w:color w:val="000000" w:themeColor="text1"/>
          <w:sz w:val="20"/>
        </w:rPr>
        <w:fldChar w:fldCharType="separate"/>
      </w:r>
      <w:r w:rsidR="00837AC2" w:rsidRPr="008D5D0F">
        <w:rPr>
          <w:color w:val="000000" w:themeColor="text1"/>
          <w:sz w:val="20"/>
        </w:rPr>
        <w:t>[30]</w:t>
      </w:r>
      <w:r w:rsidRPr="008D5D0F">
        <w:rPr>
          <w:color w:val="000000" w:themeColor="text1"/>
          <w:sz w:val="20"/>
        </w:rPr>
        <w:fldChar w:fldCharType="end"/>
      </w:r>
      <w:r w:rsidRPr="008D5D0F">
        <w:rPr>
          <w:color w:val="000000" w:themeColor="text1"/>
          <w:sz w:val="20"/>
        </w:rPr>
        <w:t xml:space="preserve"> to calculate regional livestock values. We assume that livestock animals graze or are fed vegetation that corresponds to the local resources and thus ignore the impact of the feedlots and imported fodder on the calculation of livestock δ</w:t>
      </w:r>
      <w:r w:rsidRPr="008D5D0F">
        <w:rPr>
          <w:color w:val="000000" w:themeColor="text1"/>
          <w:sz w:val="20"/>
          <w:vertAlign w:val="superscript"/>
        </w:rPr>
        <w:t>13</w:t>
      </w:r>
      <w:r w:rsidRPr="008D5D0F">
        <w:rPr>
          <w:color w:val="000000" w:themeColor="text1"/>
          <w:sz w:val="20"/>
        </w:rPr>
        <w:t>C-CH</w:t>
      </w:r>
      <w:r w:rsidRPr="008D5D0F">
        <w:rPr>
          <w:color w:val="000000" w:themeColor="text1"/>
          <w:sz w:val="20"/>
          <w:vertAlign w:val="subscript"/>
        </w:rPr>
        <w:t>4</w:t>
      </w:r>
      <w:r w:rsidRPr="008D5D0F">
        <w:rPr>
          <w:color w:val="000000" w:themeColor="text1"/>
          <w:sz w:val="20"/>
        </w:rPr>
        <w:t xml:space="preserve"> values. From the studies compiled by </w:t>
      </w:r>
      <w:r w:rsidRPr="008D5D0F">
        <w:rPr>
          <w:color w:val="000000" w:themeColor="text1"/>
          <w:sz w:val="20"/>
        </w:rPr>
        <w:fldChar w:fldCharType="begin"/>
      </w:r>
      <w:r w:rsidR="00837AC2" w:rsidRPr="008D5D0F">
        <w:rPr>
          <w:color w:val="000000" w:themeColor="text1"/>
          <w:sz w:val="20"/>
        </w:rPr>
        <w:instrText xml:space="preserve"> ADDIN ZOTERO_ITEM CSL_CITATION {"citationID":"sWdh4cmE","properties":{"formattedCitation":"[29]","plainCitation":"[29]","noteIndex":0},"citationItems":[{"id":1364,"uris":["http://zotero.org/users/5672304/items/SPCNGDYG"],"uri":["http://zotero.org/users/5672304/items/SPCNGDYG"],"itemData":{"id":1364,"type":"article-journal","abstract":"The concentration of atmospheric methane (CH4) has more than doubled over the industrial era. To help constrain global and regional CH4 budgets, inverse (top-down) models incorporate data on the concentration and stable carbon (δ13C) and hydrogen (δ2H) isotopic ratios of atmospheric CH4. These models depend on accurate δ13C and δ2H end-member source signatures for each of the main emissions categories. Compared with meticulous measurement and calibration of isotopic CH4 in the atmosphere, there has been relatively less effort to characterize globally representative isotopic source signatures, particularly for fossil fuel sources. Most global CH4 budget models have so far relied on outdated source signature values derived from globally nonrepresentative data. To correct this deﬁciency, we present a comprehensive, globally representative end-member database of the δ13C and δ2H of CH4 from fossil fuel (conventional natural gas, shale gas, and coal), modern microbial (wetlands, rice paddies, ruminants, termites, and landﬁlls and/or waste) and biomass burning sources. Gas molecular compositional data for fossil fuel categories are also included with the database. The database comprises 10 706 samples (8734 fossil fuel, 1972 non-fossil) from 190 published references. Mean (unweighted) δ13C signatures for fossil fuel CH4 are signiﬁcantly lighter than values commonly used in CH4 budget models, thus highlighting potential underestimation of fossil fuel CH4 emissions in previous CH4 budget models. This living database will be updated every 2–3 years to provide the atmospheric modeling community with the most complete CH4 source signature data possible. Database digital object identiﬁer (DOI): https://doi.org/10.15138/G3201T.","container-title":"Earth System Science Data","DOI":"10.5194/essd-9-639-2017","ISSN":"1866-3516","issue":"2","language":"en","page":"639-656","source":"DOI.org (Crossref)","title":"Global Inventory of Gas Geochemistry Data from Fossil Fuel, Microbial and Burning Sources, version 2017","volume":"9","author":[{"family":"Sherwood","given":"Owen A."},{"family":"Schwietzke","given":"Stefan"},{"family":"Arling","given":"Victoria A."},{"family":"Etiope","given":"Giuseppe"}],"issued":{"date-parts":[["2017",8,31]]}}}],"schema":"https://github.com/citation-style-language/schema/raw/master/csl-citation.json"} </w:instrText>
      </w:r>
      <w:r w:rsidRPr="008D5D0F">
        <w:rPr>
          <w:color w:val="000000" w:themeColor="text1"/>
          <w:sz w:val="20"/>
        </w:rPr>
        <w:fldChar w:fldCharType="separate"/>
      </w:r>
      <w:r w:rsidR="00837AC2" w:rsidRPr="008D5D0F">
        <w:rPr>
          <w:color w:val="000000" w:themeColor="text1"/>
          <w:sz w:val="20"/>
        </w:rPr>
        <w:t>[29]</w:t>
      </w:r>
      <w:r w:rsidRPr="008D5D0F">
        <w:rPr>
          <w:color w:val="000000" w:themeColor="text1"/>
          <w:sz w:val="20"/>
        </w:rPr>
        <w:fldChar w:fldCharType="end"/>
      </w:r>
      <w:r w:rsidRPr="008D5D0F">
        <w:rPr>
          <w:color w:val="000000" w:themeColor="text1"/>
          <w:sz w:val="20"/>
        </w:rPr>
        <w:t>, the mean isotopic values of CH</w:t>
      </w:r>
      <w:r w:rsidRPr="008D5D0F">
        <w:rPr>
          <w:color w:val="000000" w:themeColor="text1"/>
          <w:sz w:val="20"/>
          <w:vertAlign w:val="subscript"/>
        </w:rPr>
        <w:t>4</w:t>
      </w:r>
      <w:r w:rsidRPr="008D5D0F">
        <w:rPr>
          <w:color w:val="000000" w:themeColor="text1"/>
          <w:sz w:val="20"/>
        </w:rPr>
        <w:t xml:space="preserve"> emitted by C3- and C4-fed livestock are -68.4‰ and -54.5‰, respectively. By weighting these two endmember signatures by the C3 and C4 fractions, we determined the spatial distribution of livestock δ</w:t>
      </w:r>
      <w:r w:rsidRPr="008D5D0F">
        <w:rPr>
          <w:color w:val="000000" w:themeColor="text1"/>
          <w:sz w:val="20"/>
          <w:vertAlign w:val="superscript"/>
        </w:rPr>
        <w:t>13</w:t>
      </w:r>
      <w:r w:rsidRPr="008D5D0F">
        <w:rPr>
          <w:color w:val="000000" w:themeColor="text1"/>
          <w:sz w:val="20"/>
        </w:rPr>
        <w:t>C-CH</w:t>
      </w:r>
      <w:r w:rsidRPr="008D5D0F">
        <w:rPr>
          <w:color w:val="000000" w:themeColor="text1"/>
          <w:sz w:val="20"/>
          <w:vertAlign w:val="subscript"/>
        </w:rPr>
        <w:t>4</w:t>
      </w:r>
      <w:r w:rsidRPr="008D5D0F">
        <w:rPr>
          <w:color w:val="000000" w:themeColor="text1"/>
          <w:sz w:val="20"/>
        </w:rPr>
        <w:t xml:space="preserve"> values </w:t>
      </w:r>
      <w:r w:rsidRPr="008D5D0F">
        <w:rPr>
          <w:color w:val="000000" w:themeColor="text1"/>
          <w:sz w:val="20"/>
          <w:vertAlign w:val="subscript"/>
        </w:rPr>
        <w:fldChar w:fldCharType="begin"/>
      </w:r>
      <w:r w:rsidR="00837AC2" w:rsidRPr="008D5D0F">
        <w:rPr>
          <w:color w:val="000000" w:themeColor="text1"/>
          <w:sz w:val="20"/>
          <w:vertAlign w:val="subscript"/>
        </w:rPr>
        <w:instrText xml:space="preserve"> ADDIN ZOTERO_ITEM CSL_CITATION {"citationID":"cohMdLfp","properties":{"formattedCitation":"[31]","plainCitation":"[31]","noteIndex":0},"citationItems":[{"id":1442,"uris":["http://zotero.org/users/5672304/items/A5R4SBVI"],"uri":["http://zotero.org/users/5672304/items/A5R4SBVI"],"itemData":{"id":1442,"type":"article-journal","container-title":"Atmospheric Environment","DOI":"10.1016/j.atmosenv.2017.11.037","ISSN":"13522310","language":"en","page":"99-111","source":"DOI.org (Crossref)","title":"Isotopic source signatures: Impact of regional variability on the δ13CH4 trend and spatial distribution","title-short":"Isotopic source signatures","volume":"174","author":[{"family":"Feinberg","given":"Aryeh I."},{"family":"Coulon","given":"Ancelin"},{"family":"Stenke","given":"Andrea"},{"family":"Schwietzke","given":"Stefan"},{"family":"Peter","given":"Thomas"}],"issued":{"date-parts":[["2018",2]]}}}],"schema":"https://github.com/citation-style-language/schema/raw/master/csl-citation.json"} </w:instrText>
      </w:r>
      <w:r w:rsidRPr="008D5D0F">
        <w:rPr>
          <w:color w:val="000000" w:themeColor="text1"/>
          <w:sz w:val="20"/>
          <w:vertAlign w:val="subscript"/>
        </w:rPr>
        <w:fldChar w:fldCharType="separate"/>
      </w:r>
      <w:r w:rsidR="00837AC2" w:rsidRPr="008D5D0F">
        <w:rPr>
          <w:color w:val="000000" w:themeColor="text1"/>
          <w:sz w:val="20"/>
        </w:rPr>
        <w:t>[31]</w:t>
      </w:r>
      <w:r w:rsidRPr="008D5D0F">
        <w:rPr>
          <w:color w:val="000000" w:themeColor="text1"/>
          <w:sz w:val="20"/>
        </w:rPr>
        <w:fldChar w:fldCharType="end"/>
      </w:r>
      <w:r w:rsidRPr="008D5D0F">
        <w:rPr>
          <w:color w:val="000000" w:themeColor="text1"/>
          <w:sz w:val="20"/>
        </w:rPr>
        <w:t>.</w:t>
      </w:r>
    </w:p>
    <w:p w14:paraId="28C0DBBD" w14:textId="77777777" w:rsidR="00EB592C" w:rsidRPr="008D5D0F" w:rsidRDefault="00EB592C" w:rsidP="00EB592C">
      <w:pPr>
        <w:pBdr>
          <w:top w:val="nil"/>
          <w:left w:val="nil"/>
          <w:bottom w:val="nil"/>
          <w:right w:val="nil"/>
          <w:between w:val="nil"/>
        </w:pBdr>
        <w:spacing w:after="200"/>
        <w:contextualSpacing/>
        <w:rPr>
          <w:color w:val="000000" w:themeColor="text1"/>
          <w:sz w:val="20"/>
        </w:rPr>
      </w:pPr>
    </w:p>
    <w:p w14:paraId="09BAA46D" w14:textId="4791B526" w:rsidR="00EB592C" w:rsidRPr="008D5D0F" w:rsidRDefault="00EB592C" w:rsidP="00EB592C">
      <w:pPr>
        <w:pBdr>
          <w:top w:val="nil"/>
          <w:left w:val="nil"/>
          <w:bottom w:val="nil"/>
          <w:right w:val="nil"/>
          <w:between w:val="nil"/>
        </w:pBdr>
        <w:contextualSpacing/>
        <w:rPr>
          <w:color w:val="000000" w:themeColor="text1"/>
          <w:sz w:val="20"/>
          <w:vertAlign w:val="subscript"/>
        </w:rPr>
      </w:pPr>
      <w:bookmarkStart w:id="12" w:name="_Toc37816969"/>
      <w:r w:rsidRPr="008D5D0F">
        <w:rPr>
          <w:b/>
          <w:bCs/>
          <w:color w:val="000000" w:themeColor="text1"/>
          <w:sz w:val="20"/>
        </w:rPr>
        <w:t>Wetland δ</w:t>
      </w:r>
      <w:r w:rsidRPr="008D5D0F">
        <w:rPr>
          <w:b/>
          <w:bCs/>
          <w:color w:val="000000" w:themeColor="text1"/>
          <w:sz w:val="20"/>
          <w:vertAlign w:val="superscript"/>
        </w:rPr>
        <w:t>13</w:t>
      </w:r>
      <w:r w:rsidRPr="008D5D0F">
        <w:rPr>
          <w:b/>
          <w:bCs/>
          <w:color w:val="000000" w:themeColor="text1"/>
          <w:sz w:val="20"/>
        </w:rPr>
        <w:t>C-CH</w:t>
      </w:r>
      <w:r w:rsidRPr="008D5D0F">
        <w:rPr>
          <w:b/>
          <w:bCs/>
          <w:color w:val="000000" w:themeColor="text1"/>
          <w:sz w:val="20"/>
          <w:vertAlign w:val="subscript"/>
        </w:rPr>
        <w:t>4</w:t>
      </w:r>
      <w:bookmarkEnd w:id="12"/>
      <w:r w:rsidRPr="008D5D0F">
        <w:rPr>
          <w:b/>
          <w:bCs/>
          <w:color w:val="000000" w:themeColor="text1"/>
          <w:sz w:val="20"/>
          <w:vertAlign w:val="subscript"/>
        </w:rPr>
        <w:t>.</w:t>
      </w:r>
      <w:r w:rsidRPr="008D5D0F">
        <w:rPr>
          <w:color w:val="000000" w:themeColor="text1"/>
          <w:sz w:val="20"/>
          <w:vertAlign w:val="subscript"/>
        </w:rPr>
        <w:t xml:space="preserve"> </w:t>
      </w:r>
      <w:r w:rsidRPr="008D5D0F">
        <w:rPr>
          <w:color w:val="000000" w:themeColor="text1"/>
          <w:sz w:val="20"/>
        </w:rPr>
        <w:t xml:space="preserve">The source signature map for wetlands was derived from </w:t>
      </w:r>
      <w:r w:rsidRPr="008D5D0F">
        <w:rPr>
          <w:color w:val="000000" w:themeColor="text1"/>
          <w:sz w:val="20"/>
        </w:rPr>
        <w:fldChar w:fldCharType="begin"/>
      </w:r>
      <w:r w:rsidR="00837AC2" w:rsidRPr="008D5D0F">
        <w:rPr>
          <w:color w:val="000000" w:themeColor="text1"/>
          <w:sz w:val="20"/>
        </w:rPr>
        <w:instrText xml:space="preserve"> ADDIN ZOTERO_ITEM CSL_CITATION {"citationID":"GSM77OPp","properties":{"formattedCitation":"[32]","plainCitation":"[32]","noteIndex":0},"citationItems":[{"id":1447,"uris":["http://zotero.org/users/5672304/items/77LGNQ4N"],"uri":["http://zotero.org/users/5672304/items/77LGNQ4N"],"itemData":{"id":1447,"type":"article-journal","abstract":"We present the ﬁrst spatially resolved wetland δ13C(CH4) source signature map based on data characterizing wetland ecosystems and demonstrate good agreement with wetland signatures derived from atmospheric observations. The source signature map resolves a latitudinal difference of ~10‰ between northern high-latitude (mean À67.8‰) and tropical (mean À56.7‰) wetlands and shows signiﬁcant regional variations on top of the latitudinal gradient. We assess the errors in inverse modeling studies aiming to separate CH4 sources and sinks by comparing atmospheric δ13C(CH4) derived using our spatially resolved map against the common assumption of globally uniform wetland δ13C(CH4) signature. We ﬁnd a larger interhemispheric gradient, a larger high-latitude seasonal cycle, and smaller trend over the period 2000–2012. The implication is that erroneous CH4 ﬂuxes would be derived to compensate for the biases imposed by not utilizing spatially resolved signatures for the largest source of CH4 emissions. These biases are signiﬁcant when compared to the size of observed signals.","container-title":"Geophysical Research Letters","DOI":"10.1002/2018GL077536","ISSN":"00948276","issue":"8","language":"en","page":"3737-3745","source":"DOI.org (Crossref)","title":"Spatially Resolved Isotopic Source Signatures of Wetland Methane Emissions","volume":"45","author":[{"family":"Ganesan","given":"A. L."},{"family":"Stell","given":"A. C."},{"family":"Gedney","given":"N."},{"family":"Comyn-Platt","given":"E."},{"family":"Hayman","given":"G."},{"family":"Rigby","given":"M."},{"family":"Poulter","given":"B."},{"family":"Hornibrook","given":"E. R. C."}],"issued":{"date-parts":[["2018",4,28]]}}}],"schema":"https://github.com/citation-style-language/schema/raw/master/csl-citation.json"} </w:instrText>
      </w:r>
      <w:r w:rsidRPr="008D5D0F">
        <w:rPr>
          <w:color w:val="000000" w:themeColor="text1"/>
          <w:sz w:val="20"/>
        </w:rPr>
        <w:fldChar w:fldCharType="separate"/>
      </w:r>
      <w:r w:rsidR="00837AC2" w:rsidRPr="008D5D0F">
        <w:rPr>
          <w:color w:val="000000" w:themeColor="text1"/>
          <w:sz w:val="20"/>
        </w:rPr>
        <w:t>[32]</w:t>
      </w:r>
      <w:r w:rsidRPr="008D5D0F">
        <w:rPr>
          <w:color w:val="000000" w:themeColor="text1"/>
          <w:sz w:val="20"/>
        </w:rPr>
        <w:fldChar w:fldCharType="end"/>
      </w:r>
      <w:r w:rsidRPr="008D5D0F">
        <w:rPr>
          <w:color w:val="000000" w:themeColor="text1"/>
          <w:sz w:val="20"/>
        </w:rPr>
        <w:t xml:space="preserve">, which was generated based on the literature for different wetland subtypes (e.g., bog, fen, and mineral wetlands with C3/C4 pathways). The signature map was evaluated against wetland signatures derived from atmospheric observations. See </w:t>
      </w:r>
      <w:r w:rsidRPr="008D5D0F">
        <w:rPr>
          <w:color w:val="000000" w:themeColor="text1"/>
          <w:sz w:val="20"/>
        </w:rPr>
        <w:fldChar w:fldCharType="begin"/>
      </w:r>
      <w:r w:rsidR="00837AC2" w:rsidRPr="008D5D0F">
        <w:rPr>
          <w:color w:val="000000" w:themeColor="text1"/>
          <w:sz w:val="20"/>
        </w:rPr>
        <w:instrText xml:space="preserve"> ADDIN ZOTERO_ITEM CSL_CITATION {"citationID":"X2PdHKWD","properties":{"formattedCitation":"[32]","plainCitation":"[32]","noteIndex":0},"citationItems":[{"id":1447,"uris":["http://zotero.org/users/5672304/items/77LGNQ4N"],"uri":["http://zotero.org/users/5672304/items/77LGNQ4N"],"itemData":{"id":1447,"type":"article-journal","abstract":"We present the ﬁrst spatially resolved wetland δ13C(CH4) source signature map based on data characterizing wetland ecosystems and demonstrate good agreement with wetland signatures derived from atmospheric observations. The source signature map resolves a latitudinal difference of ~10‰ between northern high-latitude (mean À67.8‰) and tropical (mean À56.7‰) wetlands and shows signiﬁcant regional variations on top of the latitudinal gradient. We assess the errors in inverse modeling studies aiming to separate CH4 sources and sinks by comparing atmospheric δ13C(CH4) derived using our spatially resolved map against the common assumption of globally uniform wetland δ13C(CH4) signature. We ﬁnd a larger interhemispheric gradient, a larger high-latitude seasonal cycle, and smaller trend over the period 2000–2012. The implication is that erroneous CH4 ﬂuxes would be derived to compensate for the biases imposed by not utilizing spatially resolved signatures for the largest source of CH4 emissions. These biases are signiﬁcant when compared to the size of observed signals.","container-title":"Geophysical Research Letters","DOI":"10.1002/2018GL077536","ISSN":"00948276","issue":"8","language":"en","page":"3737-3745","source":"DOI.org (Crossref)","title":"Spatially Resolved Isotopic Source Signatures of Wetland Methane Emissions","volume":"45","author":[{"family":"Ganesan","given":"A. L."},{"family":"Stell","given":"A. C."},{"family":"Gedney","given":"N."},{"family":"Comyn-Platt","given":"E."},{"family":"Hayman","given":"G."},{"family":"Rigby","given":"M."},{"family":"Poulter","given":"B."},{"family":"Hornibrook","given":"E. R. C."}],"issued":{"date-parts":[["2018",4,28]]}}}],"schema":"https://github.com/citation-style-language/schema/raw/master/csl-citation.json"} </w:instrText>
      </w:r>
      <w:r w:rsidRPr="008D5D0F">
        <w:rPr>
          <w:color w:val="000000" w:themeColor="text1"/>
          <w:sz w:val="20"/>
        </w:rPr>
        <w:fldChar w:fldCharType="separate"/>
      </w:r>
      <w:r w:rsidR="00837AC2" w:rsidRPr="008D5D0F">
        <w:rPr>
          <w:color w:val="000000" w:themeColor="text1"/>
          <w:sz w:val="20"/>
        </w:rPr>
        <w:t>[32]</w:t>
      </w:r>
      <w:r w:rsidRPr="008D5D0F">
        <w:rPr>
          <w:color w:val="000000" w:themeColor="text1"/>
          <w:sz w:val="20"/>
        </w:rPr>
        <w:fldChar w:fldCharType="end"/>
      </w:r>
      <w:r w:rsidRPr="008D5D0F">
        <w:rPr>
          <w:color w:val="000000" w:themeColor="text1"/>
          <w:sz w:val="20"/>
        </w:rPr>
        <w:t xml:space="preserve"> for more details.</w:t>
      </w:r>
    </w:p>
    <w:p w14:paraId="58429701" w14:textId="77777777" w:rsidR="00EB592C" w:rsidRPr="008D5D0F" w:rsidRDefault="00EB592C" w:rsidP="00EB592C">
      <w:pPr>
        <w:pBdr>
          <w:top w:val="nil"/>
          <w:left w:val="nil"/>
          <w:bottom w:val="nil"/>
          <w:right w:val="nil"/>
          <w:between w:val="nil"/>
        </w:pBdr>
        <w:spacing w:after="200"/>
        <w:contextualSpacing/>
        <w:rPr>
          <w:color w:val="000000" w:themeColor="text1"/>
          <w:sz w:val="20"/>
        </w:rPr>
      </w:pPr>
    </w:p>
    <w:p w14:paraId="0DA7DE0E" w14:textId="0BADA2F3" w:rsidR="00EB592C" w:rsidRPr="008D5D0F" w:rsidRDefault="00EB592C" w:rsidP="00EB592C">
      <w:pPr>
        <w:pBdr>
          <w:top w:val="nil"/>
          <w:left w:val="nil"/>
          <w:bottom w:val="nil"/>
          <w:right w:val="nil"/>
          <w:between w:val="nil"/>
        </w:pBdr>
        <w:contextualSpacing/>
        <w:rPr>
          <w:color w:val="000000" w:themeColor="text1"/>
          <w:sz w:val="20"/>
          <w:vertAlign w:val="subscript"/>
        </w:rPr>
      </w:pPr>
      <w:bookmarkStart w:id="13" w:name="_Toc37816970"/>
      <w:r w:rsidRPr="008D5D0F">
        <w:rPr>
          <w:b/>
          <w:bCs/>
          <w:color w:val="000000" w:themeColor="text1"/>
          <w:sz w:val="20"/>
        </w:rPr>
        <w:t>Biomass burning δ</w:t>
      </w:r>
      <w:r w:rsidRPr="008D5D0F">
        <w:rPr>
          <w:b/>
          <w:bCs/>
          <w:color w:val="000000" w:themeColor="text1"/>
          <w:sz w:val="20"/>
          <w:vertAlign w:val="superscript"/>
        </w:rPr>
        <w:t>13</w:t>
      </w:r>
      <w:r w:rsidRPr="008D5D0F">
        <w:rPr>
          <w:b/>
          <w:bCs/>
          <w:color w:val="000000" w:themeColor="text1"/>
          <w:sz w:val="20"/>
        </w:rPr>
        <w:t>C-CH</w:t>
      </w:r>
      <w:r w:rsidRPr="008D5D0F">
        <w:rPr>
          <w:b/>
          <w:bCs/>
          <w:color w:val="000000" w:themeColor="text1"/>
          <w:sz w:val="20"/>
          <w:vertAlign w:val="subscript"/>
        </w:rPr>
        <w:t>4</w:t>
      </w:r>
      <w:bookmarkEnd w:id="13"/>
      <w:r w:rsidRPr="008D5D0F">
        <w:rPr>
          <w:b/>
          <w:bCs/>
          <w:color w:val="000000" w:themeColor="text1"/>
          <w:sz w:val="20"/>
          <w:vertAlign w:val="subscript"/>
        </w:rPr>
        <w:t>.</w:t>
      </w:r>
      <w:r w:rsidRPr="008D5D0F">
        <w:rPr>
          <w:color w:val="000000" w:themeColor="text1"/>
          <w:sz w:val="20"/>
          <w:vertAlign w:val="subscript"/>
        </w:rPr>
        <w:t xml:space="preserve"> </w:t>
      </w:r>
      <w:r w:rsidRPr="008D5D0F">
        <w:rPr>
          <w:color w:val="000000" w:themeColor="text1"/>
          <w:sz w:val="20"/>
        </w:rPr>
        <w:t xml:space="preserve">We assigned C3 and C4 biomass burning source values of -26.7‰ and -12.5‰ according to </w:t>
      </w:r>
      <w:r w:rsidRPr="008D5D0F">
        <w:rPr>
          <w:color w:val="000000" w:themeColor="text1"/>
          <w:sz w:val="20"/>
        </w:rPr>
        <w:fldChar w:fldCharType="begin"/>
      </w:r>
      <w:r w:rsidR="00837AC2" w:rsidRPr="008D5D0F">
        <w:rPr>
          <w:color w:val="000000" w:themeColor="text1"/>
          <w:sz w:val="20"/>
        </w:rPr>
        <w:instrText xml:space="preserve"> ADDIN ZOTERO_ITEM CSL_CITATION {"citationID":"NClczXdr","properties":{"formattedCitation":"[29]","plainCitation":"[29]","noteIndex":0},"citationItems":[{"id":1364,"uris":["http://zotero.org/users/5672304/items/SPCNGDYG"],"uri":["http://zotero.org/users/5672304/items/SPCNGDYG"],"itemData":{"id":1364,"type":"article-journal","abstract":"The concentration of atmospheric methane (CH4) has more than doubled over the industrial era. To help constrain global and regional CH4 budgets, inverse (top-down) models incorporate data on the concentration and stable carbon (δ13C) and hydrogen (δ2H) isotopic ratios of atmospheric CH4. These models depend on accurate δ13C and δ2H end-member source signatures for each of the main emissions categories. Compared with meticulous measurement and calibration of isotopic CH4 in the atmosphere, there has been relatively less effort to characterize globally representative isotopic source signatures, particularly for fossil fuel sources. Most global CH4 budget models have so far relied on outdated source signature values derived from globally nonrepresentative data. To correct this deﬁciency, we present a comprehensive, globally representative end-member database of the δ13C and δ2H of CH4 from fossil fuel (conventional natural gas, shale gas, and coal), modern microbial (wetlands, rice paddies, ruminants, termites, and landﬁlls and/or waste) and biomass burning sources. Gas molecular compositional data for fossil fuel categories are also included with the database. The database comprises 10 706 samples (8734 fossil fuel, 1972 non-fossil) from 190 published references. Mean (unweighted) δ13C signatures for fossil fuel CH4 are signiﬁcantly lighter than values commonly used in CH4 budget models, thus highlighting potential underestimation of fossil fuel CH4 emissions in previous CH4 budget models. This living database will be updated every 2–3 years to provide the atmospheric modeling community with the most complete CH4 source signature data possible. Database digital object identiﬁer (DOI): https://doi.org/10.15138/G3201T.","container-title":"Earth System Science Data","DOI":"10.5194/essd-9-639-2017","ISSN":"1866-3516","issue":"2","language":"en","page":"639-656","source":"DOI.org (Crossref)","title":"Global Inventory of Gas Geochemistry Data from Fossil Fuel, Microbial and Burning Sources, version 2017","volume":"9","author":[{"family":"Sherwood","given":"Owen A."},{"family":"Schwietzke","given":"Stefan"},{"family":"Arling","given":"Victoria A."},{"family":"Etiope","given":"Giuseppe"}],"issued":{"date-parts":[["2017",8,31]]}}}],"schema":"https://github.com/citation-style-language/schema/raw/master/csl-citation.json"} </w:instrText>
      </w:r>
      <w:r w:rsidRPr="008D5D0F">
        <w:rPr>
          <w:color w:val="000000" w:themeColor="text1"/>
          <w:sz w:val="20"/>
        </w:rPr>
        <w:fldChar w:fldCharType="separate"/>
      </w:r>
      <w:r w:rsidR="00837AC2" w:rsidRPr="008D5D0F">
        <w:rPr>
          <w:color w:val="000000" w:themeColor="text1"/>
          <w:sz w:val="20"/>
        </w:rPr>
        <w:t>[29]</w:t>
      </w:r>
      <w:r w:rsidRPr="008D5D0F">
        <w:rPr>
          <w:color w:val="000000" w:themeColor="text1"/>
          <w:sz w:val="20"/>
        </w:rPr>
        <w:fldChar w:fldCharType="end"/>
      </w:r>
      <w:r w:rsidRPr="008D5D0F">
        <w:rPr>
          <w:color w:val="000000" w:themeColor="text1"/>
          <w:sz w:val="20"/>
        </w:rPr>
        <w:t>, based on the measurement of 965 plant material samples. We used the spatial distribution of the C3/C4 vegetation fraction to determine the locally mixed value and generated an isotopic map of biomass burning. Note that a recent study</w:t>
      </w:r>
      <w:r w:rsidR="00837AC2" w:rsidRPr="008D5D0F">
        <w:rPr>
          <w:color w:val="000000" w:themeColor="text1"/>
          <w:sz w:val="20"/>
        </w:rPr>
        <w:t xml:space="preserve"> </w:t>
      </w:r>
      <w:r w:rsidRPr="008D5D0F">
        <w:rPr>
          <w:color w:val="000000" w:themeColor="text1"/>
          <w:sz w:val="20"/>
        </w:rPr>
        <w:fldChar w:fldCharType="begin"/>
      </w:r>
      <w:r w:rsidR="00837AC2" w:rsidRPr="008D5D0F">
        <w:rPr>
          <w:color w:val="000000" w:themeColor="text1"/>
          <w:sz w:val="20"/>
        </w:rPr>
        <w:instrText xml:space="preserve"> ADDIN ZOTERO_ITEM CSL_CITATION {"citationID":"SVLmn4ON","properties":{"formattedCitation":"[33]","plainCitation":"[33]","noteIndex":0},"citationItems":[{"id":1407,"uris":["http://zotero.org/users/5672304/items/2YULFWQ4"],"uri":["http://zotero.org/users/5672304/items/2YULFWQ4"],"itemData":{"id":1407,"type":"article-journal","abstract":"Tropical methane sources are an important part of the global methane budget and include natural wetlands, rice agriculture, biomass burning, ruminants, fossil fuels, and waste. δ13CCH4 can provide strong constraints on methane source apportionment. For example, tropical wetlands in this study give δ13CCH4 values between À61.5 ± 2.9‰ and À53.0 ± 0.4‰ and in general are more enriched in 13C than temperate and boreal wetlands. However, thus far, relatively few measurements of δ13CCH4 in methane-enriched air have been made in the tropics. In this study samples have been collected from tropical wetland, rice, ruminant, and biomass burning emissions to the atmosphere. Regional isotopic signatures vary greatly as different processes and source material affect methane signatures. Measurements were made to determine bulk source inputs to the atmosphere, rather than to study individual processes. These measurements provide inputs for regional methane budget models, to constrain emissions with better source apportionment. Plain Language Summary Tropical methane sources are an important part of the global methane budget and include natural wetlands, rice agriculture, biomass burning, ruminants, fossil fuels, and waste. Carbon isotopes in methane can provide strong constraints on methane source apportionment. However, thus far, relatively few measurements of carbon isotopes in methane-enriched air have been made in the tropics. In this study samples have been collected from tropical wetland, rice, ruminant, and biomass burning emissions to atmosphere. Regional isotopic signatures vary greatly as different processes and source material affect methane signatures. Measurements were made to determine bulk source inputs to the atmosphere, rather than to study individual processes, to provide inputs for regional methane budget models, and to constrain emissions with better source apportionment.","container-title":"Global Biogeochemical Cycles","DOI":"10.1002/2017GB005689","ISSN":"08866236","issue":"9","language":"en","page":"1408-1419","source":"DOI.org (Crossref)","title":"Isotopic Ratios of Tropical Methane Emissions by Atmospheric Measurement: Tropical Methane δ &lt;sup&gt;13&lt;/sup&gt; C Source Signatures","title-short":"Isotopic Ratios of Tropical Methane Emissions by Atmospheric Measurement","volume":"31","author":[{"family":"Brownlow","given":"R."},{"family":"Lowry","given":"D."},{"family":"Fisher","given":"R. E."},{"family":"France","given":"J. L."},{"family":"Lanoisellé","given":"M."},{"family":"White","given":"B."},{"family":"Wooster","given":"M. J."},{"family":"Zhang","given":"T."},{"family":"Nisbet","given":"E. G."}],"issued":{"date-parts":[["2017",9]]}}}],"schema":"https://github.com/citation-style-language/schema/raw/master/csl-citation.json"} </w:instrText>
      </w:r>
      <w:r w:rsidRPr="008D5D0F">
        <w:rPr>
          <w:color w:val="000000" w:themeColor="text1"/>
          <w:sz w:val="20"/>
        </w:rPr>
        <w:fldChar w:fldCharType="separate"/>
      </w:r>
      <w:r w:rsidR="00837AC2" w:rsidRPr="008D5D0F">
        <w:rPr>
          <w:color w:val="000000" w:themeColor="text1"/>
          <w:sz w:val="20"/>
        </w:rPr>
        <w:t>[33]</w:t>
      </w:r>
      <w:r w:rsidRPr="008D5D0F">
        <w:rPr>
          <w:color w:val="000000" w:themeColor="text1"/>
          <w:sz w:val="20"/>
        </w:rPr>
        <w:fldChar w:fldCharType="end"/>
      </w:r>
      <w:r w:rsidRPr="008D5D0F">
        <w:rPr>
          <w:color w:val="000000" w:themeColor="text1"/>
          <w:sz w:val="20"/>
        </w:rPr>
        <w:t xml:space="preserve"> suggests that samples of C4 are critically lacking and that the C4 signature should be revised to -17.9‰ given recent new measurements. We compared these two values with the emission estimate (Fig. S10), which suggests that applying the revised C4 value would yield a systematic shift in the BB</w:t>
      </w:r>
      <w:r w:rsidRPr="008D5D0F">
        <w:rPr>
          <w:color w:val="000000" w:themeColor="text1"/>
          <w:sz w:val="20"/>
          <w:vertAlign w:val="subscript"/>
        </w:rPr>
        <w:t>CH4</w:t>
      </w:r>
      <w:r w:rsidRPr="008D5D0F">
        <w:rPr>
          <w:color w:val="000000" w:themeColor="text1"/>
          <w:sz w:val="20"/>
        </w:rPr>
        <w:t xml:space="preserve"> source signature by ~0.4‰ in the negative direction. The results show that it does not affect the interannual variations in the emission-weighted signature of BB</w:t>
      </w:r>
      <w:r w:rsidRPr="008D5D0F">
        <w:rPr>
          <w:color w:val="000000" w:themeColor="text1"/>
          <w:sz w:val="20"/>
          <w:vertAlign w:val="subscript"/>
        </w:rPr>
        <w:t>CH4</w:t>
      </w:r>
      <w:r w:rsidRPr="008D5D0F">
        <w:rPr>
          <w:color w:val="000000" w:themeColor="text1"/>
          <w:sz w:val="20"/>
        </w:rPr>
        <w:t xml:space="preserve"> and thus has no impact on our conclusions.</w:t>
      </w:r>
    </w:p>
    <w:p w14:paraId="7BFE66A5" w14:textId="77777777" w:rsidR="00EB592C" w:rsidRPr="008D5D0F" w:rsidRDefault="00EB592C" w:rsidP="00EB592C">
      <w:pPr>
        <w:pBdr>
          <w:top w:val="nil"/>
          <w:left w:val="nil"/>
          <w:bottom w:val="nil"/>
          <w:right w:val="nil"/>
          <w:between w:val="nil"/>
        </w:pBdr>
        <w:spacing w:after="200"/>
        <w:contextualSpacing/>
        <w:rPr>
          <w:color w:val="000000" w:themeColor="text1"/>
          <w:sz w:val="20"/>
        </w:rPr>
      </w:pPr>
    </w:p>
    <w:p w14:paraId="69B4C48C" w14:textId="59AD4671" w:rsidR="00EB592C" w:rsidRPr="008D5D0F" w:rsidRDefault="00EB592C" w:rsidP="00EB592C">
      <w:pPr>
        <w:pBdr>
          <w:top w:val="nil"/>
          <w:left w:val="nil"/>
          <w:bottom w:val="nil"/>
          <w:right w:val="nil"/>
          <w:between w:val="nil"/>
        </w:pBdr>
        <w:contextualSpacing/>
        <w:rPr>
          <w:color w:val="000000" w:themeColor="text1"/>
          <w:sz w:val="20"/>
        </w:rPr>
      </w:pPr>
      <w:bookmarkStart w:id="14" w:name="_Toc37816971"/>
      <w:r w:rsidRPr="008D5D0F">
        <w:rPr>
          <w:b/>
          <w:bCs/>
          <w:color w:val="000000" w:themeColor="text1"/>
          <w:sz w:val="20"/>
        </w:rPr>
        <w:t>Other sources</w:t>
      </w:r>
      <w:bookmarkEnd w:id="14"/>
      <w:r w:rsidRPr="008D5D0F">
        <w:rPr>
          <w:b/>
          <w:bCs/>
          <w:color w:val="000000" w:themeColor="text1"/>
          <w:sz w:val="20"/>
        </w:rPr>
        <w:t>.</w:t>
      </w:r>
      <w:r w:rsidRPr="008D5D0F">
        <w:rPr>
          <w:color w:val="000000" w:themeColor="text1"/>
          <w:sz w:val="20"/>
        </w:rPr>
        <w:t xml:space="preserve"> The other sources using a constant value in the isotopic signature calculation include landfills/waste, rice agriculture, freshwater systems, termites, wild animals, and permafrost and oceanic sources. These sources were treated in this way because there were either insufficient measurements to represent spatial distributions (e.g., freshwater systems and wild animals) or they did not have strong spatial variability due to the low heterogeneity in the CH</w:t>
      </w:r>
      <w:r w:rsidRPr="008D5D0F">
        <w:rPr>
          <w:color w:val="000000" w:themeColor="text1"/>
          <w:sz w:val="20"/>
          <w:vertAlign w:val="subscript"/>
        </w:rPr>
        <w:t>4</w:t>
      </w:r>
      <w:r w:rsidRPr="008D5D0F">
        <w:rPr>
          <w:color w:val="000000" w:themeColor="text1"/>
          <w:sz w:val="20"/>
        </w:rPr>
        <w:t>-generating environments (e.g., rice and termites). Given the similar underlying methanogenic processes and potential overlap in spatial distribution between freshwater systems and wetlands, the unweighted δ</w:t>
      </w:r>
      <w:r w:rsidRPr="008D5D0F">
        <w:rPr>
          <w:color w:val="000000" w:themeColor="text1"/>
          <w:sz w:val="20"/>
          <w:vertAlign w:val="superscript"/>
        </w:rPr>
        <w:t>13</w:t>
      </w:r>
      <w:r w:rsidRPr="008D5D0F">
        <w:rPr>
          <w:color w:val="000000" w:themeColor="text1"/>
          <w:sz w:val="20"/>
        </w:rPr>
        <w:t>C-CH</w:t>
      </w:r>
      <w:r w:rsidRPr="008D5D0F">
        <w:rPr>
          <w:color w:val="000000" w:themeColor="text1"/>
          <w:sz w:val="20"/>
          <w:vertAlign w:val="subscript"/>
        </w:rPr>
        <w:t xml:space="preserve">4 </w:t>
      </w:r>
      <w:r w:rsidRPr="008D5D0F">
        <w:rPr>
          <w:color w:val="000000" w:themeColor="text1"/>
          <w:sz w:val="20"/>
        </w:rPr>
        <w:t>values for freshwater systems were set to -61.5‰ as the global mean of wetland δ</w:t>
      </w:r>
      <w:r w:rsidRPr="008D5D0F">
        <w:rPr>
          <w:color w:val="000000" w:themeColor="text1"/>
          <w:sz w:val="20"/>
          <w:vertAlign w:val="superscript"/>
        </w:rPr>
        <w:t>13</w:t>
      </w:r>
      <w:r w:rsidRPr="008D5D0F">
        <w:rPr>
          <w:color w:val="000000" w:themeColor="text1"/>
          <w:sz w:val="20"/>
        </w:rPr>
        <w:t>C-CH</w:t>
      </w:r>
      <w:r w:rsidRPr="008D5D0F">
        <w:rPr>
          <w:color w:val="000000" w:themeColor="text1"/>
          <w:sz w:val="20"/>
          <w:vertAlign w:val="subscript"/>
        </w:rPr>
        <w:t xml:space="preserve">4 </w:t>
      </w:r>
      <w:r w:rsidRPr="008D5D0F">
        <w:rPr>
          <w:color w:val="000000" w:themeColor="text1"/>
          <w:sz w:val="20"/>
        </w:rPr>
        <w:t xml:space="preserve">values from </w:t>
      </w:r>
      <w:r w:rsidRPr="008D5D0F">
        <w:rPr>
          <w:color w:val="000000" w:themeColor="text1"/>
          <w:sz w:val="20"/>
        </w:rPr>
        <w:fldChar w:fldCharType="begin"/>
      </w:r>
      <w:r w:rsidR="00837AC2" w:rsidRPr="008D5D0F">
        <w:rPr>
          <w:color w:val="000000" w:themeColor="text1"/>
          <w:sz w:val="20"/>
        </w:rPr>
        <w:instrText xml:space="preserve"> ADDIN ZOTERO_ITEM CSL_CITATION {"citationID":"rxYD88NI","properties":{"formattedCitation":"[29]","plainCitation":"[29]","noteIndex":0},"citationItems":[{"id":1364,"uris":["http://zotero.org/users/5672304/items/SPCNGDYG"],"uri":["http://zotero.org/users/5672304/items/SPCNGDYG"],"itemData":{"id":1364,"type":"article-journal","abstract":"The concentration of atmospheric methane (CH4) has more than doubled over the industrial era. To help constrain global and regional CH4 budgets, inverse (top-down) models incorporate data on the concentration and stable carbon (δ13C) and hydrogen (δ2H) isotopic ratios of atmospheric CH4. These models depend on accurate δ13C and δ2H end-member source signatures for each of the main emissions categories. Compared with meticulous measurement and calibration of isotopic CH4 in the atmosphere, there has been relatively less effort to characterize globally representative isotopic source signatures, particularly for fossil fuel sources. Most global CH4 budget models have so far relied on outdated source signature values derived from globally nonrepresentative data. To correct this deﬁciency, we present a comprehensive, globally representative end-member database of the δ13C and δ2H of CH4 from fossil fuel (conventional natural gas, shale gas, and coal), modern microbial (wetlands, rice paddies, ruminants, termites, and landﬁlls and/or waste) and biomass burning sources. Gas molecular compositional data for fossil fuel categories are also included with the database. The database comprises 10 706 samples (8734 fossil fuel, 1972 non-fossil) from 190 published references. Mean (unweighted) δ13C signatures for fossil fuel CH4 are signiﬁcantly lighter than values commonly used in CH4 budget models, thus highlighting potential underestimation of fossil fuel CH4 emissions in previous CH4 budget models. This living database will be updated every 2–3 years to provide the atmospheric modeling community with the most complete CH4 source signature data possible. Database digital object identiﬁer (DOI): https://doi.org/10.15138/G3201T.","container-title":"Earth System Science Data","DOI":"10.5194/essd-9-639-2017","ISSN":"1866-3516","issue":"2","language":"en","page":"639-656","source":"DOI.org (Crossref)","title":"Global Inventory of Gas Geochemistry Data from Fossil Fuel, Microbial and Burning Sources, version 2017","volume":"9","author":[{"family":"Sherwood","given":"Owen A."},{"family":"Schwietzke","given":"Stefan"},{"family":"Arling","given":"Victoria A."},{"family":"Etiope","given":"Giuseppe"}],"issued":{"date-parts":[["2017",8,31]]}}}],"schema":"https://github.com/citation-style-language/schema/raw/master/csl-citation.json"} </w:instrText>
      </w:r>
      <w:r w:rsidRPr="008D5D0F">
        <w:rPr>
          <w:color w:val="000000" w:themeColor="text1"/>
          <w:sz w:val="20"/>
        </w:rPr>
        <w:fldChar w:fldCharType="separate"/>
      </w:r>
      <w:r w:rsidR="00837AC2" w:rsidRPr="008D5D0F">
        <w:rPr>
          <w:color w:val="000000" w:themeColor="text1"/>
          <w:sz w:val="20"/>
        </w:rPr>
        <w:t>[29]</w:t>
      </w:r>
      <w:r w:rsidRPr="008D5D0F">
        <w:rPr>
          <w:color w:val="000000" w:themeColor="text1"/>
          <w:sz w:val="20"/>
        </w:rPr>
        <w:fldChar w:fldCharType="end"/>
      </w:r>
      <w:r w:rsidRPr="008D5D0F">
        <w:rPr>
          <w:color w:val="000000" w:themeColor="text1"/>
          <w:sz w:val="20"/>
        </w:rPr>
        <w:t>. The δ</w:t>
      </w:r>
      <w:r w:rsidRPr="008D5D0F">
        <w:rPr>
          <w:color w:val="000000" w:themeColor="text1"/>
          <w:sz w:val="20"/>
          <w:vertAlign w:val="superscript"/>
        </w:rPr>
        <w:t>13</w:t>
      </w:r>
      <w:r w:rsidRPr="008D5D0F">
        <w:rPr>
          <w:color w:val="000000" w:themeColor="text1"/>
          <w:sz w:val="20"/>
        </w:rPr>
        <w:t>C-CH</w:t>
      </w:r>
      <w:r w:rsidRPr="008D5D0F">
        <w:rPr>
          <w:color w:val="000000" w:themeColor="text1"/>
          <w:sz w:val="20"/>
          <w:vertAlign w:val="subscript"/>
        </w:rPr>
        <w:t xml:space="preserve">4 </w:t>
      </w:r>
      <w:r w:rsidRPr="008D5D0F">
        <w:rPr>
          <w:color w:val="000000" w:themeColor="text1"/>
          <w:sz w:val="20"/>
        </w:rPr>
        <w:t>values of other sources are listed in Table S2.</w:t>
      </w:r>
    </w:p>
    <w:p w14:paraId="56E50B65" w14:textId="77777777" w:rsidR="00EB592C" w:rsidRPr="008D5D0F" w:rsidRDefault="00EB592C" w:rsidP="00EB592C">
      <w:pPr>
        <w:pBdr>
          <w:top w:val="nil"/>
          <w:left w:val="nil"/>
          <w:bottom w:val="nil"/>
          <w:right w:val="nil"/>
          <w:between w:val="nil"/>
        </w:pBdr>
        <w:spacing w:after="200"/>
        <w:contextualSpacing/>
        <w:rPr>
          <w:color w:val="000000" w:themeColor="text1"/>
          <w:sz w:val="20"/>
        </w:rPr>
      </w:pPr>
    </w:p>
    <w:p w14:paraId="2BF3080C" w14:textId="1D35238C" w:rsidR="00EB592C" w:rsidRPr="008D5D0F" w:rsidRDefault="00EB592C" w:rsidP="00EB592C">
      <w:pPr>
        <w:pBdr>
          <w:top w:val="nil"/>
          <w:left w:val="nil"/>
          <w:bottom w:val="nil"/>
          <w:right w:val="nil"/>
          <w:between w:val="nil"/>
        </w:pBdr>
        <w:contextualSpacing/>
        <w:rPr>
          <w:color w:val="000000" w:themeColor="text1"/>
          <w:sz w:val="20"/>
        </w:rPr>
      </w:pPr>
      <w:bookmarkStart w:id="15" w:name="_Toc37816972"/>
      <w:r w:rsidRPr="008D5D0F">
        <w:rPr>
          <w:b/>
          <w:bCs/>
          <w:color w:val="000000" w:themeColor="text1"/>
          <w:sz w:val="20"/>
        </w:rPr>
        <w:t>Uncertainty maps</w:t>
      </w:r>
      <w:bookmarkEnd w:id="15"/>
      <w:r w:rsidRPr="008D5D0F">
        <w:rPr>
          <w:b/>
          <w:bCs/>
          <w:color w:val="000000" w:themeColor="text1"/>
          <w:sz w:val="20"/>
        </w:rPr>
        <w:t>.</w:t>
      </w:r>
      <w:r w:rsidRPr="008D5D0F">
        <w:rPr>
          <w:color w:val="000000" w:themeColor="text1"/>
          <w:sz w:val="20"/>
        </w:rPr>
        <w:t xml:space="preserve"> The spatial distribution of uncertainty in wetland δ</w:t>
      </w:r>
      <w:r w:rsidRPr="008D5D0F">
        <w:rPr>
          <w:color w:val="000000" w:themeColor="text1"/>
          <w:sz w:val="20"/>
          <w:vertAlign w:val="superscript"/>
        </w:rPr>
        <w:t>13</w:t>
      </w:r>
      <w:r w:rsidRPr="008D5D0F">
        <w:rPr>
          <w:color w:val="000000" w:themeColor="text1"/>
          <w:sz w:val="20"/>
        </w:rPr>
        <w:t>C-CH</w:t>
      </w:r>
      <w:r w:rsidRPr="008D5D0F">
        <w:rPr>
          <w:color w:val="000000" w:themeColor="text1"/>
          <w:sz w:val="20"/>
          <w:vertAlign w:val="subscript"/>
        </w:rPr>
        <w:t>4</w:t>
      </w:r>
      <w:r w:rsidRPr="008D5D0F">
        <w:rPr>
          <w:color w:val="000000" w:themeColor="text1"/>
          <w:sz w:val="20"/>
        </w:rPr>
        <w:t xml:space="preserve"> values was generated based on four wetland types: boreal bog, fen, and mineral C3/C4 wetlands, where each type has an average signature and 1-</w:t>
      </w:r>
      <w:r w:rsidRPr="008D5D0F">
        <w:rPr>
          <w:color w:val="000000" w:themeColor="text1"/>
          <w:sz w:val="20"/>
        </w:rPr>
        <w:sym w:font="Symbol" w:char="F073"/>
      </w:r>
      <w:r w:rsidRPr="008D5D0F">
        <w:rPr>
          <w:color w:val="000000" w:themeColor="text1"/>
          <w:sz w:val="20"/>
        </w:rPr>
        <w:t xml:space="preserve"> uncertainty derived from </w:t>
      </w:r>
      <w:r w:rsidRPr="008D5D0F">
        <w:rPr>
          <w:color w:val="000000" w:themeColor="text1"/>
          <w:sz w:val="20"/>
        </w:rPr>
        <w:fldChar w:fldCharType="begin"/>
      </w:r>
      <w:r w:rsidR="00837AC2" w:rsidRPr="008D5D0F">
        <w:rPr>
          <w:color w:val="000000" w:themeColor="text1"/>
          <w:sz w:val="20"/>
        </w:rPr>
        <w:instrText xml:space="preserve"> ADDIN ZOTERO_ITEM CSL_CITATION {"citationID":"wD2iV6gT","properties":{"formattedCitation":"[29]","plainCitation":"[29]","noteIndex":0},"citationItems":[{"id":1364,"uris":["http://zotero.org/users/5672304/items/SPCNGDYG"],"uri":["http://zotero.org/users/5672304/items/SPCNGDYG"],"itemData":{"id":1364,"type":"article-journal","abstract":"The concentration of atmospheric methane (CH4) has more than doubled over the industrial era. To help constrain global and regional CH4 budgets, inverse (top-down) models incorporate data on the concentration and stable carbon (δ13C) and hydrogen (δ2H) isotopic ratios of atmospheric CH4. These models depend on accurate δ13C and δ2H end-member source signatures for each of the main emissions categories. Compared with meticulous measurement and calibration of isotopic CH4 in the atmosphere, there has been relatively less effort to characterize globally representative isotopic source signatures, particularly for fossil fuel sources. Most global CH4 budget models have so far relied on outdated source signature values derived from globally nonrepresentative data. To correct this deﬁciency, we present a comprehensive, globally representative end-member database of the δ13C and δ2H of CH4 from fossil fuel (conventional natural gas, shale gas, and coal), modern microbial (wetlands, rice paddies, ruminants, termites, and landﬁlls and/or waste) and biomass burning sources. Gas molecular compositional data for fossil fuel categories are also included with the database. The database comprises 10 706 samples (8734 fossil fuel, 1972 non-fossil) from 190 published references. Mean (unweighted) δ13C signatures for fossil fuel CH4 are signiﬁcantly lighter than values commonly used in CH4 budget models, thus highlighting potential underestimation of fossil fuel CH4 emissions in previous CH4 budget models. This living database will be updated every 2–3 years to provide the atmospheric modeling community with the most complete CH4 source signature data possible. Database digital object identiﬁer (DOI): https://doi.org/10.15138/G3201T.","container-title":"Earth System Science Data","DOI":"10.5194/essd-9-639-2017","ISSN":"1866-3516","issue":"2","language":"en","page":"639-656","source":"DOI.org (Crossref)","title":"Global Inventory of Gas Geochemistry Data from Fossil Fuel, Microbial and Burning Sources, version 2017","volume":"9","author":[{"family":"Sherwood","given":"Owen A."},{"family":"Schwietzke","given":"Stefan"},{"family":"Arling","given":"Victoria A."},{"family":"Etiope","given":"Giuseppe"}],"issued":{"date-parts":[["2017",8,31]]}}}],"schema":"https://github.com/citation-style-language/schema/raw/master/csl-citation.json"} </w:instrText>
      </w:r>
      <w:r w:rsidRPr="008D5D0F">
        <w:rPr>
          <w:color w:val="000000" w:themeColor="text1"/>
          <w:sz w:val="20"/>
        </w:rPr>
        <w:fldChar w:fldCharType="separate"/>
      </w:r>
      <w:r w:rsidR="00837AC2" w:rsidRPr="008D5D0F">
        <w:rPr>
          <w:color w:val="000000" w:themeColor="text1"/>
          <w:sz w:val="20"/>
        </w:rPr>
        <w:t>[29]</w:t>
      </w:r>
      <w:r w:rsidRPr="008D5D0F">
        <w:rPr>
          <w:color w:val="000000" w:themeColor="text1"/>
          <w:sz w:val="20"/>
        </w:rPr>
        <w:fldChar w:fldCharType="end"/>
      </w:r>
      <w:r w:rsidRPr="008D5D0F">
        <w:rPr>
          <w:color w:val="000000" w:themeColor="text1"/>
          <w:sz w:val="20"/>
        </w:rPr>
        <w:t>. The latitudinal gradients of wetland δ</w:t>
      </w:r>
      <w:r w:rsidRPr="008D5D0F">
        <w:rPr>
          <w:color w:val="000000" w:themeColor="text1"/>
          <w:sz w:val="20"/>
          <w:vertAlign w:val="superscript"/>
        </w:rPr>
        <w:t>13</w:t>
      </w:r>
      <w:r w:rsidRPr="008D5D0F">
        <w:rPr>
          <w:color w:val="000000" w:themeColor="text1"/>
          <w:sz w:val="20"/>
        </w:rPr>
        <w:t>C-CH</w:t>
      </w:r>
      <w:r w:rsidRPr="008D5D0F">
        <w:rPr>
          <w:color w:val="000000" w:themeColor="text1"/>
          <w:sz w:val="20"/>
          <w:vertAlign w:val="subscript"/>
        </w:rPr>
        <w:t>4</w:t>
      </w:r>
      <w:r w:rsidRPr="008D5D0F">
        <w:rPr>
          <w:color w:val="000000" w:themeColor="text1"/>
          <w:sz w:val="20"/>
        </w:rPr>
        <w:t xml:space="preserve"> values (Fig. </w:t>
      </w:r>
      <w:r w:rsidRPr="008D5D0F">
        <w:rPr>
          <w:color w:val="000000" w:themeColor="text1"/>
          <w:sz w:val="20"/>
        </w:rPr>
        <w:lastRenderedPageBreak/>
        <w:t xml:space="preserve">S5) are broadly consistent with those of previous studies </w:t>
      </w:r>
      <w:r w:rsidRPr="008D5D0F">
        <w:rPr>
          <w:color w:val="000000" w:themeColor="text1"/>
          <w:sz w:val="20"/>
          <w:highlight w:val="yellow"/>
        </w:rPr>
        <w:fldChar w:fldCharType="begin"/>
      </w:r>
      <w:r w:rsidR="00837AC2" w:rsidRPr="008D5D0F">
        <w:rPr>
          <w:color w:val="000000" w:themeColor="text1"/>
          <w:sz w:val="20"/>
          <w:highlight w:val="yellow"/>
        </w:rPr>
        <w:instrText xml:space="preserve"> ADDIN ZOTERO_ITEM CSL_CITATION {"citationID":"DQjSLctT","properties":{"formattedCitation":"[34,35]","plainCitation":"[34,35]","noteIndex":0},"citationItems":[{"id":1593,"uris":["http://zotero.org/users/5672304/items/DQ2QYGND"],"uri":["http://zotero.org/users/5672304/items/DQ2QYGND"],"itemData":{"id":1593,"type":"article-journal","container-title":"Journal of Geophysical Research","DOI":"10.1029/2007JG000569","ISSN":"0148-0227","language":"en","page":"G00A08","source":"DOI.org (Crossref)","title":"Methane production and bubble emissions from arctic lakes: Isotopic implications for source pathways and ages","title-short":"Methane production and bubble emissions from arctic lakes","volume":"113","author":[{"family":"Walter","given":"K. M."},{"family":"Chanton","given":"J. P."},{"family":"Chapin","given":"F. S."},{"family":"Schuur","given":"E. A. G."},{"family":"Zimov","given":"S. A."}],"issued":{"date-parts":[["2008",8,2]]}}},{"id":2180,"uris":["http://zotero.org/users/5672304/items/2W2KLYNF"],"uri":["http://zotero.org/users/5672304/items/2W2KLYNF"],"itemData":{"id":2180,"type":"article-journal","container-title":"Nature","DOI":"10.1038/nature13798","ISSN":"0028-0836, 1476-4687","issue":"7523","language":"en","page":"478-481","source":"DOI.org (Crossref)","title":"Methane dynamics regulated by microbial community response to permafrost thaw","volume":"514","author":[{"family":"McCalley","given":"Carmody K."},{"family":"Woodcroft","given":"Ben J."},{"family":"Hodgkins","given":"Suzanne B."},{"family":"Wehr","given":"Richard A."},{"family":"Kim","given":"Eun-Hae"},{"family":"Mondav","given":"Rhiannon"},{"family":"Crill","given":"Patrick M."},{"family":"Chanton","given":"Jeffrey P."},{"family":"Rich","given":"Virginia I."},{"family":"Tyson","given":"Gene W."},{"family":"Saleska","given":"Scott R."}],"issued":{"date-parts":[["2014",10]]}}}],"schema":"https://github.com/citation-style-language/schema/raw/master/csl-citation.json"} </w:instrText>
      </w:r>
      <w:r w:rsidRPr="008D5D0F">
        <w:rPr>
          <w:color w:val="000000" w:themeColor="text1"/>
          <w:sz w:val="20"/>
          <w:highlight w:val="yellow"/>
        </w:rPr>
        <w:fldChar w:fldCharType="separate"/>
      </w:r>
      <w:r w:rsidR="00837AC2" w:rsidRPr="008D5D0F">
        <w:rPr>
          <w:color w:val="000000" w:themeColor="text1"/>
          <w:sz w:val="20"/>
        </w:rPr>
        <w:t>[34,35]</w:t>
      </w:r>
      <w:r w:rsidRPr="008D5D0F">
        <w:rPr>
          <w:color w:val="000000" w:themeColor="text1"/>
          <w:sz w:val="20"/>
          <w:highlight w:val="yellow"/>
        </w:rPr>
        <w:fldChar w:fldCharType="end"/>
      </w:r>
      <w:r w:rsidRPr="008D5D0F">
        <w:rPr>
          <w:color w:val="000000" w:themeColor="text1"/>
          <w:sz w:val="20"/>
        </w:rPr>
        <w:t xml:space="preserve">. Each pixel is sampled with a given standard deviation assuming a Gaussian distribution. To calculate the C3/C4 mineral wetland signature, a climatology of wetland fraction map </w:t>
      </w:r>
      <w:r w:rsidRPr="008D5D0F">
        <w:rPr>
          <w:color w:val="000000" w:themeColor="text1"/>
          <w:sz w:val="20"/>
        </w:rPr>
        <w:fldChar w:fldCharType="begin"/>
      </w:r>
      <w:r w:rsidR="00837AC2" w:rsidRPr="008D5D0F">
        <w:rPr>
          <w:color w:val="000000" w:themeColor="text1"/>
          <w:sz w:val="20"/>
        </w:rPr>
        <w:instrText xml:space="preserve"> ADDIN ZOTERO_ITEM CSL_CITATION {"citationID":"NJnW6FNx","properties":{"formattedCitation":"[36]","plainCitation":"[36]","noteIndex":0},"citationItems":[{"id":1926,"uris":["http://zotero.org/users/5672304/items/DELXFNGI"],"uri":["http://zotero.org/users/5672304/items/DELXFNGI"],"itemData":{"id":1926,"type":"article-journal","abstract":"Increasing atmospheric methane (CH4) concentrations have contributed to approximately 20% of anthropogenic climate change. Despite the importance of CH4 as a greenhouse gas, its atmospheric growth rate and dynamics over the past two decades, which include a stabilization period (1999–2006), followed by renewed growth starting in 2007, remain poorly understood. We provide an updated estimate of CH4 emissions from wetlands, the largest natural global CH4 source, for 2000–2012 using an ensemble of biogeochemical models constrained with remote sensing surface inundation and inventory-based wetland area data. Between 2000–2012, boreal wetland CH4 emissions increased by 1.2 Tg yr−1 (−0.2–3.5 Tg yr−1), tropical emissions decreased by 0.9 Tg yr−1 (−3.2−1.1 Tg yr−1), yet globally, emissions remained unchanged at 184 ± 22 Tg yr−1. Changing air temperature was responsible for increasing high-latitude emissions whereas declines in low-latitude wetland area decreased tropical emissions; both dynamics are consistent with features of predicted centennial-scale climate change impacts on wetland CH4 emissions. Despite uncertainties in wetland area mapping, our study shows that global wetland CH4 emissions have not contributed signiﬁcantly to the period of renewed atmospheric CH4 growth, and is consistent with ﬁndings from studies that indicate some combination of increasing fossil fuel and agriculture-related CH4 emissions, and a decrease in the atmospheric oxidative sink.","container-title":"Environmental Research Letters","DOI":"10.1088/1748-9326/aa8391","ISSN":"1748-9326","issue":"9","language":"en","page":"094013","source":"DOI.org (Crossref)","title":"Global wetland contribution to 2000–2012 atmospheric methane growth rate dynamics","volume":"12","author":[{"family":"Poulter","given":"Benjamin"},{"family":"Bousquet","given":"Philippe"},{"family":"Canadell","given":"Josep G"},{"family":"Ciais","given":"Philippe"},{"family":"Peregon","given":"Anna"},{"family":"Saunois","given":"Marielle"},{"family":"Arora","given":"Vivek K"},{"family":"Beerling","given":"David J"},{"family":"Brovkin","given":"Victor"},{"family":"Jones","given":"Chris D"},{"family":"Joos","given":"Fortunat"},{"family":"Gedney","given":"Nicola"},{"family":"Ito","given":"Akihito"},{"family":"Kleinen","given":"Thomas"},{"family":"Koven","given":"Charles D"},{"family":"McDonald","given":"Kyle"},{"family":"Melton","given":"Joe R"},{"family":"Peng","given":"Changhui"},{"family":"Peng","given":"Shushi"},{"family":"Prigent","given":"Catherine"},{"family":"Schroeder","given":"Ronny"},{"family":"Riley","given":"William J"},{"family":"Saito","given":"Makoto"},{"family":"Spahni","given":"Renato"},{"family":"Tian","given":"Hanqin"},{"family":"Taylor","given":"Lyla"},{"family":"Viovy","given":"Nicolas"},{"family":"Wilton","given":"David"},{"family":"Wiltshire","given":"Andy"},{"family":"Xu","given":"Xiyan"},{"family":"Zhang","given":"Bowen"},{"family":"Zhang","given":"Zhen"},{"family":"Zhu","given":"Qiuan"}],"issued":{"date-parts":[["2017",9,1]]}}}],"schema":"https://github.com/citation-style-language/schema/raw/master/csl-citation.json"} </w:instrText>
      </w:r>
      <w:r w:rsidRPr="008D5D0F">
        <w:rPr>
          <w:color w:val="000000" w:themeColor="text1"/>
          <w:sz w:val="20"/>
        </w:rPr>
        <w:fldChar w:fldCharType="separate"/>
      </w:r>
      <w:r w:rsidR="00837AC2" w:rsidRPr="008D5D0F">
        <w:rPr>
          <w:color w:val="000000" w:themeColor="text1"/>
          <w:sz w:val="20"/>
        </w:rPr>
        <w:t>[36]</w:t>
      </w:r>
      <w:r w:rsidRPr="008D5D0F">
        <w:rPr>
          <w:color w:val="000000" w:themeColor="text1"/>
          <w:sz w:val="20"/>
        </w:rPr>
        <w:fldChar w:fldCharType="end"/>
      </w:r>
      <w:r w:rsidRPr="008D5D0F">
        <w:rPr>
          <w:color w:val="000000" w:themeColor="text1"/>
          <w:sz w:val="20"/>
        </w:rPr>
        <w:t xml:space="preserve"> and a C3 and C4 vegetation distribution map </w:t>
      </w:r>
      <w:r w:rsidRPr="008D5D0F">
        <w:rPr>
          <w:color w:val="000000" w:themeColor="text1"/>
          <w:sz w:val="20"/>
        </w:rPr>
        <w:fldChar w:fldCharType="begin"/>
      </w:r>
      <w:r w:rsidR="00837AC2" w:rsidRPr="008D5D0F">
        <w:rPr>
          <w:color w:val="000000" w:themeColor="text1"/>
          <w:sz w:val="20"/>
        </w:rPr>
        <w:instrText xml:space="preserve"> ADDIN ZOTERO_ITEM CSL_CITATION {"citationID":"7aVKIYXX","properties":{"formattedCitation":"[30]","plainCitation":"[30]","noteIndex":0},"citationItems":[{"id":1978,"uris":["http://zotero.org/users/5672304/items/I43KFPVW"],"uri":["http://zotero.org/users/5672304/items/I43KFPVW"],"itemData":{"id":1978,"type":"article-journal","container-title":"Global Biogeochemical Cycles","DOI":"10.1029/2001GB001807","ISSN":"08866236","issue":"1","language":"en","page":"6-1-6-14","source":"DOI.org (Crossref)","title":"Global distribution of C3 and C4 vegetation: Carbon cycle implications","title-short":"Global distribution of C &lt;sub&gt;3&lt;/sub&gt; and C &lt;sub&gt;4&lt;/sub&gt; vegetation","volume":"17","author":[{"family":"Still","given":"Christopher J."},{"family":"Berry","given":"Joseph A."},{"family":"Collatz","given":"G. James"},{"family":"DeFries","given":"Ruth S."}],"issued":{"date-parts":[["2003",3]]}}}],"schema":"https://github.com/citation-style-language/schema/raw/master/csl-citation.json"} </w:instrText>
      </w:r>
      <w:r w:rsidRPr="008D5D0F">
        <w:rPr>
          <w:color w:val="000000" w:themeColor="text1"/>
          <w:sz w:val="20"/>
        </w:rPr>
        <w:fldChar w:fldCharType="separate"/>
      </w:r>
      <w:r w:rsidR="00837AC2" w:rsidRPr="008D5D0F">
        <w:rPr>
          <w:color w:val="000000" w:themeColor="text1"/>
          <w:sz w:val="20"/>
        </w:rPr>
        <w:t>[30]</w:t>
      </w:r>
      <w:r w:rsidRPr="008D5D0F">
        <w:rPr>
          <w:color w:val="000000" w:themeColor="text1"/>
          <w:sz w:val="20"/>
        </w:rPr>
        <w:fldChar w:fldCharType="end"/>
      </w:r>
      <w:r w:rsidRPr="008D5D0F">
        <w:rPr>
          <w:color w:val="000000" w:themeColor="text1"/>
          <w:sz w:val="20"/>
        </w:rPr>
        <w:t xml:space="preserve"> were used to determine the distribution of wetland types and to calculate the average value.</w:t>
      </w:r>
    </w:p>
    <w:p w14:paraId="25886C7C" w14:textId="77777777" w:rsidR="00EB592C" w:rsidRPr="008D5D0F" w:rsidRDefault="00EB592C" w:rsidP="00EB592C">
      <w:pPr>
        <w:pBdr>
          <w:top w:val="nil"/>
          <w:left w:val="nil"/>
          <w:bottom w:val="nil"/>
          <w:right w:val="nil"/>
          <w:between w:val="nil"/>
        </w:pBdr>
        <w:spacing w:after="200"/>
        <w:contextualSpacing/>
        <w:rPr>
          <w:color w:val="000000" w:themeColor="text1"/>
          <w:sz w:val="20"/>
        </w:rPr>
      </w:pPr>
    </w:p>
    <w:p w14:paraId="7DB68664" w14:textId="65B8F3D6" w:rsidR="00EB592C" w:rsidRPr="008D5D0F" w:rsidRDefault="00EB592C" w:rsidP="00EB592C">
      <w:pPr>
        <w:pBdr>
          <w:top w:val="nil"/>
          <w:left w:val="nil"/>
          <w:bottom w:val="nil"/>
          <w:right w:val="nil"/>
          <w:between w:val="nil"/>
        </w:pBdr>
        <w:spacing w:after="200"/>
        <w:contextualSpacing/>
        <w:rPr>
          <w:color w:val="000000" w:themeColor="text1"/>
          <w:sz w:val="20"/>
        </w:rPr>
      </w:pPr>
      <w:r w:rsidRPr="008D5D0F">
        <w:rPr>
          <w:color w:val="000000" w:themeColor="text1"/>
          <w:sz w:val="20"/>
        </w:rPr>
        <w:t xml:space="preserve">For the uncertainty in the coal isotopic signature map, we used country-based estimates for the standard deviation given by </w:t>
      </w:r>
      <w:r w:rsidRPr="008D5D0F">
        <w:rPr>
          <w:color w:val="000000" w:themeColor="text1"/>
          <w:sz w:val="20"/>
        </w:rPr>
        <w:fldChar w:fldCharType="begin"/>
      </w:r>
      <w:r w:rsidR="008900A7" w:rsidRPr="008D5D0F">
        <w:rPr>
          <w:color w:val="000000" w:themeColor="text1"/>
          <w:sz w:val="20"/>
        </w:rPr>
        <w:instrText xml:space="preserve"> ADDIN ZOTERO_ITEM CSL_CITATION {"citationID":"j2lMaG8c","properties":{"formattedCitation":"[29]","plainCitation":"[29]","noteIndex":0},"citationItems":[{"id":1364,"uris":["http://zotero.org/users/5672304/items/SPCNGDYG"],"uri":["http://zotero.org/users/5672304/items/SPCNGDYG"],"itemData":{"id":1364,"type":"article-journal","abstract":"The concentration of atmospheric methane (CH4) has more than doubled over the industrial era. To help constrain global and regional CH4 budgets, inverse (top-down) models incorporate data on the concentration and stable carbon (δ13C) and hydrogen (δ2H) isotopic ratios of atmospheric CH4. These models depend on accurate δ13C and δ2H end-member source signatures for each of the main emissions categories. Compared with meticulous measurement and calibration of isotopic CH4 in the atmosphere, there has been relatively less effort to characterize globally representative isotopic source signatures, particularly for fossil fuel sources. Most global CH4 budget models have so far relied on outdated source signature values derived from globally nonrepresentative data. To correct this deﬁciency, we present a comprehensive, globally representative end-member database of the δ13C and δ2H of CH4 from fossil fuel (conventional natural gas, shale gas, and coal), modern microbial (wetlands, rice paddies, ruminants, termites, and landﬁlls and/or waste) and biomass burning sources. Gas molecular compositional data for fossil fuel categories are also included with the database. The database comprises 10 706 samples (8734 fossil fuel, 1972 non-fossil) from 190 published references. Mean (unweighted) δ13C signatures for fossil fuel CH4 are signiﬁcantly lighter than values commonly used in CH4 budget models, thus highlighting potential underestimation of fossil fuel CH4 emissions in previous CH4 budget models. This living database will be updated every 2–3 years to provide the atmospheric modeling community with the most complete CH4 source signature data possible. Database digital object identiﬁer (DOI): https://doi.org/10.15138/G3201T.","container-title":"Earth System Science Data","DOI":"10.5194/essd-9-639-2017","ISSN":"1866-3516","issue":"2","language":"en","page":"639-656","source":"DOI.org (Crossref)","title":"Global Inventory of Gas Geochemistry Data from Fossil Fuel, Microbial and Burning Sources, version 2017","volume":"9","author":[{"family":"Sherwood","given":"Owen A."},{"family":"Schwietzke","given":"Stefan"},{"family":"Arling","given":"Victoria A."},{"family":"Etiope","given":"Giuseppe"}],"issued":{"date-parts":[["2017",8,31]]}}}],"schema":"https://github.com/citation-style-language/schema/raw/master/csl-citation.json"} </w:instrText>
      </w:r>
      <w:r w:rsidRPr="008D5D0F">
        <w:rPr>
          <w:color w:val="000000" w:themeColor="text1"/>
          <w:sz w:val="20"/>
        </w:rPr>
        <w:fldChar w:fldCharType="separate"/>
      </w:r>
      <w:r w:rsidR="008900A7" w:rsidRPr="008D5D0F">
        <w:rPr>
          <w:color w:val="000000" w:themeColor="text1"/>
          <w:sz w:val="20"/>
        </w:rPr>
        <w:t>[29]</w:t>
      </w:r>
      <w:r w:rsidRPr="008D5D0F">
        <w:rPr>
          <w:color w:val="000000" w:themeColor="text1"/>
          <w:sz w:val="20"/>
        </w:rPr>
        <w:fldChar w:fldCharType="end"/>
      </w:r>
      <w:r w:rsidRPr="008D5D0F">
        <w:rPr>
          <w:color w:val="000000" w:themeColor="text1"/>
          <w:sz w:val="20"/>
        </w:rPr>
        <w:t xml:space="preserve">. The standard deviations in each country’s isotopic signature were calculated by </w:t>
      </w:r>
      <w:r w:rsidRPr="008D5D0F">
        <w:rPr>
          <w:color w:val="000000" w:themeColor="text1"/>
          <w:sz w:val="20"/>
        </w:rPr>
        <w:fldChar w:fldCharType="begin"/>
      </w:r>
      <w:r w:rsidR="008900A7" w:rsidRPr="008D5D0F">
        <w:rPr>
          <w:color w:val="000000" w:themeColor="text1"/>
          <w:sz w:val="20"/>
        </w:rPr>
        <w:instrText xml:space="preserve"> ADDIN ZOTERO_ITEM CSL_CITATION {"citationID":"jpCVAfRV","properties":{"formattedCitation":"[29]","plainCitation":"[29]","noteIndex":0},"citationItems":[{"id":1364,"uris":["http://zotero.org/users/5672304/items/SPCNGDYG"],"uri":["http://zotero.org/users/5672304/items/SPCNGDYG"],"itemData":{"id":1364,"type":"article-journal","abstract":"The concentration of atmospheric methane (CH4) has more than doubled over the industrial era. To help constrain global and regional CH4 budgets, inverse (top-down) models incorporate data on the concentration and stable carbon (δ13C) and hydrogen (δ2H) isotopic ratios of atmospheric CH4. These models depend on accurate δ13C and δ2H end-member source signatures for each of the main emissions categories. Compared with meticulous measurement and calibration of isotopic CH4 in the atmosphere, there has been relatively less effort to characterize globally representative isotopic source signatures, particularly for fossil fuel sources. Most global CH4 budget models have so far relied on outdated source signature values derived from globally nonrepresentative data. To correct this deﬁciency, we present a comprehensive, globally representative end-member database of the δ13C and δ2H of CH4 from fossil fuel (conventional natural gas, shale gas, and coal), modern microbial (wetlands, rice paddies, ruminants, termites, and landﬁlls and/or waste) and biomass burning sources. Gas molecular compositional data for fossil fuel categories are also included with the database. The database comprises 10 706 samples (8734 fossil fuel, 1972 non-fossil) from 190 published references. Mean (unweighted) δ13C signatures for fossil fuel CH4 are signiﬁcantly lighter than values commonly used in CH4 budget models, thus highlighting potential underestimation of fossil fuel CH4 emissions in previous CH4 budget models. This living database will be updated every 2–3 years to provide the atmospheric modeling community with the most complete CH4 source signature data possible. Database digital object identiﬁer (DOI): https://doi.org/10.15138/G3201T.","container-title":"Earth System Science Data","DOI":"10.5194/essd-9-639-2017","ISSN":"1866-3516","issue":"2","language":"en","page":"639-656","source":"DOI.org (Crossref)","title":"Global Inventory of Gas Geochemistry Data from Fossil Fuel, Microbial and Burning Sources, version 2017","volume":"9","author":[{"family":"Sherwood","given":"Owen A."},{"family":"Schwietzke","given":"Stefan"},{"family":"Arling","given":"Victoria A."},{"family":"Etiope","given":"Giuseppe"}],"issued":{"date-parts":[["2017",8,31]]}}}],"schema":"https://github.com/citation-style-language/schema/raw/master/csl-citation.json"} </w:instrText>
      </w:r>
      <w:r w:rsidRPr="008D5D0F">
        <w:rPr>
          <w:color w:val="000000" w:themeColor="text1"/>
          <w:sz w:val="20"/>
        </w:rPr>
        <w:fldChar w:fldCharType="separate"/>
      </w:r>
      <w:r w:rsidR="008900A7" w:rsidRPr="008D5D0F">
        <w:rPr>
          <w:color w:val="000000" w:themeColor="text1"/>
          <w:sz w:val="20"/>
        </w:rPr>
        <w:t>[29]</w:t>
      </w:r>
      <w:r w:rsidRPr="008D5D0F">
        <w:rPr>
          <w:color w:val="000000" w:themeColor="text1"/>
          <w:sz w:val="20"/>
        </w:rPr>
        <w:fldChar w:fldCharType="end"/>
      </w:r>
      <w:r w:rsidRPr="008D5D0F">
        <w:rPr>
          <w:color w:val="000000" w:themeColor="text1"/>
          <w:sz w:val="20"/>
        </w:rPr>
        <w:t>, representing the spread of compiled in situ measurements. For all areas outside of the 13 countries where data are available, we apply the standard deviation of the global mean coal value (0.9‰). Similarly, for the natural gas isotopic signature map, we use the standard deviations for the 43 countries where measurements are available. Elsewhere, the standard deviation is set to the global natural gas isotopic signature standard deviation (0.6‰).</w:t>
      </w:r>
    </w:p>
    <w:p w14:paraId="5E4EB71E" w14:textId="4555B650" w:rsidR="00EB592C" w:rsidRPr="008D5D0F" w:rsidRDefault="00EB592C" w:rsidP="00EB592C">
      <w:pPr>
        <w:pBdr>
          <w:top w:val="nil"/>
          <w:left w:val="nil"/>
          <w:bottom w:val="nil"/>
          <w:right w:val="nil"/>
          <w:between w:val="nil"/>
        </w:pBdr>
        <w:contextualSpacing/>
        <w:rPr>
          <w:color w:val="000000" w:themeColor="text1"/>
          <w:sz w:val="20"/>
        </w:rPr>
      </w:pPr>
      <w:r w:rsidRPr="008D5D0F">
        <w:rPr>
          <w:color w:val="000000" w:themeColor="text1"/>
          <w:sz w:val="20"/>
        </w:rPr>
        <w:t>The livestock and biomass burning signature maps were both calculated using the weighted average of two endmember signatures and the C3 and C4</w:t>
      </w:r>
      <w:r w:rsidRPr="008D5D0F">
        <w:rPr>
          <w:color w:val="000000" w:themeColor="text1"/>
          <w:sz w:val="20"/>
          <w:vertAlign w:val="subscript"/>
        </w:rPr>
        <w:t xml:space="preserve"> </w:t>
      </w:r>
      <w:r w:rsidRPr="008D5D0F">
        <w:rPr>
          <w:color w:val="000000" w:themeColor="text1"/>
          <w:sz w:val="20"/>
        </w:rPr>
        <w:t xml:space="preserve">fractions from </w:t>
      </w:r>
      <w:r w:rsidRPr="008D5D0F">
        <w:rPr>
          <w:color w:val="000000" w:themeColor="text1"/>
          <w:sz w:val="20"/>
        </w:rPr>
        <w:fldChar w:fldCharType="begin"/>
      </w:r>
      <w:r w:rsidR="008900A7" w:rsidRPr="008D5D0F">
        <w:rPr>
          <w:color w:val="000000" w:themeColor="text1"/>
          <w:sz w:val="20"/>
        </w:rPr>
        <w:instrText xml:space="preserve"> ADDIN ZOTERO_ITEM CSL_CITATION {"citationID":"FrtXZKx3","properties":{"formattedCitation":"[30]","plainCitation":"[30]","noteIndex":0},"citationItems":[{"id":1978,"uris":["http://zotero.org/users/5672304/items/I43KFPVW"],"uri":["http://zotero.org/users/5672304/items/I43KFPVW"],"itemData":{"id":1978,"type":"article-journal","container-title":"Global Biogeochemical Cycles","DOI":"10.1029/2001GB001807","ISSN":"08866236","issue":"1","language":"en","page":"6-1-6-14","source":"DOI.org (Crossref)","title":"Global distribution of C3 and C4 vegetation: Carbon cycle implications","title-short":"Global distribution of C &lt;sub&gt;3&lt;/sub&gt; and C &lt;sub&gt;4&lt;/sub&gt; vegetation","volume":"17","author":[{"family":"Still","given":"Christopher J."},{"family":"Berry","given":"Joseph A."},{"family":"Collatz","given":"G. James"},{"family":"DeFries","given":"Ruth S."}],"issued":{"date-parts":[["2003",3]]}}}],"schema":"https://github.com/citation-style-language/schema/raw/master/csl-citation.json"} </w:instrText>
      </w:r>
      <w:r w:rsidRPr="008D5D0F">
        <w:rPr>
          <w:color w:val="000000" w:themeColor="text1"/>
          <w:sz w:val="20"/>
        </w:rPr>
        <w:fldChar w:fldCharType="separate"/>
      </w:r>
      <w:r w:rsidR="008900A7" w:rsidRPr="008D5D0F">
        <w:rPr>
          <w:color w:val="000000" w:themeColor="text1"/>
          <w:sz w:val="20"/>
        </w:rPr>
        <w:t>[30]</w:t>
      </w:r>
      <w:r w:rsidRPr="008D5D0F">
        <w:rPr>
          <w:color w:val="000000" w:themeColor="text1"/>
          <w:sz w:val="20"/>
        </w:rPr>
        <w:fldChar w:fldCharType="end"/>
      </w:r>
      <w:r w:rsidRPr="008D5D0F">
        <w:rPr>
          <w:color w:val="000000" w:themeColor="text1"/>
          <w:sz w:val="20"/>
        </w:rPr>
        <w:t>. We neglected the uncertainty in the C4</w:t>
      </w:r>
      <w:r w:rsidRPr="008D5D0F">
        <w:rPr>
          <w:color w:val="000000" w:themeColor="text1"/>
          <w:sz w:val="20"/>
          <w:vertAlign w:val="subscript"/>
        </w:rPr>
        <w:t xml:space="preserve"> </w:t>
      </w:r>
      <w:r w:rsidRPr="008D5D0F">
        <w:rPr>
          <w:color w:val="000000" w:themeColor="text1"/>
          <w:sz w:val="20"/>
        </w:rPr>
        <w:t>fraction map, which excludes the effect of imported fodder on the C4 fraction map due to a lack of available datasets. We obtain isotopic signature uncertainty maps by propagating the standard deviation in the C3</w:t>
      </w:r>
      <w:r w:rsidRPr="008D5D0F">
        <w:rPr>
          <w:color w:val="000000" w:themeColor="text1"/>
          <w:sz w:val="20"/>
          <w:vertAlign w:val="subscript"/>
        </w:rPr>
        <w:t xml:space="preserve"> </w:t>
      </w:r>
      <w:r w:rsidRPr="008D5D0F">
        <w:rPr>
          <w:color w:val="000000" w:themeColor="text1"/>
          <w:sz w:val="20"/>
        </w:rPr>
        <w:t>and C4</w:t>
      </w:r>
      <w:r w:rsidRPr="008D5D0F">
        <w:rPr>
          <w:color w:val="000000" w:themeColor="text1"/>
          <w:sz w:val="20"/>
          <w:vertAlign w:val="subscript"/>
        </w:rPr>
        <w:t xml:space="preserve"> </w:t>
      </w:r>
      <w:r w:rsidRPr="008D5D0F">
        <w:rPr>
          <w:color w:val="000000" w:themeColor="text1"/>
          <w:sz w:val="20"/>
        </w:rPr>
        <w:t xml:space="preserve">isotopic endmembers, which is given by </w:t>
      </w:r>
      <w:r w:rsidRPr="008D5D0F">
        <w:rPr>
          <w:color w:val="000000" w:themeColor="text1"/>
          <w:sz w:val="20"/>
        </w:rPr>
        <w:fldChar w:fldCharType="begin"/>
      </w:r>
      <w:r w:rsidR="008900A7" w:rsidRPr="008D5D0F">
        <w:rPr>
          <w:color w:val="000000" w:themeColor="text1"/>
          <w:sz w:val="20"/>
        </w:rPr>
        <w:instrText xml:space="preserve"> ADDIN ZOTERO_ITEM CSL_CITATION {"citationID":"jrX3XCJf","properties":{"formattedCitation":"[29]","plainCitation":"[29]","noteIndex":0},"citationItems":[{"id":1364,"uris":["http://zotero.org/users/5672304/items/SPCNGDYG"],"uri":["http://zotero.org/users/5672304/items/SPCNGDYG"],"itemData":{"id":1364,"type":"article-journal","abstract":"The concentration of atmospheric methane (CH4) has more than doubled over the industrial era. To help constrain global and regional CH4 budgets, inverse (top-down) models incorporate data on the concentration and stable carbon (δ13C) and hydrogen (δ2H) isotopic ratios of atmospheric CH4. These models depend on accurate δ13C and δ2H end-member source signatures for each of the main emissions categories. Compared with meticulous measurement and calibration of isotopic CH4 in the atmosphere, there has been relatively less effort to characterize globally representative isotopic source signatures, particularly for fossil fuel sources. Most global CH4 budget models have so far relied on outdated source signature values derived from globally nonrepresentative data. To correct this deﬁciency, we present a comprehensive, globally representative end-member database of the δ13C and δ2H of CH4 from fossil fuel (conventional natural gas, shale gas, and coal), modern microbial (wetlands, rice paddies, ruminants, termites, and landﬁlls and/or waste) and biomass burning sources. Gas molecular compositional data for fossil fuel categories are also included with the database. The database comprises 10 706 samples (8734 fossil fuel, 1972 non-fossil) from 190 published references. Mean (unweighted) δ13C signatures for fossil fuel CH4 are signiﬁcantly lighter than values commonly used in CH4 budget models, thus highlighting potential underestimation of fossil fuel CH4 emissions in previous CH4 budget models. This living database will be updated every 2–3 years to provide the atmospheric modeling community with the most complete CH4 source signature data possible. Database digital object identiﬁer (DOI): https://doi.org/10.15138/G3201T.","container-title":"Earth System Science Data","DOI":"10.5194/essd-9-639-2017","ISSN":"1866-3516","issue":"2","language":"en","page":"639-656","source":"DOI.org (Crossref)","title":"Global Inventory of Gas Geochemistry Data from Fossil Fuel, Microbial and Burning Sources, version 2017","volume":"9","author":[{"family":"Sherwood","given":"Owen A."},{"family":"Schwietzke","given":"Stefan"},{"family":"Arling","given":"Victoria A."},{"family":"Etiope","given":"Giuseppe"}],"issued":{"date-parts":[["2017",8,31]]}}}],"schema":"https://github.com/citation-style-language/schema/raw/master/csl-citation.json"} </w:instrText>
      </w:r>
      <w:r w:rsidRPr="008D5D0F">
        <w:rPr>
          <w:color w:val="000000" w:themeColor="text1"/>
          <w:sz w:val="20"/>
        </w:rPr>
        <w:fldChar w:fldCharType="separate"/>
      </w:r>
      <w:r w:rsidR="008900A7" w:rsidRPr="008D5D0F">
        <w:rPr>
          <w:color w:val="000000" w:themeColor="text1"/>
          <w:sz w:val="20"/>
        </w:rPr>
        <w:t>[29]</w:t>
      </w:r>
      <w:r w:rsidRPr="008D5D0F">
        <w:rPr>
          <w:color w:val="000000" w:themeColor="text1"/>
          <w:sz w:val="20"/>
        </w:rPr>
        <w:fldChar w:fldCharType="end"/>
      </w:r>
      <w:r w:rsidRPr="008D5D0F">
        <w:rPr>
          <w:color w:val="000000" w:themeColor="text1"/>
          <w:sz w:val="20"/>
        </w:rPr>
        <w:t>. The following equation can be used to calculate the isotopic standard deviation (</w:t>
      </w:r>
      <w:r w:rsidRPr="008D5D0F">
        <w:rPr>
          <w:i/>
          <w:iCs/>
          <w:color w:val="000000" w:themeColor="text1"/>
          <w:sz w:val="20"/>
        </w:rPr>
        <w:t>σ</w:t>
      </w:r>
      <w:r w:rsidRPr="008D5D0F">
        <w:rPr>
          <w:i/>
          <w:iCs/>
          <w:color w:val="000000" w:themeColor="text1"/>
          <w:sz w:val="20"/>
          <w:vertAlign w:val="superscript"/>
        </w:rPr>
        <w:t>i</w:t>
      </w:r>
      <w:r w:rsidRPr="008D5D0F">
        <w:rPr>
          <w:i/>
          <w:iCs/>
          <w:color w:val="000000" w:themeColor="text1"/>
          <w:sz w:val="20"/>
          <w:vertAlign w:val="subscript"/>
        </w:rPr>
        <w:t>13C</w:t>
      </w:r>
      <w:r w:rsidRPr="008D5D0F">
        <w:rPr>
          <w:color w:val="000000" w:themeColor="text1"/>
          <w:sz w:val="20"/>
        </w:rPr>
        <w:t xml:space="preserve">) in a certain grid box </w:t>
      </w:r>
      <w:r w:rsidRPr="008D5D0F">
        <w:rPr>
          <w:i/>
          <w:iCs/>
          <w:color w:val="000000" w:themeColor="text1"/>
          <w:sz w:val="20"/>
        </w:rPr>
        <w:t>i</w:t>
      </w:r>
      <w:r w:rsidRPr="008D5D0F">
        <w:rPr>
          <w:color w:val="000000" w:themeColor="text1"/>
          <w:sz w:val="20"/>
        </w:rPr>
        <w:t>, with f</w:t>
      </w:r>
      <w:r w:rsidRPr="008D5D0F">
        <w:rPr>
          <w:i/>
          <w:iCs/>
          <w:color w:val="000000" w:themeColor="text1"/>
          <w:sz w:val="20"/>
          <w:vertAlign w:val="superscript"/>
        </w:rPr>
        <w:t>i</w:t>
      </w:r>
      <w:r w:rsidRPr="008D5D0F">
        <w:rPr>
          <w:i/>
          <w:iCs/>
          <w:color w:val="000000" w:themeColor="text1"/>
          <w:sz w:val="20"/>
          <w:vertAlign w:val="subscript"/>
        </w:rPr>
        <w:t xml:space="preserve">C4 </w:t>
      </w:r>
      <w:r w:rsidRPr="008D5D0F">
        <w:rPr>
          <w:color w:val="000000" w:themeColor="text1"/>
          <w:sz w:val="20"/>
        </w:rPr>
        <w:t>representing the C4</w:t>
      </w:r>
      <w:r w:rsidRPr="008D5D0F">
        <w:rPr>
          <w:color w:val="000000" w:themeColor="text1"/>
          <w:sz w:val="20"/>
          <w:vertAlign w:val="subscript"/>
        </w:rPr>
        <w:t xml:space="preserve"> </w:t>
      </w:r>
      <w:r w:rsidRPr="008D5D0F">
        <w:rPr>
          <w:color w:val="000000" w:themeColor="text1"/>
          <w:sz w:val="20"/>
        </w:rPr>
        <w:t>fraction in a certain grid box, f</w:t>
      </w:r>
      <w:r w:rsidRPr="008D5D0F">
        <w:rPr>
          <w:i/>
          <w:iCs/>
          <w:color w:val="000000" w:themeColor="text1"/>
          <w:sz w:val="20"/>
          <w:vertAlign w:val="superscript"/>
        </w:rPr>
        <w:t>i</w:t>
      </w:r>
      <w:r w:rsidRPr="008D5D0F">
        <w:rPr>
          <w:i/>
          <w:iCs/>
          <w:color w:val="000000" w:themeColor="text1"/>
          <w:sz w:val="20"/>
          <w:vertAlign w:val="subscript"/>
        </w:rPr>
        <w:t xml:space="preserve">C3 </w:t>
      </w:r>
      <w:r w:rsidRPr="008D5D0F">
        <w:rPr>
          <w:color w:val="000000" w:themeColor="text1"/>
          <w:sz w:val="20"/>
        </w:rPr>
        <w:t>representing the C3</w:t>
      </w:r>
      <w:r w:rsidRPr="008D5D0F">
        <w:rPr>
          <w:color w:val="000000" w:themeColor="text1"/>
          <w:sz w:val="20"/>
          <w:vertAlign w:val="subscript"/>
        </w:rPr>
        <w:t xml:space="preserve"> </w:t>
      </w:r>
      <w:r w:rsidRPr="008D5D0F">
        <w:rPr>
          <w:color w:val="000000" w:themeColor="text1"/>
          <w:sz w:val="20"/>
        </w:rPr>
        <w:t xml:space="preserve">fraction, and </w:t>
      </w:r>
      <w:r w:rsidRPr="008D5D0F">
        <w:rPr>
          <w:i/>
          <w:iCs/>
          <w:color w:val="000000" w:themeColor="text1"/>
          <w:sz w:val="20"/>
        </w:rPr>
        <w:t>σ</w:t>
      </w:r>
      <w:r w:rsidRPr="008D5D0F">
        <w:rPr>
          <w:i/>
          <w:iCs/>
          <w:color w:val="000000" w:themeColor="text1"/>
          <w:sz w:val="20"/>
          <w:vertAlign w:val="subscript"/>
        </w:rPr>
        <w:t xml:space="preserve">C4 </w:t>
      </w:r>
      <w:r w:rsidRPr="008D5D0F">
        <w:rPr>
          <w:color w:val="000000" w:themeColor="text1"/>
          <w:sz w:val="20"/>
        </w:rPr>
        <w:t xml:space="preserve">and </w:t>
      </w:r>
      <w:r w:rsidRPr="008D5D0F">
        <w:rPr>
          <w:i/>
          <w:iCs/>
          <w:color w:val="000000" w:themeColor="text1"/>
          <w:sz w:val="20"/>
        </w:rPr>
        <w:t>σ</w:t>
      </w:r>
      <w:r w:rsidRPr="008D5D0F">
        <w:rPr>
          <w:i/>
          <w:iCs/>
          <w:color w:val="000000" w:themeColor="text1"/>
          <w:sz w:val="20"/>
          <w:vertAlign w:val="subscript"/>
        </w:rPr>
        <w:t xml:space="preserve">C3 </w:t>
      </w:r>
      <w:r w:rsidRPr="008D5D0F">
        <w:rPr>
          <w:color w:val="000000" w:themeColor="text1"/>
          <w:sz w:val="20"/>
        </w:rPr>
        <w:t>representing the isotopic values of the endmembers.</w:t>
      </w:r>
    </w:p>
    <w:p w14:paraId="0CD3DF6E" w14:textId="77777777" w:rsidR="00EB592C" w:rsidRPr="008D5D0F" w:rsidRDefault="00EB592C" w:rsidP="00EB592C">
      <w:pPr>
        <w:pBdr>
          <w:top w:val="nil"/>
          <w:left w:val="nil"/>
          <w:bottom w:val="nil"/>
          <w:right w:val="nil"/>
          <w:between w:val="nil"/>
        </w:pBdr>
        <w:spacing w:after="200"/>
        <w:contextualSpacing/>
        <w:rPr>
          <w:color w:val="000000" w:themeColor="text1"/>
          <w:sz w:val="20"/>
        </w:rPr>
      </w:pPr>
    </w:p>
    <w:p w14:paraId="372F3728" w14:textId="15B72B99" w:rsidR="00EB592C" w:rsidRPr="008D5D0F" w:rsidRDefault="00630D7A" w:rsidP="00E079BC">
      <w:pPr>
        <w:pBdr>
          <w:top w:val="nil"/>
          <w:left w:val="nil"/>
          <w:bottom w:val="nil"/>
          <w:right w:val="nil"/>
          <w:between w:val="nil"/>
        </w:pBdr>
        <w:spacing w:after="200"/>
        <w:contextualSpacing/>
        <w:jc w:val="right"/>
        <w:rPr>
          <w:color w:val="000000" w:themeColor="text1"/>
          <w:sz w:val="20"/>
        </w:rPr>
      </w:pPr>
      <m:oMath>
        <m:sSubSup>
          <m:sSubSupPr>
            <m:ctrlPr>
              <w:rPr>
                <w:rFonts w:ascii="Cambria Math" w:hAnsi="Cambria Math"/>
                <w:i/>
                <w:color w:val="000000" w:themeColor="text1"/>
                <w:sz w:val="20"/>
              </w:rPr>
            </m:ctrlPr>
          </m:sSubSupPr>
          <m:e>
            <m:r>
              <w:rPr>
                <w:rFonts w:ascii="Cambria Math" w:hAnsi="Cambria Math"/>
                <w:color w:val="000000" w:themeColor="text1"/>
                <w:sz w:val="20"/>
              </w:rPr>
              <m:t>σ</m:t>
            </m:r>
          </m:e>
          <m:sub>
            <m:r>
              <w:rPr>
                <w:rFonts w:ascii="Cambria Math" w:hAnsi="Cambria Math"/>
                <w:color w:val="000000" w:themeColor="text1"/>
                <w:sz w:val="20"/>
              </w:rPr>
              <m:t>13C</m:t>
            </m:r>
          </m:sub>
          <m:sup>
            <m:r>
              <w:rPr>
                <w:rFonts w:ascii="Cambria Math" w:hAnsi="Cambria Math"/>
                <w:color w:val="000000" w:themeColor="text1"/>
                <w:sz w:val="20"/>
              </w:rPr>
              <m:t>i</m:t>
            </m:r>
          </m:sup>
        </m:sSubSup>
        <m:r>
          <w:rPr>
            <w:rFonts w:ascii="Cambria Math" w:hAnsi="Cambria Math"/>
            <w:color w:val="000000" w:themeColor="text1"/>
            <w:sz w:val="20"/>
          </w:rPr>
          <m:t>=</m:t>
        </m:r>
        <m:rad>
          <m:radPr>
            <m:degHide m:val="1"/>
            <m:ctrlPr>
              <w:rPr>
                <w:rFonts w:ascii="Cambria Math" w:hAnsi="Cambria Math"/>
                <w:i/>
                <w:color w:val="000000" w:themeColor="text1"/>
                <w:sz w:val="20"/>
              </w:rPr>
            </m:ctrlPr>
          </m:radPr>
          <m:deg/>
          <m:e>
            <m:sSup>
              <m:sSupPr>
                <m:ctrlPr>
                  <w:rPr>
                    <w:rFonts w:ascii="Cambria Math" w:hAnsi="Cambria Math"/>
                    <w:i/>
                    <w:color w:val="000000" w:themeColor="text1"/>
                    <w:sz w:val="20"/>
                  </w:rPr>
                </m:ctrlPr>
              </m:sSupPr>
              <m:e>
                <m:r>
                  <w:rPr>
                    <w:rFonts w:ascii="Cambria Math" w:hAnsi="Cambria Math"/>
                    <w:color w:val="000000" w:themeColor="text1"/>
                    <w:sz w:val="20"/>
                  </w:rPr>
                  <m:t>(</m:t>
                </m:r>
                <m:sSubSup>
                  <m:sSubSupPr>
                    <m:ctrlPr>
                      <w:rPr>
                        <w:rFonts w:ascii="Cambria Math" w:hAnsi="Cambria Math"/>
                        <w:i/>
                        <w:color w:val="000000" w:themeColor="text1"/>
                        <w:sz w:val="20"/>
                      </w:rPr>
                    </m:ctrlPr>
                  </m:sSubSupPr>
                  <m:e>
                    <m:r>
                      <w:rPr>
                        <w:rFonts w:ascii="Cambria Math" w:hAnsi="Cambria Math"/>
                        <w:color w:val="000000" w:themeColor="text1"/>
                        <w:sz w:val="20"/>
                      </w:rPr>
                      <m:t>f</m:t>
                    </m:r>
                  </m:e>
                  <m:sub>
                    <m:r>
                      <w:rPr>
                        <w:rFonts w:ascii="Cambria Math" w:hAnsi="Cambria Math"/>
                        <w:color w:val="000000" w:themeColor="text1"/>
                        <w:sz w:val="20"/>
                      </w:rPr>
                      <m:t>C4</m:t>
                    </m:r>
                  </m:sub>
                  <m:sup>
                    <m:r>
                      <w:rPr>
                        <w:rFonts w:ascii="Cambria Math" w:hAnsi="Cambria Math"/>
                        <w:color w:val="000000" w:themeColor="text1"/>
                        <w:sz w:val="20"/>
                      </w:rPr>
                      <m:t>i</m:t>
                    </m:r>
                  </m:sup>
                </m:sSubSup>
                <m:r>
                  <w:rPr>
                    <w:rFonts w:ascii="Cambria Math" w:hAnsi="Cambria Math"/>
                    <w:color w:val="000000" w:themeColor="text1"/>
                    <w:sz w:val="20"/>
                  </w:rPr>
                  <m:t>×</m:t>
                </m:r>
                <m:sSub>
                  <m:sSubPr>
                    <m:ctrlPr>
                      <w:rPr>
                        <w:rFonts w:ascii="Cambria Math" w:hAnsi="Cambria Math"/>
                        <w:i/>
                        <w:color w:val="000000" w:themeColor="text1"/>
                        <w:sz w:val="20"/>
                      </w:rPr>
                    </m:ctrlPr>
                  </m:sSubPr>
                  <m:e>
                    <m:r>
                      <w:rPr>
                        <w:rFonts w:ascii="Cambria Math" w:hAnsi="Cambria Math"/>
                        <w:color w:val="000000" w:themeColor="text1"/>
                        <w:sz w:val="20"/>
                      </w:rPr>
                      <m:t>σ</m:t>
                    </m:r>
                  </m:e>
                  <m:sub>
                    <m:r>
                      <w:rPr>
                        <w:rFonts w:ascii="Cambria Math" w:hAnsi="Cambria Math"/>
                        <w:color w:val="000000" w:themeColor="text1"/>
                        <w:sz w:val="20"/>
                      </w:rPr>
                      <m:t>C4</m:t>
                    </m:r>
                  </m:sub>
                </m:sSub>
                <m:r>
                  <w:rPr>
                    <w:rFonts w:ascii="Cambria Math" w:hAnsi="Cambria Math"/>
                    <w:color w:val="000000" w:themeColor="text1"/>
                    <w:sz w:val="20"/>
                  </w:rPr>
                  <m:t>)</m:t>
                </m:r>
              </m:e>
              <m:sup>
                <m:r>
                  <w:rPr>
                    <w:rFonts w:ascii="Cambria Math" w:hAnsi="Cambria Math"/>
                    <w:color w:val="000000" w:themeColor="text1"/>
                    <w:sz w:val="20"/>
                  </w:rPr>
                  <m:t>2</m:t>
                </m:r>
              </m:sup>
            </m:sSup>
            <m:r>
              <w:rPr>
                <w:rFonts w:ascii="Cambria Math" w:hAnsi="Cambria Math"/>
                <w:color w:val="000000" w:themeColor="text1"/>
                <w:sz w:val="20"/>
              </w:rPr>
              <m:t>+</m:t>
            </m:r>
            <m:sSup>
              <m:sSupPr>
                <m:ctrlPr>
                  <w:rPr>
                    <w:rFonts w:ascii="Cambria Math" w:hAnsi="Cambria Math"/>
                    <w:i/>
                    <w:color w:val="000000" w:themeColor="text1"/>
                    <w:sz w:val="20"/>
                  </w:rPr>
                </m:ctrlPr>
              </m:sSupPr>
              <m:e>
                <m:r>
                  <w:rPr>
                    <w:rFonts w:ascii="Cambria Math" w:hAnsi="Cambria Math"/>
                    <w:color w:val="000000" w:themeColor="text1"/>
                    <w:sz w:val="20"/>
                  </w:rPr>
                  <m:t>(</m:t>
                </m:r>
                <m:sSubSup>
                  <m:sSubSupPr>
                    <m:ctrlPr>
                      <w:rPr>
                        <w:rFonts w:ascii="Cambria Math" w:hAnsi="Cambria Math"/>
                        <w:i/>
                        <w:color w:val="000000" w:themeColor="text1"/>
                        <w:sz w:val="20"/>
                      </w:rPr>
                    </m:ctrlPr>
                  </m:sSubSupPr>
                  <m:e>
                    <m:r>
                      <w:rPr>
                        <w:rFonts w:ascii="Cambria Math" w:hAnsi="Cambria Math"/>
                        <w:color w:val="000000" w:themeColor="text1"/>
                        <w:sz w:val="20"/>
                      </w:rPr>
                      <m:t>f</m:t>
                    </m:r>
                  </m:e>
                  <m:sub>
                    <m:r>
                      <w:rPr>
                        <w:rFonts w:ascii="Cambria Math" w:hAnsi="Cambria Math"/>
                        <w:color w:val="000000" w:themeColor="text1"/>
                        <w:sz w:val="20"/>
                      </w:rPr>
                      <m:t>C3</m:t>
                    </m:r>
                  </m:sub>
                  <m:sup>
                    <m:r>
                      <w:rPr>
                        <w:rFonts w:ascii="Cambria Math" w:hAnsi="Cambria Math"/>
                        <w:color w:val="000000" w:themeColor="text1"/>
                        <w:sz w:val="20"/>
                      </w:rPr>
                      <m:t>i</m:t>
                    </m:r>
                  </m:sup>
                </m:sSubSup>
                <m:r>
                  <w:rPr>
                    <w:rFonts w:ascii="Cambria Math" w:hAnsi="Cambria Math"/>
                    <w:color w:val="000000" w:themeColor="text1"/>
                    <w:sz w:val="20"/>
                  </w:rPr>
                  <m:t>×</m:t>
                </m:r>
                <m:sSub>
                  <m:sSubPr>
                    <m:ctrlPr>
                      <w:rPr>
                        <w:rFonts w:ascii="Cambria Math" w:hAnsi="Cambria Math"/>
                        <w:i/>
                        <w:color w:val="000000" w:themeColor="text1"/>
                        <w:sz w:val="20"/>
                      </w:rPr>
                    </m:ctrlPr>
                  </m:sSubPr>
                  <m:e>
                    <m:r>
                      <w:rPr>
                        <w:rFonts w:ascii="Cambria Math" w:hAnsi="Cambria Math"/>
                        <w:color w:val="000000" w:themeColor="text1"/>
                        <w:sz w:val="20"/>
                      </w:rPr>
                      <m:t>σ</m:t>
                    </m:r>
                  </m:e>
                  <m:sub>
                    <m:r>
                      <w:rPr>
                        <w:rFonts w:ascii="Cambria Math" w:hAnsi="Cambria Math"/>
                        <w:color w:val="000000" w:themeColor="text1"/>
                        <w:sz w:val="20"/>
                      </w:rPr>
                      <m:t>C3</m:t>
                    </m:r>
                  </m:sub>
                </m:sSub>
                <m:r>
                  <w:rPr>
                    <w:rFonts w:ascii="Cambria Math" w:hAnsi="Cambria Math"/>
                    <w:color w:val="000000" w:themeColor="text1"/>
                    <w:sz w:val="20"/>
                  </w:rPr>
                  <m:t>)</m:t>
                </m:r>
              </m:e>
              <m:sup>
                <m:r>
                  <w:rPr>
                    <w:rFonts w:ascii="Cambria Math" w:hAnsi="Cambria Math"/>
                    <w:color w:val="000000" w:themeColor="text1"/>
                    <w:sz w:val="20"/>
                  </w:rPr>
                  <m:t>2</m:t>
                </m:r>
              </m:sup>
            </m:sSup>
          </m:e>
        </m:rad>
      </m:oMath>
      <w:r w:rsidR="00EB592C" w:rsidRPr="008D5D0F">
        <w:rPr>
          <w:color w:val="000000" w:themeColor="text1"/>
          <w:sz w:val="20"/>
        </w:rPr>
        <w:t xml:space="preserve">                                                   (2)</w:t>
      </w:r>
    </w:p>
    <w:p w14:paraId="2963DC37" w14:textId="77777777" w:rsidR="00EB592C" w:rsidRPr="008D5D0F" w:rsidRDefault="00EB592C" w:rsidP="00EB592C">
      <w:pPr>
        <w:pStyle w:val="SMSubheading"/>
        <w:rPr>
          <w:color w:val="000000" w:themeColor="text1"/>
          <w:sz w:val="20"/>
          <w:u w:val="none"/>
        </w:rPr>
      </w:pPr>
    </w:p>
    <w:p w14:paraId="7703E5EC" w14:textId="22E76005" w:rsidR="00EB592C" w:rsidRPr="008D5D0F" w:rsidRDefault="00EB592C" w:rsidP="00EB592C">
      <w:pPr>
        <w:pBdr>
          <w:top w:val="nil"/>
          <w:left w:val="nil"/>
          <w:bottom w:val="nil"/>
          <w:right w:val="nil"/>
          <w:between w:val="nil"/>
        </w:pBdr>
        <w:contextualSpacing/>
        <w:rPr>
          <w:b/>
          <w:bCs/>
          <w:color w:val="000000" w:themeColor="text1"/>
          <w:sz w:val="20"/>
        </w:rPr>
      </w:pPr>
      <w:bookmarkStart w:id="16" w:name="_Toc37816976"/>
      <w:r w:rsidRPr="008D5D0F">
        <w:rPr>
          <w:b/>
          <w:bCs/>
          <w:color w:val="000000" w:themeColor="text1"/>
          <w:sz w:val="20"/>
        </w:rPr>
        <w:t>4. Evaluation metrics</w:t>
      </w:r>
      <w:bookmarkEnd w:id="16"/>
    </w:p>
    <w:p w14:paraId="6B98748F" w14:textId="77777777" w:rsidR="00EB592C" w:rsidRPr="008D5D0F" w:rsidRDefault="00EB592C" w:rsidP="00EB592C">
      <w:pPr>
        <w:pBdr>
          <w:top w:val="nil"/>
          <w:left w:val="nil"/>
          <w:bottom w:val="nil"/>
          <w:right w:val="nil"/>
          <w:between w:val="nil"/>
        </w:pBdr>
        <w:spacing w:after="200"/>
        <w:contextualSpacing/>
        <w:rPr>
          <w:color w:val="000000" w:themeColor="text1"/>
          <w:sz w:val="20"/>
        </w:rPr>
      </w:pPr>
    </w:p>
    <w:p w14:paraId="52BC8C75" w14:textId="404E7887" w:rsidR="00EB592C" w:rsidRPr="008D5D0F" w:rsidRDefault="00EB592C" w:rsidP="00EB592C">
      <w:pPr>
        <w:pBdr>
          <w:top w:val="nil"/>
          <w:left w:val="nil"/>
          <w:bottom w:val="nil"/>
          <w:right w:val="nil"/>
          <w:between w:val="nil"/>
        </w:pBdr>
        <w:spacing w:after="200"/>
        <w:contextualSpacing/>
        <w:rPr>
          <w:color w:val="000000" w:themeColor="text1"/>
          <w:sz w:val="20"/>
        </w:rPr>
      </w:pPr>
      <w:r w:rsidRPr="008D5D0F">
        <w:rPr>
          <w:color w:val="000000" w:themeColor="text1"/>
          <w:sz w:val="20"/>
        </w:rPr>
        <w:t xml:space="preserve">Taylor diagrams </w:t>
      </w:r>
      <w:r w:rsidRPr="008D5D0F">
        <w:rPr>
          <w:color w:val="000000" w:themeColor="text1"/>
          <w:sz w:val="20"/>
        </w:rPr>
        <w:fldChar w:fldCharType="begin"/>
      </w:r>
      <w:r w:rsidR="008900A7" w:rsidRPr="008D5D0F">
        <w:rPr>
          <w:color w:val="000000" w:themeColor="text1"/>
          <w:sz w:val="20"/>
        </w:rPr>
        <w:instrText xml:space="preserve"> ADDIN ZOTERO_ITEM CSL_CITATION {"citationID":"yLTtXy4T","properties":{"formattedCitation":"[37]","plainCitation":"[37]","noteIndex":0},"citationItems":[{"id":3014,"uris":["http://zotero.org/groups/2346727/items/MWQM8A6Y"],"uri":["http://zotero.org/groups/2346727/items/MWQM8A6Y"],"itemData":{"id":3014,"type":"article-journal","abstract":"A diagram has been devised that can provide a concise statistical summary of how well patterns match each other in terms of their correlation, their root-mean-square difference, and the ratio of their variances. Although the form of this diagram is general, it is especially useful in evaluating complex models, such as those used to study geophysical phenomena. Examples are given showing that the diagram can be used to summarize the relative merits of a collection of different models or to track changes in performance of a model as it is modified. Methods are suggested for indicating on these diagrams the statistical significance of apparent differences and the degree to which observational uncertainty and unforced internal variability limit the expected agreement between model-simulated and observed behaviors. The geometric relationship between the statistics plotted on the diagram also provides some guidance for devising skill scores that appropriately weight among the various measures of pattern correspondence.","container-title":"Journal of Geophysical Research: Atmospheres","DOI":"10.1029/2000JD900719","ISSN":"0148-0227","issue":"D7","journalAbbreviation":"Journal of Geophysical Research: Atmospheres","page":"7183-7192","title":"Summarizing multiple aspects of model performance in a single diagram","volume":"106","author":[{"family":"Taylor","given":"Karl E."}],"issued":{"date-parts":[["2001",4,16]]}}}],"schema":"https://github.com/citation-style-language/schema/raw/master/csl-citation.json"} </w:instrText>
      </w:r>
      <w:r w:rsidRPr="008D5D0F">
        <w:rPr>
          <w:color w:val="000000" w:themeColor="text1"/>
          <w:sz w:val="20"/>
        </w:rPr>
        <w:fldChar w:fldCharType="separate"/>
      </w:r>
      <w:r w:rsidR="008900A7" w:rsidRPr="008D5D0F">
        <w:rPr>
          <w:color w:val="000000" w:themeColor="text1"/>
          <w:sz w:val="20"/>
        </w:rPr>
        <w:t>[37]</w:t>
      </w:r>
      <w:r w:rsidRPr="008D5D0F">
        <w:rPr>
          <w:color w:val="000000" w:themeColor="text1"/>
          <w:sz w:val="20"/>
        </w:rPr>
        <w:fldChar w:fldCharType="end"/>
      </w:r>
      <w:r w:rsidRPr="008D5D0F">
        <w:rPr>
          <w:color w:val="000000" w:themeColor="text1"/>
          <w:sz w:val="20"/>
        </w:rPr>
        <w:t xml:space="preserve"> were used to visually evaluate the relative skill based on model-data fit by comparing the linear correlation, coefficient, RMSE, and the standard deviation in a polar coordinate plot. Additionally, to provide a single metric that evaluates the relative skill in reproducing the observations, the MSD was used to quantitatively rank the model performance. MSD is an integrated metric that describes the linear sum of the squared bias (SB), squared difference between model and observed standard deviations (SDSD), and the lack of correlation weighted by standard deviation (LCS). The MSD is the linear combination as follow:</w:t>
      </w:r>
    </w:p>
    <w:p w14:paraId="5A68A6B0" w14:textId="0FE10A38" w:rsidR="00DD155A" w:rsidRPr="008D5D0F" w:rsidRDefault="00DD155A" w:rsidP="00E079BC">
      <w:pPr>
        <w:pBdr>
          <w:top w:val="nil"/>
          <w:left w:val="nil"/>
          <w:bottom w:val="nil"/>
          <w:right w:val="nil"/>
          <w:between w:val="nil"/>
        </w:pBdr>
        <w:spacing w:after="200"/>
        <w:contextualSpacing/>
        <w:jc w:val="right"/>
        <w:rPr>
          <w:color w:val="000000" w:themeColor="text1"/>
          <w:sz w:val="20"/>
        </w:rPr>
      </w:pPr>
      <m:oMath>
        <m:r>
          <w:rPr>
            <w:rFonts w:ascii="Cambria Math" w:hAnsi="Cambria Math"/>
            <w:color w:val="000000" w:themeColor="text1"/>
            <w:sz w:val="20"/>
          </w:rPr>
          <m:t>MSD</m:t>
        </m:r>
        <m:r>
          <m:rPr>
            <m:sty m:val="p"/>
          </m:rPr>
          <w:rPr>
            <w:rFonts w:ascii="Cambria Math" w:hAnsi="Cambria Math"/>
            <w:color w:val="000000" w:themeColor="text1"/>
            <w:sz w:val="20"/>
          </w:rPr>
          <m:t>=</m:t>
        </m:r>
        <m:r>
          <w:rPr>
            <w:rFonts w:ascii="Cambria Math" w:hAnsi="Cambria Math"/>
            <w:color w:val="000000" w:themeColor="text1"/>
            <w:sz w:val="20"/>
          </w:rPr>
          <m:t>SB</m:t>
        </m:r>
        <m:r>
          <m:rPr>
            <m:sty m:val="p"/>
          </m:rPr>
          <w:rPr>
            <w:rFonts w:ascii="Cambria Math" w:hAnsi="Cambria Math"/>
            <w:color w:val="000000" w:themeColor="text1"/>
            <w:sz w:val="20"/>
          </w:rPr>
          <m:t>+</m:t>
        </m:r>
        <m:r>
          <w:rPr>
            <w:rFonts w:ascii="Cambria Math" w:hAnsi="Cambria Math"/>
            <w:color w:val="000000" w:themeColor="text1"/>
            <w:sz w:val="20"/>
          </w:rPr>
          <m:t>SDSD</m:t>
        </m:r>
        <m:r>
          <m:rPr>
            <m:sty m:val="p"/>
          </m:rPr>
          <w:rPr>
            <w:rFonts w:ascii="Cambria Math" w:hAnsi="Cambria Math"/>
            <w:color w:val="000000" w:themeColor="text1"/>
            <w:sz w:val="20"/>
          </w:rPr>
          <m:t>+</m:t>
        </m:r>
        <m:r>
          <w:rPr>
            <w:rFonts w:ascii="Cambria Math" w:hAnsi="Cambria Math"/>
            <w:color w:val="000000" w:themeColor="text1"/>
            <w:sz w:val="20"/>
          </w:rPr>
          <m:t>LCS</m:t>
        </m:r>
      </m:oMath>
      <w:r w:rsidRPr="008D5D0F">
        <w:rPr>
          <w:color w:val="000000" w:themeColor="text1"/>
          <w:sz w:val="20"/>
        </w:rPr>
        <w:t xml:space="preserve">                                                             (3)</w:t>
      </w:r>
    </w:p>
    <w:p w14:paraId="14FE88AE" w14:textId="77777777" w:rsidR="00EB592C" w:rsidRPr="008D5D0F" w:rsidRDefault="00EB592C" w:rsidP="00EB592C">
      <w:pPr>
        <w:pBdr>
          <w:top w:val="nil"/>
          <w:left w:val="nil"/>
          <w:bottom w:val="nil"/>
          <w:right w:val="nil"/>
          <w:between w:val="nil"/>
        </w:pBdr>
        <w:spacing w:after="200"/>
        <w:contextualSpacing/>
        <w:rPr>
          <w:color w:val="000000" w:themeColor="text1"/>
          <w:sz w:val="20"/>
        </w:rPr>
      </w:pPr>
      <w:r w:rsidRPr="008D5D0F">
        <w:rPr>
          <w:color w:val="000000" w:themeColor="text1"/>
          <w:sz w:val="20"/>
        </w:rPr>
        <w:t>The SB is the difference between model (x) and observation mean (y):</w:t>
      </w:r>
    </w:p>
    <w:p w14:paraId="5980061E" w14:textId="542C6FBF" w:rsidR="00DD155A" w:rsidRPr="008D5D0F" w:rsidRDefault="00DD155A" w:rsidP="00E079BC">
      <w:pPr>
        <w:pBdr>
          <w:top w:val="nil"/>
          <w:left w:val="nil"/>
          <w:bottom w:val="nil"/>
          <w:right w:val="nil"/>
          <w:between w:val="nil"/>
        </w:pBdr>
        <w:spacing w:after="200"/>
        <w:contextualSpacing/>
        <w:jc w:val="right"/>
        <w:rPr>
          <w:color w:val="000000" w:themeColor="text1"/>
          <w:sz w:val="20"/>
        </w:rPr>
      </w:pPr>
      <m:oMath>
        <m:r>
          <w:rPr>
            <w:rFonts w:ascii="Cambria Math" w:hAnsi="Cambria Math"/>
            <w:color w:val="000000" w:themeColor="text1"/>
            <w:sz w:val="20"/>
          </w:rPr>
          <m:t>SB</m:t>
        </m:r>
        <m:r>
          <m:rPr>
            <m:sty m:val="p"/>
          </m:rPr>
          <w:rPr>
            <w:rFonts w:ascii="Cambria Math" w:hAnsi="Cambria Math"/>
            <w:color w:val="000000" w:themeColor="text1"/>
            <w:sz w:val="20"/>
          </w:rPr>
          <m:t>=</m:t>
        </m:r>
        <m:sSup>
          <m:sSupPr>
            <m:ctrlPr>
              <w:rPr>
                <w:rFonts w:ascii="Cambria Math" w:hAnsi="Cambria Math"/>
                <w:color w:val="000000" w:themeColor="text1"/>
                <w:sz w:val="20"/>
              </w:rPr>
            </m:ctrlPr>
          </m:sSupPr>
          <m:e>
            <m:r>
              <m:rPr>
                <m:sty m:val="p"/>
              </m:rPr>
              <w:rPr>
                <w:rFonts w:ascii="Cambria Math" w:hAnsi="Cambria Math"/>
                <w:color w:val="000000" w:themeColor="text1"/>
                <w:sz w:val="20"/>
              </w:rPr>
              <m:t>(</m:t>
            </m:r>
            <m:acc>
              <m:accPr>
                <m:chr m:val="̅"/>
                <m:ctrlPr>
                  <w:rPr>
                    <w:rFonts w:ascii="Cambria Math" w:hAnsi="Cambria Math"/>
                    <w:color w:val="000000" w:themeColor="text1"/>
                    <w:sz w:val="20"/>
                  </w:rPr>
                </m:ctrlPr>
              </m:accPr>
              <m:e>
                <m:r>
                  <w:rPr>
                    <w:rFonts w:ascii="Cambria Math" w:hAnsi="Cambria Math"/>
                    <w:color w:val="000000" w:themeColor="text1"/>
                    <w:sz w:val="20"/>
                  </w:rPr>
                  <m:t>x</m:t>
                </m:r>
              </m:e>
            </m:acc>
            <m:r>
              <m:rPr>
                <m:sty m:val="p"/>
              </m:rPr>
              <w:rPr>
                <w:rFonts w:ascii="Cambria Math" w:hAnsi="Cambria Math"/>
                <w:color w:val="000000" w:themeColor="text1"/>
                <w:sz w:val="20"/>
              </w:rPr>
              <m:t xml:space="preserve">- </m:t>
            </m:r>
            <m:acc>
              <m:accPr>
                <m:chr m:val="̅"/>
                <m:ctrlPr>
                  <w:rPr>
                    <w:rFonts w:ascii="Cambria Math" w:hAnsi="Cambria Math"/>
                    <w:color w:val="000000" w:themeColor="text1"/>
                    <w:sz w:val="20"/>
                  </w:rPr>
                </m:ctrlPr>
              </m:accPr>
              <m:e>
                <m:r>
                  <w:rPr>
                    <w:rFonts w:ascii="Cambria Math" w:hAnsi="Cambria Math"/>
                    <w:color w:val="000000" w:themeColor="text1"/>
                    <w:sz w:val="20"/>
                  </w:rPr>
                  <m:t>y</m:t>
                </m:r>
              </m:e>
            </m:acc>
            <m:r>
              <m:rPr>
                <m:sty m:val="p"/>
              </m:rPr>
              <w:rPr>
                <w:rFonts w:ascii="Cambria Math" w:hAnsi="Cambria Math"/>
                <w:color w:val="000000" w:themeColor="text1"/>
                <w:sz w:val="20"/>
              </w:rPr>
              <m:t>)</m:t>
            </m:r>
          </m:e>
          <m:sup>
            <m:r>
              <m:rPr>
                <m:sty m:val="p"/>
              </m:rPr>
              <w:rPr>
                <w:rFonts w:ascii="Cambria Math" w:hAnsi="Cambria Math"/>
                <w:color w:val="000000" w:themeColor="text1"/>
                <w:sz w:val="20"/>
              </w:rPr>
              <m:t>2</m:t>
            </m:r>
          </m:sup>
        </m:sSup>
      </m:oMath>
      <w:r w:rsidRPr="008D5D0F">
        <w:rPr>
          <w:color w:val="000000" w:themeColor="text1"/>
          <w:sz w:val="20"/>
        </w:rPr>
        <w:t xml:space="preserve">                                                                                (4)</w:t>
      </w:r>
    </w:p>
    <w:p w14:paraId="1701B1B3" w14:textId="310B0F32" w:rsidR="00EB592C" w:rsidRPr="008D5D0F" w:rsidRDefault="00EB592C" w:rsidP="00EB592C">
      <w:pPr>
        <w:pBdr>
          <w:top w:val="nil"/>
          <w:left w:val="nil"/>
          <w:bottom w:val="nil"/>
          <w:right w:val="nil"/>
          <w:between w:val="nil"/>
        </w:pBdr>
        <w:spacing w:after="200"/>
        <w:contextualSpacing/>
        <w:rPr>
          <w:color w:val="000000" w:themeColor="text1"/>
          <w:sz w:val="20"/>
        </w:rPr>
      </w:pPr>
      <w:r w:rsidRPr="008D5D0F">
        <w:rPr>
          <w:color w:val="000000" w:themeColor="text1"/>
          <w:sz w:val="20"/>
        </w:rPr>
        <w:t>The SDSD is the difference between the model (SD</w:t>
      </w:r>
      <w:r w:rsidRPr="008D5D0F">
        <w:rPr>
          <w:color w:val="000000" w:themeColor="text1"/>
          <w:sz w:val="20"/>
          <w:vertAlign w:val="subscript"/>
        </w:rPr>
        <w:t>m</w:t>
      </w:r>
      <w:r w:rsidRPr="008D5D0F">
        <w:rPr>
          <w:color w:val="000000" w:themeColor="text1"/>
          <w:sz w:val="20"/>
        </w:rPr>
        <w:t>) and observation (SD</w:t>
      </w:r>
      <w:r w:rsidRPr="008D5D0F">
        <w:rPr>
          <w:color w:val="000000" w:themeColor="text1"/>
          <w:sz w:val="20"/>
          <w:vertAlign w:val="subscript"/>
        </w:rPr>
        <w:t>s</w:t>
      </w:r>
      <w:r w:rsidRPr="008D5D0F">
        <w:rPr>
          <w:color w:val="000000" w:themeColor="text1"/>
          <w:sz w:val="20"/>
        </w:rPr>
        <w:t>) standard deviations, and a large value indicates that the model fails to simulate the amplitude of IAV:</w:t>
      </w:r>
    </w:p>
    <w:p w14:paraId="1052D14D" w14:textId="7C115E74" w:rsidR="00DD155A" w:rsidRPr="008D5D0F" w:rsidRDefault="00DD155A" w:rsidP="00E079BC">
      <w:pPr>
        <w:pBdr>
          <w:top w:val="nil"/>
          <w:left w:val="nil"/>
          <w:bottom w:val="nil"/>
          <w:right w:val="nil"/>
          <w:between w:val="nil"/>
        </w:pBdr>
        <w:spacing w:after="200"/>
        <w:contextualSpacing/>
        <w:jc w:val="right"/>
        <w:rPr>
          <w:color w:val="000000" w:themeColor="text1"/>
          <w:sz w:val="20"/>
        </w:rPr>
      </w:pPr>
      <m:oMath>
        <m:r>
          <w:rPr>
            <w:rFonts w:ascii="Cambria Math" w:hAnsi="Cambria Math"/>
            <w:color w:val="000000" w:themeColor="text1"/>
            <w:sz w:val="20"/>
          </w:rPr>
          <m:t>SDSD</m:t>
        </m:r>
        <m:r>
          <m:rPr>
            <m:sty m:val="p"/>
          </m:rPr>
          <w:rPr>
            <w:rFonts w:ascii="Cambria Math" w:hAnsi="Cambria Math"/>
            <w:color w:val="000000" w:themeColor="text1"/>
            <w:sz w:val="20"/>
          </w:rPr>
          <m:t>=</m:t>
        </m:r>
        <m:sSup>
          <m:sSupPr>
            <m:ctrlPr>
              <w:rPr>
                <w:rFonts w:ascii="Cambria Math" w:hAnsi="Cambria Math"/>
                <w:color w:val="000000" w:themeColor="text1"/>
                <w:sz w:val="20"/>
              </w:rPr>
            </m:ctrlPr>
          </m:sSupPr>
          <m:e>
            <m:r>
              <m:rPr>
                <m:sty m:val="p"/>
              </m:rPr>
              <w:rPr>
                <w:rFonts w:ascii="Cambria Math" w:hAnsi="Cambria Math"/>
                <w:color w:val="000000" w:themeColor="text1"/>
                <w:sz w:val="20"/>
              </w:rPr>
              <m:t>(</m:t>
            </m:r>
            <m:sSub>
              <m:sSubPr>
                <m:ctrlPr>
                  <w:rPr>
                    <w:rFonts w:ascii="Cambria Math" w:hAnsi="Cambria Math"/>
                    <w:color w:val="000000" w:themeColor="text1"/>
                    <w:sz w:val="20"/>
                  </w:rPr>
                </m:ctrlPr>
              </m:sSubPr>
              <m:e>
                <m:r>
                  <w:rPr>
                    <w:rFonts w:ascii="Cambria Math" w:hAnsi="Cambria Math"/>
                    <w:color w:val="000000" w:themeColor="text1"/>
                    <w:sz w:val="20"/>
                  </w:rPr>
                  <m:t>SD</m:t>
                </m:r>
              </m:e>
              <m:sub>
                <m:r>
                  <w:rPr>
                    <w:rFonts w:ascii="Cambria Math" w:hAnsi="Cambria Math"/>
                    <w:color w:val="000000" w:themeColor="text1"/>
                    <w:sz w:val="20"/>
                  </w:rPr>
                  <m:t>s</m:t>
                </m:r>
              </m:sub>
            </m:sSub>
            <m:r>
              <m:rPr>
                <m:sty m:val="p"/>
              </m:rPr>
              <w:rPr>
                <w:rFonts w:ascii="Cambria Math" w:hAnsi="Cambria Math"/>
                <w:color w:val="000000" w:themeColor="text1"/>
                <w:sz w:val="20"/>
              </w:rPr>
              <m:t xml:space="preserve">- </m:t>
            </m:r>
            <m:sSub>
              <m:sSubPr>
                <m:ctrlPr>
                  <w:rPr>
                    <w:rFonts w:ascii="Cambria Math" w:hAnsi="Cambria Math"/>
                    <w:color w:val="000000" w:themeColor="text1"/>
                    <w:sz w:val="20"/>
                  </w:rPr>
                </m:ctrlPr>
              </m:sSubPr>
              <m:e>
                <m:r>
                  <w:rPr>
                    <w:rFonts w:ascii="Cambria Math" w:hAnsi="Cambria Math"/>
                    <w:color w:val="000000" w:themeColor="text1"/>
                    <w:sz w:val="20"/>
                  </w:rPr>
                  <m:t>SD</m:t>
                </m:r>
              </m:e>
              <m:sub>
                <m:r>
                  <w:rPr>
                    <w:rFonts w:ascii="Cambria Math" w:hAnsi="Cambria Math"/>
                    <w:color w:val="000000" w:themeColor="text1"/>
                    <w:sz w:val="20"/>
                  </w:rPr>
                  <m:t>m</m:t>
                </m:r>
              </m:sub>
            </m:sSub>
            <m:r>
              <m:rPr>
                <m:sty m:val="p"/>
              </m:rPr>
              <w:rPr>
                <w:rFonts w:ascii="Cambria Math" w:hAnsi="Cambria Math"/>
                <w:color w:val="000000" w:themeColor="text1"/>
                <w:sz w:val="20"/>
              </w:rPr>
              <m:t>)</m:t>
            </m:r>
          </m:e>
          <m:sup>
            <m:r>
              <m:rPr>
                <m:sty m:val="p"/>
              </m:rPr>
              <w:rPr>
                <w:rFonts w:ascii="Cambria Math" w:hAnsi="Cambria Math"/>
                <w:color w:val="000000" w:themeColor="text1"/>
                <w:sz w:val="20"/>
              </w:rPr>
              <m:t>2</m:t>
            </m:r>
          </m:sup>
        </m:sSup>
      </m:oMath>
      <w:r w:rsidRPr="008D5D0F">
        <w:rPr>
          <w:color w:val="000000" w:themeColor="text1"/>
          <w:sz w:val="20"/>
        </w:rPr>
        <w:t xml:space="preserve">     </w:t>
      </w:r>
      <w:r w:rsidR="00F73DBD" w:rsidRPr="008D5D0F">
        <w:rPr>
          <w:color w:val="000000" w:themeColor="text1"/>
          <w:sz w:val="20"/>
        </w:rPr>
        <w:t xml:space="preserve">                                                        </w:t>
      </w:r>
      <w:r w:rsidRPr="008D5D0F">
        <w:rPr>
          <w:color w:val="000000" w:themeColor="text1"/>
          <w:sz w:val="20"/>
        </w:rPr>
        <w:t xml:space="preserve">     (5)</w:t>
      </w:r>
    </w:p>
    <w:p w14:paraId="377D3539" w14:textId="6DE592B3" w:rsidR="00EB592C" w:rsidRPr="008D5D0F" w:rsidRDefault="00EB592C" w:rsidP="00EB592C">
      <w:pPr>
        <w:pBdr>
          <w:top w:val="nil"/>
          <w:left w:val="nil"/>
          <w:bottom w:val="nil"/>
          <w:right w:val="nil"/>
          <w:between w:val="nil"/>
        </w:pBdr>
        <w:spacing w:after="200"/>
        <w:contextualSpacing/>
        <w:rPr>
          <w:color w:val="000000" w:themeColor="text1"/>
          <w:sz w:val="20"/>
        </w:rPr>
      </w:pPr>
      <w:r w:rsidRPr="008D5D0F">
        <w:rPr>
          <w:color w:val="000000" w:themeColor="text1"/>
          <w:sz w:val="20"/>
        </w:rPr>
        <w:t>The LCS term reflects the lack of correlation (r) between observations and models and is weighted by standard deviations:</w:t>
      </w:r>
    </w:p>
    <w:p w14:paraId="1B39D6CA" w14:textId="5DB31478" w:rsidR="00F73DBD" w:rsidRPr="008D5D0F" w:rsidRDefault="00F73DBD" w:rsidP="00E079BC">
      <w:pPr>
        <w:pBdr>
          <w:top w:val="nil"/>
          <w:left w:val="nil"/>
          <w:bottom w:val="nil"/>
          <w:right w:val="nil"/>
          <w:between w:val="nil"/>
        </w:pBdr>
        <w:spacing w:after="200"/>
        <w:contextualSpacing/>
        <w:jc w:val="right"/>
        <w:rPr>
          <w:color w:val="000000" w:themeColor="text1"/>
          <w:sz w:val="20"/>
        </w:rPr>
      </w:pPr>
      <m:oMath>
        <m:r>
          <w:rPr>
            <w:rFonts w:ascii="Cambria Math" w:hAnsi="Cambria Math"/>
            <w:color w:val="000000" w:themeColor="text1"/>
            <w:sz w:val="20"/>
          </w:rPr>
          <m:t>LCS</m:t>
        </m:r>
        <m:r>
          <m:rPr>
            <m:sty m:val="p"/>
          </m:rPr>
          <w:rPr>
            <w:rFonts w:ascii="Cambria Math" w:hAnsi="Cambria Math"/>
            <w:color w:val="000000" w:themeColor="text1"/>
            <w:sz w:val="20"/>
          </w:rPr>
          <m:t>=2</m:t>
        </m:r>
        <m:sSub>
          <m:sSubPr>
            <m:ctrlPr>
              <w:rPr>
                <w:rFonts w:ascii="Cambria Math" w:hAnsi="Cambria Math"/>
                <w:color w:val="000000" w:themeColor="text1"/>
                <w:sz w:val="20"/>
              </w:rPr>
            </m:ctrlPr>
          </m:sSubPr>
          <m:e>
            <m:r>
              <w:rPr>
                <w:rFonts w:ascii="Cambria Math" w:hAnsi="Cambria Math"/>
                <w:color w:val="000000" w:themeColor="text1"/>
                <w:sz w:val="20"/>
              </w:rPr>
              <m:t>SD</m:t>
            </m:r>
          </m:e>
          <m:sub>
            <m:r>
              <w:rPr>
                <w:rFonts w:ascii="Cambria Math" w:hAnsi="Cambria Math"/>
                <w:color w:val="000000" w:themeColor="text1"/>
                <w:sz w:val="20"/>
              </w:rPr>
              <m:t>s</m:t>
            </m:r>
          </m:sub>
        </m:sSub>
        <m:sSub>
          <m:sSubPr>
            <m:ctrlPr>
              <w:rPr>
                <w:rFonts w:ascii="Cambria Math" w:hAnsi="Cambria Math"/>
                <w:color w:val="000000" w:themeColor="text1"/>
                <w:sz w:val="20"/>
              </w:rPr>
            </m:ctrlPr>
          </m:sSubPr>
          <m:e>
            <m:r>
              <w:rPr>
                <w:rFonts w:ascii="Cambria Math" w:hAnsi="Cambria Math"/>
                <w:color w:val="000000" w:themeColor="text1"/>
                <w:sz w:val="20"/>
              </w:rPr>
              <m:t>SD</m:t>
            </m:r>
          </m:e>
          <m:sub>
            <m:r>
              <w:rPr>
                <w:rFonts w:ascii="Cambria Math" w:hAnsi="Cambria Math"/>
                <w:color w:val="000000" w:themeColor="text1"/>
                <w:sz w:val="20"/>
              </w:rPr>
              <m:t>m</m:t>
            </m:r>
          </m:sub>
        </m:sSub>
        <m:r>
          <m:rPr>
            <m:sty m:val="p"/>
          </m:rPr>
          <w:rPr>
            <w:rFonts w:ascii="Cambria Math" w:hAnsi="Cambria Math"/>
            <w:color w:val="000000" w:themeColor="text1"/>
            <w:sz w:val="20"/>
          </w:rPr>
          <m:t>(1-</m:t>
        </m:r>
        <m:r>
          <w:rPr>
            <w:rFonts w:ascii="Cambria Math" w:hAnsi="Cambria Math"/>
            <w:color w:val="000000" w:themeColor="text1"/>
            <w:sz w:val="20"/>
          </w:rPr>
          <m:t>r</m:t>
        </m:r>
        <m:r>
          <m:rPr>
            <m:sty m:val="p"/>
          </m:rPr>
          <w:rPr>
            <w:rFonts w:ascii="Cambria Math" w:hAnsi="Cambria Math"/>
            <w:color w:val="000000" w:themeColor="text1"/>
            <w:sz w:val="20"/>
          </w:rPr>
          <m:t>)</m:t>
        </m:r>
      </m:oMath>
      <w:r w:rsidRPr="008D5D0F">
        <w:rPr>
          <w:color w:val="000000" w:themeColor="text1"/>
          <w:sz w:val="20"/>
        </w:rPr>
        <w:t xml:space="preserve">                                                                  (6)</w:t>
      </w:r>
    </w:p>
    <w:p w14:paraId="29FE0B3E" w14:textId="7B83ED1D" w:rsidR="00EB592C" w:rsidRPr="008D5D0F" w:rsidRDefault="00EB592C" w:rsidP="00EB592C">
      <w:pPr>
        <w:pBdr>
          <w:top w:val="nil"/>
          <w:left w:val="nil"/>
          <w:bottom w:val="nil"/>
          <w:right w:val="nil"/>
          <w:between w:val="nil"/>
        </w:pBdr>
        <w:contextualSpacing/>
        <w:rPr>
          <w:color w:val="000000" w:themeColor="text1"/>
          <w:sz w:val="20"/>
        </w:rPr>
      </w:pPr>
      <w:r w:rsidRPr="008D5D0F">
        <w:rPr>
          <w:color w:val="000000" w:themeColor="text1"/>
          <w:sz w:val="20"/>
        </w:rPr>
        <w:t>We carried out a sensitivity test for the selection of the subset of the emission scenarios that have the lowest bias relative to the observations by the thresholds of the 1</w:t>
      </w:r>
      <w:r w:rsidRPr="008D5D0F">
        <w:rPr>
          <w:color w:val="000000" w:themeColor="text1"/>
          <w:sz w:val="20"/>
          <w:vertAlign w:val="superscript"/>
        </w:rPr>
        <w:t>st</w:t>
      </w:r>
      <w:r w:rsidRPr="008D5D0F">
        <w:rPr>
          <w:color w:val="000000" w:themeColor="text1"/>
          <w:sz w:val="20"/>
        </w:rPr>
        <w:t>, 5</w:t>
      </w:r>
      <w:r w:rsidRPr="008D5D0F">
        <w:rPr>
          <w:color w:val="000000" w:themeColor="text1"/>
          <w:sz w:val="20"/>
          <w:vertAlign w:val="superscript"/>
        </w:rPr>
        <w:t>th</w:t>
      </w:r>
      <w:r w:rsidRPr="008D5D0F">
        <w:rPr>
          <w:color w:val="000000" w:themeColor="text1"/>
          <w:sz w:val="20"/>
        </w:rPr>
        <w:t>, and 10</w:t>
      </w:r>
      <w:r w:rsidRPr="008D5D0F">
        <w:rPr>
          <w:color w:val="000000" w:themeColor="text1"/>
          <w:sz w:val="20"/>
          <w:vertAlign w:val="superscript"/>
        </w:rPr>
        <w:t>th</w:t>
      </w:r>
      <w:r w:rsidRPr="008D5D0F">
        <w:rPr>
          <w:color w:val="000000" w:themeColor="text1"/>
          <w:sz w:val="20"/>
        </w:rPr>
        <w:t xml:space="preserve"> MSD percentiles. The probability density distributions of MSD at different thresholds are presented with the counting of box model runs for specific scenarios in Fig. S3, Fig. S11 and Fig. S12. The subset of emission scenarios within the 1st percentile has better agreement with the observed declines in δ</w:t>
      </w:r>
      <w:r w:rsidRPr="008D5D0F">
        <w:rPr>
          <w:color w:val="000000" w:themeColor="text1"/>
          <w:sz w:val="20"/>
          <w:vertAlign w:val="superscript"/>
        </w:rPr>
        <w:t>13</w:t>
      </w:r>
      <w:r w:rsidRPr="008D5D0F">
        <w:rPr>
          <w:color w:val="000000" w:themeColor="text1"/>
          <w:sz w:val="20"/>
        </w:rPr>
        <w:t>C-CH</w:t>
      </w:r>
      <w:r w:rsidRPr="008D5D0F">
        <w:rPr>
          <w:color w:val="000000" w:themeColor="text1"/>
          <w:sz w:val="20"/>
          <w:vertAlign w:val="subscript"/>
        </w:rPr>
        <w:t>4</w:t>
      </w:r>
      <w:r w:rsidRPr="008D5D0F">
        <w:rPr>
          <w:color w:val="000000" w:themeColor="text1"/>
          <w:sz w:val="20"/>
        </w:rPr>
        <w:t xml:space="preserve"> values for the post-2007 period and less bias with the OH time series from </w:t>
      </w:r>
      <w:r w:rsidRPr="008D5D0F">
        <w:rPr>
          <w:color w:val="000000" w:themeColor="text1"/>
          <w:sz w:val="20"/>
        </w:rPr>
        <w:fldChar w:fldCharType="begin"/>
      </w:r>
      <w:r w:rsidR="008900A7" w:rsidRPr="008D5D0F">
        <w:rPr>
          <w:color w:val="000000" w:themeColor="text1"/>
          <w:sz w:val="20"/>
        </w:rPr>
        <w:instrText xml:space="preserve"> ADDIN ZOTERO_ITEM CSL_CITATION {"citationID":"fXCueKle","properties":{"formattedCitation":"[38]","plainCitation":"[38]","noteIndex":0},"citationItems":[{"id":1546,"uris":["http://zotero.org/users/5672304/items/G7UPR3JE"],"uri":["http://zotero.org/users/5672304/items/G7UPR3JE"],"itemData":{"id":1546,"type":"article-journal","container-title":"Proceedings of the National Academy of Sciences","DOI":"10.1073/pnas.1616426114","ISSN":"0027-8424, 1091-6490","issue":"21","language":"en","page":"5373-5377","source":"DOI.org (Crossref)","title":"Role of atmospheric oxidation in recent methane growth","volume":"114","author":[{"family":"Rigby","given":"Matthew"},{"family":"Montzka","given":"Stephen A."},{"family":"Prinn","given":"Ronald G."},{"family":"White","given":"James W. C."},{"family":"Young","given":"Dickon"},{"family":"O’Doherty","given":"Simon"},{"family":"Lunt","given":"Mark F."},{"family":"Ganesan","given":"Anita L."},{"family":"Manning","given":"Alistair J."},{"family":"Simmonds","given":"Peter G."},{"family":"Salameh","given":"Peter K."},{"family":"Harth","given":"Christina M."},{"family":"Mühle","given":"Jens"},{"family":"Weiss","given":"Ray F."},{"family":"Fraser","given":"Paul J."},{"family":"Steele","given":"L. Paul"},{"family":"Krummel","given":"Paul B."},{"family":"McCulloch","given":"Archie"},{"family":"Park","given":"Sunyoung"}],"issued":{"date-parts":[["2017",5,23]]}}}],"schema":"https://github.com/citation-style-language/schema/raw/master/csl-citation.json"} </w:instrText>
      </w:r>
      <w:r w:rsidRPr="008D5D0F">
        <w:rPr>
          <w:color w:val="000000" w:themeColor="text1"/>
          <w:sz w:val="20"/>
        </w:rPr>
        <w:fldChar w:fldCharType="separate"/>
      </w:r>
      <w:r w:rsidR="008900A7" w:rsidRPr="008D5D0F">
        <w:rPr>
          <w:color w:val="000000" w:themeColor="text1"/>
          <w:sz w:val="20"/>
        </w:rPr>
        <w:t>[38]</w:t>
      </w:r>
      <w:r w:rsidRPr="008D5D0F">
        <w:rPr>
          <w:color w:val="000000" w:themeColor="text1"/>
          <w:sz w:val="20"/>
        </w:rPr>
        <w:fldChar w:fldCharType="end"/>
      </w:r>
      <w:r w:rsidRPr="008D5D0F">
        <w:rPr>
          <w:color w:val="000000" w:themeColor="text1"/>
          <w:sz w:val="20"/>
        </w:rPr>
        <w:t xml:space="preserve"> than the full ensembles (Fig. S7). The results suggest that selecting the 1</w:t>
      </w:r>
      <w:r w:rsidRPr="008D5D0F">
        <w:rPr>
          <w:color w:val="000000" w:themeColor="text1"/>
          <w:sz w:val="20"/>
          <w:vertAlign w:val="superscript"/>
        </w:rPr>
        <w:t>st</w:t>
      </w:r>
      <w:r w:rsidRPr="008D5D0F">
        <w:rPr>
          <w:color w:val="000000" w:themeColor="text1"/>
          <w:sz w:val="20"/>
        </w:rPr>
        <w:t xml:space="preserve"> percentile can generate a significant improvement in simulating δ</w:t>
      </w:r>
      <w:r w:rsidRPr="008D5D0F">
        <w:rPr>
          <w:color w:val="000000" w:themeColor="text1"/>
          <w:sz w:val="20"/>
          <w:vertAlign w:val="superscript"/>
        </w:rPr>
        <w:t>13</w:t>
      </w:r>
      <w:r w:rsidRPr="008D5D0F">
        <w:rPr>
          <w:color w:val="000000" w:themeColor="text1"/>
          <w:sz w:val="20"/>
        </w:rPr>
        <w:t>C-CH</w:t>
      </w:r>
      <w:r w:rsidRPr="008D5D0F">
        <w:rPr>
          <w:color w:val="000000" w:themeColor="text1"/>
          <w:sz w:val="20"/>
          <w:vertAlign w:val="subscript"/>
        </w:rPr>
        <w:t xml:space="preserve">4 </w:t>
      </w:r>
      <w:r w:rsidRPr="008D5D0F">
        <w:rPr>
          <w:color w:val="000000" w:themeColor="text1"/>
          <w:sz w:val="20"/>
        </w:rPr>
        <w:t>values and in discriminating the scenarios for all emission categories for coal, natural gas and oil, livestock, and biomass burning, whereas EDGARv4.2 is excluded in the 1st and 5th percentile emission scenarios. The uncertainty ranges in Fig. 5 were calculated based on the uncertainty in individual sources and the uncertainty in the proportion of individual sources to the total source using error propagation equations.</w:t>
      </w:r>
    </w:p>
    <w:p w14:paraId="12020B63" w14:textId="77777777" w:rsidR="00EB592C" w:rsidRPr="008D5D0F" w:rsidRDefault="00EB592C" w:rsidP="00EB592C">
      <w:pPr>
        <w:pStyle w:val="SMSubheading"/>
        <w:rPr>
          <w:color w:val="000000" w:themeColor="text1"/>
          <w:sz w:val="20"/>
          <w:u w:val="none"/>
        </w:rPr>
      </w:pPr>
    </w:p>
    <w:p w14:paraId="737BA1D7" w14:textId="77777777" w:rsidR="00EB592C" w:rsidRPr="008D5D0F" w:rsidRDefault="00EB592C" w:rsidP="00EB592C">
      <w:pPr>
        <w:pStyle w:val="SMText"/>
        <w:ind w:firstLine="0"/>
        <w:rPr>
          <w:color w:val="000000" w:themeColor="text1"/>
          <w:sz w:val="20"/>
        </w:rPr>
      </w:pPr>
    </w:p>
    <w:p w14:paraId="68FC9CE1" w14:textId="77777777" w:rsidR="00EB592C" w:rsidRPr="008D5D0F" w:rsidRDefault="00EB592C" w:rsidP="00EB592C">
      <w:pPr>
        <w:pStyle w:val="SOMContent"/>
        <w:spacing w:before="0"/>
        <w:rPr>
          <w:color w:val="000000" w:themeColor="text1"/>
          <w:sz w:val="20"/>
          <w:szCs w:val="20"/>
        </w:rPr>
      </w:pPr>
      <w:r w:rsidRPr="008D5D0F">
        <w:rPr>
          <w:b/>
          <w:bCs/>
          <w:color w:val="000000" w:themeColor="text1"/>
          <w:sz w:val="20"/>
          <w:szCs w:val="20"/>
        </w:rPr>
        <w:lastRenderedPageBreak/>
        <w:t>Datasets Used:</w:t>
      </w:r>
      <w:r w:rsidRPr="008D5D0F">
        <w:rPr>
          <w:color w:val="000000" w:themeColor="text1"/>
          <w:sz w:val="20"/>
          <w:szCs w:val="20"/>
        </w:rPr>
        <w:t xml:space="preserve"> All the datasets used are publicly available. CH</w:t>
      </w:r>
      <w:r w:rsidRPr="008D5D0F">
        <w:rPr>
          <w:color w:val="000000" w:themeColor="text1"/>
          <w:sz w:val="20"/>
          <w:szCs w:val="20"/>
          <w:vertAlign w:val="subscript"/>
        </w:rPr>
        <w:t>4</w:t>
      </w:r>
      <w:r w:rsidRPr="008D5D0F">
        <w:rPr>
          <w:color w:val="000000" w:themeColor="text1"/>
          <w:sz w:val="20"/>
          <w:szCs w:val="20"/>
        </w:rPr>
        <w:t xml:space="preserve"> observations are from National Oceanic and Atmospheric Administration’s Earth System Research Laboratory (NOAA/ESRL) at ftp://aftp.cmdl.noaa.gov/data/trace_gases/ch4/flask/. ẟ</w:t>
      </w:r>
      <w:r w:rsidRPr="008D5D0F">
        <w:rPr>
          <w:color w:val="000000" w:themeColor="text1"/>
          <w:sz w:val="20"/>
          <w:szCs w:val="20"/>
          <w:vertAlign w:val="superscript"/>
        </w:rPr>
        <w:t>13</w:t>
      </w:r>
      <w:r w:rsidRPr="008D5D0F">
        <w:rPr>
          <w:color w:val="000000" w:themeColor="text1"/>
          <w:sz w:val="20"/>
          <w:szCs w:val="20"/>
        </w:rPr>
        <w:t>C-CH</w:t>
      </w:r>
      <w:r w:rsidRPr="008D5D0F">
        <w:rPr>
          <w:color w:val="000000" w:themeColor="text1"/>
          <w:sz w:val="20"/>
          <w:szCs w:val="20"/>
          <w:vertAlign w:val="subscript"/>
        </w:rPr>
        <w:t>4</w:t>
      </w:r>
      <w:r w:rsidRPr="008D5D0F">
        <w:rPr>
          <w:color w:val="000000" w:themeColor="text1"/>
          <w:sz w:val="20"/>
          <w:szCs w:val="20"/>
        </w:rPr>
        <w:t xml:space="preserve"> observations are from NOAA/ESRL at ftp://aftp.cmdl.noaa.gov/data/trace_gases/ch4c13/flask/, University of Washington, Seattle; University of Heidelberg at http://www.iup.uni-heidelberg.de/institut/forschung/groups/kk/Data_html; and University of California, Irvine, CA. The anthropogenic CH</w:t>
      </w:r>
      <w:r w:rsidRPr="008D5D0F">
        <w:rPr>
          <w:color w:val="000000" w:themeColor="text1"/>
          <w:sz w:val="20"/>
          <w:szCs w:val="20"/>
          <w:vertAlign w:val="subscript"/>
        </w:rPr>
        <w:t>4</w:t>
      </w:r>
      <w:r w:rsidRPr="008D5D0F">
        <w:rPr>
          <w:color w:val="000000" w:themeColor="text1"/>
          <w:sz w:val="20"/>
          <w:szCs w:val="20"/>
        </w:rPr>
        <w:t xml:space="preserve"> emissions EDGAR (v4.2 and v4.3.2) used in this study are available at https://edgar.jrc.ec.europa.eu/. The CH</w:t>
      </w:r>
      <w:r w:rsidRPr="008D5D0F">
        <w:rPr>
          <w:color w:val="000000" w:themeColor="text1"/>
          <w:sz w:val="20"/>
          <w:szCs w:val="20"/>
          <w:vertAlign w:val="subscript"/>
        </w:rPr>
        <w:t>4</w:t>
      </w:r>
      <w:r w:rsidRPr="008D5D0F">
        <w:rPr>
          <w:color w:val="000000" w:themeColor="text1"/>
          <w:sz w:val="20"/>
          <w:szCs w:val="20"/>
        </w:rPr>
        <w:t xml:space="preserve"> inventory datasets GAINS and SCH150 are included in the published articles by Höglund-Isaksson et al. (2017), Höglund-Isaksson et al. (2020) and Schwietzke et al. (2016). The revised livestock CH</w:t>
      </w:r>
      <w:r w:rsidRPr="008D5D0F">
        <w:rPr>
          <w:color w:val="000000" w:themeColor="text1"/>
          <w:sz w:val="20"/>
          <w:szCs w:val="20"/>
          <w:vertAlign w:val="subscript"/>
        </w:rPr>
        <w:t>4</w:t>
      </w:r>
      <w:r w:rsidRPr="008D5D0F">
        <w:rPr>
          <w:color w:val="000000" w:themeColor="text1"/>
          <w:sz w:val="20"/>
          <w:szCs w:val="20"/>
        </w:rPr>
        <w:t xml:space="preserve"> dataset from Wolf et al. (2017) is available at https://daac.ornl.gov/cgi-bin/dsviewer.pl?ds_id=1329. The GFED datasets are publicly available from the GFED website at https://www.globalfiredata.org/. The BB4CMIP dataset is available at http://www.globalfiredata.org/ar6historic.html. The ẟ</w:t>
      </w:r>
      <w:r w:rsidRPr="008D5D0F">
        <w:rPr>
          <w:color w:val="000000" w:themeColor="text1"/>
          <w:sz w:val="20"/>
          <w:szCs w:val="20"/>
          <w:vertAlign w:val="superscript"/>
        </w:rPr>
        <w:t>13</w:t>
      </w:r>
      <w:r w:rsidRPr="008D5D0F">
        <w:rPr>
          <w:color w:val="000000" w:themeColor="text1"/>
          <w:sz w:val="20"/>
          <w:szCs w:val="20"/>
        </w:rPr>
        <w:t>C-CH</w:t>
      </w:r>
      <w:r w:rsidRPr="008D5D0F">
        <w:rPr>
          <w:color w:val="000000" w:themeColor="text1"/>
          <w:sz w:val="20"/>
          <w:szCs w:val="20"/>
          <w:vertAlign w:val="subscript"/>
        </w:rPr>
        <w:t>4</w:t>
      </w:r>
      <w:r w:rsidRPr="008D5D0F">
        <w:rPr>
          <w:color w:val="000000" w:themeColor="text1"/>
          <w:sz w:val="20"/>
          <w:szCs w:val="20"/>
        </w:rPr>
        <w:t xml:space="preserve"> source signature databases are available at https://www.esrl.noaa.gov/gmd/ccgg/arc/?id=123 and https://www.esrl.noaa.gov/gmd/ccgg/arc/index.php?id=130. The coal production data are available from International Energy Agency at https://www.iea.org/topics/coal/statistics/. The FAOSTAT data on the populations of major livestock species are available from the FAO website at http://www.fao.org/faostat/en/#data. Additional ancillary data are available from the corresponding author upon request.</w:t>
      </w:r>
    </w:p>
    <w:p w14:paraId="3E1B539B" w14:textId="77777777" w:rsidR="00EB592C" w:rsidRPr="008D5D0F" w:rsidRDefault="00EB592C" w:rsidP="00EB592C">
      <w:pPr>
        <w:rPr>
          <w:color w:val="000000" w:themeColor="text1"/>
          <w:sz w:val="20"/>
        </w:rPr>
      </w:pPr>
      <w:r w:rsidRPr="008D5D0F">
        <w:rPr>
          <w:color w:val="000000" w:themeColor="text1"/>
          <w:sz w:val="20"/>
        </w:rPr>
        <w:br w:type="page"/>
      </w:r>
    </w:p>
    <w:p w14:paraId="3963426B" w14:textId="77777777" w:rsidR="00EB592C" w:rsidRPr="008D5D0F" w:rsidRDefault="00EB592C" w:rsidP="00EB592C">
      <w:pPr>
        <w:pStyle w:val="SOMContent"/>
        <w:spacing w:before="0"/>
        <w:rPr>
          <w:color w:val="000000" w:themeColor="text1"/>
          <w:sz w:val="20"/>
          <w:szCs w:val="20"/>
        </w:rPr>
      </w:pPr>
    </w:p>
    <w:p w14:paraId="2FF7C5EF" w14:textId="77777777" w:rsidR="00EB592C" w:rsidRPr="008D5D0F" w:rsidRDefault="00EB592C" w:rsidP="00EB592C">
      <w:pPr>
        <w:pStyle w:val="SOMContent"/>
        <w:spacing w:before="0"/>
        <w:rPr>
          <w:color w:val="000000" w:themeColor="text1"/>
          <w:sz w:val="20"/>
          <w:szCs w:val="20"/>
        </w:rPr>
      </w:pPr>
    </w:p>
    <w:p w14:paraId="4F712B1A" w14:textId="77777777" w:rsidR="00EB592C" w:rsidRPr="008D5D0F" w:rsidRDefault="00EB592C" w:rsidP="00EB592C">
      <w:pPr>
        <w:pStyle w:val="Paragraph"/>
        <w:spacing w:before="0"/>
        <w:ind w:firstLine="0"/>
        <w:rPr>
          <w:color w:val="000000" w:themeColor="text1"/>
          <w:sz w:val="20"/>
          <w:szCs w:val="20"/>
        </w:rPr>
      </w:pPr>
    </w:p>
    <w:p w14:paraId="438F7703" w14:textId="76C65B75" w:rsidR="00EB592C" w:rsidRPr="008D5D0F" w:rsidRDefault="00EB592C" w:rsidP="00EB592C">
      <w:pPr>
        <w:spacing w:after="120"/>
        <w:jc w:val="both"/>
        <w:rPr>
          <w:color w:val="000000" w:themeColor="text1"/>
          <w:sz w:val="20"/>
        </w:rPr>
      </w:pPr>
      <w:r w:rsidRPr="008D5D0F">
        <w:rPr>
          <w:noProof/>
          <w:color w:val="000000" w:themeColor="text1"/>
          <w:sz w:val="20"/>
          <w:lang w:eastAsia="zh-CN"/>
        </w:rPr>
        <w:drawing>
          <wp:inline distT="0" distB="0" distL="0" distR="0" wp14:anchorId="4E42BE4E" wp14:editId="718B9677">
            <wp:extent cx="5486400" cy="3657600"/>
            <wp:effectExtent l="0" t="0" r="0" b="0"/>
            <wp:docPr id="22" name="Picture 22"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with low confidence"/>
                    <pic:cNvPicPr/>
                  </pic:nvPicPr>
                  <pic:blipFill>
                    <a:blip r:embed="rId10"/>
                    <a:stretch>
                      <a:fillRect/>
                    </a:stretch>
                  </pic:blipFill>
                  <pic:spPr>
                    <a:xfrm>
                      <a:off x="0" y="0"/>
                      <a:ext cx="5486400" cy="3657600"/>
                    </a:xfrm>
                    <a:prstGeom prst="rect">
                      <a:avLst/>
                    </a:prstGeom>
                  </pic:spPr>
                </pic:pic>
              </a:graphicData>
            </a:graphic>
          </wp:inline>
        </w:drawing>
      </w:r>
    </w:p>
    <w:p w14:paraId="71D57D83" w14:textId="4248B703" w:rsidR="00EB592C" w:rsidRPr="008D5D0F" w:rsidRDefault="00EB592C" w:rsidP="00EB592C">
      <w:pPr>
        <w:spacing w:after="120"/>
        <w:jc w:val="both"/>
        <w:rPr>
          <w:color w:val="000000" w:themeColor="text1"/>
          <w:sz w:val="20"/>
        </w:rPr>
      </w:pPr>
      <w:r w:rsidRPr="008D5D0F">
        <w:rPr>
          <w:b/>
          <w:color w:val="000000" w:themeColor="text1"/>
          <w:sz w:val="20"/>
        </w:rPr>
        <w:t>Fig. S1. Inferred anomaly of tropospheric annual mean OH concentration by running the box model in inverse mode.</w:t>
      </w:r>
      <w:r w:rsidRPr="008D5D0F">
        <w:rPr>
          <w:color w:val="000000" w:themeColor="text1"/>
          <w:sz w:val="20"/>
        </w:rPr>
        <w:t xml:space="preserve"> The black line shows the medians, and the shaded area shows ±1 sigma from methylchloroform (MCF)-based box model estimates</w:t>
      </w:r>
      <w:r w:rsidR="00F07BC4" w:rsidRPr="008D5D0F">
        <w:rPr>
          <w:color w:val="000000" w:themeColor="text1"/>
          <w:sz w:val="20"/>
        </w:rPr>
        <w:t>[</w:t>
      </w:r>
      <w:r w:rsidRPr="008D5D0F">
        <w:rPr>
          <w:color w:val="000000" w:themeColor="text1"/>
          <w:sz w:val="20"/>
        </w:rPr>
        <w:fldChar w:fldCharType="begin"/>
      </w:r>
      <w:r w:rsidR="003752EA" w:rsidRPr="008D5D0F">
        <w:rPr>
          <w:color w:val="000000" w:themeColor="text1"/>
          <w:sz w:val="20"/>
        </w:rPr>
        <w:instrText xml:space="preserve"> ADDIN ZOTERO_ITEM CSL_CITATION {"citationID":"a22gs473h37","properties":{"formattedCitation":"(36)","plainCitation":"(36)","dontUpdate":true,"noteIndex":0},"citationItems":[{"id":1546,"uris":["http://zotero.org/users/5672304/items/G7UPR3JE"],"uri":["http://zotero.org/users/5672304/items/G7UPR3JE"],"itemData":{"id":1546,"type":"article-journal","container-title":"Proceedings of the National Academy of Sciences","DOI":"10.1073/pnas.1616426114","ISSN":"0027-8424, 1091-6490","issue":"21","language":"en","page":"5373-5377","source":"DOI.org (Crossref)","title":"Role of atmospheric oxidation in recent methane growth","volume":"114","author":[{"family":"Rigby","given":"Matthew"},{"family":"Montzka","given":"Stephen A."},{"family":"Prinn","given":"Ronald G."},{"family":"White","given":"James W. C."},{"family":"Young","given":"Dickon"},{"family":"O’Doherty","given":"Simon"},{"family":"Lunt","given":"Mark F."},{"family":"Ganesan","given":"Anita L."},{"family":"Manning","given":"Alistair J."},{"family":"Simmonds","given":"Peter G."},{"family":"Salameh","given":"Peter K."},{"family":"Harth","given":"Christina M."},{"family":"Mühle","given":"Jens"},{"family":"Weiss","given":"Ray F."},{"family":"Fraser","given":"Paul J."},{"family":"Steele","given":"L. Paul"},{"family":"Krummel","given":"Paul B."},{"family":"McCulloch","given":"Archie"},{"family":"Park","given":"Sunyoung"}],"issued":{"date-parts":[["2017",5,23]]}}}],"schema":"https://github.com/citation-style-language/schema/raw/master/csl-citation.json"} </w:instrText>
      </w:r>
      <w:r w:rsidRPr="008D5D0F">
        <w:rPr>
          <w:color w:val="000000" w:themeColor="text1"/>
          <w:sz w:val="20"/>
        </w:rPr>
        <w:fldChar w:fldCharType="separate"/>
      </w:r>
      <w:r w:rsidRPr="008D5D0F">
        <w:rPr>
          <w:color w:val="000000" w:themeColor="text1"/>
          <w:sz w:val="20"/>
        </w:rPr>
        <w:t>34</w:t>
      </w:r>
      <w:r w:rsidR="00F07BC4" w:rsidRPr="008D5D0F">
        <w:rPr>
          <w:color w:val="000000" w:themeColor="text1"/>
          <w:sz w:val="20"/>
        </w:rPr>
        <w:t>]</w:t>
      </w:r>
      <w:r w:rsidRPr="008D5D0F">
        <w:rPr>
          <w:color w:val="000000" w:themeColor="text1"/>
          <w:sz w:val="20"/>
        </w:rPr>
        <w:fldChar w:fldCharType="end"/>
      </w:r>
      <w:r w:rsidRPr="008D5D0F">
        <w:rPr>
          <w:color w:val="000000" w:themeColor="text1"/>
          <w:sz w:val="20"/>
        </w:rPr>
        <w:t>.</w:t>
      </w:r>
      <w:r w:rsidR="00524698" w:rsidRPr="008D5D0F">
        <w:rPr>
          <w:color w:val="000000" w:themeColor="text1"/>
          <w:sz w:val="20"/>
        </w:rPr>
        <w:t xml:space="preserve"> The OH anomaly is calculated relative to a global mean concentration of 1e</w:t>
      </w:r>
      <w:r w:rsidR="00524698" w:rsidRPr="008D5D0F">
        <w:rPr>
          <w:color w:val="000000" w:themeColor="text1"/>
          <w:sz w:val="20"/>
          <w:vertAlign w:val="superscript"/>
        </w:rPr>
        <w:t>6</w:t>
      </w:r>
      <w:r w:rsidR="00524698" w:rsidRPr="008D5D0F">
        <w:rPr>
          <w:color w:val="000000" w:themeColor="text1"/>
          <w:sz w:val="20"/>
        </w:rPr>
        <w:t xml:space="preserve"> molecules (molec)/cm</w:t>
      </w:r>
      <w:r w:rsidR="00524698" w:rsidRPr="008D5D0F">
        <w:rPr>
          <w:color w:val="000000" w:themeColor="text1"/>
          <w:sz w:val="20"/>
          <w:vertAlign w:val="superscript"/>
        </w:rPr>
        <w:t>3</w:t>
      </w:r>
      <w:r w:rsidR="00524698" w:rsidRPr="008D5D0F">
        <w:rPr>
          <w:color w:val="000000" w:themeColor="text1"/>
          <w:sz w:val="20"/>
        </w:rPr>
        <w:t>.</w:t>
      </w:r>
      <w:r w:rsidRPr="008D5D0F">
        <w:rPr>
          <w:color w:val="000000" w:themeColor="text1"/>
          <w:sz w:val="20"/>
        </w:rPr>
        <w:t xml:space="preserve"> The dashed line represents an optimized box model estimate with bias corrections on constraints on OH</w:t>
      </w:r>
      <w:r w:rsidRPr="008D5D0F">
        <w:rPr>
          <w:color w:val="000000" w:themeColor="text1"/>
          <w:sz w:val="20"/>
        </w:rPr>
        <w:fldChar w:fldCharType="begin"/>
      </w:r>
      <w:r w:rsidR="003752EA" w:rsidRPr="008D5D0F">
        <w:rPr>
          <w:color w:val="000000" w:themeColor="text1"/>
          <w:sz w:val="20"/>
        </w:rPr>
        <w:instrText xml:space="preserve"> ADDIN ZOTERO_ITEM CSL_CITATION {"citationID":"a1csdt00rvq","properties":{"formattedCitation":"(37)","plainCitation":"(37)","dontUpdate":true,"noteIndex":0},"citationItems":[{"id":3378,"uris":["http://zotero.org/users/5672304/items/2LJ7RECW"],"uri":["http://zotero.org/users/5672304/items/2LJ7RECW"],"itemData":{"id":3378,"type":"article-journal","abstract":"&lt;p&gt;&lt;strong&gt;Abstract.&lt;/strong&gt; The hydroxyl radical (OH) is the main atmospheric oxidant and the primary sink of the greenhouse gas &lt;span class=\"inline-formula\"&gt;CH&lt;sub&gt;4&lt;/sub&gt;&lt;/span&gt;. In an attempt to constrain atmospheric levels of OH, two recent studies combined a tropospheric two-box model with hemispheric-mean observations of methyl chloroform (MCF) and &lt;span class=\"inline-formula\"&gt;CH&lt;sub&gt;4&lt;/sub&gt;&lt;/span&gt;. These studies reached different conclusions concerning the most likely explanation of the renewed &lt;span class=\"inline-formula\"&gt;CH&lt;sub&gt;4&lt;/sub&gt;&lt;/span&gt; growth rate, which reflects the uncertain and underdetermined nature of the problem. Here, we investigated how the use of a tropospheric two-box model can affect the derived constraints on &lt;span class=\"inline-formula\"&gt;OH&lt;/span&gt; due to simplifying assumptions inherent to a two-box model. To this end, we derived species- and time-dependent quantities from a full 3-D transport model to drive two-box model simulations. Furthermore, we quantified differences between the 3-D simulated tropospheric burden and the burden seen by the surface measurement network of the National Oceanic and Atmospheric Administration (NOAA). Compared to commonly used parameters in two-box models, we found significant deviations in the magnitude and time-dependence of the interhemispheric exchange rate, exposure to OH, and stratospheric loss rate. For MCF these deviations can be large due to changes in the balance of its sources and sinks over time. We also found that changes in the yearly averaged tropospheric burden of &lt;span class=\"inline-formula\"&gt;CH&lt;sub&gt;4&lt;/sub&gt;&lt;/span&gt; and MCF can be obtained within 0.96&amp;thinsp;ppb&amp;thinsp;yr&lt;span class=\"inline-formula\"&gt;&lt;sup&gt;−1&lt;/sup&gt;&lt;/span&gt; and 0.14&amp;thinsp;%&amp;thinsp;yr&lt;span class=\"inline-formula\"&gt;&lt;sup&gt;−1&lt;/sup&gt;&lt;/span&gt; by the NOAA surface network, but that substantial systematic biases exist in the interhemispheric mixing ratio gradients that are input to two-box model inversions.&lt;/p&gt; &lt;p&gt;To investigate the impact of the identified biases on constraints on OH, we accounted for these biases in a two-box model inversion of MCF and &lt;span class=\"inline-formula\"&gt;CH&lt;sub&gt;4&lt;/sub&gt;&lt;/span&gt;. We found that the sensitivity of interannual &lt;span class=\"inline-formula\"&gt;OH&lt;/span&gt; anomalies to the biases is modest (1&amp;thinsp;%–2&amp;thinsp;%), relative to the uncertainties on derived OH (3&amp;thinsp;%–4&amp;thinsp;%). However, in an inversion where we implemented all four bias corrections simultaneously, we found a shift to a positive trend in OH concentrations over the 1994–2015 period, compared to the standard inversion. Moreover, the absolute magnitude of derived global mean &lt;span class=\"inline-formula\"&gt;OH&lt;/span&gt;, and by extent, that of global &lt;span class=\"inline-formula\"&gt;CH&lt;sub&gt;4&lt;/sub&gt;&lt;/span&gt; emissions, was affected much more strongly by the bias corrections than their anomalies (&lt;span class=\"inline-formula\"&gt;</w:instrText>
      </w:r>
      <w:r w:rsidR="003752EA" w:rsidRPr="008D5D0F">
        <w:rPr>
          <w:rFonts w:ascii="Cambria Math" w:hAnsi="Cambria Math" w:cs="Cambria Math"/>
          <w:color w:val="000000" w:themeColor="text1"/>
          <w:sz w:val="20"/>
        </w:rPr>
        <w:instrText>∼</w:instrText>
      </w:r>
      <w:r w:rsidR="003752EA" w:rsidRPr="008D5D0F">
        <w:rPr>
          <w:color w:val="000000" w:themeColor="text1"/>
          <w:sz w:val="20"/>
        </w:rPr>
        <w:instrText xml:space="preserve">10&lt;/span&gt;&amp;thinsp;%). Through our analysis, we identified and quantified limitations in the two-box model approach as well as an opportunity for full 3-D simulations to address these limitations. However, we also found that this derivation is an extensive and species-dependent exercise and that the biases were not always entirely resolvable. In future attempts to improve constraints on the atmospheric oxidative capacity through the use of simple models, a crucial first step is to consider and account for biases similar to those we have identified for the two-box model.&lt;/p&gt;","container-title":"Atmospheric Chemistry and Physics","DOI":"https://doi.org/10.5194/acp-19-407-2019","ISSN":"1680-7316","issue":"1","language":"English","note":"publisher: Copernicus GmbH","page":"407-424","source":"acp.copernicus.org","title":"Constraints and biases in a tropospheric two-box model of OH","volume":"19","author":[{"family":"Naus","given":"Stijn"},{"family":"Montzka","given":"Stephen A."},{"family":"Pandey","given":"Sudhanshu"},{"family":"Basu","given":"Sourish"},{"family":"Dlugokencky","given":"Ed J."},{"family":"Krol","given":"Maarten"}],"issued":{"date-parts":[["2019",1,11]]}}}],"schema":"https://github.com/citation-style-language/schema/raw/master/csl-citation.json"} </w:instrText>
      </w:r>
      <w:r w:rsidRPr="008D5D0F">
        <w:rPr>
          <w:color w:val="000000" w:themeColor="text1"/>
          <w:sz w:val="20"/>
        </w:rPr>
        <w:fldChar w:fldCharType="separate"/>
      </w:r>
      <w:r w:rsidR="00F07BC4" w:rsidRPr="008D5D0F">
        <w:rPr>
          <w:color w:val="000000" w:themeColor="text1"/>
          <w:sz w:val="20"/>
        </w:rPr>
        <w:t>[</w:t>
      </w:r>
      <w:r w:rsidRPr="008D5D0F">
        <w:rPr>
          <w:color w:val="000000" w:themeColor="text1"/>
          <w:sz w:val="20"/>
        </w:rPr>
        <w:t>35</w:t>
      </w:r>
      <w:r w:rsidR="00F07BC4" w:rsidRPr="008D5D0F">
        <w:rPr>
          <w:color w:val="000000" w:themeColor="text1"/>
          <w:sz w:val="20"/>
        </w:rPr>
        <w:t>]</w:t>
      </w:r>
      <w:r w:rsidRPr="008D5D0F">
        <w:rPr>
          <w:color w:val="000000" w:themeColor="text1"/>
          <w:sz w:val="20"/>
        </w:rPr>
        <w:fldChar w:fldCharType="end"/>
      </w:r>
      <w:r w:rsidRPr="008D5D0F">
        <w:rPr>
          <w:color w:val="000000" w:themeColor="text1"/>
          <w:sz w:val="20"/>
        </w:rPr>
        <w:t>. In contrast to our study and the MCF-based estimates using the box model, the OH computed by a set of atmospheric chemistry models from the Chemistry Climate Model Initiative (CCMI) experiment</w:t>
      </w:r>
      <w:r w:rsidRPr="008D5D0F">
        <w:rPr>
          <w:color w:val="000000" w:themeColor="text1"/>
          <w:sz w:val="20"/>
        </w:rPr>
        <w:fldChar w:fldCharType="begin"/>
      </w:r>
      <w:r w:rsidR="00876334" w:rsidRPr="008D5D0F">
        <w:rPr>
          <w:color w:val="000000" w:themeColor="text1"/>
          <w:sz w:val="20"/>
        </w:rPr>
        <w:instrText xml:space="preserve"> ADDIN ZOTERO_ITEM CSL_CITATION {"citationID":"a1a5ga6a4qr","properties":{"formattedCitation":"(38)","plainCitation":"(38)","dontUpdate":true,"noteIndex":0},"citationItems":[{"id":"lPwtHjdp/tny0FHQq","uris":["http://zotero.org/users/5672304/items/X5QJ4BEV"],"uri":["http://zotero.org/users/5672304/items/X5QJ4BEV"],"itemData":{"id":2676,"type":"article-journal","abstract":"&lt;p&gt;&lt;strong&gt;Abstract.&lt;/strong&gt; The modeling study presented here aims to estimate how uncertainties in global hydroxyl radical (OH) distributions, variability, and trends may contribute to resolve discrepancies between simulated and observed methane (CH&lt;sub&gt;4&lt;/sub&gt;) changes since 2000. A multi-model ensemble of 14 OH fields were analysed and were aggregated into 64 scenarios to force the offline atmospheric chemistry transport model LMDz with a standard CH&lt;sub&gt;4&lt;/sub&gt; emission scenario over the period 2000&amp;ndash;2016. The multi-model simulated global volume-weighted tropospheric mean OH concentration ([OH]) averaged over 2000&amp;ndash;2010 ranges between 8.7&amp;thinsp;&amp;times;&amp;thinsp;105 and 12.8&amp;thinsp;&amp;times;&amp;thinsp;105&amp;thinsp;molec&amp;thinsp;cm&lt;sup&gt;&amp;minus;3&lt;/sup&gt;. The inter-model differences in tropospheric OH burden and vertical distributions are mainly determined by the differences in the nitrogen oxide (NO) distributions, while the spatial discrepancies between OH fields are mostly due to differences in natural emissions and VOC chemistry. From 2000 to 2010, most simulated OH fields show an increase of 0.1&amp;ndash;0.3&amp;thinsp;&amp;times;&amp;thinsp;105&amp;thinsp;molec&amp;thinsp;cm&lt;sup&gt;&amp;minus;3&lt;/sup&gt; in the tropospheric mean [OH], with year-to-year variations much smaller than during the historical period 1960&amp;ndash;2000. Once ingested into the LMDz model, these OH changes translated into a 5 to 15&amp;thinsp;ppbv reduction in CH&lt;sub&gt;4&lt;/sub&gt; mixing ratio in 2010, which represent 7&amp;thinsp;%&amp;ndash;20&amp;thinsp;% of the model simulated CH&lt;sub&gt;4&lt;/sub&gt; increase due to surface emissions. Between 2010 and 2016, the ensemble of simulations showed that OH changes could lead to a CH&lt;sub&gt;4&lt;/sub&gt; mixing ratio uncertainty of &gt;&amp;thinsp;&amp;plusmn;30&amp;thinsp;ppbv. Over the full 2000&amp;ndash;2016 time period, using a common state-of-the-art but non-optimized emission scenario, the impact of [OH] changes tested here can explain up to 54&amp;thinsp;% of the gap between model simulations and observations. This result emphasizes the importance of better representing OH abundance and variations in CH&lt;sub&gt;4&lt;/sub&gt; forward simulations and emission optimizations performed by atmospheric inversions.&lt;/p&gt;","container-title":"Atmospheric Chemistry and Physics Discussions","DOI":"https://doi.org/10.5194/acp-2019-281","ISSN":"1680-7316","language":"English","page":"1-47","source":"www.atmos-chem-phys-discuss.net","title":"Inter-model comparison of global hydroxyl radical (OH) distributions and their impact on atmospheric methane over the 2000-2016 period","author":[{"family":"Zhao","given":"Yuanhong"},{"family":"Saunois","given":"Marielle"},{"family":"Bousquet","given":"Philippe"},{"family":"Lin","given":"Xin"},{"family":"Hegglin","given":"Michaela I."},{"family":"Canadell","given":"Josep G."},{"family":"Jackson","given":"Robert B."},{"family":"Hauglustaine","given":"Didier A."},{"family":"Szopa","given":"Sophie"},{"family":"Stavert","given":"Ann R."},{"family":"Abraham","given":"Nathan Luke"},{"family":"Archibald","given":"Alex T."},{"family":"Bekki","given":"Slimane"},{"family":"Deushi","given":"Makoto"},{"family":"Jöckel","given":"Patrick"},{"family":"Josse","given":"Béatrice"},{"family":"Kinnison","given":"Douglas"},{"family":"Kirner","given":"Ole"},{"family":"Marécal","given":"Virginie"},{"family":"O'Connor","given":"Fiona M."},{"family":"Plummer","given":"David A."},{"family":"Revell","given":"Laura E."},{"family":"Rozanov","given":"Eugene"},{"family":"Stenke","given":"Andrea"},{"family":"Strode","given":"Sarah"},{"family":"Tilmes","given":"Simone"},{"family":"Dlugokencky","given":"Edward J."},{"family":"Zheng","given":"Bo"}],"issued":{"date-parts":[["2019",4,1]]}}}],"schema":"https://github.com/citation-style-language/schema/raw/master/csl-citation.json"} </w:instrText>
      </w:r>
      <w:r w:rsidRPr="008D5D0F">
        <w:rPr>
          <w:color w:val="000000" w:themeColor="text1"/>
          <w:sz w:val="20"/>
        </w:rPr>
        <w:fldChar w:fldCharType="separate"/>
      </w:r>
      <w:r w:rsidR="00F07BC4" w:rsidRPr="008D5D0F">
        <w:rPr>
          <w:color w:val="000000" w:themeColor="text1"/>
          <w:sz w:val="20"/>
        </w:rPr>
        <w:t>[</w:t>
      </w:r>
      <w:r w:rsidRPr="008D5D0F">
        <w:rPr>
          <w:color w:val="000000" w:themeColor="text1"/>
          <w:sz w:val="20"/>
        </w:rPr>
        <w:t>36</w:t>
      </w:r>
      <w:r w:rsidR="00F07BC4" w:rsidRPr="008D5D0F">
        <w:rPr>
          <w:color w:val="000000" w:themeColor="text1"/>
          <w:sz w:val="20"/>
        </w:rPr>
        <w:t>]</w:t>
      </w:r>
      <w:r w:rsidRPr="008D5D0F">
        <w:rPr>
          <w:color w:val="000000" w:themeColor="text1"/>
          <w:sz w:val="20"/>
        </w:rPr>
        <w:fldChar w:fldCharType="end"/>
      </w:r>
      <w:r w:rsidRPr="008D5D0F">
        <w:rPr>
          <w:color w:val="000000" w:themeColor="text1"/>
          <w:sz w:val="20"/>
        </w:rPr>
        <w:t xml:space="preserve"> shows low interannual variability and low year-to-year fluctuation on the order of 1%.</w:t>
      </w:r>
    </w:p>
    <w:p w14:paraId="263CF91C" w14:textId="77777777" w:rsidR="00EB592C" w:rsidRPr="008D5D0F" w:rsidRDefault="00EB592C" w:rsidP="00EB592C">
      <w:pPr>
        <w:jc w:val="both"/>
        <w:rPr>
          <w:color w:val="000000" w:themeColor="text1"/>
          <w:sz w:val="20"/>
        </w:rPr>
      </w:pPr>
      <w:r w:rsidRPr="008D5D0F">
        <w:rPr>
          <w:color w:val="000000" w:themeColor="text1"/>
          <w:sz w:val="20"/>
        </w:rPr>
        <w:br w:type="page"/>
      </w:r>
    </w:p>
    <w:p w14:paraId="0C2D7E04" w14:textId="77FD41C8" w:rsidR="00EB592C" w:rsidRPr="008D5D0F" w:rsidRDefault="00EB592C" w:rsidP="00EB592C">
      <w:pPr>
        <w:spacing w:after="120"/>
        <w:jc w:val="both"/>
        <w:rPr>
          <w:color w:val="000000" w:themeColor="text1"/>
          <w:sz w:val="20"/>
        </w:rPr>
      </w:pPr>
      <w:r w:rsidRPr="008D5D0F">
        <w:rPr>
          <w:noProof/>
          <w:color w:val="000000" w:themeColor="text1"/>
          <w:sz w:val="20"/>
          <w:lang w:eastAsia="zh-CN"/>
        </w:rPr>
        <w:lastRenderedPageBreak/>
        <w:drawing>
          <wp:inline distT="0" distB="0" distL="0" distR="0" wp14:anchorId="13185529" wp14:editId="2787B82C">
            <wp:extent cx="4457700" cy="8915400"/>
            <wp:effectExtent l="0" t="0" r="0" b="0"/>
            <wp:docPr id="30" name="Picture 30"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radar chart&#10;&#10;Description automatically generated"/>
                    <pic:cNvPicPr/>
                  </pic:nvPicPr>
                  <pic:blipFill>
                    <a:blip r:embed="rId11"/>
                    <a:stretch>
                      <a:fillRect/>
                    </a:stretch>
                  </pic:blipFill>
                  <pic:spPr>
                    <a:xfrm>
                      <a:off x="0" y="0"/>
                      <a:ext cx="4457700" cy="8915400"/>
                    </a:xfrm>
                    <a:prstGeom prst="rect">
                      <a:avLst/>
                    </a:prstGeom>
                  </pic:spPr>
                </pic:pic>
              </a:graphicData>
            </a:graphic>
          </wp:inline>
        </w:drawing>
      </w:r>
    </w:p>
    <w:p w14:paraId="484826EF" w14:textId="19441BBE" w:rsidR="00EB592C" w:rsidRPr="008D5D0F" w:rsidRDefault="00EB592C" w:rsidP="00EB592C">
      <w:pPr>
        <w:spacing w:after="120"/>
        <w:jc w:val="both"/>
        <w:rPr>
          <w:color w:val="000000" w:themeColor="text1"/>
          <w:sz w:val="20"/>
        </w:rPr>
      </w:pPr>
      <w:r w:rsidRPr="008D5D0F">
        <w:rPr>
          <w:b/>
          <w:color w:val="000000" w:themeColor="text1"/>
          <w:sz w:val="20"/>
        </w:rPr>
        <w:lastRenderedPageBreak/>
        <w:t>Fig. S2. Performance of emission scenarios in simulating OH.</w:t>
      </w:r>
      <w:r w:rsidRPr="008D5D0F">
        <w:rPr>
          <w:color w:val="000000" w:themeColor="text1"/>
          <w:sz w:val="20"/>
        </w:rPr>
        <w:t xml:space="preserve"> Taylor diagram illustrating the normalized standard deviation and Pearson’s correlation coefficient for the comparison of the OH anomaly (%) of different emission scenarios grouped by IFF</w:t>
      </w:r>
      <w:r w:rsidRPr="008D5D0F">
        <w:rPr>
          <w:color w:val="000000" w:themeColor="text1"/>
          <w:sz w:val="20"/>
          <w:vertAlign w:val="subscript"/>
        </w:rPr>
        <w:t>CH4</w:t>
      </w:r>
      <w:r w:rsidRPr="008D5D0F">
        <w:rPr>
          <w:color w:val="000000" w:themeColor="text1"/>
          <w:sz w:val="20"/>
        </w:rPr>
        <w:t xml:space="preserve"> with (A) the medians of OH anomalies inferred from the MCF-based estimates</w:t>
      </w:r>
      <w:r w:rsidRPr="008D5D0F">
        <w:rPr>
          <w:color w:val="000000" w:themeColor="text1"/>
          <w:sz w:val="20"/>
        </w:rPr>
        <w:fldChar w:fldCharType="begin"/>
      </w:r>
      <w:r w:rsidR="003752EA" w:rsidRPr="008D5D0F">
        <w:rPr>
          <w:color w:val="000000" w:themeColor="text1"/>
          <w:sz w:val="20"/>
        </w:rPr>
        <w:instrText xml:space="preserve"> ADDIN ZOTERO_ITEM CSL_CITATION {"citationID":"avj8avsbjb","properties":{"formattedCitation":"(36)","plainCitation":"(36)","dontUpdate":true,"noteIndex":0},"citationItems":[{"id":1546,"uris":["http://zotero.org/users/5672304/items/G7UPR3JE"],"uri":["http://zotero.org/users/5672304/items/G7UPR3JE"],"itemData":{"id":1546,"type":"article-journal","container-title":"Proceedings of the National Academy of Sciences","DOI":"10.1073/pnas.1616426114","ISSN":"0027-8424, 1091-6490","issue":"21","language":"en","page":"5373-5377","source":"DOI.org (Crossref)","title":"Role of atmospheric oxidation in recent methane growth","volume":"114","author":[{"family":"Rigby","given":"Matthew"},{"family":"Montzka","given":"Stephen A."},{"family":"Prinn","given":"Ronald G."},{"family":"White","given":"James W. C."},{"family":"Young","given":"Dickon"},{"family":"O’Doherty","given":"Simon"},{"family":"Lunt","given":"Mark F."},{"family":"Ganesan","given":"Anita L."},{"family":"Manning","given":"Alistair J."},{"family":"Simmonds","given":"Peter G."},{"family":"Salameh","given":"Peter K."},{"family":"Harth","given":"Christina M."},{"family":"Mühle","given":"Jens"},{"family":"Weiss","given":"Ray F."},{"family":"Fraser","given":"Paul J."},{"family":"Steele","given":"L. Paul"},{"family":"Krummel","given":"Paul B."},{"family":"McCulloch","given":"Archie"},{"family":"Park","given":"Sunyoung"}],"issued":{"date-parts":[["2017",5,23]]}}}],"schema":"https://github.com/citation-style-language/schema/raw/master/csl-citation.json"} </w:instrText>
      </w:r>
      <w:r w:rsidRPr="008D5D0F">
        <w:rPr>
          <w:color w:val="000000" w:themeColor="text1"/>
          <w:sz w:val="20"/>
        </w:rPr>
        <w:fldChar w:fldCharType="separate"/>
      </w:r>
      <w:r w:rsidR="00F07BC4" w:rsidRPr="008D5D0F">
        <w:rPr>
          <w:color w:val="000000" w:themeColor="text1"/>
          <w:sz w:val="20"/>
        </w:rPr>
        <w:t>[</w:t>
      </w:r>
      <w:r w:rsidRPr="008D5D0F">
        <w:rPr>
          <w:color w:val="000000" w:themeColor="text1"/>
          <w:sz w:val="20"/>
        </w:rPr>
        <w:t>36</w:t>
      </w:r>
      <w:r w:rsidR="00F07BC4" w:rsidRPr="008D5D0F">
        <w:rPr>
          <w:color w:val="000000" w:themeColor="text1"/>
          <w:sz w:val="20"/>
        </w:rPr>
        <w:t>]</w:t>
      </w:r>
      <w:r w:rsidRPr="008D5D0F">
        <w:rPr>
          <w:color w:val="000000" w:themeColor="text1"/>
          <w:sz w:val="20"/>
        </w:rPr>
        <w:fldChar w:fldCharType="end"/>
      </w:r>
      <w:r w:rsidRPr="008D5D0F">
        <w:rPr>
          <w:color w:val="000000" w:themeColor="text1"/>
          <w:sz w:val="20"/>
        </w:rPr>
        <w:t xml:space="preserve"> and (B) means from an optimized box model estimate </w:t>
      </w:r>
      <w:r w:rsidRPr="008D5D0F">
        <w:rPr>
          <w:color w:val="000000" w:themeColor="text1"/>
          <w:sz w:val="20"/>
        </w:rPr>
        <w:fldChar w:fldCharType="begin"/>
      </w:r>
      <w:r w:rsidR="003752EA" w:rsidRPr="008D5D0F">
        <w:rPr>
          <w:color w:val="000000" w:themeColor="text1"/>
          <w:sz w:val="20"/>
        </w:rPr>
        <w:instrText xml:space="preserve"> ADDIN ZOTERO_ITEM CSL_CITATION {"citationID":"a19rl0teni6","properties":{"formattedCitation":"(37)","plainCitation":"(37)","dontUpdate":true,"noteIndex":0},"citationItems":[{"id":3378,"uris":["http://zotero.org/users/5672304/items/2LJ7RECW"],"uri":["http://zotero.org/users/5672304/items/2LJ7RECW"],"itemData":{"id":3378,"type":"article-journal","abstract":"&lt;p&gt;&lt;strong&gt;Abstract.&lt;/strong&gt; The hydroxyl radical (OH) is the main atmospheric oxidant and the primary sink of the greenhouse gas &lt;span class=\"inline-formula\"&gt;CH&lt;sub&gt;4&lt;/sub&gt;&lt;/span&gt;. In an attempt to constrain atmospheric levels of OH, two recent studies combined a tropospheric two-box model with hemispheric-mean observations of methyl chloroform (MCF) and &lt;span class=\"inline-formula\"&gt;CH&lt;sub&gt;4&lt;/sub&gt;&lt;/span&gt;. These studies reached different conclusions concerning the most likely explanation of the renewed &lt;span class=\"inline-formula\"&gt;CH&lt;sub&gt;4&lt;/sub&gt;&lt;/span&gt; growth rate, which reflects the uncertain and underdetermined nature of the problem. Here, we investigated how the use of a tropospheric two-box model can affect the derived constraints on &lt;span class=\"inline-formula\"&gt;OH&lt;/span&gt; due to simplifying assumptions inherent to a two-box model. To this end, we derived species- and time-dependent quantities from a full 3-D transport model to drive two-box model simulations. Furthermore, we quantified differences between the 3-D simulated tropospheric burden and the burden seen by the surface measurement network of the National Oceanic and Atmospheric Administration (NOAA). Compared to commonly used parameters in two-box models, we found significant deviations in the magnitude and time-dependence of the interhemispheric exchange rate, exposure to OH, and stratospheric loss rate. For MCF these deviations can be large due to changes in the balance of its sources and sinks over time. We also found that changes in the yearly averaged tropospheric burden of &lt;span class=\"inline-formula\"&gt;CH&lt;sub&gt;4&lt;/sub&gt;&lt;/span&gt; and MCF can be obtained within 0.96&amp;thinsp;ppb&amp;thinsp;yr&lt;span class=\"inline-formula\"&gt;&lt;sup&gt;−1&lt;/sup&gt;&lt;/span&gt; and 0.14&amp;thinsp;%&amp;thinsp;yr&lt;span class=\"inline-formula\"&gt;&lt;sup&gt;−1&lt;/sup&gt;&lt;/span&gt; by the NOAA surface network, but that substantial systematic biases exist in the interhemispheric mixing ratio gradients that are input to two-box model inversions.&lt;/p&gt; &lt;p&gt;To investigate the impact of the identified biases on constraints on OH, we accounted for these biases in a two-box model inversion of MCF and &lt;span class=\"inline-formula\"&gt;CH&lt;sub&gt;4&lt;/sub&gt;&lt;/span&gt;. We found that the sensitivity of interannual &lt;span class=\"inline-formula\"&gt;OH&lt;/span&gt; anomalies to the biases is modest (1&amp;thinsp;%–2&amp;thinsp;%), relative to the uncertainties on derived OH (3&amp;thinsp;%–4&amp;thinsp;%). However, in an inversion where we implemented all four bias corrections simultaneously, we found a shift to a positive trend in OH concentrations over the 1994–2015 period, compared to the standard inversion. Moreover, the absolute magnitude of derived global mean &lt;span class=\"inline-formula\"&gt;OH&lt;/span&gt;, and by extent, that of global &lt;span class=\"inline-formula\"&gt;CH&lt;sub&gt;4&lt;/sub&gt;&lt;/span&gt; emissions, was affected much more strongly by the bias corrections than their anomalies (&lt;span class=\"inline-formula\"&gt;</w:instrText>
      </w:r>
      <w:r w:rsidR="003752EA" w:rsidRPr="008D5D0F">
        <w:rPr>
          <w:rFonts w:ascii="Cambria Math" w:hAnsi="Cambria Math" w:cs="Cambria Math"/>
          <w:color w:val="000000" w:themeColor="text1"/>
          <w:sz w:val="20"/>
        </w:rPr>
        <w:instrText>∼</w:instrText>
      </w:r>
      <w:r w:rsidR="003752EA" w:rsidRPr="008D5D0F">
        <w:rPr>
          <w:color w:val="000000" w:themeColor="text1"/>
          <w:sz w:val="20"/>
        </w:rPr>
        <w:instrText xml:space="preserve">10&lt;/span&gt;&amp;thinsp;%). Through our analysis, we identified and quantified limitations in the two-box model approach as well as an opportunity for full 3-D simulations to address these limitations. However, we also found that this derivation is an extensive and species-dependent exercise and that the biases were not always entirely resolvable. In future attempts to improve constraints on the atmospheric oxidative capacity through the use of simple models, a crucial first step is to consider and account for biases similar to those we have identified for the two-box model.&lt;/p&gt;","container-title":"Atmospheric Chemistry and Physics","DOI":"https://doi.org/10.5194/acp-19-407-2019","ISSN":"1680-7316","issue":"1","language":"English","note":"publisher: Copernicus GmbH","page":"407-424","source":"acp.copernicus.org","title":"Constraints and biases in a tropospheric two-box model of OH","volume":"19","author":[{"family":"Naus","given":"Stijn"},{"family":"Montzka","given":"Stephen A."},{"family":"Pandey","given":"Sudhanshu"},{"family":"Basu","given":"Sourish"},{"family":"Dlugokencky","given":"Ed J."},{"family":"Krol","given":"Maarten"}],"issued":{"date-parts":[["2019",1,11]]}}}],"schema":"https://github.com/citation-style-language/schema/raw/master/csl-citation.json"} </w:instrText>
      </w:r>
      <w:r w:rsidRPr="008D5D0F">
        <w:rPr>
          <w:color w:val="000000" w:themeColor="text1"/>
          <w:sz w:val="20"/>
        </w:rPr>
        <w:fldChar w:fldCharType="separate"/>
      </w:r>
      <w:r w:rsidR="00F07BC4" w:rsidRPr="008D5D0F">
        <w:rPr>
          <w:color w:val="000000" w:themeColor="text1"/>
          <w:sz w:val="20"/>
        </w:rPr>
        <w:t>[</w:t>
      </w:r>
      <w:r w:rsidRPr="008D5D0F">
        <w:rPr>
          <w:color w:val="000000" w:themeColor="text1"/>
          <w:sz w:val="20"/>
        </w:rPr>
        <w:t>37</w:t>
      </w:r>
      <w:r w:rsidR="00F07BC4" w:rsidRPr="008D5D0F">
        <w:rPr>
          <w:color w:val="000000" w:themeColor="text1"/>
          <w:sz w:val="20"/>
        </w:rPr>
        <w:t>]</w:t>
      </w:r>
      <w:r w:rsidRPr="008D5D0F">
        <w:rPr>
          <w:color w:val="000000" w:themeColor="text1"/>
          <w:sz w:val="20"/>
        </w:rPr>
        <w:fldChar w:fldCharType="end"/>
      </w:r>
      <w:r w:rsidRPr="008D5D0F">
        <w:rPr>
          <w:color w:val="000000" w:themeColor="text1"/>
          <w:sz w:val="20"/>
        </w:rPr>
        <w:t xml:space="preserve"> (denoted ‘Ref’).</w:t>
      </w:r>
    </w:p>
    <w:p w14:paraId="130A839B" w14:textId="30790E8F" w:rsidR="00EB592C" w:rsidRPr="008D5D0F" w:rsidRDefault="00EB592C" w:rsidP="00EB592C">
      <w:pPr>
        <w:jc w:val="both"/>
        <w:rPr>
          <w:color w:val="000000" w:themeColor="text1"/>
          <w:sz w:val="20"/>
        </w:rPr>
      </w:pPr>
      <w:r w:rsidRPr="008D5D0F">
        <w:rPr>
          <w:color w:val="000000" w:themeColor="text1"/>
          <w:sz w:val="20"/>
        </w:rPr>
        <w:br w:type="page"/>
      </w:r>
      <w:r w:rsidRPr="008D5D0F">
        <w:rPr>
          <w:noProof/>
          <w:color w:val="000000" w:themeColor="text1"/>
          <w:sz w:val="20"/>
          <w:lang w:eastAsia="zh-CN"/>
        </w:rPr>
        <w:lastRenderedPageBreak/>
        <w:drawing>
          <wp:inline distT="0" distB="0" distL="0" distR="0" wp14:anchorId="1CB14541" wp14:editId="57BA9D36">
            <wp:extent cx="5998845" cy="5398770"/>
            <wp:effectExtent l="0" t="0" r="0" b="0"/>
            <wp:docPr id="37" name="Picture 3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bar chart&#10;&#10;Description automatically generated"/>
                    <pic:cNvPicPr/>
                  </pic:nvPicPr>
                  <pic:blipFill>
                    <a:blip r:embed="rId12"/>
                    <a:stretch>
                      <a:fillRect/>
                    </a:stretch>
                  </pic:blipFill>
                  <pic:spPr>
                    <a:xfrm>
                      <a:off x="0" y="0"/>
                      <a:ext cx="5998845" cy="5398770"/>
                    </a:xfrm>
                    <a:prstGeom prst="rect">
                      <a:avLst/>
                    </a:prstGeom>
                  </pic:spPr>
                </pic:pic>
              </a:graphicData>
            </a:graphic>
          </wp:inline>
        </w:drawing>
      </w:r>
    </w:p>
    <w:p w14:paraId="1567908D" w14:textId="77777777" w:rsidR="00EB592C" w:rsidRPr="008D5D0F" w:rsidRDefault="00EB592C" w:rsidP="00EB592C">
      <w:pPr>
        <w:jc w:val="both"/>
        <w:rPr>
          <w:color w:val="000000" w:themeColor="text1"/>
          <w:sz w:val="20"/>
        </w:rPr>
      </w:pPr>
      <w:r w:rsidRPr="008D5D0F">
        <w:rPr>
          <w:b/>
          <w:color w:val="000000" w:themeColor="text1"/>
          <w:sz w:val="20"/>
        </w:rPr>
        <w:t>Fig. S3. The histogram of the 1</w:t>
      </w:r>
      <w:r w:rsidRPr="008D5D0F">
        <w:rPr>
          <w:b/>
          <w:color w:val="000000" w:themeColor="text1"/>
          <w:sz w:val="20"/>
          <w:vertAlign w:val="superscript"/>
        </w:rPr>
        <w:t>st</w:t>
      </w:r>
      <w:r w:rsidRPr="008D5D0F">
        <w:rPr>
          <w:color w:val="000000" w:themeColor="text1"/>
          <w:sz w:val="20"/>
        </w:rPr>
        <w:t xml:space="preserve"> </w:t>
      </w:r>
      <w:r w:rsidRPr="008D5D0F">
        <w:rPr>
          <w:b/>
          <w:color w:val="000000" w:themeColor="text1"/>
          <w:sz w:val="20"/>
        </w:rPr>
        <w:t>percentile of the lowest mean squared difference (MSD) between simulated δ</w:t>
      </w:r>
      <w:r w:rsidRPr="008D5D0F">
        <w:rPr>
          <w:b/>
          <w:color w:val="000000" w:themeColor="text1"/>
          <w:sz w:val="20"/>
          <w:vertAlign w:val="superscript"/>
        </w:rPr>
        <w:t>13</w:t>
      </w:r>
      <w:r w:rsidRPr="008D5D0F">
        <w:rPr>
          <w:b/>
          <w:color w:val="000000" w:themeColor="text1"/>
          <w:sz w:val="20"/>
        </w:rPr>
        <w:t>C-CH</w:t>
      </w:r>
      <w:r w:rsidRPr="008D5D0F">
        <w:rPr>
          <w:b/>
          <w:color w:val="000000" w:themeColor="text1"/>
          <w:sz w:val="20"/>
          <w:vertAlign w:val="subscript"/>
        </w:rPr>
        <w:t>4</w:t>
      </w:r>
      <w:r w:rsidRPr="008D5D0F">
        <w:rPr>
          <w:b/>
          <w:color w:val="000000" w:themeColor="text1"/>
          <w:sz w:val="20"/>
        </w:rPr>
        <w:t xml:space="preserve"> values and observations.</w:t>
      </w:r>
      <w:r w:rsidRPr="008D5D0F">
        <w:rPr>
          <w:color w:val="000000" w:themeColor="text1"/>
          <w:sz w:val="20"/>
        </w:rPr>
        <w:t xml:space="preserve"> The runs were grouped by bottom-up estimates with different colors for major CH</w:t>
      </w:r>
      <w:r w:rsidRPr="008D5D0F">
        <w:rPr>
          <w:color w:val="000000" w:themeColor="text1"/>
          <w:sz w:val="20"/>
          <w:vertAlign w:val="subscript"/>
        </w:rPr>
        <w:t>4</w:t>
      </w:r>
      <w:r w:rsidRPr="008D5D0F">
        <w:rPr>
          <w:color w:val="000000" w:themeColor="text1"/>
          <w:sz w:val="20"/>
        </w:rPr>
        <w:t xml:space="preserve"> source categories. The number of runs grouped by different CH</w:t>
      </w:r>
      <w:r w:rsidRPr="008D5D0F">
        <w:rPr>
          <w:color w:val="000000" w:themeColor="text1"/>
          <w:sz w:val="20"/>
          <w:vertAlign w:val="subscript"/>
        </w:rPr>
        <w:t>4</w:t>
      </w:r>
      <w:r w:rsidRPr="008D5D0F">
        <w:rPr>
          <w:color w:val="000000" w:themeColor="text1"/>
          <w:sz w:val="20"/>
        </w:rPr>
        <w:t xml:space="preserve"> source categories is listed in the legend.</w:t>
      </w:r>
    </w:p>
    <w:p w14:paraId="41213063" w14:textId="4B40E960" w:rsidR="00EB592C" w:rsidRPr="008D5D0F" w:rsidRDefault="00EB592C" w:rsidP="00EB592C">
      <w:pPr>
        <w:jc w:val="both"/>
        <w:rPr>
          <w:b/>
          <w:color w:val="000000" w:themeColor="text1"/>
          <w:sz w:val="20"/>
        </w:rPr>
      </w:pPr>
      <w:r w:rsidRPr="008D5D0F">
        <w:rPr>
          <w:color w:val="000000" w:themeColor="text1"/>
          <w:sz w:val="20"/>
        </w:rPr>
        <w:br w:type="page"/>
      </w:r>
      <w:r w:rsidRPr="008D5D0F">
        <w:rPr>
          <w:b/>
          <w:noProof/>
          <w:color w:val="000000" w:themeColor="text1"/>
          <w:sz w:val="20"/>
          <w:lang w:eastAsia="zh-CN"/>
        </w:rPr>
        <w:lastRenderedPageBreak/>
        <w:drawing>
          <wp:inline distT="0" distB="0" distL="0" distR="0" wp14:anchorId="2D2E0F36" wp14:editId="5B0A685A">
            <wp:extent cx="5998845" cy="4498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93155"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5998845" cy="4498975"/>
                    </a:xfrm>
                    <a:prstGeom prst="rect">
                      <a:avLst/>
                    </a:prstGeom>
                  </pic:spPr>
                </pic:pic>
              </a:graphicData>
            </a:graphic>
          </wp:inline>
        </w:drawing>
      </w:r>
    </w:p>
    <w:p w14:paraId="314A2487" w14:textId="77777777" w:rsidR="00EB592C" w:rsidRPr="008D5D0F" w:rsidRDefault="00EB592C" w:rsidP="00EB592C">
      <w:pPr>
        <w:jc w:val="both"/>
        <w:rPr>
          <w:color w:val="000000" w:themeColor="text1"/>
          <w:sz w:val="20"/>
        </w:rPr>
      </w:pPr>
      <w:r w:rsidRPr="008D5D0F">
        <w:rPr>
          <w:b/>
          <w:bCs/>
          <w:color w:val="000000" w:themeColor="text1"/>
          <w:sz w:val="20"/>
        </w:rPr>
        <w:t>Fig. S4. Hovmöller diagrams of the change rate of zonal annual CH</w:t>
      </w:r>
      <w:r w:rsidRPr="008D5D0F">
        <w:rPr>
          <w:b/>
          <w:bCs/>
          <w:color w:val="000000" w:themeColor="text1"/>
          <w:sz w:val="20"/>
          <w:vertAlign w:val="subscript"/>
        </w:rPr>
        <w:t>4</w:t>
      </w:r>
      <w:r w:rsidRPr="008D5D0F">
        <w:rPr>
          <w:b/>
          <w:bCs/>
          <w:color w:val="000000" w:themeColor="text1"/>
          <w:sz w:val="20"/>
        </w:rPr>
        <w:t xml:space="preserve"> emission anomalies for major CH</w:t>
      </w:r>
      <w:r w:rsidRPr="008D5D0F">
        <w:rPr>
          <w:b/>
          <w:bCs/>
          <w:color w:val="000000" w:themeColor="text1"/>
          <w:sz w:val="20"/>
          <w:vertAlign w:val="subscript"/>
        </w:rPr>
        <w:t>4</w:t>
      </w:r>
      <w:r w:rsidRPr="008D5D0F">
        <w:rPr>
          <w:b/>
          <w:bCs/>
          <w:color w:val="000000" w:themeColor="text1"/>
          <w:sz w:val="20"/>
        </w:rPr>
        <w:t xml:space="preserve"> sources (Table S1). </w:t>
      </w:r>
      <w:r w:rsidRPr="008D5D0F">
        <w:rPr>
          <w:color w:val="000000" w:themeColor="text1"/>
          <w:sz w:val="20"/>
        </w:rPr>
        <w:t>The annual change rate for equal latitudinal areas is calculated as the time derivative of the CH</w:t>
      </w:r>
      <w:r w:rsidRPr="008D5D0F">
        <w:rPr>
          <w:color w:val="000000" w:themeColor="text1"/>
          <w:sz w:val="20"/>
          <w:vertAlign w:val="subscript"/>
        </w:rPr>
        <w:t>4</w:t>
      </w:r>
      <w:r w:rsidRPr="008D5D0F">
        <w:rPr>
          <w:color w:val="000000" w:themeColor="text1"/>
          <w:sz w:val="20"/>
        </w:rPr>
        <w:t xml:space="preserve"> anomaly relative to its 2000 level. Note that the sine latitude is approximately equal to the latitudes at the right axis (sin. lat of 0.75 roughly equal to Lat. 45°N)</w:t>
      </w:r>
      <w:r w:rsidRPr="008D5D0F">
        <w:rPr>
          <w:i/>
          <w:color w:val="000000" w:themeColor="text1"/>
          <w:sz w:val="20"/>
        </w:rPr>
        <w:t>.</w:t>
      </w:r>
      <w:r w:rsidRPr="008D5D0F">
        <w:rPr>
          <w:color w:val="000000" w:themeColor="text1"/>
          <w:sz w:val="20"/>
        </w:rPr>
        <w:t xml:space="preserve"> IFF, AGW, WET, and BB represent industrial fossil fuel, agricultural and waste, wetlands, and biomass burning sectors, respectively. The CH</w:t>
      </w:r>
      <w:r w:rsidRPr="008D5D0F">
        <w:rPr>
          <w:color w:val="000000" w:themeColor="text1"/>
          <w:sz w:val="20"/>
          <w:vertAlign w:val="subscript"/>
        </w:rPr>
        <w:t>4</w:t>
      </w:r>
      <w:r w:rsidRPr="008D5D0F">
        <w:rPr>
          <w:color w:val="000000" w:themeColor="text1"/>
          <w:sz w:val="20"/>
        </w:rPr>
        <w:t xml:space="preserve"> source estimates for IFF and AGW are from the inventories EDGAR4.2, EDGAR.4.3.2, GAINS, SCH150, and WOLF2017. REN and CRU are two wetland CH</w:t>
      </w:r>
      <w:r w:rsidRPr="008D5D0F">
        <w:rPr>
          <w:color w:val="000000" w:themeColor="text1"/>
          <w:sz w:val="20"/>
          <w:vertAlign w:val="subscript"/>
        </w:rPr>
        <w:t>4</w:t>
      </w:r>
      <w:r w:rsidRPr="008D5D0F">
        <w:rPr>
          <w:color w:val="000000" w:themeColor="text1"/>
          <w:sz w:val="20"/>
        </w:rPr>
        <w:t xml:space="preserve"> estimates from wetland model LPJ-wsl, whereas GFED is a bottom-up biomass burning dataset.</w:t>
      </w:r>
    </w:p>
    <w:p w14:paraId="04680B5D" w14:textId="77777777" w:rsidR="00EB592C" w:rsidRPr="008D5D0F" w:rsidRDefault="00EB592C" w:rsidP="00EB592C">
      <w:pPr>
        <w:jc w:val="both"/>
        <w:rPr>
          <w:color w:val="000000" w:themeColor="text1"/>
          <w:sz w:val="20"/>
        </w:rPr>
      </w:pPr>
    </w:p>
    <w:p w14:paraId="2688AABB" w14:textId="7A5B1CF7" w:rsidR="00EB592C" w:rsidRPr="008D5D0F" w:rsidRDefault="00EB592C" w:rsidP="00EB592C">
      <w:pPr>
        <w:jc w:val="both"/>
        <w:rPr>
          <w:color w:val="000000" w:themeColor="text1"/>
          <w:sz w:val="20"/>
        </w:rPr>
      </w:pPr>
      <w:r w:rsidRPr="008D5D0F">
        <w:rPr>
          <w:color w:val="000000" w:themeColor="text1"/>
          <w:sz w:val="20"/>
        </w:rPr>
        <w:br w:type="page"/>
      </w:r>
      <w:r w:rsidRPr="008D5D0F">
        <w:rPr>
          <w:noProof/>
          <w:color w:val="000000" w:themeColor="text1"/>
          <w:sz w:val="20"/>
          <w:lang w:eastAsia="zh-CN"/>
        </w:rPr>
        <w:lastRenderedPageBreak/>
        <w:drawing>
          <wp:inline distT="0" distB="0" distL="0" distR="0" wp14:anchorId="39522774" wp14:editId="1FC0500E">
            <wp:extent cx="3657600" cy="4572000"/>
            <wp:effectExtent l="0" t="0" r="0"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963243" name="Picture 1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657600" cy="4572000"/>
                    </a:xfrm>
                    <a:prstGeom prst="rect">
                      <a:avLst/>
                    </a:prstGeom>
                    <a:noFill/>
                    <a:ln>
                      <a:noFill/>
                    </a:ln>
                  </pic:spPr>
                </pic:pic>
              </a:graphicData>
            </a:graphic>
          </wp:inline>
        </w:drawing>
      </w:r>
    </w:p>
    <w:p w14:paraId="640A8765" w14:textId="77777777" w:rsidR="00EB592C" w:rsidRPr="008D5D0F" w:rsidRDefault="00EB592C" w:rsidP="00EB592C">
      <w:pPr>
        <w:spacing w:after="120"/>
        <w:jc w:val="both"/>
        <w:rPr>
          <w:color w:val="000000" w:themeColor="text1"/>
          <w:sz w:val="20"/>
        </w:rPr>
      </w:pPr>
      <w:r w:rsidRPr="008D5D0F">
        <w:rPr>
          <w:b/>
          <w:color w:val="000000" w:themeColor="text1"/>
          <w:sz w:val="20"/>
        </w:rPr>
        <w:t>Fig. S5. Latitudinal gradients (north: positive, south: negative) of weighted average wetland δ</w:t>
      </w:r>
      <w:r w:rsidRPr="008D5D0F">
        <w:rPr>
          <w:b/>
          <w:color w:val="000000" w:themeColor="text1"/>
          <w:sz w:val="20"/>
          <w:vertAlign w:val="superscript"/>
        </w:rPr>
        <w:t>13</w:t>
      </w:r>
      <w:r w:rsidRPr="008D5D0F">
        <w:rPr>
          <w:b/>
          <w:color w:val="000000" w:themeColor="text1"/>
          <w:sz w:val="20"/>
        </w:rPr>
        <w:t>C-CH</w:t>
      </w:r>
      <w:r w:rsidRPr="008D5D0F">
        <w:rPr>
          <w:b/>
          <w:color w:val="000000" w:themeColor="text1"/>
          <w:sz w:val="20"/>
          <w:vertAlign w:val="subscript"/>
        </w:rPr>
        <w:t>4</w:t>
      </w:r>
      <w:r w:rsidRPr="008D5D0F">
        <w:rPr>
          <w:color w:val="000000" w:themeColor="text1"/>
          <w:sz w:val="20"/>
        </w:rPr>
        <w:t xml:space="preserve"> </w:t>
      </w:r>
      <w:r w:rsidRPr="008D5D0F">
        <w:rPr>
          <w:b/>
          <w:color w:val="000000" w:themeColor="text1"/>
          <w:sz w:val="20"/>
        </w:rPr>
        <w:t>values.</w:t>
      </w:r>
      <w:r w:rsidRPr="008D5D0F">
        <w:rPr>
          <w:color w:val="000000" w:themeColor="text1"/>
          <w:sz w:val="20"/>
        </w:rPr>
        <w:t xml:space="preserve"> The 1000 spatial maps were calculated using Monte Carlo techniques following a normal distribution.</w:t>
      </w:r>
    </w:p>
    <w:p w14:paraId="02F92821" w14:textId="413B812F" w:rsidR="00EB592C" w:rsidRPr="008D5D0F" w:rsidRDefault="00EB592C" w:rsidP="00EB592C">
      <w:pPr>
        <w:spacing w:after="120"/>
        <w:jc w:val="both"/>
        <w:rPr>
          <w:color w:val="000000" w:themeColor="text1"/>
          <w:sz w:val="20"/>
        </w:rPr>
      </w:pPr>
      <w:r w:rsidRPr="008D5D0F">
        <w:rPr>
          <w:color w:val="000000" w:themeColor="text1"/>
          <w:sz w:val="20"/>
        </w:rPr>
        <w:br w:type="page"/>
      </w:r>
      <w:r w:rsidRPr="008D5D0F">
        <w:rPr>
          <w:noProof/>
          <w:color w:val="000000" w:themeColor="text1"/>
          <w:sz w:val="20"/>
          <w:lang w:eastAsia="zh-CN"/>
        </w:rPr>
        <w:lastRenderedPageBreak/>
        <w:drawing>
          <wp:inline distT="0" distB="0" distL="0" distR="0" wp14:anchorId="2FCBE46E" wp14:editId="3C072468">
            <wp:extent cx="5078095" cy="1653540"/>
            <wp:effectExtent l="0" t="0" r="1905" b="0"/>
            <wp:docPr id="28" name="Picture 422" descr="Chart, box and whisker chart&#10;&#10;&#10;&#10;&#10;&#10;&#10;&#10;&#10;&#10;&#10;&#10;&#10;&#10;&#10;&#10;&#10;&#10;&#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4739" name="Picture 422" descr="Chart, box and whisker chart&#10;&#10;&#10;&#10;&#10;&#10;&#10;&#10;&#10;&#10;&#10;&#10;&#10;&#10;&#10;&#10;&#10;&#10;&#10;&#10;&#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78095" cy="1653540"/>
                    </a:xfrm>
                    <a:prstGeom prst="rect">
                      <a:avLst/>
                    </a:prstGeom>
                    <a:noFill/>
                    <a:ln>
                      <a:noFill/>
                    </a:ln>
                  </pic:spPr>
                </pic:pic>
              </a:graphicData>
            </a:graphic>
          </wp:inline>
        </w:drawing>
      </w:r>
    </w:p>
    <w:p w14:paraId="2B8525D3" w14:textId="77777777" w:rsidR="00EB592C" w:rsidRPr="008D5D0F" w:rsidRDefault="00EB592C" w:rsidP="00EB592C">
      <w:pPr>
        <w:spacing w:after="120"/>
        <w:jc w:val="both"/>
        <w:rPr>
          <w:color w:val="000000" w:themeColor="text1"/>
          <w:sz w:val="20"/>
        </w:rPr>
      </w:pPr>
    </w:p>
    <w:p w14:paraId="2E08CD19" w14:textId="77777777" w:rsidR="00EB592C" w:rsidRPr="008D5D0F" w:rsidRDefault="00EB592C" w:rsidP="00EB592C">
      <w:pPr>
        <w:jc w:val="both"/>
        <w:rPr>
          <w:color w:val="000000" w:themeColor="text1"/>
          <w:sz w:val="20"/>
        </w:rPr>
      </w:pPr>
      <w:r w:rsidRPr="008D5D0F">
        <w:rPr>
          <w:b/>
          <w:color w:val="000000" w:themeColor="text1"/>
          <w:sz w:val="20"/>
        </w:rPr>
        <w:t xml:space="preserve">Fig. S6. Comparison of the mean fractionation factor </w:t>
      </w:r>
      <w:r w:rsidRPr="008D5D0F">
        <w:rPr>
          <w:b/>
          <w:color w:val="000000" w:themeColor="text1"/>
          <w:sz w:val="20"/>
        </w:rPr>
        <w:sym w:font="Symbol" w:char="F065"/>
      </w:r>
      <w:r w:rsidRPr="008D5D0F">
        <w:rPr>
          <w:b/>
          <w:color w:val="000000" w:themeColor="text1"/>
          <w:sz w:val="20"/>
        </w:rPr>
        <w:t xml:space="preserve"> in the sink processes between this study and literature studies.</w:t>
      </w:r>
      <w:r w:rsidRPr="008D5D0F">
        <w:rPr>
          <w:color w:val="000000" w:themeColor="text1"/>
          <w:sz w:val="20"/>
        </w:rPr>
        <w:t xml:space="preserve"> The mean fractionation factor and 1 sigma range for the full ensemble and most likely scenarios (1</w:t>
      </w:r>
      <w:r w:rsidRPr="008D5D0F">
        <w:rPr>
          <w:color w:val="000000" w:themeColor="text1"/>
          <w:sz w:val="20"/>
          <w:vertAlign w:val="superscript"/>
        </w:rPr>
        <w:t>st</w:t>
      </w:r>
      <w:r w:rsidRPr="008D5D0F">
        <w:rPr>
          <w:color w:val="000000" w:themeColor="text1"/>
          <w:sz w:val="20"/>
        </w:rPr>
        <w:t xml:space="preserve"> percentile of lowest MSD) are calculated by fitting with specific emission scenarios using parameter estimation. For Warwick2016, which does not explicitly show </w:t>
      </w:r>
      <w:r w:rsidRPr="008D5D0F">
        <w:rPr>
          <w:color w:val="000000" w:themeColor="text1"/>
          <w:sz w:val="20"/>
        </w:rPr>
        <w:sym w:font="Symbol" w:char="F065"/>
      </w:r>
      <w:r w:rsidRPr="008D5D0F">
        <w:rPr>
          <w:color w:val="000000" w:themeColor="text1"/>
          <w:sz w:val="20"/>
        </w:rPr>
        <w:t xml:space="preserve">, the sink-weighted average fractionation factor was calculated based on individual </w:t>
      </w:r>
      <w:r w:rsidRPr="008D5D0F">
        <w:rPr>
          <w:color w:val="000000" w:themeColor="text1"/>
          <w:sz w:val="20"/>
        </w:rPr>
        <w:sym w:font="Symbol" w:char="F065"/>
      </w:r>
      <w:r w:rsidRPr="008D5D0F">
        <w:rPr>
          <w:color w:val="000000" w:themeColor="text1"/>
          <w:sz w:val="20"/>
          <w:vertAlign w:val="subscript"/>
        </w:rPr>
        <w:t>sink</w:t>
      </w:r>
      <w:r w:rsidRPr="008D5D0F">
        <w:rPr>
          <w:color w:val="000000" w:themeColor="text1"/>
          <w:sz w:val="20"/>
        </w:rPr>
        <w:t xml:space="preserve"> values from Lassey2007, where the </w:t>
      </w:r>
      <w:r w:rsidRPr="008D5D0F">
        <w:rPr>
          <w:color w:val="000000" w:themeColor="text1"/>
          <w:sz w:val="20"/>
        </w:rPr>
        <w:sym w:font="Symbol" w:char="F065"/>
      </w:r>
      <w:r w:rsidRPr="008D5D0F">
        <w:rPr>
          <w:color w:val="000000" w:themeColor="text1"/>
          <w:sz w:val="20"/>
          <w:vertAlign w:val="subscript"/>
        </w:rPr>
        <w:t>sink</w:t>
      </w:r>
      <w:r w:rsidRPr="008D5D0F">
        <w:rPr>
          <w:color w:val="000000" w:themeColor="text1"/>
          <w:sz w:val="20"/>
        </w:rPr>
        <w:t xml:space="preserve"> values of OH oxidation in the troposphere, soil removal, stratospheric loss and Cl sink are set to -4.65‰, -20‰, -3‰, and -60‰, respectively.</w:t>
      </w:r>
    </w:p>
    <w:p w14:paraId="22B10077" w14:textId="77777777" w:rsidR="00EB592C" w:rsidRPr="008D5D0F" w:rsidRDefault="00EB592C" w:rsidP="00EB592C">
      <w:pPr>
        <w:rPr>
          <w:color w:val="000000" w:themeColor="text1"/>
          <w:sz w:val="20"/>
        </w:rPr>
      </w:pPr>
      <w:r w:rsidRPr="008D5D0F">
        <w:rPr>
          <w:color w:val="000000" w:themeColor="text1"/>
          <w:sz w:val="20"/>
        </w:rPr>
        <w:br w:type="page"/>
      </w:r>
    </w:p>
    <w:p w14:paraId="7B6B9A89" w14:textId="68DA5535" w:rsidR="00EB592C" w:rsidRPr="008D5D0F" w:rsidRDefault="00EB592C" w:rsidP="00EB592C">
      <w:pPr>
        <w:jc w:val="both"/>
        <w:rPr>
          <w:b/>
          <w:color w:val="000000" w:themeColor="text1"/>
          <w:sz w:val="20"/>
        </w:rPr>
      </w:pPr>
      <w:r w:rsidRPr="008D5D0F">
        <w:rPr>
          <w:b/>
          <w:noProof/>
          <w:color w:val="000000" w:themeColor="text1"/>
          <w:sz w:val="20"/>
          <w:lang w:eastAsia="zh-CN"/>
        </w:rPr>
        <w:lastRenderedPageBreak/>
        <w:drawing>
          <wp:inline distT="0" distB="0" distL="0" distR="0" wp14:anchorId="790C7874" wp14:editId="6E75EFB3">
            <wp:extent cx="5486400" cy="7315200"/>
            <wp:effectExtent l="0" t="0" r="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097982" name="Picture 10"/>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486400" cy="7315200"/>
                    </a:xfrm>
                    <a:prstGeom prst="rect">
                      <a:avLst/>
                    </a:prstGeom>
                    <a:noFill/>
                    <a:ln>
                      <a:noFill/>
                    </a:ln>
                  </pic:spPr>
                </pic:pic>
              </a:graphicData>
            </a:graphic>
          </wp:inline>
        </w:drawing>
      </w:r>
    </w:p>
    <w:p w14:paraId="6A147AA5" w14:textId="55D76BE7" w:rsidR="00EB592C" w:rsidRPr="008D5D0F" w:rsidRDefault="00EB592C" w:rsidP="00EB592C">
      <w:pPr>
        <w:jc w:val="both"/>
        <w:rPr>
          <w:b/>
          <w:color w:val="000000" w:themeColor="text1"/>
          <w:sz w:val="20"/>
        </w:rPr>
      </w:pPr>
      <w:r w:rsidRPr="008D5D0F">
        <w:rPr>
          <w:b/>
          <w:color w:val="000000" w:themeColor="text1"/>
          <w:sz w:val="20"/>
        </w:rPr>
        <w:t>Fig. S7. Same as Fig. 5 (bottom) but including a bar plot calculated using the full ensemble (top, N=96,000) of the box model simulations.</w:t>
      </w:r>
    </w:p>
    <w:p w14:paraId="44536239" w14:textId="4DEBEE5C" w:rsidR="00ED7F9E" w:rsidRPr="008D5D0F" w:rsidRDefault="00ED7F9E" w:rsidP="00EB592C">
      <w:pPr>
        <w:jc w:val="both"/>
        <w:rPr>
          <w:b/>
          <w:color w:val="000000" w:themeColor="text1"/>
          <w:sz w:val="20"/>
        </w:rPr>
      </w:pPr>
    </w:p>
    <w:p w14:paraId="6F242E77" w14:textId="77777777" w:rsidR="00ED7F9E" w:rsidRPr="008D5D0F" w:rsidRDefault="00ED7F9E" w:rsidP="00EB592C">
      <w:pPr>
        <w:jc w:val="both"/>
        <w:rPr>
          <w:b/>
          <w:color w:val="000000" w:themeColor="text1"/>
          <w:sz w:val="20"/>
        </w:rPr>
      </w:pPr>
    </w:p>
    <w:p w14:paraId="2EB1F5F7" w14:textId="77777777" w:rsidR="00EB592C" w:rsidRPr="008D5D0F" w:rsidRDefault="00EB592C" w:rsidP="00EB592C">
      <w:pPr>
        <w:jc w:val="both"/>
        <w:rPr>
          <w:color w:val="000000" w:themeColor="text1"/>
          <w:sz w:val="20"/>
        </w:rPr>
      </w:pPr>
      <w:r w:rsidRPr="008D5D0F">
        <w:rPr>
          <w:color w:val="000000" w:themeColor="text1"/>
          <w:sz w:val="20"/>
        </w:rPr>
        <w:br w:type="page"/>
      </w:r>
    </w:p>
    <w:p w14:paraId="7C35DF64" w14:textId="0D270588" w:rsidR="00EB592C" w:rsidRPr="008D5D0F" w:rsidRDefault="00EB592C" w:rsidP="00EB592C">
      <w:pPr>
        <w:jc w:val="both"/>
        <w:rPr>
          <w:b/>
          <w:color w:val="000000" w:themeColor="text1"/>
          <w:sz w:val="20"/>
        </w:rPr>
      </w:pPr>
      <w:r w:rsidRPr="008D5D0F">
        <w:rPr>
          <w:b/>
          <w:noProof/>
          <w:color w:val="000000" w:themeColor="text1"/>
          <w:sz w:val="20"/>
          <w:lang w:eastAsia="zh-CN"/>
        </w:rPr>
        <w:lastRenderedPageBreak/>
        <w:drawing>
          <wp:inline distT="0" distB="0" distL="0" distR="0" wp14:anchorId="3D79A615" wp14:editId="7EE5376F">
            <wp:extent cx="5486400" cy="3657600"/>
            <wp:effectExtent l="0" t="0" r="0" b="0"/>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pic:nvPicPr>
                  <pic:blipFill>
                    <a:blip r:embed="rId17"/>
                    <a:stretch>
                      <a:fillRect/>
                    </a:stretch>
                  </pic:blipFill>
                  <pic:spPr>
                    <a:xfrm>
                      <a:off x="0" y="0"/>
                      <a:ext cx="5486400" cy="3657600"/>
                    </a:xfrm>
                    <a:prstGeom prst="rect">
                      <a:avLst/>
                    </a:prstGeom>
                  </pic:spPr>
                </pic:pic>
              </a:graphicData>
            </a:graphic>
          </wp:inline>
        </w:drawing>
      </w:r>
    </w:p>
    <w:p w14:paraId="39C7F74A" w14:textId="77777777" w:rsidR="00EB592C" w:rsidRPr="008D5D0F" w:rsidRDefault="00EB592C" w:rsidP="00EB592C">
      <w:pPr>
        <w:jc w:val="both"/>
        <w:rPr>
          <w:b/>
          <w:color w:val="000000" w:themeColor="text1"/>
          <w:sz w:val="20"/>
        </w:rPr>
      </w:pPr>
      <w:r w:rsidRPr="008D5D0F">
        <w:rPr>
          <w:b/>
          <w:color w:val="000000" w:themeColor="text1"/>
          <w:sz w:val="20"/>
        </w:rPr>
        <w:t>Fig. S8. Same as Fig. S1 but for the OH time series of the most likely scenarios (N=960) that are within the 1</w:t>
      </w:r>
      <w:r w:rsidRPr="008D5D0F">
        <w:rPr>
          <w:b/>
          <w:color w:val="000000" w:themeColor="text1"/>
          <w:sz w:val="20"/>
          <w:vertAlign w:val="superscript"/>
        </w:rPr>
        <w:t>st</w:t>
      </w:r>
      <w:r w:rsidRPr="008D5D0F">
        <w:rPr>
          <w:b/>
          <w:color w:val="000000" w:themeColor="text1"/>
          <w:sz w:val="20"/>
        </w:rPr>
        <w:t xml:space="preserve"> percentile of lowest MSD.</w:t>
      </w:r>
    </w:p>
    <w:p w14:paraId="4766A461" w14:textId="77777777" w:rsidR="00EB592C" w:rsidRPr="008D5D0F" w:rsidRDefault="00EB592C" w:rsidP="00EB592C">
      <w:pPr>
        <w:rPr>
          <w:color w:val="000000" w:themeColor="text1"/>
          <w:sz w:val="20"/>
        </w:rPr>
      </w:pPr>
      <w:r w:rsidRPr="008D5D0F">
        <w:rPr>
          <w:color w:val="000000" w:themeColor="text1"/>
          <w:sz w:val="20"/>
        </w:rPr>
        <w:br w:type="page"/>
      </w:r>
    </w:p>
    <w:p w14:paraId="47BCF68D" w14:textId="78041FAA" w:rsidR="00EB592C" w:rsidRPr="008D5D0F" w:rsidRDefault="00EB592C" w:rsidP="00EB592C">
      <w:pPr>
        <w:jc w:val="both"/>
        <w:rPr>
          <w:color w:val="000000" w:themeColor="text1"/>
          <w:sz w:val="20"/>
        </w:rPr>
      </w:pPr>
      <w:r w:rsidRPr="008D5D0F">
        <w:rPr>
          <w:noProof/>
          <w:color w:val="000000" w:themeColor="text1"/>
          <w:sz w:val="20"/>
          <w:lang w:eastAsia="zh-CN"/>
        </w:rPr>
        <w:lastRenderedPageBreak/>
        <w:drawing>
          <wp:inline distT="0" distB="0" distL="0" distR="0" wp14:anchorId="3A8CAC4A" wp14:editId="41BA5C3D">
            <wp:extent cx="4572000" cy="2743200"/>
            <wp:effectExtent l="0" t="0" r="0" b="0"/>
            <wp:docPr id="39" name="Picture 3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histogram&#10;&#10;Description automatically generated"/>
                    <pic:cNvPicPr/>
                  </pic:nvPicPr>
                  <pic:blipFill>
                    <a:blip r:embed="rId18"/>
                    <a:stretch>
                      <a:fillRect/>
                    </a:stretch>
                  </pic:blipFill>
                  <pic:spPr>
                    <a:xfrm>
                      <a:off x="0" y="0"/>
                      <a:ext cx="4572000" cy="2743200"/>
                    </a:xfrm>
                    <a:prstGeom prst="rect">
                      <a:avLst/>
                    </a:prstGeom>
                  </pic:spPr>
                </pic:pic>
              </a:graphicData>
            </a:graphic>
          </wp:inline>
        </w:drawing>
      </w:r>
    </w:p>
    <w:p w14:paraId="374B6CD8" w14:textId="77777777" w:rsidR="00EB592C" w:rsidRPr="008D5D0F" w:rsidRDefault="00EB592C" w:rsidP="00EB592C">
      <w:pPr>
        <w:jc w:val="both"/>
        <w:rPr>
          <w:color w:val="000000" w:themeColor="text1"/>
          <w:sz w:val="20"/>
        </w:rPr>
      </w:pPr>
      <w:r w:rsidRPr="008D5D0F">
        <w:rPr>
          <w:b/>
          <w:color w:val="000000" w:themeColor="text1"/>
          <w:sz w:val="20"/>
        </w:rPr>
        <w:t>Fig. S9. Probability distribution for the global tropospheric chemical lifetime of CH</w:t>
      </w:r>
      <w:r w:rsidRPr="008D5D0F">
        <w:rPr>
          <w:b/>
          <w:color w:val="000000" w:themeColor="text1"/>
          <w:sz w:val="20"/>
          <w:vertAlign w:val="subscript"/>
        </w:rPr>
        <w:t>4</w:t>
      </w:r>
      <w:r w:rsidRPr="008D5D0F">
        <w:rPr>
          <w:b/>
          <w:color w:val="000000" w:themeColor="text1"/>
          <w:sz w:val="20"/>
        </w:rPr>
        <w:t xml:space="preserve"> over 96,000 box model runs.</w:t>
      </w:r>
      <w:r w:rsidRPr="008D5D0F">
        <w:rPr>
          <w:color w:val="000000" w:themeColor="text1"/>
          <w:sz w:val="20"/>
        </w:rPr>
        <w:t xml:space="preserve"> Solid and dashed lines are the mean and median, respectively.</w:t>
      </w:r>
    </w:p>
    <w:p w14:paraId="639B6A57" w14:textId="10C02B57" w:rsidR="00EB592C" w:rsidRPr="008D5D0F" w:rsidRDefault="00EB592C" w:rsidP="00EB592C">
      <w:pPr>
        <w:jc w:val="both"/>
        <w:rPr>
          <w:color w:val="000000" w:themeColor="text1"/>
          <w:sz w:val="20"/>
        </w:rPr>
      </w:pPr>
      <w:r w:rsidRPr="008D5D0F">
        <w:rPr>
          <w:color w:val="000000" w:themeColor="text1"/>
          <w:sz w:val="20"/>
        </w:rPr>
        <w:br w:type="page"/>
      </w:r>
      <w:r w:rsidRPr="008D5D0F">
        <w:rPr>
          <w:noProof/>
          <w:color w:val="000000" w:themeColor="text1"/>
          <w:sz w:val="20"/>
          <w:lang w:eastAsia="zh-CN"/>
        </w:rPr>
        <w:lastRenderedPageBreak/>
        <w:drawing>
          <wp:inline distT="0" distB="0" distL="0" distR="0" wp14:anchorId="25716355" wp14:editId="09FC7F2F">
            <wp:extent cx="5998845" cy="37490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9"/>
                    <a:stretch>
                      <a:fillRect/>
                    </a:stretch>
                  </pic:blipFill>
                  <pic:spPr>
                    <a:xfrm>
                      <a:off x="0" y="0"/>
                      <a:ext cx="5998845" cy="3749040"/>
                    </a:xfrm>
                    <a:prstGeom prst="rect">
                      <a:avLst/>
                    </a:prstGeom>
                  </pic:spPr>
                </pic:pic>
              </a:graphicData>
            </a:graphic>
          </wp:inline>
        </w:drawing>
      </w:r>
    </w:p>
    <w:p w14:paraId="5C4B7D92" w14:textId="77777777" w:rsidR="00EB592C" w:rsidRPr="008D5D0F" w:rsidRDefault="00EB592C" w:rsidP="00EB592C">
      <w:pPr>
        <w:jc w:val="both"/>
        <w:rPr>
          <w:color w:val="000000" w:themeColor="text1"/>
          <w:sz w:val="20"/>
        </w:rPr>
      </w:pPr>
      <w:r w:rsidRPr="008D5D0F">
        <w:rPr>
          <w:b/>
          <w:color w:val="000000" w:themeColor="text1"/>
          <w:sz w:val="20"/>
        </w:rPr>
        <w:t>Fig. S10. Time series of emission-weighted δ</w:t>
      </w:r>
      <w:r w:rsidRPr="008D5D0F">
        <w:rPr>
          <w:b/>
          <w:color w:val="000000" w:themeColor="text1"/>
          <w:sz w:val="20"/>
          <w:vertAlign w:val="superscript"/>
        </w:rPr>
        <w:t>13</w:t>
      </w:r>
      <w:r w:rsidRPr="008D5D0F">
        <w:rPr>
          <w:b/>
          <w:color w:val="000000" w:themeColor="text1"/>
          <w:sz w:val="20"/>
        </w:rPr>
        <w:t>C-CH</w:t>
      </w:r>
      <w:r w:rsidRPr="008D5D0F">
        <w:rPr>
          <w:b/>
          <w:color w:val="000000" w:themeColor="text1"/>
          <w:sz w:val="20"/>
          <w:vertAlign w:val="subscript"/>
        </w:rPr>
        <w:t>4</w:t>
      </w:r>
      <w:r w:rsidRPr="008D5D0F">
        <w:rPr>
          <w:b/>
          <w:color w:val="000000" w:themeColor="text1"/>
          <w:sz w:val="20"/>
        </w:rPr>
        <w:t xml:space="preserve"> signatures for biomass burning using GFED and Worden2017 estimates. </w:t>
      </w:r>
      <w:r w:rsidRPr="008D5D0F">
        <w:rPr>
          <w:color w:val="000000" w:themeColor="text1"/>
          <w:sz w:val="20"/>
        </w:rPr>
        <w:t>NH and SH represent the Northern Hemisphere and Southern Hemisphere, respectively. ‘Old’ and ‘New’ represent the emission-weighted signature using -12.5‰ and -17.9‰ for C4 biomass burning, respectively.</w:t>
      </w:r>
    </w:p>
    <w:p w14:paraId="571D2E71" w14:textId="27023EAB" w:rsidR="00EB592C" w:rsidRPr="008D5D0F" w:rsidRDefault="00EB592C" w:rsidP="00EB592C">
      <w:pPr>
        <w:jc w:val="both"/>
        <w:rPr>
          <w:color w:val="000000" w:themeColor="text1"/>
          <w:sz w:val="20"/>
        </w:rPr>
      </w:pPr>
      <w:r w:rsidRPr="008D5D0F">
        <w:rPr>
          <w:color w:val="000000" w:themeColor="text1"/>
          <w:sz w:val="20"/>
        </w:rPr>
        <w:br w:type="page"/>
      </w:r>
      <w:r w:rsidRPr="008D5D0F">
        <w:rPr>
          <w:noProof/>
          <w:color w:val="000000" w:themeColor="text1"/>
          <w:sz w:val="20"/>
          <w:lang w:eastAsia="zh-CN"/>
        </w:rPr>
        <w:lastRenderedPageBreak/>
        <w:drawing>
          <wp:inline distT="0" distB="0" distL="0" distR="0" wp14:anchorId="36A7F69B" wp14:editId="64AC6B8D">
            <wp:extent cx="5998845" cy="5398770"/>
            <wp:effectExtent l="0" t="0" r="0" b="0"/>
            <wp:docPr id="40" name="Picture 4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bar chart&#10;&#10;Description automatically generated"/>
                    <pic:cNvPicPr/>
                  </pic:nvPicPr>
                  <pic:blipFill>
                    <a:blip r:embed="rId20"/>
                    <a:stretch>
                      <a:fillRect/>
                    </a:stretch>
                  </pic:blipFill>
                  <pic:spPr>
                    <a:xfrm>
                      <a:off x="0" y="0"/>
                      <a:ext cx="5998845" cy="5398770"/>
                    </a:xfrm>
                    <a:prstGeom prst="rect">
                      <a:avLst/>
                    </a:prstGeom>
                  </pic:spPr>
                </pic:pic>
              </a:graphicData>
            </a:graphic>
          </wp:inline>
        </w:drawing>
      </w:r>
    </w:p>
    <w:p w14:paraId="158B8E2E" w14:textId="77777777" w:rsidR="00EB592C" w:rsidRPr="008D5D0F" w:rsidRDefault="00EB592C" w:rsidP="00EB592C">
      <w:pPr>
        <w:jc w:val="both"/>
        <w:rPr>
          <w:b/>
          <w:color w:val="000000" w:themeColor="text1"/>
          <w:sz w:val="20"/>
        </w:rPr>
      </w:pPr>
      <w:r w:rsidRPr="008D5D0F">
        <w:rPr>
          <w:b/>
          <w:color w:val="000000" w:themeColor="text1"/>
          <w:sz w:val="20"/>
        </w:rPr>
        <w:t>Fig. S11. Same as Fig. S3 but using a threshold of 5</w:t>
      </w:r>
      <w:r w:rsidRPr="008D5D0F">
        <w:rPr>
          <w:b/>
          <w:color w:val="000000" w:themeColor="text1"/>
          <w:sz w:val="20"/>
          <w:vertAlign w:val="superscript"/>
        </w:rPr>
        <w:t>th</w:t>
      </w:r>
      <w:r w:rsidRPr="008D5D0F">
        <w:rPr>
          <w:b/>
          <w:color w:val="000000" w:themeColor="text1"/>
          <w:sz w:val="20"/>
        </w:rPr>
        <w:t xml:space="preserve"> percentile.</w:t>
      </w:r>
    </w:p>
    <w:p w14:paraId="25DA281F" w14:textId="77777777" w:rsidR="00EB592C" w:rsidRPr="008D5D0F" w:rsidRDefault="00EB592C" w:rsidP="00EB592C">
      <w:pPr>
        <w:rPr>
          <w:color w:val="000000" w:themeColor="text1"/>
          <w:sz w:val="20"/>
        </w:rPr>
      </w:pPr>
      <w:r w:rsidRPr="008D5D0F">
        <w:rPr>
          <w:color w:val="000000" w:themeColor="text1"/>
          <w:sz w:val="20"/>
        </w:rPr>
        <w:br w:type="page"/>
      </w:r>
    </w:p>
    <w:p w14:paraId="3D41E396" w14:textId="25F4EF5F" w:rsidR="00EB592C" w:rsidRPr="008D5D0F" w:rsidRDefault="00EB592C" w:rsidP="00EB592C">
      <w:pPr>
        <w:jc w:val="both"/>
        <w:rPr>
          <w:color w:val="000000" w:themeColor="text1"/>
          <w:sz w:val="20"/>
        </w:rPr>
      </w:pPr>
      <w:r w:rsidRPr="008D5D0F">
        <w:rPr>
          <w:noProof/>
          <w:color w:val="000000" w:themeColor="text1"/>
          <w:sz w:val="20"/>
          <w:lang w:eastAsia="zh-CN"/>
        </w:rPr>
        <w:lastRenderedPageBreak/>
        <w:drawing>
          <wp:inline distT="0" distB="0" distL="0" distR="0" wp14:anchorId="45A6F8DB" wp14:editId="31A5D455">
            <wp:extent cx="5998845" cy="5398770"/>
            <wp:effectExtent l="0" t="0" r="0" b="0"/>
            <wp:docPr id="41" name="Picture 4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bar chart&#10;&#10;Description automatically generated"/>
                    <pic:cNvPicPr/>
                  </pic:nvPicPr>
                  <pic:blipFill>
                    <a:blip r:embed="rId21"/>
                    <a:stretch>
                      <a:fillRect/>
                    </a:stretch>
                  </pic:blipFill>
                  <pic:spPr>
                    <a:xfrm>
                      <a:off x="0" y="0"/>
                      <a:ext cx="5998845" cy="5398770"/>
                    </a:xfrm>
                    <a:prstGeom prst="rect">
                      <a:avLst/>
                    </a:prstGeom>
                  </pic:spPr>
                </pic:pic>
              </a:graphicData>
            </a:graphic>
          </wp:inline>
        </w:drawing>
      </w:r>
    </w:p>
    <w:p w14:paraId="23C4BF6B" w14:textId="77777777" w:rsidR="00EB592C" w:rsidRPr="008D5D0F" w:rsidRDefault="00EB592C" w:rsidP="00EB592C">
      <w:pPr>
        <w:jc w:val="both"/>
        <w:rPr>
          <w:b/>
          <w:color w:val="000000" w:themeColor="text1"/>
          <w:sz w:val="20"/>
        </w:rPr>
      </w:pPr>
      <w:r w:rsidRPr="008D5D0F">
        <w:rPr>
          <w:b/>
          <w:color w:val="000000" w:themeColor="text1"/>
          <w:sz w:val="20"/>
        </w:rPr>
        <w:t>Fig. S12. (Continued) Same as Fig. S3 but using a threshold of 10</w:t>
      </w:r>
      <w:r w:rsidRPr="008D5D0F">
        <w:rPr>
          <w:b/>
          <w:color w:val="000000" w:themeColor="text1"/>
          <w:sz w:val="20"/>
          <w:vertAlign w:val="superscript"/>
        </w:rPr>
        <w:t>th</w:t>
      </w:r>
      <w:r w:rsidRPr="008D5D0F">
        <w:rPr>
          <w:b/>
          <w:color w:val="000000" w:themeColor="text1"/>
          <w:sz w:val="20"/>
        </w:rPr>
        <w:t xml:space="preserve"> percentile.</w:t>
      </w:r>
    </w:p>
    <w:p w14:paraId="4DF0421D" w14:textId="77777777" w:rsidR="00EB592C" w:rsidRPr="008D5D0F" w:rsidRDefault="00EB592C" w:rsidP="00EB592C">
      <w:pPr>
        <w:rPr>
          <w:color w:val="000000" w:themeColor="text1"/>
          <w:sz w:val="20"/>
        </w:rPr>
      </w:pPr>
    </w:p>
    <w:p w14:paraId="15252F00" w14:textId="5ECA189F" w:rsidR="00EB592C" w:rsidRPr="008D5D0F" w:rsidRDefault="00EB592C" w:rsidP="00EB592C">
      <w:pPr>
        <w:rPr>
          <w:b/>
          <w:bCs/>
          <w:color w:val="000000" w:themeColor="text1"/>
          <w:sz w:val="20"/>
        </w:rPr>
      </w:pPr>
      <w:r w:rsidRPr="008D5D0F">
        <w:rPr>
          <w:b/>
          <w:color w:val="000000" w:themeColor="text1"/>
          <w:sz w:val="20"/>
        </w:rPr>
        <w:br w:type="page"/>
      </w:r>
      <w:bookmarkStart w:id="17" w:name="_Toc37816981"/>
      <w:r w:rsidRPr="008D5D0F">
        <w:rPr>
          <w:b/>
          <w:bCs/>
          <w:color w:val="000000" w:themeColor="text1"/>
          <w:sz w:val="20"/>
        </w:rPr>
        <w:lastRenderedPageBreak/>
        <w:t>Tables</w:t>
      </w:r>
      <w:bookmarkEnd w:id="17"/>
    </w:p>
    <w:p w14:paraId="4E88CC05" w14:textId="77777777" w:rsidR="00EB592C" w:rsidRPr="008D5D0F" w:rsidRDefault="00EB592C" w:rsidP="00EB592C">
      <w:pPr>
        <w:jc w:val="both"/>
        <w:rPr>
          <w:b/>
          <w:color w:val="000000" w:themeColor="text1"/>
          <w:sz w:val="20"/>
        </w:rPr>
      </w:pPr>
      <w:r w:rsidRPr="008D5D0F">
        <w:rPr>
          <w:b/>
          <w:color w:val="000000" w:themeColor="text1"/>
          <w:sz w:val="20"/>
        </w:rPr>
        <w:t>Table S1 | List of data sources for CH</w:t>
      </w:r>
      <w:r w:rsidRPr="008D5D0F">
        <w:rPr>
          <w:b/>
          <w:color w:val="000000" w:themeColor="text1"/>
          <w:sz w:val="20"/>
          <w:vertAlign w:val="subscript"/>
        </w:rPr>
        <w:t>4</w:t>
      </w:r>
      <w:r w:rsidRPr="008D5D0F">
        <w:rPr>
          <w:b/>
          <w:color w:val="000000" w:themeColor="text1"/>
          <w:sz w:val="20"/>
        </w:rPr>
        <w:t xml:space="preserve"> emissions and sinks.</w:t>
      </w:r>
    </w:p>
    <w:tbl>
      <w:tblPr>
        <w:tblW w:w="10700" w:type="dxa"/>
        <w:tblLayout w:type="fixed"/>
        <w:tblCellMar>
          <w:top w:w="15" w:type="dxa"/>
          <w:left w:w="15" w:type="dxa"/>
          <w:bottom w:w="15" w:type="dxa"/>
          <w:right w:w="15" w:type="dxa"/>
        </w:tblCellMar>
        <w:tblLook w:val="04A0" w:firstRow="1" w:lastRow="0" w:firstColumn="1" w:lastColumn="0" w:noHBand="0" w:noVBand="1"/>
      </w:tblPr>
      <w:tblGrid>
        <w:gridCol w:w="1193"/>
        <w:gridCol w:w="1682"/>
        <w:gridCol w:w="1560"/>
        <w:gridCol w:w="1450"/>
        <w:gridCol w:w="1490"/>
        <w:gridCol w:w="1620"/>
        <w:gridCol w:w="1705"/>
      </w:tblGrid>
      <w:tr w:rsidR="008D5D0F" w:rsidRPr="008D5D0F" w14:paraId="59C9D780" w14:textId="77777777" w:rsidTr="00A2398A">
        <w:trPr>
          <w:trHeight w:val="860"/>
        </w:trPr>
        <w:tc>
          <w:tcPr>
            <w:tcW w:w="1193" w:type="dxa"/>
            <w:tcBorders>
              <w:top w:val="single" w:sz="8"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7107BE6B" w14:textId="77777777" w:rsidR="00EB592C" w:rsidRPr="008D5D0F" w:rsidRDefault="00EB592C" w:rsidP="00A2398A">
            <w:pPr>
              <w:spacing w:after="120"/>
              <w:ind w:left="100"/>
              <w:jc w:val="both"/>
              <w:rPr>
                <w:color w:val="000000" w:themeColor="text1"/>
                <w:sz w:val="20"/>
              </w:rPr>
            </w:pPr>
            <w:r w:rsidRPr="008D5D0F">
              <w:rPr>
                <w:color w:val="000000" w:themeColor="text1"/>
                <w:sz w:val="20"/>
              </w:rPr>
              <w:t>Category</w:t>
            </w:r>
          </w:p>
        </w:tc>
        <w:tc>
          <w:tcPr>
            <w:tcW w:w="1682" w:type="dxa"/>
            <w:tcBorders>
              <w:top w:val="single" w:sz="8"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51211092" w14:textId="77777777" w:rsidR="00EB592C" w:rsidRPr="008D5D0F" w:rsidRDefault="00EB592C" w:rsidP="00A2398A">
            <w:pPr>
              <w:spacing w:after="120"/>
              <w:ind w:left="100"/>
              <w:jc w:val="both"/>
              <w:rPr>
                <w:color w:val="000000" w:themeColor="text1"/>
                <w:sz w:val="20"/>
              </w:rPr>
            </w:pPr>
            <w:r w:rsidRPr="008D5D0F">
              <w:rPr>
                <w:color w:val="000000" w:themeColor="text1"/>
                <w:sz w:val="20"/>
              </w:rPr>
              <w:t>Sub-Category</w:t>
            </w:r>
          </w:p>
        </w:tc>
        <w:tc>
          <w:tcPr>
            <w:tcW w:w="1560" w:type="dxa"/>
            <w:tcBorders>
              <w:top w:val="single" w:sz="8"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7C859B0F" w14:textId="77777777" w:rsidR="00EB592C" w:rsidRPr="008D5D0F" w:rsidRDefault="00EB592C" w:rsidP="00A2398A">
            <w:pPr>
              <w:spacing w:after="120"/>
              <w:ind w:left="100"/>
              <w:jc w:val="both"/>
              <w:rPr>
                <w:color w:val="000000" w:themeColor="text1"/>
                <w:sz w:val="20"/>
              </w:rPr>
            </w:pPr>
            <w:r w:rsidRPr="008D5D0F">
              <w:rPr>
                <w:color w:val="000000" w:themeColor="text1"/>
                <w:sz w:val="20"/>
              </w:rPr>
              <w:t>Source Name</w:t>
            </w:r>
          </w:p>
        </w:tc>
        <w:tc>
          <w:tcPr>
            <w:tcW w:w="1450" w:type="dxa"/>
            <w:tcBorders>
              <w:top w:val="single" w:sz="8"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2C9A8F7A" w14:textId="77777777" w:rsidR="00EB592C" w:rsidRPr="008D5D0F" w:rsidRDefault="00EB592C" w:rsidP="00A2398A">
            <w:pPr>
              <w:spacing w:after="120"/>
              <w:ind w:left="100"/>
              <w:jc w:val="both"/>
              <w:rPr>
                <w:color w:val="000000" w:themeColor="text1"/>
                <w:sz w:val="20"/>
              </w:rPr>
            </w:pPr>
            <w:r w:rsidRPr="008D5D0F">
              <w:rPr>
                <w:color w:val="000000" w:themeColor="text1"/>
                <w:sz w:val="20"/>
              </w:rPr>
              <w:t>Time period</w:t>
            </w:r>
          </w:p>
        </w:tc>
        <w:tc>
          <w:tcPr>
            <w:tcW w:w="1490" w:type="dxa"/>
            <w:tcBorders>
              <w:top w:val="single" w:sz="8"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407F0D11" w14:textId="77777777" w:rsidR="00EB592C" w:rsidRPr="008D5D0F" w:rsidRDefault="00EB592C" w:rsidP="00A2398A">
            <w:pPr>
              <w:spacing w:after="120"/>
              <w:ind w:left="100"/>
              <w:jc w:val="both"/>
              <w:rPr>
                <w:color w:val="000000" w:themeColor="text1"/>
                <w:sz w:val="20"/>
              </w:rPr>
            </w:pPr>
            <w:r w:rsidRPr="008D5D0F">
              <w:rPr>
                <w:color w:val="000000" w:themeColor="text1"/>
                <w:sz w:val="20"/>
              </w:rPr>
              <w:t>Resolution</w:t>
            </w:r>
          </w:p>
        </w:tc>
        <w:tc>
          <w:tcPr>
            <w:tcW w:w="1620" w:type="dxa"/>
            <w:tcBorders>
              <w:top w:val="single" w:sz="8"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65252588" w14:textId="77777777" w:rsidR="00EB592C" w:rsidRPr="008D5D0F" w:rsidRDefault="00EB592C" w:rsidP="00A2398A">
            <w:pPr>
              <w:spacing w:after="120"/>
              <w:ind w:left="100"/>
              <w:jc w:val="both"/>
              <w:rPr>
                <w:color w:val="000000" w:themeColor="text1"/>
                <w:sz w:val="20"/>
              </w:rPr>
            </w:pPr>
            <w:r w:rsidRPr="008D5D0F">
              <w:rPr>
                <w:color w:val="000000" w:themeColor="text1"/>
                <w:sz w:val="20"/>
              </w:rPr>
              <w:t>Isotopic Calculation</w:t>
            </w:r>
          </w:p>
        </w:tc>
        <w:tc>
          <w:tcPr>
            <w:tcW w:w="1705" w:type="dxa"/>
            <w:tcBorders>
              <w:top w:val="single" w:sz="8"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5D1DC2DF" w14:textId="77777777" w:rsidR="00EB592C" w:rsidRPr="008D5D0F" w:rsidRDefault="00EB592C" w:rsidP="00A2398A">
            <w:pPr>
              <w:spacing w:after="120"/>
              <w:ind w:left="100"/>
              <w:jc w:val="both"/>
              <w:rPr>
                <w:color w:val="000000" w:themeColor="text1"/>
                <w:sz w:val="20"/>
              </w:rPr>
            </w:pPr>
            <w:r w:rsidRPr="008D5D0F">
              <w:rPr>
                <w:color w:val="000000" w:themeColor="text1"/>
                <w:sz w:val="20"/>
              </w:rPr>
              <w:t>Time step</w:t>
            </w:r>
          </w:p>
        </w:tc>
      </w:tr>
      <w:tr w:rsidR="008D5D0F" w:rsidRPr="008D5D0F" w14:paraId="2E210F03" w14:textId="77777777" w:rsidTr="00A2398A">
        <w:trPr>
          <w:trHeight w:val="860"/>
        </w:trPr>
        <w:tc>
          <w:tcPr>
            <w:tcW w:w="1193" w:type="dxa"/>
            <w:vMerge w:val="restart"/>
            <w:tcBorders>
              <w:top w:val="single" w:sz="8"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2F5D3852" w14:textId="77777777" w:rsidR="00EB592C" w:rsidRPr="008D5D0F" w:rsidRDefault="00EB592C" w:rsidP="00A2398A">
            <w:pPr>
              <w:spacing w:after="120"/>
              <w:ind w:left="100"/>
              <w:jc w:val="both"/>
              <w:rPr>
                <w:color w:val="000000" w:themeColor="text1"/>
                <w:sz w:val="20"/>
              </w:rPr>
            </w:pPr>
            <w:r w:rsidRPr="008D5D0F">
              <w:rPr>
                <w:color w:val="000000" w:themeColor="text1"/>
                <w:sz w:val="20"/>
              </w:rPr>
              <w:t>IFF</w:t>
            </w:r>
            <w:r w:rsidRPr="008D5D0F">
              <w:rPr>
                <w:color w:val="000000" w:themeColor="text1"/>
                <w:sz w:val="20"/>
                <w:vertAlign w:val="subscript"/>
              </w:rPr>
              <w:t>CH4</w:t>
            </w:r>
          </w:p>
        </w:tc>
        <w:tc>
          <w:tcPr>
            <w:tcW w:w="1682" w:type="dxa"/>
            <w:vMerge w:val="restart"/>
            <w:tcBorders>
              <w:top w:val="single" w:sz="8"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26466E11" w14:textId="77777777" w:rsidR="00EB592C" w:rsidRPr="008D5D0F" w:rsidRDefault="00EB592C" w:rsidP="00A2398A">
            <w:pPr>
              <w:spacing w:after="120"/>
              <w:ind w:left="100"/>
              <w:jc w:val="both"/>
              <w:rPr>
                <w:color w:val="000000" w:themeColor="text1"/>
                <w:sz w:val="20"/>
              </w:rPr>
            </w:pPr>
            <w:r w:rsidRPr="008D5D0F">
              <w:rPr>
                <w:color w:val="000000" w:themeColor="text1"/>
                <w:sz w:val="20"/>
              </w:rPr>
              <w:t>Coal, Natural Gas/Oil</w:t>
            </w:r>
          </w:p>
        </w:tc>
        <w:tc>
          <w:tcPr>
            <w:tcW w:w="1560" w:type="dxa"/>
            <w:tcBorders>
              <w:top w:val="single" w:sz="8" w:space="0" w:color="000000"/>
              <w:left w:val="single" w:sz="4" w:space="0" w:color="FFFFFF"/>
              <w:bottom w:val="single" w:sz="6" w:space="0" w:color="000000"/>
              <w:right w:val="single" w:sz="4" w:space="0" w:color="FFFFFF"/>
            </w:tcBorders>
            <w:tcMar>
              <w:top w:w="100" w:type="dxa"/>
              <w:left w:w="100" w:type="dxa"/>
              <w:bottom w:w="100" w:type="dxa"/>
              <w:right w:w="100" w:type="dxa"/>
            </w:tcMar>
            <w:hideMark/>
          </w:tcPr>
          <w:p w14:paraId="76F95891" w14:textId="77777777" w:rsidR="00EB592C" w:rsidRPr="008D5D0F" w:rsidRDefault="00EB592C" w:rsidP="00A2398A">
            <w:pPr>
              <w:spacing w:after="120"/>
              <w:ind w:left="100"/>
              <w:jc w:val="both"/>
              <w:rPr>
                <w:color w:val="000000" w:themeColor="text1"/>
                <w:sz w:val="20"/>
              </w:rPr>
            </w:pPr>
            <w:r w:rsidRPr="008D5D0F">
              <w:rPr>
                <w:color w:val="000000" w:themeColor="text1"/>
                <w:sz w:val="20"/>
              </w:rPr>
              <w:t>EDGARv4.2</w:t>
            </w:r>
            <w:r w:rsidRPr="008D5D0F">
              <w:rPr>
                <w:color w:val="000000" w:themeColor="text1"/>
                <w:sz w:val="20"/>
                <w:vertAlign w:val="superscript"/>
              </w:rPr>
              <w:t>a</w:t>
            </w:r>
          </w:p>
        </w:tc>
        <w:tc>
          <w:tcPr>
            <w:tcW w:w="1450" w:type="dxa"/>
            <w:tcBorders>
              <w:top w:val="single" w:sz="8" w:space="0" w:color="000000"/>
              <w:left w:val="single" w:sz="4" w:space="0" w:color="FFFFFF"/>
              <w:bottom w:val="single" w:sz="6" w:space="0" w:color="000000"/>
              <w:right w:val="single" w:sz="4" w:space="0" w:color="FFFFFF"/>
            </w:tcBorders>
            <w:tcMar>
              <w:top w:w="100" w:type="dxa"/>
              <w:left w:w="100" w:type="dxa"/>
              <w:bottom w:w="100" w:type="dxa"/>
              <w:right w:w="100" w:type="dxa"/>
            </w:tcMar>
            <w:hideMark/>
          </w:tcPr>
          <w:p w14:paraId="56C79D13" w14:textId="77777777" w:rsidR="00EB592C" w:rsidRPr="008D5D0F" w:rsidRDefault="00EB592C" w:rsidP="00A2398A">
            <w:pPr>
              <w:spacing w:after="120"/>
              <w:ind w:left="100"/>
              <w:jc w:val="both"/>
              <w:rPr>
                <w:color w:val="000000" w:themeColor="text1"/>
                <w:sz w:val="20"/>
              </w:rPr>
            </w:pPr>
            <w:r w:rsidRPr="008D5D0F">
              <w:rPr>
                <w:color w:val="000000" w:themeColor="text1"/>
                <w:sz w:val="20"/>
              </w:rPr>
              <w:t>1970-2012</w:t>
            </w:r>
          </w:p>
        </w:tc>
        <w:tc>
          <w:tcPr>
            <w:tcW w:w="1490" w:type="dxa"/>
            <w:tcBorders>
              <w:top w:val="single" w:sz="8" w:space="0" w:color="000000"/>
              <w:left w:val="single" w:sz="4" w:space="0" w:color="FFFFFF"/>
              <w:bottom w:val="single" w:sz="6" w:space="0" w:color="000000"/>
              <w:right w:val="single" w:sz="4" w:space="0" w:color="FFFFFF"/>
            </w:tcBorders>
            <w:tcMar>
              <w:top w:w="100" w:type="dxa"/>
              <w:left w:w="100" w:type="dxa"/>
              <w:bottom w:w="100" w:type="dxa"/>
              <w:right w:w="100" w:type="dxa"/>
            </w:tcMar>
            <w:hideMark/>
          </w:tcPr>
          <w:p w14:paraId="42E1B90B" w14:textId="77777777" w:rsidR="00EB592C" w:rsidRPr="008D5D0F" w:rsidRDefault="00EB592C" w:rsidP="00A2398A">
            <w:pPr>
              <w:spacing w:after="120"/>
              <w:ind w:left="100"/>
              <w:jc w:val="both"/>
              <w:rPr>
                <w:color w:val="000000" w:themeColor="text1"/>
                <w:sz w:val="20"/>
              </w:rPr>
            </w:pPr>
            <w:r w:rsidRPr="008D5D0F">
              <w:rPr>
                <w:color w:val="000000" w:themeColor="text1"/>
                <w:sz w:val="20"/>
              </w:rPr>
              <w:t>0.1°</w:t>
            </w:r>
          </w:p>
        </w:tc>
        <w:tc>
          <w:tcPr>
            <w:tcW w:w="1620" w:type="dxa"/>
            <w:tcBorders>
              <w:top w:val="single" w:sz="8" w:space="0" w:color="000000"/>
              <w:left w:val="single" w:sz="4" w:space="0" w:color="FFFFFF"/>
              <w:bottom w:val="single" w:sz="6" w:space="0" w:color="000000"/>
              <w:right w:val="single" w:sz="4" w:space="0" w:color="FFFFFF"/>
            </w:tcBorders>
            <w:tcMar>
              <w:top w:w="100" w:type="dxa"/>
              <w:left w:w="100" w:type="dxa"/>
              <w:bottom w:w="100" w:type="dxa"/>
              <w:right w:w="100" w:type="dxa"/>
            </w:tcMar>
            <w:hideMark/>
          </w:tcPr>
          <w:p w14:paraId="6884BE59" w14:textId="77777777" w:rsidR="00EB592C" w:rsidRPr="008D5D0F" w:rsidRDefault="00EB592C" w:rsidP="00A2398A">
            <w:pPr>
              <w:spacing w:after="120"/>
              <w:ind w:left="100"/>
              <w:jc w:val="both"/>
              <w:rPr>
                <w:color w:val="000000" w:themeColor="text1"/>
                <w:sz w:val="20"/>
              </w:rPr>
            </w:pPr>
            <w:r w:rsidRPr="008D5D0F">
              <w:rPr>
                <w:color w:val="000000" w:themeColor="text1"/>
                <w:sz w:val="20"/>
              </w:rPr>
              <w:t>by grid</w:t>
            </w:r>
          </w:p>
        </w:tc>
        <w:tc>
          <w:tcPr>
            <w:tcW w:w="1705" w:type="dxa"/>
            <w:tcBorders>
              <w:top w:val="single" w:sz="8" w:space="0" w:color="000000"/>
              <w:left w:val="single" w:sz="4" w:space="0" w:color="FFFFFF"/>
              <w:bottom w:val="single" w:sz="6" w:space="0" w:color="000000"/>
              <w:right w:val="single" w:sz="4" w:space="0" w:color="FFFFFF"/>
            </w:tcBorders>
            <w:tcMar>
              <w:top w:w="100" w:type="dxa"/>
              <w:left w:w="100" w:type="dxa"/>
              <w:bottom w:w="100" w:type="dxa"/>
              <w:right w:w="100" w:type="dxa"/>
            </w:tcMar>
            <w:hideMark/>
          </w:tcPr>
          <w:p w14:paraId="478756FD" w14:textId="77777777" w:rsidR="00EB592C" w:rsidRPr="008D5D0F" w:rsidRDefault="00EB592C" w:rsidP="00A2398A">
            <w:pPr>
              <w:spacing w:after="120"/>
              <w:ind w:left="100"/>
              <w:jc w:val="both"/>
              <w:rPr>
                <w:color w:val="000000" w:themeColor="text1"/>
                <w:sz w:val="20"/>
              </w:rPr>
            </w:pPr>
            <w:r w:rsidRPr="008D5D0F">
              <w:rPr>
                <w:color w:val="000000" w:themeColor="text1"/>
                <w:sz w:val="20"/>
              </w:rPr>
              <w:t>Annual</w:t>
            </w:r>
          </w:p>
        </w:tc>
      </w:tr>
      <w:tr w:rsidR="008D5D0F" w:rsidRPr="008D5D0F" w14:paraId="7E41C063" w14:textId="77777777" w:rsidTr="00A2398A">
        <w:trPr>
          <w:trHeight w:val="860"/>
        </w:trPr>
        <w:tc>
          <w:tcPr>
            <w:tcW w:w="1193" w:type="dxa"/>
            <w:vMerge/>
            <w:tcBorders>
              <w:top w:val="single" w:sz="8" w:space="0" w:color="000000"/>
              <w:left w:val="single" w:sz="4" w:space="0" w:color="FFFFFF"/>
              <w:bottom w:val="single" w:sz="8" w:space="0" w:color="000000"/>
              <w:right w:val="single" w:sz="4" w:space="0" w:color="FFFFFF"/>
            </w:tcBorders>
            <w:vAlign w:val="center"/>
            <w:hideMark/>
          </w:tcPr>
          <w:p w14:paraId="4549BD88" w14:textId="77777777" w:rsidR="00EB592C" w:rsidRPr="008D5D0F" w:rsidRDefault="00EB592C" w:rsidP="00A2398A">
            <w:pPr>
              <w:jc w:val="both"/>
              <w:rPr>
                <w:color w:val="000000" w:themeColor="text1"/>
                <w:sz w:val="20"/>
              </w:rPr>
            </w:pPr>
          </w:p>
        </w:tc>
        <w:tc>
          <w:tcPr>
            <w:tcW w:w="1682" w:type="dxa"/>
            <w:vMerge/>
            <w:tcBorders>
              <w:top w:val="single" w:sz="8" w:space="0" w:color="000000"/>
              <w:left w:val="single" w:sz="4" w:space="0" w:color="FFFFFF"/>
              <w:bottom w:val="single" w:sz="8" w:space="0" w:color="000000"/>
              <w:right w:val="single" w:sz="4" w:space="0" w:color="FFFFFF"/>
            </w:tcBorders>
            <w:vAlign w:val="center"/>
            <w:hideMark/>
          </w:tcPr>
          <w:p w14:paraId="38F8E346" w14:textId="77777777" w:rsidR="00EB592C" w:rsidRPr="008D5D0F" w:rsidRDefault="00EB592C" w:rsidP="00A2398A">
            <w:pPr>
              <w:jc w:val="both"/>
              <w:rPr>
                <w:color w:val="000000" w:themeColor="text1"/>
                <w:sz w:val="20"/>
              </w:rPr>
            </w:pPr>
          </w:p>
        </w:tc>
        <w:tc>
          <w:tcPr>
            <w:tcW w:w="1560" w:type="dxa"/>
            <w:tcBorders>
              <w:top w:val="single" w:sz="6" w:space="0" w:color="000000"/>
              <w:left w:val="single" w:sz="4" w:space="0" w:color="FFFFFF"/>
              <w:bottom w:val="single" w:sz="6" w:space="0" w:color="000000"/>
              <w:right w:val="single" w:sz="4" w:space="0" w:color="FFFFFF"/>
            </w:tcBorders>
            <w:tcMar>
              <w:top w:w="100" w:type="dxa"/>
              <w:left w:w="100" w:type="dxa"/>
              <w:bottom w:w="100" w:type="dxa"/>
              <w:right w:w="100" w:type="dxa"/>
            </w:tcMar>
            <w:hideMark/>
          </w:tcPr>
          <w:p w14:paraId="3F33B83D" w14:textId="77777777" w:rsidR="00EB592C" w:rsidRPr="008D5D0F" w:rsidRDefault="00EB592C" w:rsidP="00A2398A">
            <w:pPr>
              <w:spacing w:after="120"/>
              <w:ind w:left="100"/>
              <w:jc w:val="both"/>
              <w:rPr>
                <w:color w:val="000000" w:themeColor="text1"/>
                <w:sz w:val="20"/>
              </w:rPr>
            </w:pPr>
            <w:r w:rsidRPr="008D5D0F">
              <w:rPr>
                <w:color w:val="000000" w:themeColor="text1"/>
                <w:sz w:val="20"/>
              </w:rPr>
              <w:t>EDGARv4.3.2</w:t>
            </w:r>
          </w:p>
        </w:tc>
        <w:tc>
          <w:tcPr>
            <w:tcW w:w="1450" w:type="dxa"/>
            <w:tcBorders>
              <w:top w:val="single" w:sz="6" w:space="0" w:color="000000"/>
              <w:left w:val="single" w:sz="4" w:space="0" w:color="FFFFFF"/>
              <w:bottom w:val="single" w:sz="6" w:space="0" w:color="000000"/>
              <w:right w:val="single" w:sz="4" w:space="0" w:color="FFFFFF"/>
            </w:tcBorders>
            <w:tcMar>
              <w:top w:w="100" w:type="dxa"/>
              <w:left w:w="100" w:type="dxa"/>
              <w:bottom w:w="100" w:type="dxa"/>
              <w:right w:w="100" w:type="dxa"/>
            </w:tcMar>
            <w:hideMark/>
          </w:tcPr>
          <w:p w14:paraId="3E2FE4C3" w14:textId="77777777" w:rsidR="00EB592C" w:rsidRPr="008D5D0F" w:rsidRDefault="00EB592C" w:rsidP="00A2398A">
            <w:pPr>
              <w:spacing w:after="120"/>
              <w:ind w:left="100"/>
              <w:jc w:val="both"/>
              <w:rPr>
                <w:color w:val="000000" w:themeColor="text1"/>
                <w:sz w:val="20"/>
              </w:rPr>
            </w:pPr>
            <w:r w:rsidRPr="008D5D0F">
              <w:rPr>
                <w:color w:val="000000" w:themeColor="text1"/>
                <w:sz w:val="20"/>
              </w:rPr>
              <w:t>1970-2012</w:t>
            </w:r>
          </w:p>
        </w:tc>
        <w:tc>
          <w:tcPr>
            <w:tcW w:w="1490" w:type="dxa"/>
            <w:tcBorders>
              <w:top w:val="single" w:sz="6" w:space="0" w:color="000000"/>
              <w:left w:val="single" w:sz="4" w:space="0" w:color="FFFFFF"/>
              <w:bottom w:val="single" w:sz="6" w:space="0" w:color="000000"/>
              <w:right w:val="single" w:sz="4" w:space="0" w:color="FFFFFF"/>
            </w:tcBorders>
            <w:tcMar>
              <w:top w:w="100" w:type="dxa"/>
              <w:left w:w="100" w:type="dxa"/>
              <w:bottom w:w="100" w:type="dxa"/>
              <w:right w:w="100" w:type="dxa"/>
            </w:tcMar>
            <w:hideMark/>
          </w:tcPr>
          <w:p w14:paraId="4E67D632" w14:textId="77777777" w:rsidR="00EB592C" w:rsidRPr="008D5D0F" w:rsidRDefault="00EB592C" w:rsidP="00A2398A">
            <w:pPr>
              <w:spacing w:after="120"/>
              <w:ind w:left="100"/>
              <w:jc w:val="both"/>
              <w:rPr>
                <w:color w:val="000000" w:themeColor="text1"/>
                <w:sz w:val="20"/>
              </w:rPr>
            </w:pPr>
            <w:r w:rsidRPr="008D5D0F">
              <w:rPr>
                <w:color w:val="000000" w:themeColor="text1"/>
                <w:sz w:val="20"/>
              </w:rPr>
              <w:t>0.1°</w:t>
            </w:r>
          </w:p>
        </w:tc>
        <w:tc>
          <w:tcPr>
            <w:tcW w:w="1620" w:type="dxa"/>
            <w:tcBorders>
              <w:top w:val="single" w:sz="6" w:space="0" w:color="000000"/>
              <w:left w:val="single" w:sz="4" w:space="0" w:color="FFFFFF"/>
              <w:bottom w:val="single" w:sz="6" w:space="0" w:color="000000"/>
              <w:right w:val="single" w:sz="4" w:space="0" w:color="FFFFFF"/>
            </w:tcBorders>
            <w:tcMar>
              <w:top w:w="100" w:type="dxa"/>
              <w:left w:w="100" w:type="dxa"/>
              <w:bottom w:w="100" w:type="dxa"/>
              <w:right w:w="100" w:type="dxa"/>
            </w:tcMar>
            <w:hideMark/>
          </w:tcPr>
          <w:p w14:paraId="00910F57" w14:textId="77777777" w:rsidR="00EB592C" w:rsidRPr="008D5D0F" w:rsidRDefault="00EB592C" w:rsidP="00A2398A">
            <w:pPr>
              <w:spacing w:after="120"/>
              <w:ind w:left="100"/>
              <w:jc w:val="both"/>
              <w:rPr>
                <w:color w:val="000000" w:themeColor="text1"/>
                <w:sz w:val="20"/>
              </w:rPr>
            </w:pPr>
            <w:r w:rsidRPr="008D5D0F">
              <w:rPr>
                <w:color w:val="000000" w:themeColor="text1"/>
                <w:sz w:val="20"/>
              </w:rPr>
              <w:t>by grid</w:t>
            </w:r>
          </w:p>
        </w:tc>
        <w:tc>
          <w:tcPr>
            <w:tcW w:w="1705" w:type="dxa"/>
            <w:tcBorders>
              <w:top w:val="single" w:sz="6" w:space="0" w:color="000000"/>
              <w:left w:val="single" w:sz="4" w:space="0" w:color="FFFFFF"/>
              <w:bottom w:val="single" w:sz="6" w:space="0" w:color="000000"/>
              <w:right w:val="single" w:sz="4" w:space="0" w:color="FFFFFF"/>
            </w:tcBorders>
            <w:tcMar>
              <w:top w:w="100" w:type="dxa"/>
              <w:left w:w="100" w:type="dxa"/>
              <w:bottom w:w="100" w:type="dxa"/>
              <w:right w:w="100" w:type="dxa"/>
            </w:tcMar>
            <w:hideMark/>
          </w:tcPr>
          <w:p w14:paraId="5806218B" w14:textId="77777777" w:rsidR="00EB592C" w:rsidRPr="008D5D0F" w:rsidRDefault="00EB592C" w:rsidP="00A2398A">
            <w:pPr>
              <w:spacing w:after="120"/>
              <w:ind w:left="100"/>
              <w:jc w:val="both"/>
              <w:rPr>
                <w:color w:val="000000" w:themeColor="text1"/>
                <w:sz w:val="20"/>
              </w:rPr>
            </w:pPr>
            <w:r w:rsidRPr="008D5D0F">
              <w:rPr>
                <w:color w:val="000000" w:themeColor="text1"/>
                <w:sz w:val="20"/>
              </w:rPr>
              <w:t>Annual</w:t>
            </w:r>
          </w:p>
        </w:tc>
      </w:tr>
      <w:tr w:rsidR="008D5D0F" w:rsidRPr="008D5D0F" w14:paraId="47A8DA2F" w14:textId="77777777" w:rsidTr="00A2398A">
        <w:trPr>
          <w:trHeight w:val="860"/>
        </w:trPr>
        <w:tc>
          <w:tcPr>
            <w:tcW w:w="1193" w:type="dxa"/>
            <w:vMerge/>
            <w:tcBorders>
              <w:top w:val="single" w:sz="8" w:space="0" w:color="000000"/>
              <w:left w:val="single" w:sz="4" w:space="0" w:color="FFFFFF"/>
              <w:bottom w:val="single" w:sz="8" w:space="0" w:color="000000"/>
              <w:right w:val="single" w:sz="4" w:space="0" w:color="FFFFFF"/>
            </w:tcBorders>
            <w:vAlign w:val="center"/>
            <w:hideMark/>
          </w:tcPr>
          <w:p w14:paraId="3B7E9B0A" w14:textId="77777777" w:rsidR="00EB592C" w:rsidRPr="008D5D0F" w:rsidRDefault="00EB592C" w:rsidP="00A2398A">
            <w:pPr>
              <w:jc w:val="both"/>
              <w:rPr>
                <w:color w:val="000000" w:themeColor="text1"/>
                <w:sz w:val="20"/>
              </w:rPr>
            </w:pPr>
          </w:p>
        </w:tc>
        <w:tc>
          <w:tcPr>
            <w:tcW w:w="1682" w:type="dxa"/>
            <w:vMerge/>
            <w:tcBorders>
              <w:top w:val="single" w:sz="8" w:space="0" w:color="000000"/>
              <w:left w:val="single" w:sz="4" w:space="0" w:color="FFFFFF"/>
              <w:bottom w:val="single" w:sz="8" w:space="0" w:color="000000"/>
              <w:right w:val="single" w:sz="4" w:space="0" w:color="FFFFFF"/>
            </w:tcBorders>
            <w:vAlign w:val="center"/>
            <w:hideMark/>
          </w:tcPr>
          <w:p w14:paraId="030E98E4" w14:textId="77777777" w:rsidR="00EB592C" w:rsidRPr="008D5D0F" w:rsidRDefault="00EB592C" w:rsidP="00A2398A">
            <w:pPr>
              <w:jc w:val="both"/>
              <w:rPr>
                <w:color w:val="000000" w:themeColor="text1"/>
                <w:sz w:val="20"/>
              </w:rPr>
            </w:pPr>
          </w:p>
        </w:tc>
        <w:tc>
          <w:tcPr>
            <w:tcW w:w="1560" w:type="dxa"/>
            <w:tcBorders>
              <w:top w:val="single" w:sz="6" w:space="0" w:color="000000"/>
              <w:left w:val="single" w:sz="4" w:space="0" w:color="FFFFFF"/>
              <w:bottom w:val="single" w:sz="6" w:space="0" w:color="000000"/>
              <w:right w:val="single" w:sz="4" w:space="0" w:color="FFFFFF"/>
            </w:tcBorders>
            <w:tcMar>
              <w:top w:w="100" w:type="dxa"/>
              <w:left w:w="100" w:type="dxa"/>
              <w:bottom w:w="100" w:type="dxa"/>
              <w:right w:w="100" w:type="dxa"/>
            </w:tcMar>
            <w:hideMark/>
          </w:tcPr>
          <w:p w14:paraId="620C1687" w14:textId="77777777" w:rsidR="00EB592C" w:rsidRPr="008D5D0F" w:rsidRDefault="00EB592C" w:rsidP="00A2398A">
            <w:pPr>
              <w:spacing w:after="120"/>
              <w:ind w:left="100"/>
              <w:jc w:val="both"/>
              <w:rPr>
                <w:color w:val="000000" w:themeColor="text1"/>
                <w:sz w:val="20"/>
              </w:rPr>
            </w:pPr>
            <w:r w:rsidRPr="008D5D0F">
              <w:rPr>
                <w:color w:val="000000" w:themeColor="text1"/>
                <w:sz w:val="20"/>
              </w:rPr>
              <w:t>GAINS</w:t>
            </w:r>
          </w:p>
        </w:tc>
        <w:tc>
          <w:tcPr>
            <w:tcW w:w="1450" w:type="dxa"/>
            <w:tcBorders>
              <w:top w:val="single" w:sz="6" w:space="0" w:color="000000"/>
              <w:left w:val="single" w:sz="4" w:space="0" w:color="FFFFFF"/>
              <w:bottom w:val="single" w:sz="6" w:space="0" w:color="000000"/>
              <w:right w:val="single" w:sz="4" w:space="0" w:color="FFFFFF"/>
            </w:tcBorders>
            <w:tcMar>
              <w:top w:w="100" w:type="dxa"/>
              <w:left w:w="100" w:type="dxa"/>
              <w:bottom w:w="100" w:type="dxa"/>
              <w:right w:w="100" w:type="dxa"/>
            </w:tcMar>
            <w:hideMark/>
          </w:tcPr>
          <w:p w14:paraId="04C91FA0" w14:textId="77777777" w:rsidR="00EB592C" w:rsidRPr="008D5D0F" w:rsidRDefault="00EB592C" w:rsidP="00A2398A">
            <w:pPr>
              <w:spacing w:after="120"/>
              <w:ind w:left="100"/>
              <w:jc w:val="both"/>
              <w:rPr>
                <w:color w:val="000000" w:themeColor="text1"/>
                <w:sz w:val="20"/>
              </w:rPr>
            </w:pPr>
            <w:r w:rsidRPr="008D5D0F">
              <w:rPr>
                <w:color w:val="000000" w:themeColor="text1"/>
                <w:sz w:val="20"/>
              </w:rPr>
              <w:t>1980-2012</w:t>
            </w:r>
          </w:p>
        </w:tc>
        <w:tc>
          <w:tcPr>
            <w:tcW w:w="1490" w:type="dxa"/>
            <w:tcBorders>
              <w:top w:val="single" w:sz="6" w:space="0" w:color="000000"/>
              <w:left w:val="single" w:sz="4" w:space="0" w:color="FFFFFF"/>
              <w:bottom w:val="single" w:sz="6" w:space="0" w:color="000000"/>
              <w:right w:val="single" w:sz="4" w:space="0" w:color="FFFFFF"/>
            </w:tcBorders>
            <w:tcMar>
              <w:top w:w="100" w:type="dxa"/>
              <w:left w:w="100" w:type="dxa"/>
              <w:bottom w:w="100" w:type="dxa"/>
              <w:right w:w="100" w:type="dxa"/>
            </w:tcMar>
            <w:hideMark/>
          </w:tcPr>
          <w:p w14:paraId="32CEFACB" w14:textId="77777777" w:rsidR="00EB592C" w:rsidRPr="008D5D0F" w:rsidRDefault="00EB592C" w:rsidP="00A2398A">
            <w:pPr>
              <w:spacing w:after="120"/>
              <w:ind w:left="100"/>
              <w:jc w:val="both"/>
              <w:rPr>
                <w:color w:val="000000" w:themeColor="text1"/>
                <w:sz w:val="20"/>
              </w:rPr>
            </w:pPr>
            <w:r w:rsidRPr="008D5D0F">
              <w:rPr>
                <w:color w:val="000000" w:themeColor="text1"/>
                <w:sz w:val="20"/>
              </w:rPr>
              <w:t>0.5</w:t>
            </w:r>
          </w:p>
        </w:tc>
        <w:tc>
          <w:tcPr>
            <w:tcW w:w="1620" w:type="dxa"/>
            <w:tcBorders>
              <w:top w:val="single" w:sz="6" w:space="0" w:color="000000"/>
              <w:left w:val="single" w:sz="4" w:space="0" w:color="FFFFFF"/>
              <w:bottom w:val="single" w:sz="6" w:space="0" w:color="000000"/>
              <w:right w:val="single" w:sz="4" w:space="0" w:color="FFFFFF"/>
            </w:tcBorders>
            <w:tcMar>
              <w:top w:w="100" w:type="dxa"/>
              <w:left w:w="100" w:type="dxa"/>
              <w:bottom w:w="100" w:type="dxa"/>
              <w:right w:w="100" w:type="dxa"/>
            </w:tcMar>
            <w:hideMark/>
          </w:tcPr>
          <w:p w14:paraId="49780407" w14:textId="77777777" w:rsidR="00EB592C" w:rsidRPr="008D5D0F" w:rsidRDefault="00EB592C" w:rsidP="00A2398A">
            <w:pPr>
              <w:spacing w:after="120"/>
              <w:ind w:left="100"/>
              <w:jc w:val="both"/>
              <w:rPr>
                <w:color w:val="000000" w:themeColor="text1"/>
                <w:sz w:val="20"/>
              </w:rPr>
            </w:pPr>
            <w:r w:rsidRPr="008D5D0F">
              <w:rPr>
                <w:color w:val="000000" w:themeColor="text1"/>
                <w:sz w:val="20"/>
              </w:rPr>
              <w:t>by grid</w:t>
            </w:r>
          </w:p>
        </w:tc>
        <w:tc>
          <w:tcPr>
            <w:tcW w:w="1705" w:type="dxa"/>
            <w:tcBorders>
              <w:top w:val="single" w:sz="6" w:space="0" w:color="000000"/>
              <w:left w:val="single" w:sz="4" w:space="0" w:color="FFFFFF"/>
              <w:bottom w:val="single" w:sz="6" w:space="0" w:color="000000"/>
              <w:right w:val="single" w:sz="4" w:space="0" w:color="FFFFFF"/>
            </w:tcBorders>
            <w:tcMar>
              <w:top w:w="100" w:type="dxa"/>
              <w:left w:w="100" w:type="dxa"/>
              <w:bottom w:w="100" w:type="dxa"/>
              <w:right w:w="100" w:type="dxa"/>
            </w:tcMar>
            <w:hideMark/>
          </w:tcPr>
          <w:p w14:paraId="1C3F68EC" w14:textId="77777777" w:rsidR="00EB592C" w:rsidRPr="008D5D0F" w:rsidRDefault="00EB592C" w:rsidP="00A2398A">
            <w:pPr>
              <w:spacing w:after="120"/>
              <w:ind w:left="100"/>
              <w:jc w:val="both"/>
              <w:rPr>
                <w:color w:val="000000" w:themeColor="text1"/>
                <w:sz w:val="20"/>
              </w:rPr>
            </w:pPr>
            <w:r w:rsidRPr="008D5D0F">
              <w:rPr>
                <w:color w:val="000000" w:themeColor="text1"/>
                <w:sz w:val="20"/>
              </w:rPr>
              <w:t>Annual</w:t>
            </w:r>
          </w:p>
        </w:tc>
      </w:tr>
      <w:tr w:rsidR="008D5D0F" w:rsidRPr="008D5D0F" w14:paraId="479F7247" w14:textId="77777777" w:rsidTr="00A2398A">
        <w:trPr>
          <w:trHeight w:val="860"/>
        </w:trPr>
        <w:tc>
          <w:tcPr>
            <w:tcW w:w="1193" w:type="dxa"/>
            <w:vMerge/>
            <w:tcBorders>
              <w:top w:val="single" w:sz="8" w:space="0" w:color="000000"/>
              <w:left w:val="single" w:sz="4" w:space="0" w:color="FFFFFF"/>
              <w:bottom w:val="single" w:sz="8" w:space="0" w:color="000000"/>
              <w:right w:val="single" w:sz="4" w:space="0" w:color="FFFFFF"/>
            </w:tcBorders>
            <w:vAlign w:val="center"/>
            <w:hideMark/>
          </w:tcPr>
          <w:p w14:paraId="33C71C9C" w14:textId="77777777" w:rsidR="00EB592C" w:rsidRPr="008D5D0F" w:rsidRDefault="00EB592C" w:rsidP="00A2398A">
            <w:pPr>
              <w:jc w:val="both"/>
              <w:rPr>
                <w:color w:val="000000" w:themeColor="text1"/>
                <w:sz w:val="20"/>
              </w:rPr>
            </w:pPr>
          </w:p>
        </w:tc>
        <w:tc>
          <w:tcPr>
            <w:tcW w:w="1682" w:type="dxa"/>
            <w:vMerge/>
            <w:tcBorders>
              <w:top w:val="single" w:sz="8" w:space="0" w:color="000000"/>
              <w:left w:val="single" w:sz="4" w:space="0" w:color="FFFFFF"/>
              <w:bottom w:val="single" w:sz="8" w:space="0" w:color="000000"/>
              <w:right w:val="single" w:sz="4" w:space="0" w:color="FFFFFF"/>
            </w:tcBorders>
            <w:vAlign w:val="center"/>
            <w:hideMark/>
          </w:tcPr>
          <w:p w14:paraId="78A156D9" w14:textId="77777777" w:rsidR="00EB592C" w:rsidRPr="008D5D0F" w:rsidRDefault="00EB592C" w:rsidP="00A2398A">
            <w:pPr>
              <w:jc w:val="both"/>
              <w:rPr>
                <w:color w:val="000000" w:themeColor="text1"/>
                <w:sz w:val="20"/>
              </w:rPr>
            </w:pPr>
          </w:p>
        </w:tc>
        <w:tc>
          <w:tcPr>
            <w:tcW w:w="1560" w:type="dxa"/>
            <w:tcBorders>
              <w:top w:val="single" w:sz="6"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608DBC4A" w14:textId="77777777" w:rsidR="00EB592C" w:rsidRPr="008D5D0F" w:rsidRDefault="00EB592C" w:rsidP="00A2398A">
            <w:pPr>
              <w:spacing w:after="120"/>
              <w:ind w:left="100"/>
              <w:jc w:val="both"/>
              <w:rPr>
                <w:color w:val="000000" w:themeColor="text1"/>
                <w:sz w:val="20"/>
              </w:rPr>
            </w:pPr>
            <w:r w:rsidRPr="008D5D0F">
              <w:rPr>
                <w:color w:val="000000" w:themeColor="text1"/>
                <w:sz w:val="20"/>
              </w:rPr>
              <w:t>SCH150</w:t>
            </w:r>
          </w:p>
        </w:tc>
        <w:tc>
          <w:tcPr>
            <w:tcW w:w="1450" w:type="dxa"/>
            <w:tcBorders>
              <w:top w:val="single" w:sz="6"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387D4DA8" w14:textId="77777777" w:rsidR="00EB592C" w:rsidRPr="008D5D0F" w:rsidRDefault="00EB592C" w:rsidP="00A2398A">
            <w:pPr>
              <w:spacing w:after="120"/>
              <w:ind w:left="100"/>
              <w:jc w:val="both"/>
              <w:rPr>
                <w:color w:val="000000" w:themeColor="text1"/>
                <w:sz w:val="20"/>
              </w:rPr>
            </w:pPr>
            <w:r w:rsidRPr="008D5D0F">
              <w:rPr>
                <w:color w:val="000000" w:themeColor="text1"/>
                <w:sz w:val="20"/>
              </w:rPr>
              <w:t>1980-2011</w:t>
            </w:r>
          </w:p>
        </w:tc>
        <w:tc>
          <w:tcPr>
            <w:tcW w:w="1490" w:type="dxa"/>
            <w:tcBorders>
              <w:top w:val="single" w:sz="6"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3A18F9A7" w14:textId="77777777" w:rsidR="00EB592C" w:rsidRPr="008D5D0F" w:rsidRDefault="00EB592C" w:rsidP="00A2398A">
            <w:pPr>
              <w:spacing w:after="120"/>
              <w:ind w:left="100"/>
              <w:jc w:val="both"/>
              <w:rPr>
                <w:color w:val="000000" w:themeColor="text1"/>
                <w:sz w:val="20"/>
              </w:rPr>
            </w:pPr>
            <w:r w:rsidRPr="008D5D0F">
              <w:rPr>
                <w:color w:val="000000" w:themeColor="text1"/>
                <w:sz w:val="20"/>
              </w:rPr>
              <w:t>1°</w:t>
            </w:r>
          </w:p>
        </w:tc>
        <w:tc>
          <w:tcPr>
            <w:tcW w:w="1620" w:type="dxa"/>
            <w:tcBorders>
              <w:top w:val="single" w:sz="6"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6B2E4A6A" w14:textId="77777777" w:rsidR="00EB592C" w:rsidRPr="008D5D0F" w:rsidRDefault="00EB592C" w:rsidP="00A2398A">
            <w:pPr>
              <w:spacing w:after="120"/>
              <w:ind w:left="100"/>
              <w:jc w:val="both"/>
              <w:rPr>
                <w:color w:val="000000" w:themeColor="text1"/>
                <w:sz w:val="20"/>
              </w:rPr>
            </w:pPr>
            <w:r w:rsidRPr="008D5D0F">
              <w:rPr>
                <w:color w:val="000000" w:themeColor="text1"/>
                <w:sz w:val="20"/>
              </w:rPr>
              <w:t>by grid</w:t>
            </w:r>
          </w:p>
        </w:tc>
        <w:tc>
          <w:tcPr>
            <w:tcW w:w="1705" w:type="dxa"/>
            <w:tcBorders>
              <w:top w:val="single" w:sz="6"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69E9C109" w14:textId="77777777" w:rsidR="00EB592C" w:rsidRPr="008D5D0F" w:rsidRDefault="00EB592C" w:rsidP="00A2398A">
            <w:pPr>
              <w:spacing w:after="120"/>
              <w:ind w:left="100"/>
              <w:jc w:val="both"/>
              <w:rPr>
                <w:color w:val="000000" w:themeColor="text1"/>
                <w:sz w:val="20"/>
              </w:rPr>
            </w:pPr>
            <w:r w:rsidRPr="008D5D0F">
              <w:rPr>
                <w:color w:val="000000" w:themeColor="text1"/>
                <w:sz w:val="20"/>
              </w:rPr>
              <w:t>Annual</w:t>
            </w:r>
          </w:p>
        </w:tc>
      </w:tr>
      <w:tr w:rsidR="008D5D0F" w:rsidRPr="008D5D0F" w14:paraId="080919D9" w14:textId="77777777" w:rsidTr="00A2398A">
        <w:trPr>
          <w:trHeight w:val="860"/>
        </w:trPr>
        <w:tc>
          <w:tcPr>
            <w:tcW w:w="1193" w:type="dxa"/>
            <w:vMerge w:val="restart"/>
            <w:tcBorders>
              <w:top w:val="single" w:sz="8"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4AEFD8DF" w14:textId="77777777" w:rsidR="00EB592C" w:rsidRPr="008D5D0F" w:rsidRDefault="00EB592C" w:rsidP="00A2398A">
            <w:pPr>
              <w:spacing w:after="120"/>
              <w:ind w:left="100"/>
              <w:jc w:val="both"/>
              <w:rPr>
                <w:color w:val="000000" w:themeColor="text1"/>
                <w:sz w:val="20"/>
              </w:rPr>
            </w:pPr>
            <w:r w:rsidRPr="008D5D0F">
              <w:rPr>
                <w:color w:val="000000" w:themeColor="text1"/>
                <w:sz w:val="20"/>
              </w:rPr>
              <w:t>AGW</w:t>
            </w:r>
            <w:r w:rsidRPr="008D5D0F">
              <w:rPr>
                <w:color w:val="000000" w:themeColor="text1"/>
                <w:sz w:val="20"/>
                <w:vertAlign w:val="subscript"/>
              </w:rPr>
              <w:t>CH4</w:t>
            </w:r>
          </w:p>
        </w:tc>
        <w:tc>
          <w:tcPr>
            <w:tcW w:w="1682" w:type="dxa"/>
            <w:vMerge w:val="restart"/>
            <w:tcBorders>
              <w:top w:val="single" w:sz="8"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6E5FBD00" w14:textId="77777777" w:rsidR="00EB592C" w:rsidRPr="008D5D0F" w:rsidRDefault="00EB592C" w:rsidP="00A2398A">
            <w:pPr>
              <w:spacing w:after="120"/>
              <w:ind w:left="100"/>
              <w:jc w:val="both"/>
              <w:rPr>
                <w:color w:val="000000" w:themeColor="text1"/>
                <w:sz w:val="20"/>
              </w:rPr>
            </w:pPr>
            <w:r w:rsidRPr="008D5D0F">
              <w:rPr>
                <w:color w:val="000000" w:themeColor="text1"/>
                <w:sz w:val="20"/>
              </w:rPr>
              <w:t>Livestock, Rice, Landfill/Waste</w:t>
            </w:r>
          </w:p>
        </w:tc>
        <w:tc>
          <w:tcPr>
            <w:tcW w:w="1560" w:type="dxa"/>
            <w:tcBorders>
              <w:top w:val="single" w:sz="8" w:space="0" w:color="000000"/>
              <w:left w:val="single" w:sz="4" w:space="0" w:color="FFFFFF"/>
              <w:bottom w:val="single" w:sz="6" w:space="0" w:color="000000"/>
              <w:right w:val="single" w:sz="4" w:space="0" w:color="FFFFFF"/>
            </w:tcBorders>
            <w:tcMar>
              <w:top w:w="100" w:type="dxa"/>
              <w:left w:w="100" w:type="dxa"/>
              <w:bottom w:w="100" w:type="dxa"/>
              <w:right w:w="100" w:type="dxa"/>
            </w:tcMar>
            <w:hideMark/>
          </w:tcPr>
          <w:p w14:paraId="69E2889B" w14:textId="77777777" w:rsidR="00EB592C" w:rsidRPr="008D5D0F" w:rsidRDefault="00EB592C" w:rsidP="00A2398A">
            <w:pPr>
              <w:spacing w:after="120"/>
              <w:ind w:left="100"/>
              <w:jc w:val="both"/>
              <w:rPr>
                <w:color w:val="000000" w:themeColor="text1"/>
                <w:sz w:val="20"/>
              </w:rPr>
            </w:pPr>
            <w:r w:rsidRPr="008D5D0F">
              <w:rPr>
                <w:color w:val="000000" w:themeColor="text1"/>
                <w:sz w:val="20"/>
              </w:rPr>
              <w:t>EDGARv4.2</w:t>
            </w:r>
            <w:r w:rsidRPr="008D5D0F">
              <w:rPr>
                <w:color w:val="000000" w:themeColor="text1"/>
                <w:sz w:val="20"/>
                <w:vertAlign w:val="superscript"/>
              </w:rPr>
              <w:t>a</w:t>
            </w:r>
          </w:p>
        </w:tc>
        <w:tc>
          <w:tcPr>
            <w:tcW w:w="1450" w:type="dxa"/>
            <w:tcBorders>
              <w:top w:val="single" w:sz="8" w:space="0" w:color="000000"/>
              <w:left w:val="single" w:sz="4" w:space="0" w:color="FFFFFF"/>
              <w:bottom w:val="single" w:sz="6" w:space="0" w:color="000000"/>
              <w:right w:val="single" w:sz="4" w:space="0" w:color="FFFFFF"/>
            </w:tcBorders>
            <w:tcMar>
              <w:top w:w="100" w:type="dxa"/>
              <w:left w:w="100" w:type="dxa"/>
              <w:bottom w:w="100" w:type="dxa"/>
              <w:right w:w="100" w:type="dxa"/>
            </w:tcMar>
            <w:hideMark/>
          </w:tcPr>
          <w:p w14:paraId="329F99D2" w14:textId="77777777" w:rsidR="00EB592C" w:rsidRPr="008D5D0F" w:rsidRDefault="00EB592C" w:rsidP="00A2398A">
            <w:pPr>
              <w:spacing w:after="120"/>
              <w:ind w:left="100"/>
              <w:jc w:val="both"/>
              <w:rPr>
                <w:color w:val="000000" w:themeColor="text1"/>
                <w:sz w:val="20"/>
              </w:rPr>
            </w:pPr>
            <w:r w:rsidRPr="008D5D0F">
              <w:rPr>
                <w:color w:val="000000" w:themeColor="text1"/>
                <w:sz w:val="20"/>
              </w:rPr>
              <w:t>1970-2012</w:t>
            </w:r>
          </w:p>
        </w:tc>
        <w:tc>
          <w:tcPr>
            <w:tcW w:w="1490" w:type="dxa"/>
            <w:tcBorders>
              <w:top w:val="single" w:sz="8" w:space="0" w:color="000000"/>
              <w:left w:val="single" w:sz="4" w:space="0" w:color="FFFFFF"/>
              <w:bottom w:val="single" w:sz="6" w:space="0" w:color="000000"/>
              <w:right w:val="single" w:sz="4" w:space="0" w:color="FFFFFF"/>
            </w:tcBorders>
            <w:tcMar>
              <w:top w:w="100" w:type="dxa"/>
              <w:left w:w="100" w:type="dxa"/>
              <w:bottom w:w="100" w:type="dxa"/>
              <w:right w:w="100" w:type="dxa"/>
            </w:tcMar>
            <w:hideMark/>
          </w:tcPr>
          <w:p w14:paraId="2FDCDC44" w14:textId="77777777" w:rsidR="00EB592C" w:rsidRPr="008D5D0F" w:rsidRDefault="00EB592C" w:rsidP="00A2398A">
            <w:pPr>
              <w:spacing w:after="120"/>
              <w:ind w:left="100"/>
              <w:jc w:val="both"/>
              <w:rPr>
                <w:color w:val="000000" w:themeColor="text1"/>
                <w:sz w:val="20"/>
              </w:rPr>
            </w:pPr>
            <w:r w:rsidRPr="008D5D0F">
              <w:rPr>
                <w:color w:val="000000" w:themeColor="text1"/>
                <w:sz w:val="20"/>
              </w:rPr>
              <w:t>0.1°</w:t>
            </w:r>
          </w:p>
        </w:tc>
        <w:tc>
          <w:tcPr>
            <w:tcW w:w="1620" w:type="dxa"/>
            <w:tcBorders>
              <w:top w:val="single" w:sz="8" w:space="0" w:color="000000"/>
              <w:left w:val="single" w:sz="4" w:space="0" w:color="FFFFFF"/>
              <w:bottom w:val="single" w:sz="6" w:space="0" w:color="000000"/>
              <w:right w:val="single" w:sz="4" w:space="0" w:color="FFFFFF"/>
            </w:tcBorders>
            <w:tcMar>
              <w:top w:w="100" w:type="dxa"/>
              <w:left w:w="100" w:type="dxa"/>
              <w:bottom w:w="100" w:type="dxa"/>
              <w:right w:w="100" w:type="dxa"/>
            </w:tcMar>
            <w:hideMark/>
          </w:tcPr>
          <w:p w14:paraId="46FAE16A" w14:textId="77777777" w:rsidR="00EB592C" w:rsidRPr="008D5D0F" w:rsidRDefault="00EB592C" w:rsidP="00A2398A">
            <w:pPr>
              <w:spacing w:after="120"/>
              <w:ind w:left="100"/>
              <w:jc w:val="both"/>
              <w:rPr>
                <w:color w:val="000000" w:themeColor="text1"/>
                <w:sz w:val="20"/>
              </w:rPr>
            </w:pPr>
            <w:r w:rsidRPr="008D5D0F">
              <w:rPr>
                <w:color w:val="000000" w:themeColor="text1"/>
                <w:sz w:val="20"/>
              </w:rPr>
              <w:t>by grid</w:t>
            </w:r>
          </w:p>
        </w:tc>
        <w:tc>
          <w:tcPr>
            <w:tcW w:w="1705" w:type="dxa"/>
            <w:tcBorders>
              <w:top w:val="single" w:sz="8" w:space="0" w:color="000000"/>
              <w:left w:val="single" w:sz="4" w:space="0" w:color="FFFFFF"/>
              <w:bottom w:val="single" w:sz="6" w:space="0" w:color="000000"/>
              <w:right w:val="single" w:sz="4" w:space="0" w:color="FFFFFF"/>
            </w:tcBorders>
            <w:tcMar>
              <w:top w:w="100" w:type="dxa"/>
              <w:left w:w="100" w:type="dxa"/>
              <w:bottom w:w="100" w:type="dxa"/>
              <w:right w:w="100" w:type="dxa"/>
            </w:tcMar>
            <w:hideMark/>
          </w:tcPr>
          <w:p w14:paraId="21A668A4" w14:textId="77777777" w:rsidR="00EB592C" w:rsidRPr="008D5D0F" w:rsidRDefault="00EB592C" w:rsidP="00A2398A">
            <w:pPr>
              <w:spacing w:after="120"/>
              <w:ind w:left="100"/>
              <w:jc w:val="both"/>
              <w:rPr>
                <w:color w:val="000000" w:themeColor="text1"/>
                <w:sz w:val="20"/>
              </w:rPr>
            </w:pPr>
            <w:r w:rsidRPr="008D5D0F">
              <w:rPr>
                <w:color w:val="000000" w:themeColor="text1"/>
                <w:sz w:val="20"/>
              </w:rPr>
              <w:t>Annual</w:t>
            </w:r>
          </w:p>
        </w:tc>
      </w:tr>
      <w:tr w:rsidR="008D5D0F" w:rsidRPr="008D5D0F" w14:paraId="45E25F0F" w14:textId="77777777" w:rsidTr="00A2398A">
        <w:trPr>
          <w:trHeight w:val="860"/>
        </w:trPr>
        <w:tc>
          <w:tcPr>
            <w:tcW w:w="1193" w:type="dxa"/>
            <w:vMerge/>
            <w:tcBorders>
              <w:top w:val="single" w:sz="8" w:space="0" w:color="000000"/>
              <w:left w:val="single" w:sz="4" w:space="0" w:color="FFFFFF"/>
              <w:bottom w:val="single" w:sz="8" w:space="0" w:color="000000"/>
              <w:right w:val="single" w:sz="4" w:space="0" w:color="FFFFFF"/>
            </w:tcBorders>
            <w:vAlign w:val="center"/>
            <w:hideMark/>
          </w:tcPr>
          <w:p w14:paraId="60314B22" w14:textId="77777777" w:rsidR="00EB592C" w:rsidRPr="008D5D0F" w:rsidRDefault="00EB592C" w:rsidP="00A2398A">
            <w:pPr>
              <w:jc w:val="both"/>
              <w:rPr>
                <w:color w:val="000000" w:themeColor="text1"/>
                <w:sz w:val="20"/>
              </w:rPr>
            </w:pPr>
          </w:p>
        </w:tc>
        <w:tc>
          <w:tcPr>
            <w:tcW w:w="1682" w:type="dxa"/>
            <w:vMerge/>
            <w:tcBorders>
              <w:top w:val="single" w:sz="8" w:space="0" w:color="000000"/>
              <w:left w:val="single" w:sz="4" w:space="0" w:color="FFFFFF"/>
              <w:bottom w:val="single" w:sz="8" w:space="0" w:color="000000"/>
              <w:right w:val="single" w:sz="4" w:space="0" w:color="FFFFFF"/>
            </w:tcBorders>
            <w:vAlign w:val="center"/>
            <w:hideMark/>
          </w:tcPr>
          <w:p w14:paraId="5E1C451F" w14:textId="77777777" w:rsidR="00EB592C" w:rsidRPr="008D5D0F" w:rsidRDefault="00EB592C" w:rsidP="00A2398A">
            <w:pPr>
              <w:jc w:val="both"/>
              <w:rPr>
                <w:color w:val="000000" w:themeColor="text1"/>
                <w:sz w:val="20"/>
              </w:rPr>
            </w:pPr>
          </w:p>
        </w:tc>
        <w:tc>
          <w:tcPr>
            <w:tcW w:w="1560" w:type="dxa"/>
            <w:tcBorders>
              <w:top w:val="single" w:sz="6" w:space="0" w:color="000000"/>
              <w:left w:val="single" w:sz="4" w:space="0" w:color="FFFFFF"/>
              <w:bottom w:val="single" w:sz="6" w:space="0" w:color="000000"/>
              <w:right w:val="single" w:sz="4" w:space="0" w:color="FFFFFF"/>
            </w:tcBorders>
            <w:tcMar>
              <w:top w:w="100" w:type="dxa"/>
              <w:left w:w="100" w:type="dxa"/>
              <w:bottom w:w="100" w:type="dxa"/>
              <w:right w:w="100" w:type="dxa"/>
            </w:tcMar>
            <w:hideMark/>
          </w:tcPr>
          <w:p w14:paraId="7D949412" w14:textId="77777777" w:rsidR="00EB592C" w:rsidRPr="008D5D0F" w:rsidRDefault="00EB592C" w:rsidP="00A2398A">
            <w:pPr>
              <w:spacing w:after="120"/>
              <w:ind w:left="100"/>
              <w:jc w:val="both"/>
              <w:rPr>
                <w:color w:val="000000" w:themeColor="text1"/>
                <w:sz w:val="20"/>
              </w:rPr>
            </w:pPr>
            <w:r w:rsidRPr="008D5D0F">
              <w:rPr>
                <w:color w:val="000000" w:themeColor="text1"/>
                <w:sz w:val="20"/>
              </w:rPr>
              <w:t>EDGARv4.3.2</w:t>
            </w:r>
          </w:p>
        </w:tc>
        <w:tc>
          <w:tcPr>
            <w:tcW w:w="1450" w:type="dxa"/>
            <w:tcBorders>
              <w:top w:val="single" w:sz="6" w:space="0" w:color="000000"/>
              <w:left w:val="single" w:sz="4" w:space="0" w:color="FFFFFF"/>
              <w:bottom w:val="single" w:sz="6" w:space="0" w:color="000000"/>
              <w:right w:val="single" w:sz="4" w:space="0" w:color="FFFFFF"/>
            </w:tcBorders>
            <w:tcMar>
              <w:top w:w="100" w:type="dxa"/>
              <w:left w:w="100" w:type="dxa"/>
              <w:bottom w:w="100" w:type="dxa"/>
              <w:right w:w="100" w:type="dxa"/>
            </w:tcMar>
            <w:hideMark/>
          </w:tcPr>
          <w:p w14:paraId="48016043" w14:textId="77777777" w:rsidR="00EB592C" w:rsidRPr="008D5D0F" w:rsidRDefault="00EB592C" w:rsidP="00A2398A">
            <w:pPr>
              <w:spacing w:after="120"/>
              <w:ind w:left="100"/>
              <w:jc w:val="both"/>
              <w:rPr>
                <w:color w:val="000000" w:themeColor="text1"/>
                <w:sz w:val="20"/>
              </w:rPr>
            </w:pPr>
            <w:r w:rsidRPr="008D5D0F">
              <w:rPr>
                <w:color w:val="000000" w:themeColor="text1"/>
                <w:sz w:val="20"/>
              </w:rPr>
              <w:t>1970-2012</w:t>
            </w:r>
          </w:p>
        </w:tc>
        <w:tc>
          <w:tcPr>
            <w:tcW w:w="1490" w:type="dxa"/>
            <w:tcBorders>
              <w:top w:val="single" w:sz="6" w:space="0" w:color="000000"/>
              <w:left w:val="single" w:sz="4" w:space="0" w:color="FFFFFF"/>
              <w:bottom w:val="single" w:sz="6" w:space="0" w:color="000000"/>
              <w:right w:val="single" w:sz="4" w:space="0" w:color="FFFFFF"/>
            </w:tcBorders>
            <w:tcMar>
              <w:top w:w="100" w:type="dxa"/>
              <w:left w:w="100" w:type="dxa"/>
              <w:bottom w:w="100" w:type="dxa"/>
              <w:right w:w="100" w:type="dxa"/>
            </w:tcMar>
            <w:hideMark/>
          </w:tcPr>
          <w:p w14:paraId="77D6CF91" w14:textId="77777777" w:rsidR="00EB592C" w:rsidRPr="008D5D0F" w:rsidRDefault="00EB592C" w:rsidP="00A2398A">
            <w:pPr>
              <w:spacing w:after="120"/>
              <w:ind w:left="100"/>
              <w:jc w:val="both"/>
              <w:rPr>
                <w:color w:val="000000" w:themeColor="text1"/>
                <w:sz w:val="20"/>
              </w:rPr>
            </w:pPr>
            <w:r w:rsidRPr="008D5D0F">
              <w:rPr>
                <w:color w:val="000000" w:themeColor="text1"/>
                <w:sz w:val="20"/>
              </w:rPr>
              <w:t>0.1°</w:t>
            </w:r>
          </w:p>
        </w:tc>
        <w:tc>
          <w:tcPr>
            <w:tcW w:w="1620" w:type="dxa"/>
            <w:tcBorders>
              <w:top w:val="single" w:sz="6" w:space="0" w:color="000000"/>
              <w:left w:val="single" w:sz="4" w:space="0" w:color="FFFFFF"/>
              <w:bottom w:val="single" w:sz="6" w:space="0" w:color="000000"/>
              <w:right w:val="single" w:sz="4" w:space="0" w:color="FFFFFF"/>
            </w:tcBorders>
            <w:tcMar>
              <w:top w:w="100" w:type="dxa"/>
              <w:left w:w="100" w:type="dxa"/>
              <w:bottom w:w="100" w:type="dxa"/>
              <w:right w:w="100" w:type="dxa"/>
            </w:tcMar>
            <w:hideMark/>
          </w:tcPr>
          <w:p w14:paraId="06E5D6BB" w14:textId="77777777" w:rsidR="00EB592C" w:rsidRPr="008D5D0F" w:rsidRDefault="00EB592C" w:rsidP="00A2398A">
            <w:pPr>
              <w:spacing w:after="120"/>
              <w:ind w:left="100"/>
              <w:jc w:val="both"/>
              <w:rPr>
                <w:color w:val="000000" w:themeColor="text1"/>
                <w:sz w:val="20"/>
              </w:rPr>
            </w:pPr>
            <w:r w:rsidRPr="008D5D0F">
              <w:rPr>
                <w:color w:val="000000" w:themeColor="text1"/>
                <w:sz w:val="20"/>
              </w:rPr>
              <w:t>by grid</w:t>
            </w:r>
          </w:p>
        </w:tc>
        <w:tc>
          <w:tcPr>
            <w:tcW w:w="1705" w:type="dxa"/>
            <w:tcBorders>
              <w:top w:val="single" w:sz="6" w:space="0" w:color="000000"/>
              <w:left w:val="single" w:sz="4" w:space="0" w:color="FFFFFF"/>
              <w:bottom w:val="single" w:sz="6" w:space="0" w:color="000000"/>
              <w:right w:val="single" w:sz="4" w:space="0" w:color="FFFFFF"/>
            </w:tcBorders>
            <w:tcMar>
              <w:top w:w="100" w:type="dxa"/>
              <w:left w:w="100" w:type="dxa"/>
              <w:bottom w:w="100" w:type="dxa"/>
              <w:right w:w="100" w:type="dxa"/>
            </w:tcMar>
            <w:hideMark/>
          </w:tcPr>
          <w:p w14:paraId="3A6B6A86" w14:textId="77777777" w:rsidR="00EB592C" w:rsidRPr="008D5D0F" w:rsidRDefault="00EB592C" w:rsidP="00A2398A">
            <w:pPr>
              <w:spacing w:after="120"/>
              <w:ind w:left="100"/>
              <w:jc w:val="both"/>
              <w:rPr>
                <w:color w:val="000000" w:themeColor="text1"/>
                <w:sz w:val="20"/>
              </w:rPr>
            </w:pPr>
            <w:r w:rsidRPr="008D5D0F">
              <w:rPr>
                <w:color w:val="000000" w:themeColor="text1"/>
                <w:sz w:val="20"/>
              </w:rPr>
              <w:t>Annual</w:t>
            </w:r>
          </w:p>
        </w:tc>
      </w:tr>
      <w:tr w:rsidR="008D5D0F" w:rsidRPr="008D5D0F" w14:paraId="7D13992C" w14:textId="77777777" w:rsidTr="00A2398A">
        <w:trPr>
          <w:trHeight w:val="860"/>
        </w:trPr>
        <w:tc>
          <w:tcPr>
            <w:tcW w:w="1193" w:type="dxa"/>
            <w:vMerge/>
            <w:tcBorders>
              <w:top w:val="single" w:sz="8" w:space="0" w:color="000000"/>
              <w:left w:val="single" w:sz="4" w:space="0" w:color="FFFFFF"/>
              <w:bottom w:val="single" w:sz="8" w:space="0" w:color="000000"/>
              <w:right w:val="single" w:sz="4" w:space="0" w:color="FFFFFF"/>
            </w:tcBorders>
            <w:vAlign w:val="center"/>
            <w:hideMark/>
          </w:tcPr>
          <w:p w14:paraId="1865AE20" w14:textId="77777777" w:rsidR="00EB592C" w:rsidRPr="008D5D0F" w:rsidRDefault="00EB592C" w:rsidP="00A2398A">
            <w:pPr>
              <w:jc w:val="both"/>
              <w:rPr>
                <w:color w:val="000000" w:themeColor="text1"/>
                <w:sz w:val="20"/>
              </w:rPr>
            </w:pPr>
          </w:p>
        </w:tc>
        <w:tc>
          <w:tcPr>
            <w:tcW w:w="1682" w:type="dxa"/>
            <w:vMerge/>
            <w:tcBorders>
              <w:top w:val="single" w:sz="8" w:space="0" w:color="000000"/>
              <w:left w:val="single" w:sz="4" w:space="0" w:color="FFFFFF"/>
              <w:bottom w:val="single" w:sz="8" w:space="0" w:color="000000"/>
              <w:right w:val="single" w:sz="4" w:space="0" w:color="FFFFFF"/>
            </w:tcBorders>
            <w:vAlign w:val="center"/>
            <w:hideMark/>
          </w:tcPr>
          <w:p w14:paraId="0FD5B5C7" w14:textId="77777777" w:rsidR="00EB592C" w:rsidRPr="008D5D0F" w:rsidRDefault="00EB592C" w:rsidP="00A2398A">
            <w:pPr>
              <w:jc w:val="both"/>
              <w:rPr>
                <w:color w:val="000000" w:themeColor="text1"/>
                <w:sz w:val="20"/>
              </w:rPr>
            </w:pPr>
          </w:p>
        </w:tc>
        <w:tc>
          <w:tcPr>
            <w:tcW w:w="1560" w:type="dxa"/>
            <w:tcBorders>
              <w:top w:val="single" w:sz="6"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14AB56F5" w14:textId="77777777" w:rsidR="00EB592C" w:rsidRPr="008D5D0F" w:rsidRDefault="00EB592C" w:rsidP="00A2398A">
            <w:pPr>
              <w:spacing w:after="120"/>
              <w:ind w:left="100"/>
              <w:jc w:val="both"/>
              <w:rPr>
                <w:color w:val="000000" w:themeColor="text1"/>
                <w:sz w:val="20"/>
              </w:rPr>
            </w:pPr>
            <w:r w:rsidRPr="008D5D0F">
              <w:rPr>
                <w:color w:val="000000" w:themeColor="text1"/>
                <w:sz w:val="20"/>
              </w:rPr>
              <w:t>WOLF2017</w:t>
            </w:r>
            <w:r w:rsidRPr="008D5D0F">
              <w:rPr>
                <w:color w:val="000000" w:themeColor="text1"/>
                <w:sz w:val="20"/>
                <w:vertAlign w:val="superscript"/>
              </w:rPr>
              <w:t>b</w:t>
            </w:r>
          </w:p>
        </w:tc>
        <w:tc>
          <w:tcPr>
            <w:tcW w:w="1450" w:type="dxa"/>
            <w:tcBorders>
              <w:top w:val="single" w:sz="6"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0C33A94F" w14:textId="77777777" w:rsidR="00EB592C" w:rsidRPr="008D5D0F" w:rsidRDefault="00EB592C" w:rsidP="00A2398A">
            <w:pPr>
              <w:spacing w:after="120"/>
              <w:ind w:left="100"/>
              <w:jc w:val="both"/>
              <w:rPr>
                <w:color w:val="000000" w:themeColor="text1"/>
                <w:sz w:val="20"/>
              </w:rPr>
            </w:pPr>
            <w:r w:rsidRPr="008D5D0F">
              <w:rPr>
                <w:color w:val="000000" w:themeColor="text1"/>
                <w:sz w:val="20"/>
              </w:rPr>
              <w:t>2000-2013</w:t>
            </w:r>
          </w:p>
        </w:tc>
        <w:tc>
          <w:tcPr>
            <w:tcW w:w="1490" w:type="dxa"/>
            <w:tcBorders>
              <w:top w:val="single" w:sz="6"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34F2E6EF" w14:textId="77777777" w:rsidR="00EB592C" w:rsidRPr="008D5D0F" w:rsidRDefault="00EB592C" w:rsidP="00A2398A">
            <w:pPr>
              <w:spacing w:after="120"/>
              <w:ind w:left="100"/>
              <w:jc w:val="both"/>
              <w:rPr>
                <w:color w:val="000000" w:themeColor="text1"/>
                <w:sz w:val="20"/>
              </w:rPr>
            </w:pPr>
            <w:r w:rsidRPr="008D5D0F">
              <w:rPr>
                <w:color w:val="000000" w:themeColor="text1"/>
                <w:sz w:val="20"/>
              </w:rPr>
              <w:t>0.05°</w:t>
            </w:r>
          </w:p>
        </w:tc>
        <w:tc>
          <w:tcPr>
            <w:tcW w:w="1620" w:type="dxa"/>
            <w:tcBorders>
              <w:top w:val="single" w:sz="6"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6592313E" w14:textId="77777777" w:rsidR="00EB592C" w:rsidRPr="008D5D0F" w:rsidRDefault="00EB592C" w:rsidP="00A2398A">
            <w:pPr>
              <w:spacing w:after="120"/>
              <w:ind w:left="100"/>
              <w:jc w:val="both"/>
              <w:rPr>
                <w:color w:val="000000" w:themeColor="text1"/>
                <w:sz w:val="20"/>
              </w:rPr>
            </w:pPr>
            <w:r w:rsidRPr="008D5D0F">
              <w:rPr>
                <w:color w:val="000000" w:themeColor="text1"/>
                <w:sz w:val="20"/>
              </w:rPr>
              <w:t>by grid</w:t>
            </w:r>
          </w:p>
        </w:tc>
        <w:tc>
          <w:tcPr>
            <w:tcW w:w="1705" w:type="dxa"/>
            <w:tcBorders>
              <w:top w:val="single" w:sz="6"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3478103C" w14:textId="77777777" w:rsidR="00EB592C" w:rsidRPr="008D5D0F" w:rsidRDefault="00EB592C" w:rsidP="00A2398A">
            <w:pPr>
              <w:spacing w:after="120"/>
              <w:ind w:left="100"/>
              <w:jc w:val="both"/>
              <w:rPr>
                <w:color w:val="000000" w:themeColor="text1"/>
                <w:sz w:val="20"/>
              </w:rPr>
            </w:pPr>
            <w:r w:rsidRPr="008D5D0F">
              <w:rPr>
                <w:color w:val="000000" w:themeColor="text1"/>
                <w:sz w:val="20"/>
              </w:rPr>
              <w:t>Annual</w:t>
            </w:r>
          </w:p>
        </w:tc>
      </w:tr>
      <w:tr w:rsidR="008D5D0F" w:rsidRPr="008D5D0F" w14:paraId="16F57E05" w14:textId="77777777" w:rsidTr="00A2398A">
        <w:trPr>
          <w:trHeight w:val="860"/>
        </w:trPr>
        <w:tc>
          <w:tcPr>
            <w:tcW w:w="1193" w:type="dxa"/>
            <w:vMerge w:val="restart"/>
            <w:tcBorders>
              <w:top w:val="single" w:sz="8"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73E822D8" w14:textId="77777777" w:rsidR="00EB592C" w:rsidRPr="008D5D0F" w:rsidRDefault="00EB592C" w:rsidP="00A2398A">
            <w:pPr>
              <w:spacing w:after="120"/>
              <w:ind w:left="100"/>
              <w:jc w:val="both"/>
              <w:rPr>
                <w:color w:val="000000" w:themeColor="text1"/>
                <w:sz w:val="20"/>
              </w:rPr>
            </w:pPr>
            <w:r w:rsidRPr="008D5D0F">
              <w:rPr>
                <w:color w:val="000000" w:themeColor="text1"/>
                <w:sz w:val="20"/>
              </w:rPr>
              <w:t>BB</w:t>
            </w:r>
            <w:r w:rsidRPr="008D5D0F">
              <w:rPr>
                <w:color w:val="000000" w:themeColor="text1"/>
                <w:sz w:val="20"/>
                <w:vertAlign w:val="subscript"/>
              </w:rPr>
              <w:t>CH4</w:t>
            </w:r>
          </w:p>
        </w:tc>
        <w:tc>
          <w:tcPr>
            <w:tcW w:w="1682" w:type="dxa"/>
            <w:vMerge w:val="restart"/>
            <w:tcBorders>
              <w:top w:val="single" w:sz="8"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2B8DAE08" w14:textId="77777777" w:rsidR="00EB592C" w:rsidRPr="008D5D0F" w:rsidRDefault="00EB592C" w:rsidP="00A2398A">
            <w:pPr>
              <w:spacing w:after="120"/>
              <w:ind w:left="100"/>
              <w:jc w:val="both"/>
              <w:rPr>
                <w:color w:val="000000" w:themeColor="text1"/>
                <w:sz w:val="20"/>
              </w:rPr>
            </w:pPr>
            <w:r w:rsidRPr="008D5D0F">
              <w:rPr>
                <w:color w:val="000000" w:themeColor="text1"/>
                <w:sz w:val="20"/>
              </w:rPr>
              <w:t>N/A</w:t>
            </w:r>
          </w:p>
        </w:tc>
        <w:tc>
          <w:tcPr>
            <w:tcW w:w="1560" w:type="dxa"/>
            <w:tcBorders>
              <w:top w:val="single" w:sz="8" w:space="0" w:color="000000"/>
              <w:left w:val="single" w:sz="4" w:space="0" w:color="FFFFFF"/>
              <w:bottom w:val="single" w:sz="6" w:space="0" w:color="000000"/>
              <w:right w:val="single" w:sz="4" w:space="0" w:color="FFFFFF"/>
            </w:tcBorders>
            <w:tcMar>
              <w:top w:w="100" w:type="dxa"/>
              <w:left w:w="100" w:type="dxa"/>
              <w:bottom w:w="100" w:type="dxa"/>
              <w:right w:w="100" w:type="dxa"/>
            </w:tcMar>
            <w:hideMark/>
          </w:tcPr>
          <w:p w14:paraId="755A4298" w14:textId="77777777" w:rsidR="00EB592C" w:rsidRPr="008D5D0F" w:rsidRDefault="00EB592C" w:rsidP="00A2398A">
            <w:pPr>
              <w:spacing w:after="120"/>
              <w:ind w:left="100"/>
              <w:jc w:val="both"/>
              <w:rPr>
                <w:color w:val="000000" w:themeColor="text1"/>
                <w:sz w:val="20"/>
              </w:rPr>
            </w:pPr>
            <w:r w:rsidRPr="008D5D0F">
              <w:rPr>
                <w:color w:val="000000" w:themeColor="text1"/>
                <w:sz w:val="20"/>
              </w:rPr>
              <w:t>GFED</w:t>
            </w:r>
          </w:p>
        </w:tc>
        <w:tc>
          <w:tcPr>
            <w:tcW w:w="1450" w:type="dxa"/>
            <w:tcBorders>
              <w:top w:val="single" w:sz="8" w:space="0" w:color="000000"/>
              <w:left w:val="single" w:sz="4" w:space="0" w:color="FFFFFF"/>
              <w:bottom w:val="single" w:sz="6" w:space="0" w:color="000000"/>
              <w:right w:val="single" w:sz="4" w:space="0" w:color="FFFFFF"/>
            </w:tcBorders>
            <w:tcMar>
              <w:top w:w="100" w:type="dxa"/>
              <w:left w:w="100" w:type="dxa"/>
              <w:bottom w:w="100" w:type="dxa"/>
              <w:right w:w="100" w:type="dxa"/>
            </w:tcMar>
            <w:hideMark/>
          </w:tcPr>
          <w:p w14:paraId="22B9AB52" w14:textId="77777777" w:rsidR="00EB592C" w:rsidRPr="008D5D0F" w:rsidRDefault="00EB592C" w:rsidP="00A2398A">
            <w:pPr>
              <w:spacing w:after="120"/>
              <w:ind w:left="100"/>
              <w:jc w:val="both"/>
              <w:rPr>
                <w:color w:val="000000" w:themeColor="text1"/>
                <w:sz w:val="20"/>
              </w:rPr>
            </w:pPr>
            <w:r w:rsidRPr="008D5D0F">
              <w:rPr>
                <w:color w:val="000000" w:themeColor="text1"/>
                <w:sz w:val="20"/>
              </w:rPr>
              <w:t>1980-2017</w:t>
            </w:r>
          </w:p>
        </w:tc>
        <w:tc>
          <w:tcPr>
            <w:tcW w:w="1490" w:type="dxa"/>
            <w:tcBorders>
              <w:top w:val="single" w:sz="8" w:space="0" w:color="000000"/>
              <w:left w:val="single" w:sz="4" w:space="0" w:color="FFFFFF"/>
              <w:bottom w:val="single" w:sz="6" w:space="0" w:color="000000"/>
              <w:right w:val="single" w:sz="4" w:space="0" w:color="FFFFFF"/>
            </w:tcBorders>
            <w:tcMar>
              <w:top w:w="100" w:type="dxa"/>
              <w:left w:w="100" w:type="dxa"/>
              <w:bottom w:w="100" w:type="dxa"/>
              <w:right w:w="100" w:type="dxa"/>
            </w:tcMar>
            <w:hideMark/>
          </w:tcPr>
          <w:p w14:paraId="47EE240F" w14:textId="77777777" w:rsidR="00EB592C" w:rsidRPr="008D5D0F" w:rsidRDefault="00EB592C" w:rsidP="00A2398A">
            <w:pPr>
              <w:spacing w:after="120"/>
              <w:ind w:left="100"/>
              <w:jc w:val="both"/>
              <w:rPr>
                <w:color w:val="000000" w:themeColor="text1"/>
                <w:sz w:val="20"/>
              </w:rPr>
            </w:pPr>
            <w:r w:rsidRPr="008D5D0F">
              <w:rPr>
                <w:color w:val="000000" w:themeColor="text1"/>
                <w:sz w:val="20"/>
              </w:rPr>
              <w:t>0.25°</w:t>
            </w:r>
          </w:p>
        </w:tc>
        <w:tc>
          <w:tcPr>
            <w:tcW w:w="1620" w:type="dxa"/>
            <w:tcBorders>
              <w:top w:val="single" w:sz="8" w:space="0" w:color="000000"/>
              <w:left w:val="single" w:sz="4" w:space="0" w:color="FFFFFF"/>
              <w:bottom w:val="single" w:sz="6" w:space="0" w:color="000000"/>
              <w:right w:val="single" w:sz="4" w:space="0" w:color="FFFFFF"/>
            </w:tcBorders>
            <w:tcMar>
              <w:top w:w="100" w:type="dxa"/>
              <w:left w:w="100" w:type="dxa"/>
              <w:bottom w:w="100" w:type="dxa"/>
              <w:right w:w="100" w:type="dxa"/>
            </w:tcMar>
            <w:hideMark/>
          </w:tcPr>
          <w:p w14:paraId="15EA20EE" w14:textId="77777777" w:rsidR="00EB592C" w:rsidRPr="008D5D0F" w:rsidRDefault="00EB592C" w:rsidP="00A2398A">
            <w:pPr>
              <w:spacing w:after="120"/>
              <w:ind w:left="100"/>
              <w:jc w:val="both"/>
              <w:rPr>
                <w:color w:val="000000" w:themeColor="text1"/>
                <w:sz w:val="20"/>
              </w:rPr>
            </w:pPr>
            <w:r w:rsidRPr="008D5D0F">
              <w:rPr>
                <w:color w:val="000000" w:themeColor="text1"/>
                <w:sz w:val="20"/>
              </w:rPr>
              <w:t>by grid</w:t>
            </w:r>
          </w:p>
        </w:tc>
        <w:tc>
          <w:tcPr>
            <w:tcW w:w="1705" w:type="dxa"/>
            <w:tcBorders>
              <w:top w:val="single" w:sz="8" w:space="0" w:color="000000"/>
              <w:left w:val="single" w:sz="4" w:space="0" w:color="FFFFFF"/>
              <w:bottom w:val="single" w:sz="6" w:space="0" w:color="000000"/>
              <w:right w:val="single" w:sz="4" w:space="0" w:color="FFFFFF"/>
            </w:tcBorders>
            <w:tcMar>
              <w:top w:w="100" w:type="dxa"/>
              <w:left w:w="100" w:type="dxa"/>
              <w:bottom w:w="100" w:type="dxa"/>
              <w:right w:w="100" w:type="dxa"/>
            </w:tcMar>
            <w:hideMark/>
          </w:tcPr>
          <w:p w14:paraId="51FDF6E5" w14:textId="77777777" w:rsidR="00EB592C" w:rsidRPr="008D5D0F" w:rsidRDefault="00EB592C" w:rsidP="00A2398A">
            <w:pPr>
              <w:spacing w:after="120"/>
              <w:ind w:left="100"/>
              <w:jc w:val="both"/>
              <w:rPr>
                <w:color w:val="000000" w:themeColor="text1"/>
                <w:sz w:val="20"/>
              </w:rPr>
            </w:pPr>
            <w:r w:rsidRPr="008D5D0F">
              <w:rPr>
                <w:color w:val="000000" w:themeColor="text1"/>
                <w:sz w:val="20"/>
              </w:rPr>
              <w:t>Monthly</w:t>
            </w:r>
          </w:p>
        </w:tc>
      </w:tr>
      <w:tr w:rsidR="008D5D0F" w:rsidRPr="008D5D0F" w14:paraId="2884BE2D" w14:textId="77777777" w:rsidTr="00A2398A">
        <w:trPr>
          <w:trHeight w:val="860"/>
        </w:trPr>
        <w:tc>
          <w:tcPr>
            <w:tcW w:w="1193" w:type="dxa"/>
            <w:vMerge/>
            <w:tcBorders>
              <w:top w:val="single" w:sz="8" w:space="0" w:color="000000"/>
              <w:left w:val="single" w:sz="4" w:space="0" w:color="FFFFFF"/>
              <w:bottom w:val="single" w:sz="8" w:space="0" w:color="000000"/>
              <w:right w:val="single" w:sz="4" w:space="0" w:color="FFFFFF"/>
            </w:tcBorders>
            <w:vAlign w:val="center"/>
            <w:hideMark/>
          </w:tcPr>
          <w:p w14:paraId="62F03C96" w14:textId="77777777" w:rsidR="00EB592C" w:rsidRPr="008D5D0F" w:rsidRDefault="00EB592C" w:rsidP="00A2398A">
            <w:pPr>
              <w:jc w:val="both"/>
              <w:rPr>
                <w:color w:val="000000" w:themeColor="text1"/>
                <w:sz w:val="20"/>
              </w:rPr>
            </w:pPr>
          </w:p>
        </w:tc>
        <w:tc>
          <w:tcPr>
            <w:tcW w:w="1682" w:type="dxa"/>
            <w:vMerge/>
            <w:tcBorders>
              <w:top w:val="single" w:sz="8" w:space="0" w:color="000000"/>
              <w:left w:val="single" w:sz="4" w:space="0" w:color="FFFFFF"/>
              <w:bottom w:val="single" w:sz="8" w:space="0" w:color="000000"/>
              <w:right w:val="single" w:sz="4" w:space="0" w:color="FFFFFF"/>
            </w:tcBorders>
            <w:vAlign w:val="center"/>
            <w:hideMark/>
          </w:tcPr>
          <w:p w14:paraId="35513E3B" w14:textId="77777777" w:rsidR="00EB592C" w:rsidRPr="008D5D0F" w:rsidRDefault="00EB592C" w:rsidP="00A2398A">
            <w:pPr>
              <w:jc w:val="both"/>
              <w:rPr>
                <w:color w:val="000000" w:themeColor="text1"/>
                <w:sz w:val="20"/>
              </w:rPr>
            </w:pPr>
          </w:p>
        </w:tc>
        <w:tc>
          <w:tcPr>
            <w:tcW w:w="1560" w:type="dxa"/>
            <w:tcBorders>
              <w:top w:val="single" w:sz="6"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08CD1AF4" w14:textId="77777777" w:rsidR="00EB592C" w:rsidRPr="008D5D0F" w:rsidRDefault="00EB592C" w:rsidP="00A2398A">
            <w:pPr>
              <w:spacing w:after="120"/>
              <w:ind w:left="100"/>
              <w:jc w:val="both"/>
              <w:rPr>
                <w:color w:val="000000" w:themeColor="text1"/>
                <w:sz w:val="20"/>
              </w:rPr>
            </w:pPr>
            <w:r w:rsidRPr="008D5D0F">
              <w:rPr>
                <w:color w:val="000000" w:themeColor="text1"/>
                <w:sz w:val="20"/>
              </w:rPr>
              <w:t>Worden2017</w:t>
            </w:r>
          </w:p>
        </w:tc>
        <w:tc>
          <w:tcPr>
            <w:tcW w:w="1450" w:type="dxa"/>
            <w:tcBorders>
              <w:top w:val="single" w:sz="6"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3F8FBAFD" w14:textId="77777777" w:rsidR="00EB592C" w:rsidRPr="008D5D0F" w:rsidRDefault="00EB592C" w:rsidP="00A2398A">
            <w:pPr>
              <w:spacing w:after="120"/>
              <w:ind w:left="100"/>
              <w:jc w:val="both"/>
              <w:rPr>
                <w:color w:val="000000" w:themeColor="text1"/>
                <w:sz w:val="20"/>
              </w:rPr>
            </w:pPr>
            <w:r w:rsidRPr="008D5D0F">
              <w:rPr>
                <w:color w:val="000000" w:themeColor="text1"/>
                <w:sz w:val="20"/>
              </w:rPr>
              <w:t>2001-2013</w:t>
            </w:r>
          </w:p>
        </w:tc>
        <w:tc>
          <w:tcPr>
            <w:tcW w:w="1490" w:type="dxa"/>
            <w:tcBorders>
              <w:top w:val="single" w:sz="6"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0805462B" w14:textId="77777777" w:rsidR="00EB592C" w:rsidRPr="008D5D0F" w:rsidRDefault="00EB592C" w:rsidP="00A2398A">
            <w:pPr>
              <w:spacing w:after="120"/>
              <w:ind w:left="100"/>
              <w:jc w:val="both"/>
              <w:rPr>
                <w:color w:val="000000" w:themeColor="text1"/>
                <w:sz w:val="20"/>
              </w:rPr>
            </w:pPr>
            <w:r w:rsidRPr="008D5D0F">
              <w:rPr>
                <w:color w:val="000000" w:themeColor="text1"/>
                <w:sz w:val="20"/>
              </w:rPr>
              <w:t>4°×5°</w:t>
            </w:r>
          </w:p>
        </w:tc>
        <w:tc>
          <w:tcPr>
            <w:tcW w:w="1620" w:type="dxa"/>
            <w:tcBorders>
              <w:top w:val="single" w:sz="6"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4D619352" w14:textId="77777777" w:rsidR="00EB592C" w:rsidRPr="008D5D0F" w:rsidRDefault="00EB592C" w:rsidP="00A2398A">
            <w:pPr>
              <w:spacing w:after="120"/>
              <w:ind w:left="100"/>
              <w:jc w:val="both"/>
              <w:rPr>
                <w:color w:val="000000" w:themeColor="text1"/>
                <w:sz w:val="20"/>
              </w:rPr>
            </w:pPr>
            <w:r w:rsidRPr="008D5D0F">
              <w:rPr>
                <w:color w:val="000000" w:themeColor="text1"/>
                <w:sz w:val="20"/>
              </w:rPr>
              <w:t>by grid</w:t>
            </w:r>
          </w:p>
        </w:tc>
        <w:tc>
          <w:tcPr>
            <w:tcW w:w="1705" w:type="dxa"/>
            <w:tcBorders>
              <w:top w:val="single" w:sz="6"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335D975E" w14:textId="77777777" w:rsidR="00EB592C" w:rsidRPr="008D5D0F" w:rsidRDefault="00EB592C" w:rsidP="00A2398A">
            <w:pPr>
              <w:spacing w:after="120"/>
              <w:ind w:left="100"/>
              <w:jc w:val="both"/>
              <w:rPr>
                <w:color w:val="000000" w:themeColor="text1"/>
                <w:sz w:val="20"/>
              </w:rPr>
            </w:pPr>
            <w:r w:rsidRPr="008D5D0F">
              <w:rPr>
                <w:color w:val="000000" w:themeColor="text1"/>
                <w:sz w:val="20"/>
              </w:rPr>
              <w:t>Annual</w:t>
            </w:r>
          </w:p>
        </w:tc>
      </w:tr>
      <w:tr w:rsidR="008D5D0F" w:rsidRPr="008D5D0F" w14:paraId="63BB661B" w14:textId="77777777" w:rsidTr="00A2398A">
        <w:trPr>
          <w:trHeight w:val="860"/>
        </w:trPr>
        <w:tc>
          <w:tcPr>
            <w:tcW w:w="1193" w:type="dxa"/>
            <w:vMerge w:val="restart"/>
            <w:tcBorders>
              <w:top w:val="single" w:sz="8"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078093B3" w14:textId="77777777" w:rsidR="00EB592C" w:rsidRPr="008D5D0F" w:rsidRDefault="00EB592C" w:rsidP="00A2398A">
            <w:pPr>
              <w:spacing w:after="120"/>
              <w:ind w:left="100"/>
              <w:jc w:val="both"/>
              <w:rPr>
                <w:color w:val="000000" w:themeColor="text1"/>
                <w:sz w:val="20"/>
              </w:rPr>
            </w:pPr>
            <w:r w:rsidRPr="008D5D0F">
              <w:rPr>
                <w:color w:val="000000" w:themeColor="text1"/>
                <w:sz w:val="20"/>
              </w:rPr>
              <w:t>WET</w:t>
            </w:r>
            <w:r w:rsidRPr="008D5D0F">
              <w:rPr>
                <w:color w:val="000000" w:themeColor="text1"/>
                <w:sz w:val="20"/>
                <w:vertAlign w:val="subscript"/>
              </w:rPr>
              <w:t>CH4</w:t>
            </w:r>
          </w:p>
        </w:tc>
        <w:tc>
          <w:tcPr>
            <w:tcW w:w="1682" w:type="dxa"/>
            <w:vMerge w:val="restart"/>
            <w:tcBorders>
              <w:top w:val="single" w:sz="8"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6AAEFB36" w14:textId="77777777" w:rsidR="00EB592C" w:rsidRPr="008D5D0F" w:rsidRDefault="00EB592C" w:rsidP="00A2398A">
            <w:pPr>
              <w:spacing w:after="120"/>
              <w:ind w:left="100"/>
              <w:jc w:val="both"/>
              <w:rPr>
                <w:color w:val="000000" w:themeColor="text1"/>
                <w:sz w:val="20"/>
              </w:rPr>
            </w:pPr>
            <w:r w:rsidRPr="008D5D0F">
              <w:rPr>
                <w:color w:val="000000" w:themeColor="text1"/>
                <w:sz w:val="20"/>
              </w:rPr>
              <w:t>N/A</w:t>
            </w:r>
          </w:p>
        </w:tc>
        <w:tc>
          <w:tcPr>
            <w:tcW w:w="1560" w:type="dxa"/>
            <w:tcBorders>
              <w:top w:val="single" w:sz="8" w:space="0" w:color="000000"/>
              <w:left w:val="single" w:sz="4" w:space="0" w:color="FFFFFF"/>
              <w:bottom w:val="single" w:sz="6" w:space="0" w:color="000000"/>
              <w:right w:val="single" w:sz="4" w:space="0" w:color="FFFFFF"/>
            </w:tcBorders>
            <w:tcMar>
              <w:top w:w="100" w:type="dxa"/>
              <w:left w:w="100" w:type="dxa"/>
              <w:bottom w:w="100" w:type="dxa"/>
              <w:right w:w="100" w:type="dxa"/>
            </w:tcMar>
            <w:hideMark/>
          </w:tcPr>
          <w:p w14:paraId="55E847DE" w14:textId="77777777" w:rsidR="00EB592C" w:rsidRPr="008D5D0F" w:rsidRDefault="00EB592C" w:rsidP="00A2398A">
            <w:pPr>
              <w:spacing w:after="120"/>
              <w:ind w:left="100"/>
              <w:jc w:val="both"/>
              <w:rPr>
                <w:color w:val="000000" w:themeColor="text1"/>
                <w:sz w:val="20"/>
              </w:rPr>
            </w:pPr>
            <w:r w:rsidRPr="008D5D0F">
              <w:rPr>
                <w:color w:val="000000" w:themeColor="text1"/>
                <w:sz w:val="20"/>
              </w:rPr>
              <w:t>LPJ with CRU</w:t>
            </w:r>
          </w:p>
        </w:tc>
        <w:tc>
          <w:tcPr>
            <w:tcW w:w="1450" w:type="dxa"/>
            <w:tcBorders>
              <w:top w:val="single" w:sz="8" w:space="0" w:color="000000"/>
              <w:left w:val="single" w:sz="4" w:space="0" w:color="FFFFFF"/>
              <w:bottom w:val="single" w:sz="6" w:space="0" w:color="000000"/>
              <w:right w:val="single" w:sz="4" w:space="0" w:color="FFFFFF"/>
            </w:tcBorders>
            <w:tcMar>
              <w:top w:w="100" w:type="dxa"/>
              <w:left w:w="100" w:type="dxa"/>
              <w:bottom w:w="100" w:type="dxa"/>
              <w:right w:w="100" w:type="dxa"/>
            </w:tcMar>
            <w:hideMark/>
          </w:tcPr>
          <w:p w14:paraId="4B19F626" w14:textId="77777777" w:rsidR="00EB592C" w:rsidRPr="008D5D0F" w:rsidRDefault="00EB592C" w:rsidP="00A2398A">
            <w:pPr>
              <w:spacing w:after="120"/>
              <w:ind w:left="100"/>
              <w:jc w:val="both"/>
              <w:rPr>
                <w:color w:val="000000" w:themeColor="text1"/>
                <w:sz w:val="20"/>
              </w:rPr>
            </w:pPr>
            <w:r w:rsidRPr="008D5D0F">
              <w:rPr>
                <w:color w:val="000000" w:themeColor="text1"/>
                <w:sz w:val="20"/>
              </w:rPr>
              <w:t>1980-2017</w:t>
            </w:r>
          </w:p>
        </w:tc>
        <w:tc>
          <w:tcPr>
            <w:tcW w:w="1490" w:type="dxa"/>
            <w:tcBorders>
              <w:top w:val="single" w:sz="8" w:space="0" w:color="000000"/>
              <w:left w:val="single" w:sz="4" w:space="0" w:color="FFFFFF"/>
              <w:bottom w:val="single" w:sz="6" w:space="0" w:color="000000"/>
              <w:right w:val="single" w:sz="4" w:space="0" w:color="FFFFFF"/>
            </w:tcBorders>
            <w:tcMar>
              <w:top w:w="100" w:type="dxa"/>
              <w:left w:w="100" w:type="dxa"/>
              <w:bottom w:w="100" w:type="dxa"/>
              <w:right w:w="100" w:type="dxa"/>
            </w:tcMar>
            <w:hideMark/>
          </w:tcPr>
          <w:p w14:paraId="3E04FC3A" w14:textId="77777777" w:rsidR="00EB592C" w:rsidRPr="008D5D0F" w:rsidRDefault="00EB592C" w:rsidP="00A2398A">
            <w:pPr>
              <w:spacing w:after="120"/>
              <w:ind w:left="100"/>
              <w:jc w:val="both"/>
              <w:rPr>
                <w:color w:val="000000" w:themeColor="text1"/>
                <w:sz w:val="20"/>
              </w:rPr>
            </w:pPr>
            <w:r w:rsidRPr="008D5D0F">
              <w:rPr>
                <w:color w:val="000000" w:themeColor="text1"/>
                <w:sz w:val="20"/>
              </w:rPr>
              <w:t>0.5°</w:t>
            </w:r>
          </w:p>
        </w:tc>
        <w:tc>
          <w:tcPr>
            <w:tcW w:w="1620" w:type="dxa"/>
            <w:tcBorders>
              <w:top w:val="single" w:sz="8" w:space="0" w:color="000000"/>
              <w:left w:val="single" w:sz="4" w:space="0" w:color="FFFFFF"/>
              <w:bottom w:val="single" w:sz="6" w:space="0" w:color="000000"/>
              <w:right w:val="single" w:sz="4" w:space="0" w:color="FFFFFF"/>
            </w:tcBorders>
            <w:tcMar>
              <w:top w:w="100" w:type="dxa"/>
              <w:left w:w="100" w:type="dxa"/>
              <w:bottom w:w="100" w:type="dxa"/>
              <w:right w:w="100" w:type="dxa"/>
            </w:tcMar>
            <w:hideMark/>
          </w:tcPr>
          <w:p w14:paraId="604D108A" w14:textId="77777777" w:rsidR="00EB592C" w:rsidRPr="008D5D0F" w:rsidRDefault="00EB592C" w:rsidP="00A2398A">
            <w:pPr>
              <w:spacing w:after="120"/>
              <w:ind w:left="100"/>
              <w:jc w:val="both"/>
              <w:rPr>
                <w:color w:val="000000" w:themeColor="text1"/>
                <w:sz w:val="20"/>
              </w:rPr>
            </w:pPr>
            <w:r w:rsidRPr="008D5D0F">
              <w:rPr>
                <w:color w:val="000000" w:themeColor="text1"/>
                <w:sz w:val="20"/>
              </w:rPr>
              <w:t>by grid</w:t>
            </w:r>
          </w:p>
        </w:tc>
        <w:tc>
          <w:tcPr>
            <w:tcW w:w="1705" w:type="dxa"/>
            <w:tcBorders>
              <w:top w:val="single" w:sz="8" w:space="0" w:color="000000"/>
              <w:left w:val="single" w:sz="4" w:space="0" w:color="FFFFFF"/>
              <w:bottom w:val="single" w:sz="6" w:space="0" w:color="000000"/>
              <w:right w:val="single" w:sz="4" w:space="0" w:color="FFFFFF"/>
            </w:tcBorders>
            <w:tcMar>
              <w:top w:w="100" w:type="dxa"/>
              <w:left w:w="100" w:type="dxa"/>
              <w:bottom w:w="100" w:type="dxa"/>
              <w:right w:w="100" w:type="dxa"/>
            </w:tcMar>
            <w:hideMark/>
          </w:tcPr>
          <w:p w14:paraId="07806550" w14:textId="77777777" w:rsidR="00EB592C" w:rsidRPr="008D5D0F" w:rsidRDefault="00EB592C" w:rsidP="00A2398A">
            <w:pPr>
              <w:spacing w:after="120"/>
              <w:ind w:left="100"/>
              <w:jc w:val="both"/>
              <w:rPr>
                <w:color w:val="000000" w:themeColor="text1"/>
                <w:sz w:val="20"/>
              </w:rPr>
            </w:pPr>
            <w:r w:rsidRPr="008D5D0F">
              <w:rPr>
                <w:color w:val="000000" w:themeColor="text1"/>
                <w:sz w:val="20"/>
              </w:rPr>
              <w:t>Monthly</w:t>
            </w:r>
          </w:p>
        </w:tc>
      </w:tr>
      <w:tr w:rsidR="008D5D0F" w:rsidRPr="008D5D0F" w14:paraId="1C92B7C6" w14:textId="77777777" w:rsidTr="00A2398A">
        <w:trPr>
          <w:trHeight w:val="860"/>
        </w:trPr>
        <w:tc>
          <w:tcPr>
            <w:tcW w:w="1193" w:type="dxa"/>
            <w:vMerge/>
            <w:tcBorders>
              <w:top w:val="single" w:sz="8" w:space="0" w:color="000000"/>
              <w:left w:val="single" w:sz="4" w:space="0" w:color="FFFFFF"/>
              <w:bottom w:val="single" w:sz="8" w:space="0" w:color="000000"/>
              <w:right w:val="single" w:sz="4" w:space="0" w:color="FFFFFF"/>
            </w:tcBorders>
            <w:vAlign w:val="center"/>
            <w:hideMark/>
          </w:tcPr>
          <w:p w14:paraId="274914EB" w14:textId="77777777" w:rsidR="00EB592C" w:rsidRPr="008D5D0F" w:rsidRDefault="00EB592C" w:rsidP="00A2398A">
            <w:pPr>
              <w:jc w:val="both"/>
              <w:rPr>
                <w:color w:val="000000" w:themeColor="text1"/>
                <w:sz w:val="20"/>
              </w:rPr>
            </w:pPr>
          </w:p>
        </w:tc>
        <w:tc>
          <w:tcPr>
            <w:tcW w:w="1682" w:type="dxa"/>
            <w:vMerge/>
            <w:tcBorders>
              <w:top w:val="single" w:sz="8" w:space="0" w:color="000000"/>
              <w:left w:val="single" w:sz="4" w:space="0" w:color="FFFFFF"/>
              <w:bottom w:val="single" w:sz="8" w:space="0" w:color="000000"/>
              <w:right w:val="single" w:sz="4" w:space="0" w:color="FFFFFF"/>
            </w:tcBorders>
            <w:vAlign w:val="center"/>
            <w:hideMark/>
          </w:tcPr>
          <w:p w14:paraId="39B43F8E" w14:textId="77777777" w:rsidR="00EB592C" w:rsidRPr="008D5D0F" w:rsidRDefault="00EB592C" w:rsidP="00A2398A">
            <w:pPr>
              <w:jc w:val="both"/>
              <w:rPr>
                <w:color w:val="000000" w:themeColor="text1"/>
                <w:sz w:val="20"/>
              </w:rPr>
            </w:pPr>
          </w:p>
        </w:tc>
        <w:tc>
          <w:tcPr>
            <w:tcW w:w="1560" w:type="dxa"/>
            <w:tcBorders>
              <w:top w:val="single" w:sz="6"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52F70FAA" w14:textId="77777777" w:rsidR="00EB592C" w:rsidRPr="008D5D0F" w:rsidRDefault="00EB592C" w:rsidP="00A2398A">
            <w:pPr>
              <w:spacing w:after="120"/>
              <w:ind w:left="100"/>
              <w:jc w:val="both"/>
              <w:rPr>
                <w:color w:val="000000" w:themeColor="text1"/>
                <w:sz w:val="20"/>
              </w:rPr>
            </w:pPr>
            <w:r w:rsidRPr="008D5D0F">
              <w:rPr>
                <w:color w:val="000000" w:themeColor="text1"/>
                <w:sz w:val="20"/>
              </w:rPr>
              <w:t>LPJ with Reanalyses</w:t>
            </w:r>
          </w:p>
        </w:tc>
        <w:tc>
          <w:tcPr>
            <w:tcW w:w="1450" w:type="dxa"/>
            <w:tcBorders>
              <w:top w:val="single" w:sz="6"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6B20C7DE" w14:textId="77777777" w:rsidR="00EB592C" w:rsidRPr="008D5D0F" w:rsidRDefault="00EB592C" w:rsidP="00A2398A">
            <w:pPr>
              <w:spacing w:after="120"/>
              <w:ind w:left="100"/>
              <w:jc w:val="both"/>
              <w:rPr>
                <w:color w:val="000000" w:themeColor="text1"/>
                <w:sz w:val="20"/>
              </w:rPr>
            </w:pPr>
            <w:r w:rsidRPr="008D5D0F">
              <w:rPr>
                <w:color w:val="000000" w:themeColor="text1"/>
                <w:sz w:val="20"/>
              </w:rPr>
              <w:t>1980-2017</w:t>
            </w:r>
          </w:p>
        </w:tc>
        <w:tc>
          <w:tcPr>
            <w:tcW w:w="1490" w:type="dxa"/>
            <w:tcBorders>
              <w:top w:val="single" w:sz="6"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63A08B0E" w14:textId="77777777" w:rsidR="00EB592C" w:rsidRPr="008D5D0F" w:rsidRDefault="00EB592C" w:rsidP="00A2398A">
            <w:pPr>
              <w:spacing w:after="120"/>
              <w:ind w:left="100"/>
              <w:jc w:val="both"/>
              <w:rPr>
                <w:color w:val="000000" w:themeColor="text1"/>
                <w:sz w:val="20"/>
              </w:rPr>
            </w:pPr>
            <w:r w:rsidRPr="008D5D0F">
              <w:rPr>
                <w:color w:val="000000" w:themeColor="text1"/>
                <w:sz w:val="20"/>
              </w:rPr>
              <w:t>0.5°</w:t>
            </w:r>
          </w:p>
        </w:tc>
        <w:tc>
          <w:tcPr>
            <w:tcW w:w="1620" w:type="dxa"/>
            <w:tcBorders>
              <w:top w:val="single" w:sz="6"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21037839" w14:textId="77777777" w:rsidR="00EB592C" w:rsidRPr="008D5D0F" w:rsidRDefault="00EB592C" w:rsidP="00A2398A">
            <w:pPr>
              <w:spacing w:after="120"/>
              <w:ind w:left="100"/>
              <w:jc w:val="both"/>
              <w:rPr>
                <w:color w:val="000000" w:themeColor="text1"/>
                <w:sz w:val="20"/>
              </w:rPr>
            </w:pPr>
            <w:r w:rsidRPr="008D5D0F">
              <w:rPr>
                <w:color w:val="000000" w:themeColor="text1"/>
                <w:sz w:val="20"/>
              </w:rPr>
              <w:t>by grid</w:t>
            </w:r>
          </w:p>
        </w:tc>
        <w:tc>
          <w:tcPr>
            <w:tcW w:w="1705" w:type="dxa"/>
            <w:tcBorders>
              <w:top w:val="single" w:sz="6"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1D27D7E9" w14:textId="77777777" w:rsidR="00EB592C" w:rsidRPr="008D5D0F" w:rsidRDefault="00EB592C" w:rsidP="00A2398A">
            <w:pPr>
              <w:spacing w:after="120"/>
              <w:ind w:left="100"/>
              <w:jc w:val="both"/>
              <w:rPr>
                <w:color w:val="000000" w:themeColor="text1"/>
                <w:sz w:val="20"/>
              </w:rPr>
            </w:pPr>
            <w:r w:rsidRPr="008D5D0F">
              <w:rPr>
                <w:color w:val="000000" w:themeColor="text1"/>
                <w:sz w:val="20"/>
              </w:rPr>
              <w:t>Monthly</w:t>
            </w:r>
          </w:p>
        </w:tc>
      </w:tr>
      <w:tr w:rsidR="008D5D0F" w:rsidRPr="008D5D0F" w14:paraId="18C23090" w14:textId="77777777" w:rsidTr="00A2398A">
        <w:trPr>
          <w:trHeight w:val="600"/>
        </w:trPr>
        <w:tc>
          <w:tcPr>
            <w:tcW w:w="1193" w:type="dxa"/>
            <w:vMerge w:val="restart"/>
            <w:tcBorders>
              <w:top w:val="single" w:sz="8"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43A0EE43" w14:textId="77777777" w:rsidR="00EB592C" w:rsidRPr="008D5D0F" w:rsidRDefault="00EB592C" w:rsidP="00A2398A">
            <w:pPr>
              <w:spacing w:after="120"/>
              <w:ind w:left="100"/>
              <w:jc w:val="both"/>
              <w:rPr>
                <w:color w:val="000000" w:themeColor="text1"/>
                <w:sz w:val="20"/>
              </w:rPr>
            </w:pPr>
            <w:r w:rsidRPr="008D5D0F">
              <w:rPr>
                <w:color w:val="000000" w:themeColor="text1"/>
                <w:sz w:val="20"/>
              </w:rPr>
              <w:t>GEO</w:t>
            </w:r>
            <w:r w:rsidRPr="008D5D0F">
              <w:rPr>
                <w:color w:val="000000" w:themeColor="text1"/>
                <w:sz w:val="20"/>
                <w:vertAlign w:val="subscript"/>
              </w:rPr>
              <w:t>CH4</w:t>
            </w:r>
          </w:p>
        </w:tc>
        <w:tc>
          <w:tcPr>
            <w:tcW w:w="1682" w:type="dxa"/>
            <w:vMerge w:val="restart"/>
            <w:tcBorders>
              <w:top w:val="single" w:sz="8"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0FE1572F" w14:textId="77777777" w:rsidR="00EB592C" w:rsidRPr="008D5D0F" w:rsidRDefault="00EB592C" w:rsidP="00A2398A">
            <w:pPr>
              <w:spacing w:after="120"/>
              <w:ind w:left="100"/>
              <w:jc w:val="both"/>
              <w:rPr>
                <w:color w:val="000000" w:themeColor="text1"/>
                <w:sz w:val="20"/>
              </w:rPr>
            </w:pPr>
            <w:r w:rsidRPr="008D5D0F">
              <w:rPr>
                <w:color w:val="000000" w:themeColor="text1"/>
                <w:sz w:val="20"/>
              </w:rPr>
              <w:t>N/A</w:t>
            </w:r>
          </w:p>
        </w:tc>
        <w:tc>
          <w:tcPr>
            <w:tcW w:w="1560" w:type="dxa"/>
            <w:tcBorders>
              <w:top w:val="single" w:sz="8"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52DA6D8E" w14:textId="77777777" w:rsidR="00EB592C" w:rsidRPr="008D5D0F" w:rsidRDefault="00EB592C" w:rsidP="00A2398A">
            <w:pPr>
              <w:spacing w:after="120"/>
              <w:ind w:left="100"/>
              <w:jc w:val="both"/>
              <w:rPr>
                <w:color w:val="000000" w:themeColor="text1"/>
                <w:sz w:val="20"/>
              </w:rPr>
            </w:pPr>
            <w:r w:rsidRPr="008D5D0F">
              <w:rPr>
                <w:color w:val="000000" w:themeColor="text1"/>
                <w:sz w:val="20"/>
              </w:rPr>
              <w:t>Etiope et al., (2018)</w:t>
            </w:r>
          </w:p>
        </w:tc>
        <w:tc>
          <w:tcPr>
            <w:tcW w:w="1450" w:type="dxa"/>
            <w:tcBorders>
              <w:top w:val="single" w:sz="8"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20A9C55E" w14:textId="77777777" w:rsidR="00EB592C" w:rsidRPr="008D5D0F" w:rsidRDefault="00EB592C" w:rsidP="00A2398A">
            <w:pPr>
              <w:spacing w:after="120"/>
              <w:ind w:left="100"/>
              <w:jc w:val="both"/>
              <w:rPr>
                <w:color w:val="000000" w:themeColor="text1"/>
                <w:sz w:val="20"/>
              </w:rPr>
            </w:pPr>
            <w:r w:rsidRPr="008D5D0F">
              <w:rPr>
                <w:color w:val="000000" w:themeColor="text1"/>
                <w:sz w:val="20"/>
              </w:rPr>
              <w:t>Climatology</w:t>
            </w:r>
          </w:p>
        </w:tc>
        <w:tc>
          <w:tcPr>
            <w:tcW w:w="1490" w:type="dxa"/>
            <w:tcBorders>
              <w:top w:val="single" w:sz="8"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2C056664" w14:textId="77777777" w:rsidR="00EB592C" w:rsidRPr="008D5D0F" w:rsidRDefault="00EB592C" w:rsidP="00A2398A">
            <w:pPr>
              <w:spacing w:after="120"/>
              <w:ind w:left="100"/>
              <w:jc w:val="both"/>
              <w:rPr>
                <w:color w:val="000000" w:themeColor="text1"/>
                <w:sz w:val="20"/>
              </w:rPr>
            </w:pPr>
            <w:r w:rsidRPr="008D5D0F">
              <w:rPr>
                <w:color w:val="000000" w:themeColor="text1"/>
                <w:sz w:val="20"/>
              </w:rPr>
              <w:t>1°</w:t>
            </w:r>
          </w:p>
        </w:tc>
        <w:tc>
          <w:tcPr>
            <w:tcW w:w="1620" w:type="dxa"/>
            <w:tcBorders>
              <w:top w:val="single" w:sz="8"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6635C97E" w14:textId="77777777" w:rsidR="00EB592C" w:rsidRPr="008D5D0F" w:rsidRDefault="00EB592C" w:rsidP="00A2398A">
            <w:pPr>
              <w:spacing w:after="120"/>
              <w:ind w:left="100"/>
              <w:jc w:val="both"/>
              <w:rPr>
                <w:color w:val="000000" w:themeColor="text1"/>
                <w:sz w:val="20"/>
              </w:rPr>
            </w:pPr>
            <w:r w:rsidRPr="008D5D0F">
              <w:rPr>
                <w:color w:val="000000" w:themeColor="text1"/>
                <w:sz w:val="20"/>
              </w:rPr>
              <w:t>by grid</w:t>
            </w:r>
          </w:p>
        </w:tc>
        <w:tc>
          <w:tcPr>
            <w:tcW w:w="1705" w:type="dxa"/>
            <w:tcBorders>
              <w:top w:val="single" w:sz="8"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387FC555" w14:textId="77777777" w:rsidR="00EB592C" w:rsidRPr="008D5D0F" w:rsidRDefault="00EB592C" w:rsidP="00A2398A">
            <w:pPr>
              <w:spacing w:after="120"/>
              <w:ind w:left="100"/>
              <w:jc w:val="both"/>
              <w:rPr>
                <w:color w:val="000000" w:themeColor="text1"/>
                <w:sz w:val="20"/>
              </w:rPr>
            </w:pPr>
            <w:r w:rsidRPr="008D5D0F">
              <w:rPr>
                <w:color w:val="000000" w:themeColor="text1"/>
                <w:sz w:val="20"/>
              </w:rPr>
              <w:t>Constant</w:t>
            </w:r>
          </w:p>
        </w:tc>
      </w:tr>
      <w:tr w:rsidR="008D5D0F" w:rsidRPr="008D5D0F" w14:paraId="6BD92E31" w14:textId="77777777" w:rsidTr="00A2398A">
        <w:trPr>
          <w:trHeight w:val="600"/>
        </w:trPr>
        <w:tc>
          <w:tcPr>
            <w:tcW w:w="1193" w:type="dxa"/>
            <w:vMerge/>
            <w:tcBorders>
              <w:top w:val="single" w:sz="8" w:space="0" w:color="000000"/>
              <w:left w:val="single" w:sz="4" w:space="0" w:color="FFFFFF"/>
              <w:bottom w:val="single" w:sz="8" w:space="0" w:color="000000"/>
              <w:right w:val="single" w:sz="4" w:space="0" w:color="FFFFFF"/>
            </w:tcBorders>
            <w:vAlign w:val="center"/>
            <w:hideMark/>
          </w:tcPr>
          <w:p w14:paraId="6CCDC041" w14:textId="77777777" w:rsidR="00EB592C" w:rsidRPr="008D5D0F" w:rsidRDefault="00EB592C" w:rsidP="00A2398A">
            <w:pPr>
              <w:jc w:val="both"/>
              <w:rPr>
                <w:color w:val="000000" w:themeColor="text1"/>
                <w:sz w:val="20"/>
              </w:rPr>
            </w:pPr>
          </w:p>
        </w:tc>
        <w:tc>
          <w:tcPr>
            <w:tcW w:w="1682" w:type="dxa"/>
            <w:vMerge/>
            <w:tcBorders>
              <w:top w:val="single" w:sz="8" w:space="0" w:color="000000"/>
              <w:left w:val="single" w:sz="4" w:space="0" w:color="FFFFFF"/>
              <w:bottom w:val="single" w:sz="8" w:space="0" w:color="000000"/>
              <w:right w:val="single" w:sz="4" w:space="0" w:color="FFFFFF"/>
            </w:tcBorders>
            <w:vAlign w:val="center"/>
            <w:hideMark/>
          </w:tcPr>
          <w:p w14:paraId="2C556371" w14:textId="77777777" w:rsidR="00EB592C" w:rsidRPr="008D5D0F" w:rsidRDefault="00EB592C" w:rsidP="00A2398A">
            <w:pPr>
              <w:jc w:val="both"/>
              <w:rPr>
                <w:color w:val="000000" w:themeColor="text1"/>
                <w:sz w:val="20"/>
              </w:rPr>
            </w:pPr>
          </w:p>
        </w:tc>
        <w:tc>
          <w:tcPr>
            <w:tcW w:w="1560" w:type="dxa"/>
            <w:tcBorders>
              <w:top w:val="single" w:sz="8"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62D4BA32" w14:textId="77777777" w:rsidR="00EB592C" w:rsidRPr="008D5D0F" w:rsidRDefault="00EB592C" w:rsidP="00A2398A">
            <w:pPr>
              <w:spacing w:after="120"/>
              <w:ind w:left="100"/>
              <w:jc w:val="both"/>
              <w:rPr>
                <w:color w:val="000000" w:themeColor="text1"/>
                <w:sz w:val="20"/>
              </w:rPr>
            </w:pPr>
            <w:r w:rsidRPr="008D5D0F">
              <w:rPr>
                <w:color w:val="000000" w:themeColor="text1"/>
                <w:sz w:val="20"/>
              </w:rPr>
              <w:t>Petreko et al., (2017)</w:t>
            </w:r>
          </w:p>
        </w:tc>
        <w:tc>
          <w:tcPr>
            <w:tcW w:w="1450" w:type="dxa"/>
            <w:tcBorders>
              <w:top w:val="single" w:sz="8"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15F7E955" w14:textId="77777777" w:rsidR="00EB592C" w:rsidRPr="008D5D0F" w:rsidRDefault="00EB592C" w:rsidP="00A2398A">
            <w:pPr>
              <w:spacing w:after="120"/>
              <w:ind w:left="100"/>
              <w:jc w:val="both"/>
              <w:rPr>
                <w:color w:val="000000" w:themeColor="text1"/>
                <w:sz w:val="20"/>
              </w:rPr>
            </w:pPr>
            <w:r w:rsidRPr="008D5D0F">
              <w:rPr>
                <w:color w:val="000000" w:themeColor="text1"/>
                <w:sz w:val="20"/>
              </w:rPr>
              <w:t>Constant</w:t>
            </w:r>
          </w:p>
        </w:tc>
        <w:tc>
          <w:tcPr>
            <w:tcW w:w="1490" w:type="dxa"/>
            <w:tcBorders>
              <w:top w:val="single" w:sz="8"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62BF1B32" w14:textId="77777777" w:rsidR="00EB592C" w:rsidRPr="008D5D0F" w:rsidRDefault="00EB592C" w:rsidP="00A2398A">
            <w:pPr>
              <w:spacing w:after="120"/>
              <w:ind w:left="100"/>
              <w:jc w:val="both"/>
              <w:rPr>
                <w:color w:val="000000" w:themeColor="text1"/>
                <w:sz w:val="20"/>
              </w:rPr>
            </w:pPr>
            <w:r w:rsidRPr="008D5D0F">
              <w:rPr>
                <w:color w:val="000000" w:themeColor="text1"/>
                <w:sz w:val="20"/>
              </w:rPr>
              <w:t>Single Value</w:t>
            </w:r>
          </w:p>
        </w:tc>
        <w:tc>
          <w:tcPr>
            <w:tcW w:w="1620" w:type="dxa"/>
            <w:tcBorders>
              <w:top w:val="single" w:sz="8"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58834BA4" w14:textId="77777777" w:rsidR="00EB592C" w:rsidRPr="008D5D0F" w:rsidRDefault="00EB592C" w:rsidP="00A2398A">
            <w:pPr>
              <w:spacing w:after="120"/>
              <w:ind w:left="100"/>
              <w:jc w:val="both"/>
              <w:rPr>
                <w:color w:val="000000" w:themeColor="text1"/>
                <w:sz w:val="20"/>
              </w:rPr>
            </w:pPr>
            <w:r w:rsidRPr="008D5D0F">
              <w:rPr>
                <w:color w:val="000000" w:themeColor="text1"/>
                <w:sz w:val="20"/>
              </w:rPr>
              <w:t>N/A</w:t>
            </w:r>
          </w:p>
        </w:tc>
        <w:tc>
          <w:tcPr>
            <w:tcW w:w="1705" w:type="dxa"/>
            <w:tcBorders>
              <w:top w:val="single" w:sz="8"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3FF9C3CC" w14:textId="77777777" w:rsidR="00EB592C" w:rsidRPr="008D5D0F" w:rsidRDefault="00EB592C" w:rsidP="00A2398A">
            <w:pPr>
              <w:spacing w:after="120"/>
              <w:ind w:left="100"/>
              <w:jc w:val="both"/>
              <w:rPr>
                <w:color w:val="000000" w:themeColor="text1"/>
                <w:sz w:val="20"/>
              </w:rPr>
            </w:pPr>
            <w:r w:rsidRPr="008D5D0F">
              <w:rPr>
                <w:color w:val="000000" w:themeColor="text1"/>
                <w:sz w:val="20"/>
              </w:rPr>
              <w:t>N/A</w:t>
            </w:r>
          </w:p>
        </w:tc>
      </w:tr>
      <w:tr w:rsidR="008D5D0F" w:rsidRPr="008D5D0F" w14:paraId="40C2D556" w14:textId="77777777" w:rsidTr="00A2398A">
        <w:trPr>
          <w:trHeight w:val="600"/>
        </w:trPr>
        <w:tc>
          <w:tcPr>
            <w:tcW w:w="1193" w:type="dxa"/>
            <w:tcBorders>
              <w:top w:val="single" w:sz="8"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05CDF9C7" w14:textId="77777777" w:rsidR="00EB592C" w:rsidRPr="008D5D0F" w:rsidRDefault="00EB592C" w:rsidP="00A2398A">
            <w:pPr>
              <w:spacing w:after="120"/>
              <w:ind w:left="100"/>
              <w:jc w:val="both"/>
              <w:rPr>
                <w:color w:val="000000" w:themeColor="text1"/>
                <w:sz w:val="20"/>
              </w:rPr>
            </w:pPr>
            <w:r w:rsidRPr="008D5D0F">
              <w:rPr>
                <w:color w:val="000000" w:themeColor="text1"/>
                <w:sz w:val="20"/>
              </w:rPr>
              <w:t>Soil Sink</w:t>
            </w:r>
          </w:p>
        </w:tc>
        <w:tc>
          <w:tcPr>
            <w:tcW w:w="1682" w:type="dxa"/>
            <w:tcBorders>
              <w:top w:val="single" w:sz="8"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49F3F107" w14:textId="77777777" w:rsidR="00EB592C" w:rsidRPr="008D5D0F" w:rsidRDefault="00EB592C" w:rsidP="00A2398A">
            <w:pPr>
              <w:spacing w:after="120"/>
              <w:ind w:left="100"/>
              <w:jc w:val="both"/>
              <w:rPr>
                <w:color w:val="000000" w:themeColor="text1"/>
                <w:sz w:val="20"/>
              </w:rPr>
            </w:pPr>
            <w:r w:rsidRPr="008D5D0F">
              <w:rPr>
                <w:color w:val="000000" w:themeColor="text1"/>
                <w:sz w:val="20"/>
              </w:rPr>
              <w:t>N/A</w:t>
            </w:r>
          </w:p>
        </w:tc>
        <w:tc>
          <w:tcPr>
            <w:tcW w:w="1560" w:type="dxa"/>
            <w:tcBorders>
              <w:top w:val="single" w:sz="8"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2E727A0D" w14:textId="77777777" w:rsidR="00EB592C" w:rsidRPr="008D5D0F" w:rsidRDefault="00EB592C" w:rsidP="00A2398A">
            <w:pPr>
              <w:spacing w:after="120"/>
              <w:ind w:left="100"/>
              <w:jc w:val="both"/>
              <w:rPr>
                <w:color w:val="000000" w:themeColor="text1"/>
                <w:sz w:val="20"/>
              </w:rPr>
            </w:pPr>
            <w:r w:rsidRPr="008D5D0F">
              <w:rPr>
                <w:color w:val="000000" w:themeColor="text1"/>
                <w:sz w:val="20"/>
              </w:rPr>
              <w:t>Murguia-Flores et al.,  (2017)</w:t>
            </w:r>
          </w:p>
        </w:tc>
        <w:tc>
          <w:tcPr>
            <w:tcW w:w="1450" w:type="dxa"/>
            <w:tcBorders>
              <w:top w:val="single" w:sz="8"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78C11CC3" w14:textId="77777777" w:rsidR="00EB592C" w:rsidRPr="008D5D0F" w:rsidRDefault="00EB592C" w:rsidP="00A2398A">
            <w:pPr>
              <w:spacing w:after="120"/>
              <w:ind w:left="100"/>
              <w:jc w:val="both"/>
              <w:rPr>
                <w:color w:val="000000" w:themeColor="text1"/>
                <w:sz w:val="20"/>
              </w:rPr>
            </w:pPr>
            <w:r w:rsidRPr="008D5D0F">
              <w:rPr>
                <w:color w:val="000000" w:themeColor="text1"/>
                <w:sz w:val="20"/>
              </w:rPr>
              <w:t>Climatology</w:t>
            </w:r>
          </w:p>
        </w:tc>
        <w:tc>
          <w:tcPr>
            <w:tcW w:w="1490" w:type="dxa"/>
            <w:tcBorders>
              <w:top w:val="single" w:sz="8"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23794F17" w14:textId="77777777" w:rsidR="00EB592C" w:rsidRPr="008D5D0F" w:rsidRDefault="00EB592C" w:rsidP="00A2398A">
            <w:pPr>
              <w:spacing w:after="120"/>
              <w:ind w:left="100"/>
              <w:jc w:val="both"/>
              <w:rPr>
                <w:color w:val="000000" w:themeColor="text1"/>
                <w:sz w:val="20"/>
              </w:rPr>
            </w:pPr>
            <w:r w:rsidRPr="008D5D0F">
              <w:rPr>
                <w:color w:val="000000" w:themeColor="text1"/>
                <w:sz w:val="20"/>
              </w:rPr>
              <w:t>0.25°</w:t>
            </w:r>
          </w:p>
        </w:tc>
        <w:tc>
          <w:tcPr>
            <w:tcW w:w="1620" w:type="dxa"/>
            <w:tcBorders>
              <w:top w:val="single" w:sz="8"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7FDBEEB5" w14:textId="77777777" w:rsidR="00EB592C" w:rsidRPr="008D5D0F" w:rsidRDefault="00EB592C" w:rsidP="00A2398A">
            <w:pPr>
              <w:spacing w:after="120"/>
              <w:ind w:left="100"/>
              <w:jc w:val="both"/>
              <w:rPr>
                <w:color w:val="000000" w:themeColor="text1"/>
                <w:sz w:val="20"/>
              </w:rPr>
            </w:pPr>
            <w:r w:rsidRPr="008D5D0F">
              <w:rPr>
                <w:color w:val="000000" w:themeColor="text1"/>
                <w:sz w:val="20"/>
              </w:rPr>
              <w:t>NA</w:t>
            </w:r>
          </w:p>
        </w:tc>
        <w:tc>
          <w:tcPr>
            <w:tcW w:w="1705" w:type="dxa"/>
            <w:tcBorders>
              <w:top w:val="single" w:sz="8"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33618F4A" w14:textId="77777777" w:rsidR="00EB592C" w:rsidRPr="008D5D0F" w:rsidRDefault="00EB592C" w:rsidP="00A2398A">
            <w:pPr>
              <w:spacing w:after="120"/>
              <w:ind w:left="100"/>
              <w:jc w:val="both"/>
              <w:rPr>
                <w:color w:val="000000" w:themeColor="text1"/>
                <w:sz w:val="20"/>
              </w:rPr>
            </w:pPr>
            <w:r w:rsidRPr="008D5D0F">
              <w:rPr>
                <w:color w:val="000000" w:themeColor="text1"/>
                <w:sz w:val="20"/>
              </w:rPr>
              <w:t>Constant</w:t>
            </w:r>
          </w:p>
        </w:tc>
      </w:tr>
    </w:tbl>
    <w:p w14:paraId="0D7F1AB6" w14:textId="77777777" w:rsidR="00EB592C" w:rsidRPr="008D5D0F" w:rsidRDefault="00EB592C" w:rsidP="00EB592C">
      <w:pPr>
        <w:spacing w:after="120"/>
        <w:jc w:val="both"/>
        <w:rPr>
          <w:color w:val="000000" w:themeColor="text1"/>
          <w:sz w:val="20"/>
        </w:rPr>
      </w:pPr>
      <w:r w:rsidRPr="008D5D0F">
        <w:rPr>
          <w:color w:val="000000" w:themeColor="text1"/>
          <w:sz w:val="20"/>
        </w:rPr>
        <w:t xml:space="preserve">Notes: </w:t>
      </w:r>
      <w:r w:rsidRPr="008D5D0F">
        <w:rPr>
          <w:color w:val="000000" w:themeColor="text1"/>
          <w:sz w:val="20"/>
          <w:vertAlign w:val="superscript"/>
        </w:rPr>
        <w:t>a</w:t>
      </w:r>
      <w:r w:rsidRPr="008D5D0F">
        <w:rPr>
          <w:color w:val="000000" w:themeColor="text1"/>
          <w:sz w:val="20"/>
        </w:rPr>
        <w:t xml:space="preserve"> EDGARv.4.2 represents a harmonized dataset merging EDGARv4.2 that covers 1970-2008 and EDGARv4.2FT2010 and EDGARv4.2FT2012 that extends the time series to 2012. </w:t>
      </w:r>
      <w:r w:rsidRPr="008D5D0F">
        <w:rPr>
          <w:color w:val="000000" w:themeColor="text1"/>
          <w:sz w:val="20"/>
          <w:vertAlign w:val="superscript"/>
        </w:rPr>
        <w:t>b</w:t>
      </w:r>
      <w:r w:rsidRPr="008D5D0F">
        <w:rPr>
          <w:color w:val="000000" w:themeColor="text1"/>
          <w:sz w:val="20"/>
        </w:rPr>
        <w:t>WOLF2017 represents the sum of livestock CH</w:t>
      </w:r>
      <w:r w:rsidRPr="008D5D0F">
        <w:rPr>
          <w:color w:val="000000" w:themeColor="text1"/>
          <w:sz w:val="20"/>
          <w:vertAlign w:val="subscript"/>
        </w:rPr>
        <w:t>4</w:t>
      </w:r>
      <w:r w:rsidRPr="008D5D0F">
        <w:rPr>
          <w:color w:val="000000" w:themeColor="text1"/>
          <w:sz w:val="20"/>
        </w:rPr>
        <w:t xml:space="preserve"> emissions from Wolf et al. (2017) and rice and landfill/waste emissions from EDGAR 4.3.2.</w:t>
      </w:r>
    </w:p>
    <w:p w14:paraId="6030831E" w14:textId="77777777" w:rsidR="00EB592C" w:rsidRPr="008D5D0F" w:rsidRDefault="00EB592C" w:rsidP="00EB592C">
      <w:pPr>
        <w:rPr>
          <w:color w:val="000000" w:themeColor="text1"/>
          <w:sz w:val="20"/>
        </w:rPr>
      </w:pPr>
      <w:r w:rsidRPr="008D5D0F">
        <w:rPr>
          <w:color w:val="000000" w:themeColor="text1"/>
          <w:sz w:val="20"/>
        </w:rPr>
        <w:br w:type="page"/>
      </w:r>
    </w:p>
    <w:p w14:paraId="20BDE239" w14:textId="720B3F7F" w:rsidR="003752EA" w:rsidRPr="008D5D0F" w:rsidRDefault="003752EA" w:rsidP="003752EA">
      <w:pPr>
        <w:jc w:val="both"/>
        <w:rPr>
          <w:color w:val="000000" w:themeColor="text1"/>
          <w:sz w:val="20"/>
        </w:rPr>
      </w:pPr>
      <w:r w:rsidRPr="008D5D0F">
        <w:rPr>
          <w:b/>
          <w:color w:val="000000" w:themeColor="text1"/>
          <w:sz w:val="20"/>
        </w:rPr>
        <w:lastRenderedPageBreak/>
        <w:t>Table S2| Statistics of key variables (Unit: head) for major CH</w:t>
      </w:r>
      <w:r w:rsidRPr="008D5D0F">
        <w:rPr>
          <w:b/>
          <w:color w:val="000000" w:themeColor="text1"/>
          <w:sz w:val="20"/>
          <w:vertAlign w:val="subscript"/>
        </w:rPr>
        <w:t>4</w:t>
      </w:r>
      <w:r w:rsidRPr="008D5D0F">
        <w:rPr>
          <w:b/>
          <w:color w:val="000000" w:themeColor="text1"/>
          <w:sz w:val="20"/>
        </w:rPr>
        <w:t xml:space="preserve"> sources. </w:t>
      </w:r>
      <w:r w:rsidRPr="008D5D0F">
        <w:rPr>
          <w:bCs/>
          <w:color w:val="000000" w:themeColor="text1"/>
          <w:sz w:val="20"/>
        </w:rPr>
        <w:t>The Coal production is from IEA database (</w:t>
      </w:r>
      <w:hyperlink r:id="rId22" w:history="1">
        <w:r w:rsidRPr="008D5D0F">
          <w:rPr>
            <w:rStyle w:val="affd"/>
            <w:color w:val="000000" w:themeColor="text1"/>
            <w:sz w:val="20"/>
          </w:rPr>
          <w:t>https://www.iea.org/data-and-statistics/charts/world-total-coal-production-1971-2020</w:t>
        </w:r>
      </w:hyperlink>
      <w:r w:rsidRPr="008D5D0F">
        <w:rPr>
          <w:color w:val="000000" w:themeColor="text1"/>
          <w:sz w:val="20"/>
        </w:rPr>
        <w:t>, Last Access Sep. 23th 2019</w:t>
      </w:r>
      <w:r w:rsidRPr="008D5D0F">
        <w:rPr>
          <w:bCs/>
          <w:color w:val="000000" w:themeColor="text1"/>
          <w:sz w:val="20"/>
        </w:rPr>
        <w:t>).</w:t>
      </w:r>
      <w:r w:rsidRPr="008D5D0F">
        <w:rPr>
          <w:b/>
          <w:color w:val="000000" w:themeColor="text1"/>
          <w:sz w:val="20"/>
        </w:rPr>
        <w:t xml:space="preserve"> </w:t>
      </w:r>
      <w:r w:rsidRPr="008D5D0F">
        <w:rPr>
          <w:color w:val="000000" w:themeColor="text1"/>
          <w:sz w:val="20"/>
        </w:rPr>
        <w:t>The average of 2000-2006 and 2007-2017 are derived from FAOSTAT database (</w:t>
      </w:r>
      <w:hyperlink r:id="rId23" w:history="1">
        <w:r w:rsidRPr="008D5D0F">
          <w:rPr>
            <w:rStyle w:val="affd"/>
            <w:color w:val="000000" w:themeColor="text1"/>
            <w:sz w:val="20"/>
          </w:rPr>
          <w:t>http://www.fao.org/faostat</w:t>
        </w:r>
      </w:hyperlink>
      <w:r w:rsidRPr="008D5D0F">
        <w:rPr>
          <w:color w:val="000000" w:themeColor="text1"/>
          <w:sz w:val="20"/>
        </w:rPr>
        <w:t>, Last Access Sep. 23th 2019). The world urban population is from UNFCCC (2021).</w:t>
      </w:r>
    </w:p>
    <w:p w14:paraId="2F9C55B6" w14:textId="77777777" w:rsidR="003752EA" w:rsidRPr="008D5D0F" w:rsidRDefault="003752EA" w:rsidP="003752EA">
      <w:pPr>
        <w:jc w:val="both"/>
        <w:rPr>
          <w:color w:val="000000" w:themeColor="text1"/>
          <w:sz w:val="20"/>
        </w:rPr>
      </w:pPr>
    </w:p>
    <w:tbl>
      <w:tblPr>
        <w:tblStyle w:val="afff1"/>
        <w:tblW w:w="0" w:type="auto"/>
        <w:tblLook w:val="04A0" w:firstRow="1" w:lastRow="0" w:firstColumn="1" w:lastColumn="0" w:noHBand="0" w:noVBand="1"/>
      </w:tblPr>
      <w:tblGrid>
        <w:gridCol w:w="2185"/>
        <w:gridCol w:w="2225"/>
        <w:gridCol w:w="2220"/>
        <w:gridCol w:w="2226"/>
      </w:tblGrid>
      <w:tr w:rsidR="008D5D0F" w:rsidRPr="008D5D0F" w14:paraId="4B9F7C9A" w14:textId="77777777" w:rsidTr="00974D06">
        <w:tc>
          <w:tcPr>
            <w:tcW w:w="2337" w:type="dxa"/>
            <w:tcBorders>
              <w:left w:val="single" w:sz="4" w:space="0" w:color="FFFFFF" w:themeColor="background1"/>
              <w:right w:val="single" w:sz="4" w:space="0" w:color="FFFFFF" w:themeColor="background1"/>
            </w:tcBorders>
          </w:tcPr>
          <w:p w14:paraId="1B90F904" w14:textId="77777777" w:rsidR="003752EA" w:rsidRPr="008D5D0F" w:rsidRDefault="003752EA" w:rsidP="00974D06">
            <w:pPr>
              <w:jc w:val="both"/>
              <w:rPr>
                <w:color w:val="000000" w:themeColor="text1"/>
                <w:sz w:val="20"/>
              </w:rPr>
            </w:pPr>
            <w:r w:rsidRPr="008D5D0F">
              <w:rPr>
                <w:color w:val="000000" w:themeColor="text1"/>
                <w:sz w:val="20"/>
              </w:rPr>
              <w:t>Year</w:t>
            </w:r>
          </w:p>
        </w:tc>
        <w:tc>
          <w:tcPr>
            <w:tcW w:w="2337" w:type="dxa"/>
            <w:tcBorders>
              <w:left w:val="single" w:sz="4" w:space="0" w:color="FFFFFF" w:themeColor="background1"/>
              <w:right w:val="single" w:sz="4" w:space="0" w:color="FFFFFF" w:themeColor="background1"/>
            </w:tcBorders>
          </w:tcPr>
          <w:p w14:paraId="23ADD663" w14:textId="77777777" w:rsidR="003752EA" w:rsidRPr="008D5D0F" w:rsidRDefault="003752EA" w:rsidP="00974D06">
            <w:pPr>
              <w:jc w:val="both"/>
              <w:rPr>
                <w:color w:val="000000" w:themeColor="text1"/>
                <w:sz w:val="20"/>
              </w:rPr>
            </w:pPr>
            <w:r w:rsidRPr="008D5D0F">
              <w:rPr>
                <w:color w:val="000000" w:themeColor="text1"/>
                <w:sz w:val="20"/>
              </w:rPr>
              <w:t xml:space="preserve">Coal production (Mt) </w:t>
            </w:r>
          </w:p>
        </w:tc>
        <w:tc>
          <w:tcPr>
            <w:tcW w:w="2338" w:type="dxa"/>
            <w:tcBorders>
              <w:left w:val="single" w:sz="4" w:space="0" w:color="FFFFFF" w:themeColor="background1"/>
              <w:right w:val="single" w:sz="4" w:space="0" w:color="FFFFFF" w:themeColor="background1"/>
            </w:tcBorders>
          </w:tcPr>
          <w:p w14:paraId="5F0655D3" w14:textId="77777777" w:rsidR="003752EA" w:rsidRPr="008D5D0F" w:rsidRDefault="003752EA" w:rsidP="00974D06">
            <w:pPr>
              <w:jc w:val="both"/>
              <w:rPr>
                <w:color w:val="000000" w:themeColor="text1"/>
                <w:sz w:val="20"/>
              </w:rPr>
            </w:pPr>
            <w:r w:rsidRPr="008D5D0F">
              <w:rPr>
                <w:color w:val="000000" w:themeColor="text1"/>
                <w:sz w:val="20"/>
              </w:rPr>
              <w:t>Livestock stock (10</w:t>
            </w:r>
            <w:r w:rsidRPr="008D5D0F">
              <w:rPr>
                <w:color w:val="000000" w:themeColor="text1"/>
                <w:sz w:val="20"/>
                <w:vertAlign w:val="superscript"/>
              </w:rPr>
              <w:t>3</w:t>
            </w:r>
            <w:r w:rsidRPr="008D5D0F">
              <w:rPr>
                <w:color w:val="000000" w:themeColor="text1"/>
                <w:sz w:val="20"/>
              </w:rPr>
              <w:t xml:space="preserve"> head) </w:t>
            </w:r>
          </w:p>
        </w:tc>
        <w:tc>
          <w:tcPr>
            <w:tcW w:w="2338" w:type="dxa"/>
            <w:tcBorders>
              <w:left w:val="single" w:sz="4" w:space="0" w:color="FFFFFF" w:themeColor="background1"/>
              <w:right w:val="single" w:sz="4" w:space="0" w:color="FFFFFF" w:themeColor="background1"/>
            </w:tcBorders>
          </w:tcPr>
          <w:p w14:paraId="111772E5" w14:textId="77777777" w:rsidR="003752EA" w:rsidRPr="008D5D0F" w:rsidRDefault="003752EA" w:rsidP="00974D06">
            <w:pPr>
              <w:jc w:val="both"/>
              <w:rPr>
                <w:color w:val="000000" w:themeColor="text1"/>
                <w:sz w:val="20"/>
              </w:rPr>
            </w:pPr>
            <w:r w:rsidRPr="008D5D0F">
              <w:rPr>
                <w:color w:val="000000" w:themeColor="text1"/>
                <w:sz w:val="20"/>
              </w:rPr>
              <w:t>Urban Population (billion)</w:t>
            </w:r>
          </w:p>
        </w:tc>
      </w:tr>
      <w:tr w:rsidR="008D5D0F" w:rsidRPr="008D5D0F" w14:paraId="32C759BB" w14:textId="77777777" w:rsidTr="00974D06">
        <w:tc>
          <w:tcPr>
            <w:tcW w:w="2337" w:type="dxa"/>
            <w:tcBorders>
              <w:left w:val="single" w:sz="4" w:space="0" w:color="FFFFFF" w:themeColor="background1"/>
              <w:bottom w:val="single" w:sz="4" w:space="0" w:color="FFFFFF" w:themeColor="background1"/>
              <w:right w:val="single" w:sz="4" w:space="0" w:color="FFFFFF" w:themeColor="background1"/>
            </w:tcBorders>
          </w:tcPr>
          <w:p w14:paraId="407C0FBD" w14:textId="77777777" w:rsidR="003752EA" w:rsidRPr="008D5D0F" w:rsidRDefault="003752EA" w:rsidP="00974D06">
            <w:pPr>
              <w:jc w:val="both"/>
              <w:rPr>
                <w:color w:val="000000" w:themeColor="text1"/>
                <w:sz w:val="20"/>
              </w:rPr>
            </w:pPr>
            <w:r w:rsidRPr="008D5D0F">
              <w:rPr>
                <w:color w:val="000000" w:themeColor="text1"/>
                <w:sz w:val="20"/>
              </w:rPr>
              <w:t>1993</w:t>
            </w:r>
          </w:p>
        </w:tc>
        <w:tc>
          <w:tcPr>
            <w:tcW w:w="2337" w:type="dxa"/>
            <w:tcBorders>
              <w:left w:val="single" w:sz="4" w:space="0" w:color="FFFFFF" w:themeColor="background1"/>
              <w:bottom w:val="single" w:sz="4" w:space="0" w:color="FFFFFF" w:themeColor="background1"/>
              <w:right w:val="single" w:sz="4" w:space="0" w:color="FFFFFF" w:themeColor="background1"/>
            </w:tcBorders>
          </w:tcPr>
          <w:p w14:paraId="72749FCC" w14:textId="77777777" w:rsidR="003752EA" w:rsidRPr="008D5D0F" w:rsidRDefault="003752EA" w:rsidP="00974D06">
            <w:pPr>
              <w:jc w:val="both"/>
              <w:rPr>
                <w:color w:val="000000" w:themeColor="text1"/>
                <w:sz w:val="20"/>
              </w:rPr>
            </w:pPr>
            <w:r w:rsidRPr="008D5D0F">
              <w:rPr>
                <w:color w:val="000000" w:themeColor="text1"/>
                <w:sz w:val="20"/>
              </w:rPr>
              <w:t>4327</w:t>
            </w:r>
          </w:p>
        </w:tc>
        <w:tc>
          <w:tcPr>
            <w:tcW w:w="2338" w:type="dxa"/>
            <w:tcBorders>
              <w:left w:val="single" w:sz="4" w:space="0" w:color="FFFFFF" w:themeColor="background1"/>
              <w:bottom w:val="single" w:sz="4" w:space="0" w:color="FFFFFF" w:themeColor="background1"/>
              <w:right w:val="single" w:sz="4" w:space="0" w:color="FFFFFF" w:themeColor="background1"/>
            </w:tcBorders>
          </w:tcPr>
          <w:p w14:paraId="7F2342A7" w14:textId="77777777" w:rsidR="003752EA" w:rsidRPr="008D5D0F" w:rsidRDefault="003752EA" w:rsidP="00974D06">
            <w:pPr>
              <w:jc w:val="both"/>
              <w:rPr>
                <w:color w:val="000000" w:themeColor="text1"/>
                <w:sz w:val="20"/>
              </w:rPr>
            </w:pPr>
            <w:r w:rsidRPr="008D5D0F">
              <w:rPr>
                <w:color w:val="000000" w:themeColor="text1"/>
                <w:sz w:val="20"/>
              </w:rPr>
              <w:t>3,219,548</w:t>
            </w:r>
          </w:p>
        </w:tc>
        <w:tc>
          <w:tcPr>
            <w:tcW w:w="2338" w:type="dxa"/>
            <w:tcBorders>
              <w:left w:val="single" w:sz="4" w:space="0" w:color="FFFFFF" w:themeColor="background1"/>
              <w:bottom w:val="single" w:sz="4" w:space="0" w:color="FFFFFF" w:themeColor="background1"/>
              <w:right w:val="single" w:sz="4" w:space="0" w:color="FFFFFF" w:themeColor="background1"/>
            </w:tcBorders>
          </w:tcPr>
          <w:p w14:paraId="06C0F017" w14:textId="77777777" w:rsidR="003752EA" w:rsidRPr="008D5D0F" w:rsidRDefault="003752EA" w:rsidP="00974D06">
            <w:pPr>
              <w:jc w:val="both"/>
              <w:rPr>
                <w:color w:val="000000" w:themeColor="text1"/>
                <w:sz w:val="20"/>
              </w:rPr>
            </w:pPr>
            <w:r w:rsidRPr="008D5D0F">
              <w:rPr>
                <w:color w:val="000000" w:themeColor="text1"/>
                <w:sz w:val="20"/>
              </w:rPr>
              <w:t>2.442</w:t>
            </w:r>
          </w:p>
        </w:tc>
      </w:tr>
      <w:tr w:rsidR="008D5D0F" w:rsidRPr="008D5D0F" w14:paraId="637A6E67" w14:textId="77777777" w:rsidTr="00974D06">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CA1754" w14:textId="77777777" w:rsidR="003752EA" w:rsidRPr="008D5D0F" w:rsidRDefault="003752EA" w:rsidP="00974D06">
            <w:pPr>
              <w:jc w:val="both"/>
              <w:rPr>
                <w:color w:val="000000" w:themeColor="text1"/>
                <w:sz w:val="20"/>
              </w:rPr>
            </w:pPr>
            <w:r w:rsidRPr="008D5D0F">
              <w:rPr>
                <w:color w:val="000000" w:themeColor="text1"/>
                <w:sz w:val="20"/>
              </w:rPr>
              <w:t>1994</w:t>
            </w:r>
          </w:p>
        </w:tc>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EDB46C" w14:textId="77777777" w:rsidR="003752EA" w:rsidRPr="008D5D0F" w:rsidRDefault="003752EA" w:rsidP="00974D06">
            <w:pPr>
              <w:jc w:val="both"/>
              <w:rPr>
                <w:color w:val="000000" w:themeColor="text1"/>
                <w:sz w:val="20"/>
              </w:rPr>
            </w:pPr>
            <w:r w:rsidRPr="008D5D0F">
              <w:rPr>
                <w:color w:val="000000" w:themeColor="text1"/>
                <w:sz w:val="20"/>
              </w:rPr>
              <w:t>4402</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2F9B4D" w14:textId="77777777" w:rsidR="003752EA" w:rsidRPr="008D5D0F" w:rsidRDefault="003752EA" w:rsidP="00974D06">
            <w:pPr>
              <w:jc w:val="both"/>
              <w:rPr>
                <w:color w:val="000000" w:themeColor="text1"/>
                <w:sz w:val="20"/>
              </w:rPr>
            </w:pPr>
            <w:r w:rsidRPr="008D5D0F">
              <w:rPr>
                <w:color w:val="000000" w:themeColor="text1"/>
                <w:sz w:val="20"/>
              </w:rPr>
              <w:t>3,252,508</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65D3C8" w14:textId="77777777" w:rsidR="003752EA" w:rsidRPr="008D5D0F" w:rsidRDefault="003752EA" w:rsidP="00974D06">
            <w:pPr>
              <w:jc w:val="both"/>
              <w:rPr>
                <w:color w:val="000000" w:themeColor="text1"/>
                <w:sz w:val="20"/>
              </w:rPr>
            </w:pPr>
            <w:r w:rsidRPr="008D5D0F">
              <w:rPr>
                <w:color w:val="000000" w:themeColor="text1"/>
                <w:sz w:val="20"/>
              </w:rPr>
              <w:t>2.499</w:t>
            </w:r>
          </w:p>
        </w:tc>
      </w:tr>
      <w:tr w:rsidR="008D5D0F" w:rsidRPr="008D5D0F" w14:paraId="4D716F51" w14:textId="77777777" w:rsidTr="00974D06">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EA61F2" w14:textId="77777777" w:rsidR="003752EA" w:rsidRPr="008D5D0F" w:rsidRDefault="003752EA" w:rsidP="00974D06">
            <w:pPr>
              <w:jc w:val="both"/>
              <w:rPr>
                <w:color w:val="000000" w:themeColor="text1"/>
                <w:sz w:val="20"/>
              </w:rPr>
            </w:pPr>
            <w:r w:rsidRPr="008D5D0F">
              <w:rPr>
                <w:color w:val="000000" w:themeColor="text1"/>
                <w:sz w:val="20"/>
              </w:rPr>
              <w:t>1995</w:t>
            </w:r>
          </w:p>
        </w:tc>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BC7CC5" w14:textId="77777777" w:rsidR="003752EA" w:rsidRPr="008D5D0F" w:rsidRDefault="003752EA" w:rsidP="00974D06">
            <w:pPr>
              <w:jc w:val="both"/>
              <w:rPr>
                <w:color w:val="000000" w:themeColor="text1"/>
                <w:sz w:val="20"/>
              </w:rPr>
            </w:pPr>
            <w:r w:rsidRPr="008D5D0F">
              <w:rPr>
                <w:color w:val="000000" w:themeColor="text1"/>
                <w:sz w:val="20"/>
              </w:rPr>
              <w:t>4557</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0B7526" w14:textId="77777777" w:rsidR="003752EA" w:rsidRPr="008D5D0F" w:rsidRDefault="003752EA" w:rsidP="00974D06">
            <w:pPr>
              <w:jc w:val="both"/>
              <w:rPr>
                <w:color w:val="000000" w:themeColor="text1"/>
                <w:sz w:val="20"/>
              </w:rPr>
            </w:pPr>
            <w:r w:rsidRPr="008D5D0F">
              <w:rPr>
                <w:color w:val="000000" w:themeColor="text1"/>
                <w:sz w:val="20"/>
              </w:rPr>
              <w:t>3,261,377</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99F5A5" w14:textId="77777777" w:rsidR="003752EA" w:rsidRPr="008D5D0F" w:rsidRDefault="003752EA" w:rsidP="00974D06">
            <w:pPr>
              <w:jc w:val="both"/>
              <w:rPr>
                <w:color w:val="000000" w:themeColor="text1"/>
                <w:sz w:val="20"/>
              </w:rPr>
            </w:pPr>
            <w:r w:rsidRPr="008D5D0F">
              <w:rPr>
                <w:color w:val="000000" w:themeColor="text1"/>
                <w:sz w:val="20"/>
              </w:rPr>
              <w:t>2.559</w:t>
            </w:r>
          </w:p>
        </w:tc>
      </w:tr>
      <w:tr w:rsidR="008D5D0F" w:rsidRPr="008D5D0F" w14:paraId="78FAE4F0" w14:textId="77777777" w:rsidTr="00974D06">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C84EFE" w14:textId="77777777" w:rsidR="003752EA" w:rsidRPr="008D5D0F" w:rsidRDefault="003752EA" w:rsidP="00974D06">
            <w:pPr>
              <w:jc w:val="both"/>
              <w:rPr>
                <w:color w:val="000000" w:themeColor="text1"/>
                <w:sz w:val="20"/>
              </w:rPr>
            </w:pPr>
            <w:r w:rsidRPr="008D5D0F">
              <w:rPr>
                <w:color w:val="000000" w:themeColor="text1"/>
                <w:sz w:val="20"/>
              </w:rPr>
              <w:t>1996</w:t>
            </w:r>
          </w:p>
        </w:tc>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8B3494" w14:textId="77777777" w:rsidR="003752EA" w:rsidRPr="008D5D0F" w:rsidRDefault="003752EA" w:rsidP="00974D06">
            <w:pPr>
              <w:jc w:val="both"/>
              <w:rPr>
                <w:color w:val="000000" w:themeColor="text1"/>
                <w:sz w:val="20"/>
              </w:rPr>
            </w:pPr>
            <w:r w:rsidRPr="008D5D0F">
              <w:rPr>
                <w:color w:val="000000" w:themeColor="text1"/>
                <w:sz w:val="20"/>
              </w:rPr>
              <w:t>4622</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6CBE20" w14:textId="77777777" w:rsidR="003752EA" w:rsidRPr="008D5D0F" w:rsidRDefault="003752EA" w:rsidP="00974D06">
            <w:pPr>
              <w:jc w:val="both"/>
              <w:rPr>
                <w:color w:val="000000" w:themeColor="text1"/>
                <w:sz w:val="20"/>
              </w:rPr>
            </w:pPr>
            <w:r w:rsidRPr="008D5D0F">
              <w:rPr>
                <w:color w:val="000000" w:themeColor="text1"/>
                <w:sz w:val="20"/>
              </w:rPr>
              <w:t>3,283,479</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C6997B" w14:textId="77777777" w:rsidR="003752EA" w:rsidRPr="008D5D0F" w:rsidRDefault="003752EA" w:rsidP="00974D06">
            <w:pPr>
              <w:jc w:val="both"/>
              <w:rPr>
                <w:color w:val="000000" w:themeColor="text1"/>
                <w:sz w:val="20"/>
              </w:rPr>
            </w:pPr>
            <w:r w:rsidRPr="008D5D0F">
              <w:rPr>
                <w:color w:val="000000" w:themeColor="text1"/>
                <w:sz w:val="20"/>
              </w:rPr>
              <w:t>2.617</w:t>
            </w:r>
          </w:p>
        </w:tc>
      </w:tr>
      <w:tr w:rsidR="008D5D0F" w:rsidRPr="008D5D0F" w14:paraId="3235A200" w14:textId="77777777" w:rsidTr="00974D06">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2DC28C" w14:textId="77777777" w:rsidR="003752EA" w:rsidRPr="008D5D0F" w:rsidRDefault="003752EA" w:rsidP="00974D06">
            <w:pPr>
              <w:jc w:val="both"/>
              <w:rPr>
                <w:color w:val="000000" w:themeColor="text1"/>
                <w:sz w:val="20"/>
              </w:rPr>
            </w:pPr>
            <w:r w:rsidRPr="008D5D0F">
              <w:rPr>
                <w:color w:val="000000" w:themeColor="text1"/>
                <w:sz w:val="20"/>
              </w:rPr>
              <w:t>1997</w:t>
            </w:r>
          </w:p>
        </w:tc>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8D5C57" w14:textId="77777777" w:rsidR="003752EA" w:rsidRPr="008D5D0F" w:rsidRDefault="003752EA" w:rsidP="00974D06">
            <w:pPr>
              <w:jc w:val="both"/>
              <w:rPr>
                <w:color w:val="000000" w:themeColor="text1"/>
                <w:sz w:val="20"/>
              </w:rPr>
            </w:pPr>
            <w:r w:rsidRPr="008D5D0F">
              <w:rPr>
                <w:color w:val="000000" w:themeColor="text1"/>
                <w:sz w:val="20"/>
              </w:rPr>
              <w:t>4621</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1C2329" w14:textId="77777777" w:rsidR="003752EA" w:rsidRPr="008D5D0F" w:rsidRDefault="003752EA" w:rsidP="00974D06">
            <w:pPr>
              <w:jc w:val="both"/>
              <w:rPr>
                <w:color w:val="000000" w:themeColor="text1"/>
                <w:sz w:val="20"/>
              </w:rPr>
            </w:pPr>
            <w:r w:rsidRPr="008D5D0F">
              <w:rPr>
                <w:color w:val="000000" w:themeColor="text1"/>
                <w:sz w:val="20"/>
              </w:rPr>
              <w:t>3,230,847</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7DC684" w14:textId="77777777" w:rsidR="003752EA" w:rsidRPr="008D5D0F" w:rsidRDefault="003752EA" w:rsidP="00974D06">
            <w:pPr>
              <w:jc w:val="both"/>
              <w:rPr>
                <w:color w:val="000000" w:themeColor="text1"/>
                <w:sz w:val="20"/>
              </w:rPr>
            </w:pPr>
            <w:r w:rsidRPr="008D5D0F">
              <w:rPr>
                <w:color w:val="000000" w:themeColor="text1"/>
                <w:sz w:val="20"/>
              </w:rPr>
              <w:t>2.675</w:t>
            </w:r>
          </w:p>
        </w:tc>
      </w:tr>
      <w:tr w:rsidR="008D5D0F" w:rsidRPr="008D5D0F" w14:paraId="2E96AA34" w14:textId="77777777" w:rsidTr="00974D06">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94B0FE" w14:textId="77777777" w:rsidR="003752EA" w:rsidRPr="008D5D0F" w:rsidRDefault="003752EA" w:rsidP="00974D06">
            <w:pPr>
              <w:jc w:val="both"/>
              <w:rPr>
                <w:color w:val="000000" w:themeColor="text1"/>
                <w:sz w:val="20"/>
              </w:rPr>
            </w:pPr>
            <w:r w:rsidRPr="008D5D0F">
              <w:rPr>
                <w:color w:val="000000" w:themeColor="text1"/>
                <w:sz w:val="20"/>
              </w:rPr>
              <w:t>1998</w:t>
            </w:r>
          </w:p>
        </w:tc>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56D5B1" w14:textId="77777777" w:rsidR="003752EA" w:rsidRPr="008D5D0F" w:rsidRDefault="003752EA" w:rsidP="00974D06">
            <w:pPr>
              <w:jc w:val="both"/>
              <w:rPr>
                <w:color w:val="000000" w:themeColor="text1"/>
                <w:sz w:val="20"/>
              </w:rPr>
            </w:pPr>
            <w:r w:rsidRPr="008D5D0F">
              <w:rPr>
                <w:color w:val="000000" w:themeColor="text1"/>
                <w:sz w:val="20"/>
              </w:rPr>
              <w:t>4569</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50C3D6" w14:textId="77777777" w:rsidR="003752EA" w:rsidRPr="008D5D0F" w:rsidRDefault="003752EA" w:rsidP="00974D06">
            <w:pPr>
              <w:jc w:val="both"/>
              <w:rPr>
                <w:color w:val="000000" w:themeColor="text1"/>
                <w:sz w:val="20"/>
              </w:rPr>
            </w:pPr>
            <w:r w:rsidRPr="008D5D0F">
              <w:rPr>
                <w:color w:val="000000" w:themeColor="text1"/>
                <w:sz w:val="20"/>
              </w:rPr>
              <w:t>3,260,497</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75CF18" w14:textId="77777777" w:rsidR="003752EA" w:rsidRPr="008D5D0F" w:rsidRDefault="003752EA" w:rsidP="00974D06">
            <w:pPr>
              <w:jc w:val="both"/>
              <w:rPr>
                <w:color w:val="000000" w:themeColor="text1"/>
                <w:sz w:val="20"/>
              </w:rPr>
            </w:pPr>
            <w:r w:rsidRPr="008D5D0F">
              <w:rPr>
                <w:color w:val="000000" w:themeColor="text1"/>
                <w:sz w:val="20"/>
              </w:rPr>
              <w:t>2.734</w:t>
            </w:r>
          </w:p>
        </w:tc>
      </w:tr>
      <w:tr w:rsidR="008D5D0F" w:rsidRPr="008D5D0F" w14:paraId="7F5E7296" w14:textId="77777777" w:rsidTr="00974D06">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0C689A" w14:textId="77777777" w:rsidR="003752EA" w:rsidRPr="008D5D0F" w:rsidRDefault="003752EA" w:rsidP="00974D06">
            <w:pPr>
              <w:jc w:val="both"/>
              <w:rPr>
                <w:color w:val="000000" w:themeColor="text1"/>
                <w:sz w:val="20"/>
              </w:rPr>
            </w:pPr>
            <w:r w:rsidRPr="008D5D0F">
              <w:rPr>
                <w:color w:val="000000" w:themeColor="text1"/>
                <w:sz w:val="20"/>
              </w:rPr>
              <w:t>1999</w:t>
            </w:r>
          </w:p>
        </w:tc>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15C260" w14:textId="77777777" w:rsidR="003752EA" w:rsidRPr="008D5D0F" w:rsidRDefault="003752EA" w:rsidP="00974D06">
            <w:pPr>
              <w:jc w:val="both"/>
              <w:rPr>
                <w:color w:val="000000" w:themeColor="text1"/>
                <w:sz w:val="20"/>
              </w:rPr>
            </w:pPr>
            <w:r w:rsidRPr="008D5D0F">
              <w:rPr>
                <w:color w:val="000000" w:themeColor="text1"/>
                <w:sz w:val="20"/>
              </w:rPr>
              <w:t>4499</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CE9BF6" w14:textId="77777777" w:rsidR="003752EA" w:rsidRPr="008D5D0F" w:rsidRDefault="003752EA" w:rsidP="00974D06">
            <w:pPr>
              <w:jc w:val="both"/>
              <w:rPr>
                <w:color w:val="000000" w:themeColor="text1"/>
                <w:sz w:val="20"/>
              </w:rPr>
            </w:pPr>
            <w:r w:rsidRPr="008D5D0F">
              <w:rPr>
                <w:color w:val="000000" w:themeColor="text1"/>
                <w:sz w:val="20"/>
              </w:rPr>
              <w:t>3,295,301</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422A52" w14:textId="77777777" w:rsidR="003752EA" w:rsidRPr="008D5D0F" w:rsidRDefault="003752EA" w:rsidP="00974D06">
            <w:pPr>
              <w:jc w:val="both"/>
              <w:rPr>
                <w:color w:val="000000" w:themeColor="text1"/>
                <w:sz w:val="20"/>
              </w:rPr>
            </w:pPr>
            <w:r w:rsidRPr="008D5D0F">
              <w:rPr>
                <w:color w:val="000000" w:themeColor="text1"/>
                <w:sz w:val="20"/>
              </w:rPr>
              <w:t>2.794</w:t>
            </w:r>
          </w:p>
        </w:tc>
      </w:tr>
      <w:tr w:rsidR="008D5D0F" w:rsidRPr="008D5D0F" w14:paraId="7F37CE12" w14:textId="77777777" w:rsidTr="00974D06">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5EECC9" w14:textId="77777777" w:rsidR="003752EA" w:rsidRPr="008D5D0F" w:rsidRDefault="003752EA" w:rsidP="00974D06">
            <w:pPr>
              <w:jc w:val="both"/>
              <w:rPr>
                <w:color w:val="000000" w:themeColor="text1"/>
                <w:sz w:val="20"/>
              </w:rPr>
            </w:pPr>
            <w:r w:rsidRPr="008D5D0F">
              <w:rPr>
                <w:color w:val="000000" w:themeColor="text1"/>
                <w:sz w:val="20"/>
              </w:rPr>
              <w:t>2000</w:t>
            </w:r>
          </w:p>
        </w:tc>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AEC473" w14:textId="77777777" w:rsidR="003752EA" w:rsidRPr="008D5D0F" w:rsidRDefault="003752EA" w:rsidP="00974D06">
            <w:pPr>
              <w:jc w:val="both"/>
              <w:rPr>
                <w:color w:val="000000" w:themeColor="text1"/>
                <w:sz w:val="20"/>
              </w:rPr>
            </w:pPr>
            <w:r w:rsidRPr="008D5D0F">
              <w:rPr>
                <w:color w:val="000000" w:themeColor="text1"/>
                <w:sz w:val="20"/>
              </w:rPr>
              <w:t>4638</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B312B2" w14:textId="77777777" w:rsidR="003752EA" w:rsidRPr="008D5D0F" w:rsidRDefault="003752EA" w:rsidP="00974D06">
            <w:pPr>
              <w:jc w:val="both"/>
              <w:rPr>
                <w:color w:val="000000" w:themeColor="text1"/>
                <w:sz w:val="20"/>
              </w:rPr>
            </w:pPr>
            <w:r w:rsidRPr="008D5D0F">
              <w:rPr>
                <w:color w:val="000000" w:themeColor="text1"/>
                <w:sz w:val="20"/>
              </w:rPr>
              <w:t>3,325,152</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E102DE" w14:textId="77777777" w:rsidR="003752EA" w:rsidRPr="008D5D0F" w:rsidRDefault="003752EA" w:rsidP="00974D06">
            <w:pPr>
              <w:jc w:val="both"/>
              <w:rPr>
                <w:color w:val="000000" w:themeColor="text1"/>
                <w:sz w:val="20"/>
              </w:rPr>
            </w:pPr>
            <w:r w:rsidRPr="008D5D0F">
              <w:rPr>
                <w:color w:val="000000" w:themeColor="text1"/>
                <w:sz w:val="20"/>
              </w:rPr>
              <w:t>2.854</w:t>
            </w:r>
          </w:p>
        </w:tc>
      </w:tr>
      <w:tr w:rsidR="008D5D0F" w:rsidRPr="008D5D0F" w14:paraId="3CC72903" w14:textId="77777777" w:rsidTr="00974D06">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E97710" w14:textId="77777777" w:rsidR="003752EA" w:rsidRPr="008D5D0F" w:rsidRDefault="003752EA" w:rsidP="00974D06">
            <w:pPr>
              <w:jc w:val="both"/>
              <w:rPr>
                <w:color w:val="000000" w:themeColor="text1"/>
                <w:sz w:val="20"/>
              </w:rPr>
            </w:pPr>
            <w:r w:rsidRPr="008D5D0F">
              <w:rPr>
                <w:color w:val="000000" w:themeColor="text1"/>
                <w:sz w:val="20"/>
              </w:rPr>
              <w:t>2001</w:t>
            </w:r>
          </w:p>
        </w:tc>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89514B" w14:textId="77777777" w:rsidR="003752EA" w:rsidRPr="008D5D0F" w:rsidRDefault="003752EA" w:rsidP="00974D06">
            <w:pPr>
              <w:jc w:val="both"/>
              <w:rPr>
                <w:color w:val="000000" w:themeColor="text1"/>
                <w:sz w:val="20"/>
              </w:rPr>
            </w:pPr>
            <w:r w:rsidRPr="008D5D0F">
              <w:rPr>
                <w:color w:val="000000" w:themeColor="text1"/>
                <w:sz w:val="20"/>
              </w:rPr>
              <w:t>4860</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0071BA" w14:textId="77777777" w:rsidR="003752EA" w:rsidRPr="008D5D0F" w:rsidRDefault="003752EA" w:rsidP="00974D06">
            <w:pPr>
              <w:jc w:val="both"/>
              <w:rPr>
                <w:color w:val="000000" w:themeColor="text1"/>
                <w:sz w:val="20"/>
              </w:rPr>
            </w:pPr>
            <w:r w:rsidRPr="008D5D0F">
              <w:rPr>
                <w:color w:val="000000" w:themeColor="text1"/>
                <w:sz w:val="20"/>
              </w:rPr>
              <w:t>3,319,481</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17D159" w14:textId="77777777" w:rsidR="003752EA" w:rsidRPr="008D5D0F" w:rsidRDefault="003752EA" w:rsidP="00974D06">
            <w:pPr>
              <w:jc w:val="both"/>
              <w:rPr>
                <w:color w:val="000000" w:themeColor="text1"/>
                <w:sz w:val="20"/>
              </w:rPr>
            </w:pPr>
            <w:r w:rsidRPr="008D5D0F">
              <w:rPr>
                <w:color w:val="000000" w:themeColor="text1"/>
                <w:sz w:val="20"/>
              </w:rPr>
              <w:t>2.919</w:t>
            </w:r>
          </w:p>
        </w:tc>
      </w:tr>
      <w:tr w:rsidR="008D5D0F" w:rsidRPr="008D5D0F" w14:paraId="0A2391F6" w14:textId="77777777" w:rsidTr="00974D06">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7D1E39" w14:textId="77777777" w:rsidR="003752EA" w:rsidRPr="008D5D0F" w:rsidRDefault="003752EA" w:rsidP="00974D06">
            <w:pPr>
              <w:jc w:val="both"/>
              <w:rPr>
                <w:color w:val="000000" w:themeColor="text1"/>
                <w:sz w:val="20"/>
              </w:rPr>
            </w:pPr>
            <w:r w:rsidRPr="008D5D0F">
              <w:rPr>
                <w:color w:val="000000" w:themeColor="text1"/>
                <w:sz w:val="20"/>
              </w:rPr>
              <w:t>2002</w:t>
            </w:r>
          </w:p>
        </w:tc>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FD4B25" w14:textId="77777777" w:rsidR="003752EA" w:rsidRPr="008D5D0F" w:rsidRDefault="003752EA" w:rsidP="00974D06">
            <w:pPr>
              <w:jc w:val="both"/>
              <w:rPr>
                <w:color w:val="000000" w:themeColor="text1"/>
                <w:sz w:val="20"/>
              </w:rPr>
            </w:pPr>
            <w:r w:rsidRPr="008D5D0F">
              <w:rPr>
                <w:color w:val="000000" w:themeColor="text1"/>
                <w:sz w:val="20"/>
              </w:rPr>
              <w:t>4914</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38AD7F" w14:textId="77777777" w:rsidR="003752EA" w:rsidRPr="008D5D0F" w:rsidRDefault="003752EA" w:rsidP="00974D06">
            <w:pPr>
              <w:jc w:val="both"/>
              <w:rPr>
                <w:color w:val="000000" w:themeColor="text1"/>
                <w:sz w:val="20"/>
              </w:rPr>
            </w:pPr>
            <w:r w:rsidRPr="008D5D0F">
              <w:rPr>
                <w:color w:val="000000" w:themeColor="text1"/>
                <w:sz w:val="20"/>
              </w:rPr>
              <w:t>3,339,462</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64BFEC" w14:textId="77777777" w:rsidR="003752EA" w:rsidRPr="008D5D0F" w:rsidRDefault="003752EA" w:rsidP="00974D06">
            <w:pPr>
              <w:jc w:val="both"/>
              <w:rPr>
                <w:color w:val="000000" w:themeColor="text1"/>
                <w:sz w:val="20"/>
              </w:rPr>
            </w:pPr>
            <w:r w:rsidRPr="008D5D0F">
              <w:rPr>
                <w:color w:val="000000" w:themeColor="text1"/>
                <w:sz w:val="20"/>
              </w:rPr>
              <w:t>2.988</w:t>
            </w:r>
          </w:p>
        </w:tc>
      </w:tr>
      <w:tr w:rsidR="008D5D0F" w:rsidRPr="008D5D0F" w14:paraId="42CFF4DB" w14:textId="77777777" w:rsidTr="00974D06">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A339F3" w14:textId="77777777" w:rsidR="003752EA" w:rsidRPr="008D5D0F" w:rsidRDefault="003752EA" w:rsidP="00974D06">
            <w:pPr>
              <w:jc w:val="both"/>
              <w:rPr>
                <w:color w:val="000000" w:themeColor="text1"/>
                <w:sz w:val="20"/>
              </w:rPr>
            </w:pPr>
            <w:r w:rsidRPr="008D5D0F">
              <w:rPr>
                <w:color w:val="000000" w:themeColor="text1"/>
                <w:sz w:val="20"/>
              </w:rPr>
              <w:t>2003</w:t>
            </w:r>
          </w:p>
        </w:tc>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F2DFDE" w14:textId="77777777" w:rsidR="003752EA" w:rsidRPr="008D5D0F" w:rsidRDefault="003752EA" w:rsidP="00974D06">
            <w:pPr>
              <w:jc w:val="both"/>
              <w:rPr>
                <w:color w:val="000000" w:themeColor="text1"/>
                <w:sz w:val="20"/>
              </w:rPr>
            </w:pPr>
            <w:r w:rsidRPr="008D5D0F">
              <w:rPr>
                <w:color w:val="000000" w:themeColor="text1"/>
                <w:sz w:val="20"/>
              </w:rPr>
              <w:t>5263</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831128" w14:textId="77777777" w:rsidR="003752EA" w:rsidRPr="008D5D0F" w:rsidRDefault="003752EA" w:rsidP="00974D06">
            <w:pPr>
              <w:jc w:val="both"/>
              <w:rPr>
                <w:color w:val="000000" w:themeColor="text1"/>
                <w:sz w:val="20"/>
              </w:rPr>
            </w:pPr>
            <w:r w:rsidRPr="008D5D0F">
              <w:rPr>
                <w:color w:val="000000" w:themeColor="text1"/>
                <w:sz w:val="20"/>
              </w:rPr>
              <w:t>3,380,498</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35E647" w14:textId="77777777" w:rsidR="003752EA" w:rsidRPr="008D5D0F" w:rsidRDefault="003752EA" w:rsidP="00974D06">
            <w:pPr>
              <w:jc w:val="both"/>
              <w:rPr>
                <w:color w:val="000000" w:themeColor="text1"/>
                <w:sz w:val="20"/>
              </w:rPr>
            </w:pPr>
            <w:r w:rsidRPr="008D5D0F">
              <w:rPr>
                <w:color w:val="000000" w:themeColor="text1"/>
                <w:sz w:val="20"/>
              </w:rPr>
              <w:t>3.057</w:t>
            </w:r>
          </w:p>
        </w:tc>
      </w:tr>
      <w:tr w:rsidR="008D5D0F" w:rsidRPr="008D5D0F" w14:paraId="112E3E80" w14:textId="77777777" w:rsidTr="00974D06">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F13ED7" w14:textId="77777777" w:rsidR="003752EA" w:rsidRPr="008D5D0F" w:rsidRDefault="003752EA" w:rsidP="00974D06">
            <w:pPr>
              <w:jc w:val="both"/>
              <w:rPr>
                <w:color w:val="000000" w:themeColor="text1"/>
                <w:sz w:val="20"/>
              </w:rPr>
            </w:pPr>
            <w:r w:rsidRPr="008D5D0F">
              <w:rPr>
                <w:color w:val="000000" w:themeColor="text1"/>
                <w:sz w:val="20"/>
              </w:rPr>
              <w:t>2004</w:t>
            </w:r>
          </w:p>
        </w:tc>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048A4F" w14:textId="77777777" w:rsidR="003752EA" w:rsidRPr="008D5D0F" w:rsidRDefault="003752EA" w:rsidP="00974D06">
            <w:pPr>
              <w:jc w:val="both"/>
              <w:rPr>
                <w:color w:val="000000" w:themeColor="text1"/>
                <w:sz w:val="20"/>
              </w:rPr>
            </w:pPr>
            <w:r w:rsidRPr="008D5D0F">
              <w:rPr>
                <w:color w:val="000000" w:themeColor="text1"/>
                <w:sz w:val="20"/>
              </w:rPr>
              <w:t>5663</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3AC81F" w14:textId="77777777" w:rsidR="003752EA" w:rsidRPr="008D5D0F" w:rsidRDefault="003752EA" w:rsidP="00974D06">
            <w:pPr>
              <w:jc w:val="both"/>
              <w:rPr>
                <w:color w:val="000000" w:themeColor="text1"/>
                <w:sz w:val="20"/>
              </w:rPr>
            </w:pPr>
            <w:r w:rsidRPr="008D5D0F">
              <w:rPr>
                <w:color w:val="000000" w:themeColor="text1"/>
                <w:sz w:val="20"/>
              </w:rPr>
              <w:t>3,451,552</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1C3BC7" w14:textId="77777777" w:rsidR="003752EA" w:rsidRPr="008D5D0F" w:rsidRDefault="003752EA" w:rsidP="00974D06">
            <w:pPr>
              <w:jc w:val="both"/>
              <w:rPr>
                <w:color w:val="000000" w:themeColor="text1"/>
                <w:sz w:val="20"/>
              </w:rPr>
            </w:pPr>
            <w:r w:rsidRPr="008D5D0F">
              <w:rPr>
                <w:color w:val="000000" w:themeColor="text1"/>
                <w:sz w:val="20"/>
              </w:rPr>
              <w:t>3.128</w:t>
            </w:r>
          </w:p>
        </w:tc>
      </w:tr>
      <w:tr w:rsidR="008D5D0F" w:rsidRPr="008D5D0F" w14:paraId="37403EB1" w14:textId="77777777" w:rsidTr="00974D06">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207C0F" w14:textId="77777777" w:rsidR="003752EA" w:rsidRPr="008D5D0F" w:rsidRDefault="003752EA" w:rsidP="00974D06">
            <w:pPr>
              <w:jc w:val="both"/>
              <w:rPr>
                <w:color w:val="000000" w:themeColor="text1"/>
                <w:sz w:val="20"/>
              </w:rPr>
            </w:pPr>
            <w:r w:rsidRPr="008D5D0F">
              <w:rPr>
                <w:color w:val="000000" w:themeColor="text1"/>
                <w:sz w:val="20"/>
              </w:rPr>
              <w:t>2005</w:t>
            </w:r>
          </w:p>
        </w:tc>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4410D6" w14:textId="77777777" w:rsidR="003752EA" w:rsidRPr="008D5D0F" w:rsidRDefault="003752EA" w:rsidP="00974D06">
            <w:pPr>
              <w:jc w:val="both"/>
              <w:rPr>
                <w:color w:val="000000" w:themeColor="text1"/>
                <w:sz w:val="20"/>
              </w:rPr>
            </w:pPr>
            <w:r w:rsidRPr="008D5D0F">
              <w:rPr>
                <w:color w:val="000000" w:themeColor="text1"/>
                <w:sz w:val="20"/>
              </w:rPr>
              <w:t>6022</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469CDD" w14:textId="77777777" w:rsidR="003752EA" w:rsidRPr="008D5D0F" w:rsidRDefault="003752EA" w:rsidP="00974D06">
            <w:pPr>
              <w:jc w:val="both"/>
              <w:rPr>
                <w:color w:val="000000" w:themeColor="text1"/>
                <w:sz w:val="20"/>
              </w:rPr>
            </w:pPr>
            <w:r w:rsidRPr="008D5D0F">
              <w:rPr>
                <w:color w:val="000000" w:themeColor="text1"/>
                <w:sz w:val="20"/>
              </w:rPr>
              <w:t>3,526,145</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FC89D4" w14:textId="77777777" w:rsidR="003752EA" w:rsidRPr="008D5D0F" w:rsidRDefault="003752EA" w:rsidP="00974D06">
            <w:pPr>
              <w:jc w:val="both"/>
              <w:rPr>
                <w:color w:val="000000" w:themeColor="text1"/>
                <w:sz w:val="20"/>
              </w:rPr>
            </w:pPr>
            <w:r w:rsidRPr="008D5D0F">
              <w:rPr>
                <w:color w:val="000000" w:themeColor="text1"/>
                <w:sz w:val="20"/>
              </w:rPr>
              <w:t>3.201</w:t>
            </w:r>
          </w:p>
        </w:tc>
      </w:tr>
      <w:tr w:rsidR="008D5D0F" w:rsidRPr="008D5D0F" w14:paraId="01059929" w14:textId="77777777" w:rsidTr="00974D06">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B1DA61" w14:textId="77777777" w:rsidR="003752EA" w:rsidRPr="008D5D0F" w:rsidRDefault="003752EA" w:rsidP="00974D06">
            <w:pPr>
              <w:jc w:val="both"/>
              <w:rPr>
                <w:color w:val="000000" w:themeColor="text1"/>
                <w:sz w:val="20"/>
              </w:rPr>
            </w:pPr>
            <w:r w:rsidRPr="008D5D0F">
              <w:rPr>
                <w:color w:val="000000" w:themeColor="text1"/>
                <w:sz w:val="20"/>
              </w:rPr>
              <w:t>2006</w:t>
            </w:r>
          </w:p>
        </w:tc>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13790D" w14:textId="77777777" w:rsidR="003752EA" w:rsidRPr="008D5D0F" w:rsidRDefault="003752EA" w:rsidP="00974D06">
            <w:pPr>
              <w:jc w:val="both"/>
              <w:rPr>
                <w:color w:val="000000" w:themeColor="text1"/>
                <w:sz w:val="20"/>
              </w:rPr>
            </w:pPr>
            <w:r w:rsidRPr="008D5D0F">
              <w:rPr>
                <w:color w:val="000000" w:themeColor="text1"/>
                <w:sz w:val="20"/>
              </w:rPr>
              <w:t>6367</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17E24E" w14:textId="77777777" w:rsidR="003752EA" w:rsidRPr="008D5D0F" w:rsidRDefault="003752EA" w:rsidP="00974D06">
            <w:pPr>
              <w:jc w:val="both"/>
              <w:rPr>
                <w:color w:val="000000" w:themeColor="text1"/>
                <w:sz w:val="20"/>
              </w:rPr>
            </w:pPr>
            <w:r w:rsidRPr="008D5D0F">
              <w:rPr>
                <w:color w:val="000000" w:themeColor="text1"/>
                <w:sz w:val="20"/>
              </w:rPr>
              <w:t>3,553,065</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51AA78" w14:textId="77777777" w:rsidR="003752EA" w:rsidRPr="008D5D0F" w:rsidRDefault="003752EA" w:rsidP="00974D06">
            <w:pPr>
              <w:jc w:val="both"/>
              <w:rPr>
                <w:color w:val="000000" w:themeColor="text1"/>
                <w:sz w:val="20"/>
              </w:rPr>
            </w:pPr>
            <w:r w:rsidRPr="008D5D0F">
              <w:rPr>
                <w:color w:val="000000" w:themeColor="text1"/>
                <w:sz w:val="20"/>
              </w:rPr>
              <w:t>3.274</w:t>
            </w:r>
          </w:p>
        </w:tc>
      </w:tr>
      <w:tr w:rsidR="008D5D0F" w:rsidRPr="008D5D0F" w14:paraId="7075F6E2" w14:textId="77777777" w:rsidTr="00974D06">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D16C05" w14:textId="77777777" w:rsidR="003752EA" w:rsidRPr="008D5D0F" w:rsidRDefault="003752EA" w:rsidP="00974D06">
            <w:pPr>
              <w:jc w:val="both"/>
              <w:rPr>
                <w:color w:val="000000" w:themeColor="text1"/>
                <w:sz w:val="20"/>
              </w:rPr>
            </w:pPr>
            <w:r w:rsidRPr="008D5D0F">
              <w:rPr>
                <w:color w:val="000000" w:themeColor="text1"/>
                <w:sz w:val="20"/>
              </w:rPr>
              <w:t>2007</w:t>
            </w:r>
          </w:p>
        </w:tc>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29E983" w14:textId="77777777" w:rsidR="003752EA" w:rsidRPr="008D5D0F" w:rsidRDefault="003752EA" w:rsidP="00974D06">
            <w:pPr>
              <w:jc w:val="both"/>
              <w:rPr>
                <w:color w:val="000000" w:themeColor="text1"/>
                <w:sz w:val="20"/>
              </w:rPr>
            </w:pPr>
            <w:r w:rsidRPr="008D5D0F">
              <w:rPr>
                <w:color w:val="000000" w:themeColor="text1"/>
                <w:sz w:val="20"/>
              </w:rPr>
              <w:t>6644</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F028E6" w14:textId="77777777" w:rsidR="003752EA" w:rsidRPr="008D5D0F" w:rsidRDefault="003752EA" w:rsidP="00974D06">
            <w:pPr>
              <w:jc w:val="both"/>
              <w:rPr>
                <w:color w:val="000000" w:themeColor="text1"/>
                <w:sz w:val="20"/>
              </w:rPr>
            </w:pPr>
            <w:r w:rsidRPr="008D5D0F">
              <w:rPr>
                <w:color w:val="000000" w:themeColor="text1"/>
                <w:sz w:val="20"/>
              </w:rPr>
              <w:t>3,608,346</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5DBF04" w14:textId="77777777" w:rsidR="003752EA" w:rsidRPr="008D5D0F" w:rsidRDefault="003752EA" w:rsidP="00974D06">
            <w:pPr>
              <w:jc w:val="both"/>
              <w:rPr>
                <w:color w:val="000000" w:themeColor="text1"/>
                <w:sz w:val="20"/>
              </w:rPr>
            </w:pPr>
            <w:r w:rsidRPr="008D5D0F">
              <w:rPr>
                <w:color w:val="000000" w:themeColor="text1"/>
                <w:sz w:val="20"/>
              </w:rPr>
              <w:t>3.346</w:t>
            </w:r>
          </w:p>
        </w:tc>
      </w:tr>
      <w:tr w:rsidR="008D5D0F" w:rsidRPr="008D5D0F" w14:paraId="2D22D6D6" w14:textId="77777777" w:rsidTr="00974D06">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8D34A8" w14:textId="77777777" w:rsidR="003752EA" w:rsidRPr="008D5D0F" w:rsidRDefault="003752EA" w:rsidP="00974D06">
            <w:pPr>
              <w:jc w:val="both"/>
              <w:rPr>
                <w:color w:val="000000" w:themeColor="text1"/>
                <w:sz w:val="20"/>
              </w:rPr>
            </w:pPr>
            <w:r w:rsidRPr="008D5D0F">
              <w:rPr>
                <w:color w:val="000000" w:themeColor="text1"/>
                <w:sz w:val="20"/>
              </w:rPr>
              <w:t>2008</w:t>
            </w:r>
          </w:p>
        </w:tc>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2A1B46" w14:textId="77777777" w:rsidR="003752EA" w:rsidRPr="008D5D0F" w:rsidRDefault="003752EA" w:rsidP="00974D06">
            <w:pPr>
              <w:jc w:val="both"/>
              <w:rPr>
                <w:color w:val="000000" w:themeColor="text1"/>
                <w:sz w:val="20"/>
              </w:rPr>
            </w:pPr>
            <w:r w:rsidRPr="008D5D0F">
              <w:rPr>
                <w:color w:val="000000" w:themeColor="text1"/>
                <w:sz w:val="20"/>
              </w:rPr>
              <w:t>6842</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652B37" w14:textId="77777777" w:rsidR="003752EA" w:rsidRPr="008D5D0F" w:rsidRDefault="003752EA" w:rsidP="00974D06">
            <w:pPr>
              <w:jc w:val="both"/>
              <w:rPr>
                <w:color w:val="000000" w:themeColor="text1"/>
                <w:sz w:val="20"/>
              </w:rPr>
            </w:pPr>
            <w:r w:rsidRPr="008D5D0F">
              <w:rPr>
                <w:color w:val="000000" w:themeColor="text1"/>
                <w:sz w:val="20"/>
              </w:rPr>
              <w:t>3,630,842</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37AE35" w14:textId="77777777" w:rsidR="003752EA" w:rsidRPr="008D5D0F" w:rsidRDefault="003752EA" w:rsidP="00974D06">
            <w:pPr>
              <w:jc w:val="both"/>
              <w:rPr>
                <w:color w:val="000000" w:themeColor="text1"/>
                <w:sz w:val="20"/>
              </w:rPr>
            </w:pPr>
            <w:r w:rsidRPr="008D5D0F">
              <w:rPr>
                <w:color w:val="000000" w:themeColor="text1"/>
                <w:sz w:val="20"/>
              </w:rPr>
              <w:t>3.422</w:t>
            </w:r>
          </w:p>
        </w:tc>
      </w:tr>
      <w:tr w:rsidR="008D5D0F" w:rsidRPr="008D5D0F" w14:paraId="251D3F1D" w14:textId="77777777" w:rsidTr="00974D06">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989056" w14:textId="77777777" w:rsidR="003752EA" w:rsidRPr="008D5D0F" w:rsidRDefault="003752EA" w:rsidP="00974D06">
            <w:pPr>
              <w:jc w:val="both"/>
              <w:rPr>
                <w:color w:val="000000" w:themeColor="text1"/>
                <w:sz w:val="20"/>
              </w:rPr>
            </w:pPr>
            <w:r w:rsidRPr="008D5D0F">
              <w:rPr>
                <w:color w:val="000000" w:themeColor="text1"/>
                <w:sz w:val="20"/>
              </w:rPr>
              <w:t>2009</w:t>
            </w:r>
          </w:p>
        </w:tc>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E5ED62" w14:textId="77777777" w:rsidR="003752EA" w:rsidRPr="008D5D0F" w:rsidRDefault="003752EA" w:rsidP="00974D06">
            <w:pPr>
              <w:jc w:val="both"/>
              <w:rPr>
                <w:color w:val="000000" w:themeColor="text1"/>
                <w:sz w:val="20"/>
              </w:rPr>
            </w:pPr>
            <w:r w:rsidRPr="008D5D0F">
              <w:rPr>
                <w:color w:val="000000" w:themeColor="text1"/>
                <w:sz w:val="20"/>
              </w:rPr>
              <w:t>6968</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0C701" w14:textId="77777777" w:rsidR="003752EA" w:rsidRPr="008D5D0F" w:rsidRDefault="003752EA" w:rsidP="00974D06">
            <w:pPr>
              <w:jc w:val="both"/>
              <w:rPr>
                <w:color w:val="000000" w:themeColor="text1"/>
                <w:sz w:val="20"/>
              </w:rPr>
            </w:pPr>
            <w:r w:rsidRPr="008D5D0F">
              <w:rPr>
                <w:color w:val="000000" w:themeColor="text1"/>
                <w:sz w:val="20"/>
              </w:rPr>
              <w:t>3,642,222</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6F5BB0" w14:textId="77777777" w:rsidR="003752EA" w:rsidRPr="008D5D0F" w:rsidRDefault="003752EA" w:rsidP="00974D06">
            <w:pPr>
              <w:jc w:val="both"/>
              <w:rPr>
                <w:color w:val="000000" w:themeColor="text1"/>
                <w:sz w:val="20"/>
              </w:rPr>
            </w:pPr>
            <w:r w:rsidRPr="008D5D0F">
              <w:rPr>
                <w:color w:val="000000" w:themeColor="text1"/>
                <w:sz w:val="20"/>
              </w:rPr>
              <w:t>3.498</w:t>
            </w:r>
          </w:p>
        </w:tc>
      </w:tr>
      <w:tr w:rsidR="008D5D0F" w:rsidRPr="008D5D0F" w14:paraId="3DA4C24E" w14:textId="77777777" w:rsidTr="00974D06">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0AFCA5" w14:textId="77777777" w:rsidR="003752EA" w:rsidRPr="008D5D0F" w:rsidRDefault="003752EA" w:rsidP="00974D06">
            <w:pPr>
              <w:jc w:val="both"/>
              <w:rPr>
                <w:color w:val="000000" w:themeColor="text1"/>
                <w:sz w:val="20"/>
              </w:rPr>
            </w:pPr>
            <w:r w:rsidRPr="008D5D0F">
              <w:rPr>
                <w:color w:val="000000" w:themeColor="text1"/>
                <w:sz w:val="20"/>
              </w:rPr>
              <w:t>2010</w:t>
            </w:r>
          </w:p>
        </w:tc>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8B403A" w14:textId="77777777" w:rsidR="003752EA" w:rsidRPr="008D5D0F" w:rsidRDefault="003752EA" w:rsidP="00974D06">
            <w:pPr>
              <w:jc w:val="both"/>
              <w:rPr>
                <w:color w:val="000000" w:themeColor="text1"/>
                <w:sz w:val="20"/>
              </w:rPr>
            </w:pPr>
            <w:r w:rsidRPr="008D5D0F">
              <w:rPr>
                <w:color w:val="000000" w:themeColor="text1"/>
                <w:sz w:val="20"/>
              </w:rPr>
              <w:t>7354</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2BB555" w14:textId="77777777" w:rsidR="003752EA" w:rsidRPr="008D5D0F" w:rsidRDefault="003752EA" w:rsidP="00974D06">
            <w:pPr>
              <w:jc w:val="both"/>
              <w:rPr>
                <w:color w:val="000000" w:themeColor="text1"/>
                <w:sz w:val="20"/>
              </w:rPr>
            </w:pPr>
            <w:r w:rsidRPr="008D5D0F">
              <w:rPr>
                <w:color w:val="000000" w:themeColor="text1"/>
                <w:sz w:val="20"/>
              </w:rPr>
              <w:t>3,644,759</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D84391" w14:textId="77777777" w:rsidR="003752EA" w:rsidRPr="008D5D0F" w:rsidRDefault="003752EA" w:rsidP="00974D06">
            <w:pPr>
              <w:jc w:val="both"/>
              <w:rPr>
                <w:rFonts w:eastAsia="宋体"/>
                <w:color w:val="000000" w:themeColor="text1"/>
                <w:sz w:val="20"/>
              </w:rPr>
            </w:pPr>
            <w:r w:rsidRPr="008D5D0F">
              <w:rPr>
                <w:color w:val="000000" w:themeColor="text1"/>
                <w:sz w:val="20"/>
              </w:rPr>
              <w:t>3.475</w:t>
            </w:r>
          </w:p>
        </w:tc>
      </w:tr>
      <w:tr w:rsidR="008D5D0F" w:rsidRPr="008D5D0F" w14:paraId="691431B2" w14:textId="77777777" w:rsidTr="00974D06">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BEFFC1" w14:textId="77777777" w:rsidR="003752EA" w:rsidRPr="008D5D0F" w:rsidRDefault="003752EA" w:rsidP="00974D06">
            <w:pPr>
              <w:jc w:val="both"/>
              <w:rPr>
                <w:color w:val="000000" w:themeColor="text1"/>
                <w:sz w:val="20"/>
              </w:rPr>
            </w:pPr>
            <w:r w:rsidRPr="008D5D0F">
              <w:rPr>
                <w:color w:val="000000" w:themeColor="text1"/>
                <w:sz w:val="20"/>
              </w:rPr>
              <w:t>2011</w:t>
            </w:r>
          </w:p>
        </w:tc>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6682A7" w14:textId="77777777" w:rsidR="003752EA" w:rsidRPr="008D5D0F" w:rsidRDefault="003752EA" w:rsidP="00974D06">
            <w:pPr>
              <w:jc w:val="both"/>
              <w:rPr>
                <w:color w:val="000000" w:themeColor="text1"/>
                <w:sz w:val="20"/>
              </w:rPr>
            </w:pPr>
            <w:r w:rsidRPr="008D5D0F">
              <w:rPr>
                <w:color w:val="000000" w:themeColor="text1"/>
                <w:sz w:val="20"/>
              </w:rPr>
              <w:t>7833</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AF1E1B" w14:textId="77777777" w:rsidR="003752EA" w:rsidRPr="008D5D0F" w:rsidRDefault="003752EA" w:rsidP="00974D06">
            <w:pPr>
              <w:jc w:val="both"/>
              <w:rPr>
                <w:color w:val="000000" w:themeColor="text1"/>
                <w:sz w:val="20"/>
              </w:rPr>
            </w:pPr>
            <w:r w:rsidRPr="008D5D0F">
              <w:rPr>
                <w:color w:val="000000" w:themeColor="text1"/>
                <w:sz w:val="20"/>
              </w:rPr>
              <w:t>3,683,766</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22B8B0" w14:textId="77777777" w:rsidR="003752EA" w:rsidRPr="008D5D0F" w:rsidRDefault="003752EA" w:rsidP="00974D06">
            <w:pPr>
              <w:jc w:val="both"/>
              <w:rPr>
                <w:color w:val="000000" w:themeColor="text1"/>
                <w:sz w:val="20"/>
              </w:rPr>
            </w:pPr>
            <w:r w:rsidRPr="008D5D0F">
              <w:rPr>
                <w:color w:val="000000" w:themeColor="text1"/>
                <w:sz w:val="20"/>
              </w:rPr>
              <w:t>3.645</w:t>
            </w:r>
          </w:p>
        </w:tc>
      </w:tr>
      <w:tr w:rsidR="008D5D0F" w:rsidRPr="008D5D0F" w14:paraId="786BE460" w14:textId="77777777" w:rsidTr="00974D06">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C359DF" w14:textId="77777777" w:rsidR="003752EA" w:rsidRPr="008D5D0F" w:rsidRDefault="003752EA" w:rsidP="00974D06">
            <w:pPr>
              <w:jc w:val="both"/>
              <w:rPr>
                <w:color w:val="000000" w:themeColor="text1"/>
                <w:sz w:val="20"/>
              </w:rPr>
            </w:pPr>
            <w:r w:rsidRPr="008D5D0F">
              <w:rPr>
                <w:color w:val="000000" w:themeColor="text1"/>
                <w:sz w:val="20"/>
              </w:rPr>
              <w:t>2012</w:t>
            </w:r>
          </w:p>
        </w:tc>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5BA28B" w14:textId="77777777" w:rsidR="003752EA" w:rsidRPr="008D5D0F" w:rsidRDefault="003752EA" w:rsidP="00974D06">
            <w:pPr>
              <w:jc w:val="both"/>
              <w:rPr>
                <w:color w:val="000000" w:themeColor="text1"/>
                <w:sz w:val="20"/>
              </w:rPr>
            </w:pPr>
            <w:r w:rsidRPr="008D5D0F">
              <w:rPr>
                <w:color w:val="000000" w:themeColor="text1"/>
                <w:sz w:val="20"/>
              </w:rPr>
              <w:t>7936</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7782DE" w14:textId="77777777" w:rsidR="003752EA" w:rsidRPr="008D5D0F" w:rsidRDefault="003752EA" w:rsidP="00974D06">
            <w:pPr>
              <w:jc w:val="both"/>
              <w:rPr>
                <w:color w:val="000000" w:themeColor="text1"/>
                <w:sz w:val="20"/>
              </w:rPr>
            </w:pPr>
            <w:r w:rsidRPr="008D5D0F">
              <w:rPr>
                <w:color w:val="000000" w:themeColor="text1"/>
                <w:sz w:val="20"/>
              </w:rPr>
              <w:t>3,731,191</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E4465B" w14:textId="77777777" w:rsidR="003752EA" w:rsidRPr="008D5D0F" w:rsidRDefault="003752EA" w:rsidP="00974D06">
            <w:pPr>
              <w:jc w:val="both"/>
              <w:rPr>
                <w:color w:val="000000" w:themeColor="text1"/>
                <w:sz w:val="20"/>
              </w:rPr>
            </w:pPr>
            <w:r w:rsidRPr="008D5D0F">
              <w:rPr>
                <w:color w:val="000000" w:themeColor="text1"/>
                <w:sz w:val="20"/>
              </w:rPr>
              <w:t>3.724</w:t>
            </w:r>
          </w:p>
        </w:tc>
      </w:tr>
      <w:tr w:rsidR="008D5D0F" w:rsidRPr="008D5D0F" w14:paraId="10A4E748" w14:textId="77777777" w:rsidTr="00974D06">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25367A" w14:textId="77777777" w:rsidR="003752EA" w:rsidRPr="008D5D0F" w:rsidRDefault="003752EA" w:rsidP="00974D06">
            <w:pPr>
              <w:jc w:val="both"/>
              <w:rPr>
                <w:color w:val="000000" w:themeColor="text1"/>
                <w:sz w:val="20"/>
              </w:rPr>
            </w:pPr>
            <w:r w:rsidRPr="008D5D0F">
              <w:rPr>
                <w:color w:val="000000" w:themeColor="text1"/>
                <w:sz w:val="20"/>
              </w:rPr>
              <w:t>2013</w:t>
            </w:r>
          </w:p>
        </w:tc>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A7CD0C" w14:textId="77777777" w:rsidR="003752EA" w:rsidRPr="008D5D0F" w:rsidRDefault="003752EA" w:rsidP="00974D06">
            <w:pPr>
              <w:jc w:val="both"/>
              <w:rPr>
                <w:color w:val="000000" w:themeColor="text1"/>
                <w:sz w:val="20"/>
              </w:rPr>
            </w:pPr>
            <w:r w:rsidRPr="008D5D0F">
              <w:rPr>
                <w:color w:val="000000" w:themeColor="text1"/>
                <w:sz w:val="20"/>
              </w:rPr>
              <w:t>7976</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722053" w14:textId="77777777" w:rsidR="003752EA" w:rsidRPr="008D5D0F" w:rsidRDefault="003752EA" w:rsidP="00974D06">
            <w:pPr>
              <w:jc w:val="both"/>
              <w:rPr>
                <w:color w:val="000000" w:themeColor="text1"/>
                <w:sz w:val="20"/>
              </w:rPr>
            </w:pPr>
            <w:r w:rsidRPr="008D5D0F">
              <w:rPr>
                <w:color w:val="000000" w:themeColor="text1"/>
                <w:sz w:val="20"/>
              </w:rPr>
              <w:t>3,779,367</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4ED742" w14:textId="77777777" w:rsidR="003752EA" w:rsidRPr="008D5D0F" w:rsidRDefault="003752EA" w:rsidP="00974D06">
            <w:pPr>
              <w:jc w:val="both"/>
              <w:rPr>
                <w:color w:val="000000" w:themeColor="text1"/>
                <w:sz w:val="20"/>
              </w:rPr>
            </w:pPr>
            <w:r w:rsidRPr="008D5D0F">
              <w:rPr>
                <w:color w:val="000000" w:themeColor="text1"/>
                <w:sz w:val="20"/>
              </w:rPr>
              <w:t>3.800</w:t>
            </w:r>
          </w:p>
        </w:tc>
      </w:tr>
      <w:tr w:rsidR="008D5D0F" w:rsidRPr="008D5D0F" w14:paraId="59589B6F" w14:textId="77777777" w:rsidTr="00974D06">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4962A4" w14:textId="77777777" w:rsidR="003752EA" w:rsidRPr="008D5D0F" w:rsidRDefault="003752EA" w:rsidP="00974D06">
            <w:pPr>
              <w:jc w:val="both"/>
              <w:rPr>
                <w:color w:val="000000" w:themeColor="text1"/>
                <w:sz w:val="20"/>
              </w:rPr>
            </w:pPr>
            <w:r w:rsidRPr="008D5D0F">
              <w:rPr>
                <w:color w:val="000000" w:themeColor="text1"/>
                <w:sz w:val="20"/>
              </w:rPr>
              <w:t>2014</w:t>
            </w:r>
          </w:p>
        </w:tc>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59EADF" w14:textId="77777777" w:rsidR="003752EA" w:rsidRPr="008D5D0F" w:rsidRDefault="003752EA" w:rsidP="00974D06">
            <w:pPr>
              <w:jc w:val="both"/>
              <w:rPr>
                <w:color w:val="000000" w:themeColor="text1"/>
                <w:sz w:val="20"/>
              </w:rPr>
            </w:pPr>
            <w:r w:rsidRPr="008D5D0F">
              <w:rPr>
                <w:color w:val="000000" w:themeColor="text1"/>
                <w:sz w:val="20"/>
              </w:rPr>
              <w:t>7939</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9436D0" w14:textId="77777777" w:rsidR="003752EA" w:rsidRPr="008D5D0F" w:rsidRDefault="003752EA" w:rsidP="00974D06">
            <w:pPr>
              <w:jc w:val="both"/>
              <w:rPr>
                <w:color w:val="000000" w:themeColor="text1"/>
                <w:sz w:val="20"/>
              </w:rPr>
            </w:pPr>
            <w:r w:rsidRPr="008D5D0F">
              <w:rPr>
                <w:color w:val="000000" w:themeColor="text1"/>
                <w:sz w:val="20"/>
              </w:rPr>
              <w:t>3,796,950</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07C68B" w14:textId="77777777" w:rsidR="003752EA" w:rsidRPr="008D5D0F" w:rsidRDefault="003752EA" w:rsidP="00974D06">
            <w:pPr>
              <w:jc w:val="both"/>
              <w:rPr>
                <w:color w:val="000000" w:themeColor="text1"/>
                <w:sz w:val="20"/>
              </w:rPr>
            </w:pPr>
            <w:r w:rsidRPr="008D5D0F">
              <w:rPr>
                <w:color w:val="000000" w:themeColor="text1"/>
                <w:sz w:val="20"/>
              </w:rPr>
              <w:t>3.877</w:t>
            </w:r>
          </w:p>
        </w:tc>
      </w:tr>
      <w:tr w:rsidR="008D5D0F" w:rsidRPr="008D5D0F" w14:paraId="5ADCB5BE" w14:textId="77777777" w:rsidTr="00974D06">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4FE277" w14:textId="77777777" w:rsidR="003752EA" w:rsidRPr="008D5D0F" w:rsidRDefault="003752EA" w:rsidP="00974D06">
            <w:pPr>
              <w:jc w:val="both"/>
              <w:rPr>
                <w:color w:val="000000" w:themeColor="text1"/>
                <w:sz w:val="20"/>
              </w:rPr>
            </w:pPr>
            <w:r w:rsidRPr="008D5D0F">
              <w:rPr>
                <w:color w:val="000000" w:themeColor="text1"/>
                <w:sz w:val="20"/>
              </w:rPr>
              <w:t>2015</w:t>
            </w:r>
          </w:p>
        </w:tc>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AFD3B6" w14:textId="77777777" w:rsidR="003752EA" w:rsidRPr="008D5D0F" w:rsidRDefault="003752EA" w:rsidP="00974D06">
            <w:pPr>
              <w:jc w:val="both"/>
              <w:rPr>
                <w:color w:val="000000" w:themeColor="text1"/>
                <w:sz w:val="20"/>
              </w:rPr>
            </w:pPr>
            <w:r w:rsidRPr="008D5D0F">
              <w:rPr>
                <w:color w:val="000000" w:themeColor="text1"/>
                <w:sz w:val="20"/>
              </w:rPr>
              <w:t>7699</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59B6DA" w14:textId="77777777" w:rsidR="003752EA" w:rsidRPr="008D5D0F" w:rsidRDefault="003752EA" w:rsidP="00974D06">
            <w:pPr>
              <w:jc w:val="both"/>
              <w:rPr>
                <w:color w:val="000000" w:themeColor="text1"/>
                <w:sz w:val="20"/>
              </w:rPr>
            </w:pPr>
            <w:r w:rsidRPr="008D5D0F">
              <w:rPr>
                <w:color w:val="000000" w:themeColor="text1"/>
                <w:sz w:val="20"/>
              </w:rPr>
              <w:t>3,863,463</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C8727B" w14:textId="77777777" w:rsidR="003752EA" w:rsidRPr="008D5D0F" w:rsidRDefault="003752EA" w:rsidP="00974D06">
            <w:pPr>
              <w:jc w:val="both"/>
              <w:rPr>
                <w:color w:val="000000" w:themeColor="text1"/>
                <w:sz w:val="20"/>
              </w:rPr>
            </w:pPr>
            <w:r w:rsidRPr="008D5D0F">
              <w:rPr>
                <w:color w:val="000000" w:themeColor="text1"/>
                <w:sz w:val="20"/>
              </w:rPr>
              <w:t>3.956</w:t>
            </w:r>
          </w:p>
        </w:tc>
      </w:tr>
      <w:tr w:rsidR="008D5D0F" w:rsidRPr="008D5D0F" w14:paraId="150BBFEA" w14:textId="77777777" w:rsidTr="00974D06">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352ACA" w14:textId="77777777" w:rsidR="003752EA" w:rsidRPr="008D5D0F" w:rsidRDefault="003752EA" w:rsidP="00974D06">
            <w:pPr>
              <w:jc w:val="both"/>
              <w:rPr>
                <w:color w:val="000000" w:themeColor="text1"/>
                <w:sz w:val="20"/>
              </w:rPr>
            </w:pPr>
            <w:r w:rsidRPr="008D5D0F">
              <w:rPr>
                <w:color w:val="000000" w:themeColor="text1"/>
                <w:sz w:val="20"/>
              </w:rPr>
              <w:t>2016</w:t>
            </w:r>
          </w:p>
        </w:tc>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B76F61" w14:textId="77777777" w:rsidR="003752EA" w:rsidRPr="008D5D0F" w:rsidRDefault="003752EA" w:rsidP="00974D06">
            <w:pPr>
              <w:jc w:val="both"/>
              <w:rPr>
                <w:color w:val="000000" w:themeColor="text1"/>
                <w:sz w:val="20"/>
              </w:rPr>
            </w:pPr>
            <w:r w:rsidRPr="008D5D0F">
              <w:rPr>
                <w:color w:val="000000" w:themeColor="text1"/>
                <w:sz w:val="20"/>
              </w:rPr>
              <w:t>7293</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38E0F1" w14:textId="77777777" w:rsidR="003752EA" w:rsidRPr="008D5D0F" w:rsidRDefault="003752EA" w:rsidP="00974D06">
            <w:pPr>
              <w:jc w:val="both"/>
              <w:rPr>
                <w:color w:val="000000" w:themeColor="text1"/>
                <w:sz w:val="20"/>
              </w:rPr>
            </w:pPr>
            <w:r w:rsidRPr="008D5D0F">
              <w:rPr>
                <w:color w:val="000000" w:themeColor="text1"/>
                <w:sz w:val="20"/>
              </w:rPr>
              <w:t>3,924,322</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1A2509" w14:textId="77777777" w:rsidR="003752EA" w:rsidRPr="008D5D0F" w:rsidRDefault="003752EA" w:rsidP="00974D06">
            <w:pPr>
              <w:jc w:val="both"/>
              <w:rPr>
                <w:color w:val="000000" w:themeColor="text1"/>
                <w:sz w:val="20"/>
              </w:rPr>
            </w:pPr>
            <w:r w:rsidRPr="008D5D0F">
              <w:rPr>
                <w:color w:val="000000" w:themeColor="text1"/>
                <w:sz w:val="20"/>
              </w:rPr>
              <w:t>4.036</w:t>
            </w:r>
          </w:p>
        </w:tc>
      </w:tr>
      <w:tr w:rsidR="008D5D0F" w:rsidRPr="008D5D0F" w14:paraId="5A0B1989" w14:textId="77777777" w:rsidTr="00974D06">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CE1EDD" w14:textId="77777777" w:rsidR="003752EA" w:rsidRPr="008D5D0F" w:rsidRDefault="003752EA" w:rsidP="00974D06">
            <w:pPr>
              <w:jc w:val="both"/>
              <w:rPr>
                <w:color w:val="000000" w:themeColor="text1"/>
                <w:sz w:val="20"/>
              </w:rPr>
            </w:pPr>
            <w:r w:rsidRPr="008D5D0F">
              <w:rPr>
                <w:color w:val="000000" w:themeColor="text1"/>
                <w:sz w:val="20"/>
              </w:rPr>
              <w:t>2017</w:t>
            </w:r>
          </w:p>
        </w:tc>
        <w:tc>
          <w:tcPr>
            <w:tcW w:w="2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830097" w14:textId="77777777" w:rsidR="003752EA" w:rsidRPr="008D5D0F" w:rsidRDefault="003752EA" w:rsidP="00974D06">
            <w:pPr>
              <w:jc w:val="both"/>
              <w:rPr>
                <w:color w:val="000000" w:themeColor="text1"/>
                <w:sz w:val="20"/>
              </w:rPr>
            </w:pPr>
            <w:r w:rsidRPr="008D5D0F">
              <w:rPr>
                <w:color w:val="000000" w:themeColor="text1"/>
                <w:sz w:val="20"/>
              </w:rPr>
              <w:t>7545</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BA87E1" w14:textId="77777777" w:rsidR="003752EA" w:rsidRPr="008D5D0F" w:rsidRDefault="003752EA" w:rsidP="00974D06">
            <w:pPr>
              <w:jc w:val="both"/>
              <w:rPr>
                <w:color w:val="000000" w:themeColor="text1"/>
                <w:sz w:val="20"/>
              </w:rPr>
            </w:pPr>
            <w:r w:rsidRPr="008D5D0F">
              <w:rPr>
                <w:color w:val="000000" w:themeColor="text1"/>
                <w:sz w:val="20"/>
              </w:rPr>
              <w:t>3,962,268</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FBB993" w14:textId="77777777" w:rsidR="003752EA" w:rsidRPr="008D5D0F" w:rsidRDefault="003752EA" w:rsidP="00974D06">
            <w:pPr>
              <w:jc w:val="both"/>
              <w:rPr>
                <w:color w:val="000000" w:themeColor="text1"/>
                <w:sz w:val="20"/>
              </w:rPr>
            </w:pPr>
            <w:r w:rsidRPr="008D5D0F">
              <w:rPr>
                <w:color w:val="000000" w:themeColor="text1"/>
                <w:sz w:val="20"/>
              </w:rPr>
              <w:t>4.116</w:t>
            </w:r>
          </w:p>
        </w:tc>
      </w:tr>
      <w:tr w:rsidR="003752EA" w:rsidRPr="008D5D0F" w14:paraId="19F5DE0D" w14:textId="77777777" w:rsidTr="00974D06">
        <w:tc>
          <w:tcPr>
            <w:tcW w:w="2337" w:type="dxa"/>
            <w:tcBorders>
              <w:top w:val="single" w:sz="4" w:space="0" w:color="FFFFFF" w:themeColor="background1"/>
              <w:left w:val="single" w:sz="4" w:space="0" w:color="FFFFFF" w:themeColor="background1"/>
              <w:right w:val="single" w:sz="4" w:space="0" w:color="FFFFFF" w:themeColor="background1"/>
            </w:tcBorders>
          </w:tcPr>
          <w:p w14:paraId="76DF9480" w14:textId="77777777" w:rsidR="003752EA" w:rsidRPr="008D5D0F" w:rsidRDefault="003752EA" w:rsidP="00974D06">
            <w:pPr>
              <w:jc w:val="both"/>
              <w:rPr>
                <w:color w:val="000000" w:themeColor="text1"/>
                <w:sz w:val="20"/>
              </w:rPr>
            </w:pPr>
          </w:p>
        </w:tc>
        <w:tc>
          <w:tcPr>
            <w:tcW w:w="2337" w:type="dxa"/>
            <w:tcBorders>
              <w:top w:val="single" w:sz="4" w:space="0" w:color="FFFFFF" w:themeColor="background1"/>
              <w:left w:val="single" w:sz="4" w:space="0" w:color="FFFFFF" w:themeColor="background1"/>
              <w:right w:val="single" w:sz="4" w:space="0" w:color="FFFFFF" w:themeColor="background1"/>
            </w:tcBorders>
          </w:tcPr>
          <w:p w14:paraId="7A50FCBD" w14:textId="77777777" w:rsidR="003752EA" w:rsidRPr="008D5D0F" w:rsidRDefault="003752EA" w:rsidP="00974D06">
            <w:pPr>
              <w:jc w:val="both"/>
              <w:rPr>
                <w:color w:val="000000" w:themeColor="text1"/>
                <w:sz w:val="20"/>
              </w:rPr>
            </w:pPr>
          </w:p>
        </w:tc>
        <w:tc>
          <w:tcPr>
            <w:tcW w:w="2338" w:type="dxa"/>
            <w:tcBorders>
              <w:top w:val="single" w:sz="4" w:space="0" w:color="FFFFFF" w:themeColor="background1"/>
              <w:left w:val="single" w:sz="4" w:space="0" w:color="FFFFFF" w:themeColor="background1"/>
              <w:right w:val="single" w:sz="4" w:space="0" w:color="FFFFFF" w:themeColor="background1"/>
            </w:tcBorders>
          </w:tcPr>
          <w:p w14:paraId="0FFCE3D0" w14:textId="77777777" w:rsidR="003752EA" w:rsidRPr="008D5D0F" w:rsidRDefault="003752EA" w:rsidP="00974D06">
            <w:pPr>
              <w:jc w:val="both"/>
              <w:rPr>
                <w:color w:val="000000" w:themeColor="text1"/>
                <w:sz w:val="20"/>
              </w:rPr>
            </w:pPr>
          </w:p>
        </w:tc>
        <w:tc>
          <w:tcPr>
            <w:tcW w:w="2338" w:type="dxa"/>
            <w:tcBorders>
              <w:top w:val="single" w:sz="4" w:space="0" w:color="FFFFFF" w:themeColor="background1"/>
              <w:left w:val="single" w:sz="4" w:space="0" w:color="FFFFFF" w:themeColor="background1"/>
              <w:right w:val="single" w:sz="4" w:space="0" w:color="FFFFFF" w:themeColor="background1"/>
            </w:tcBorders>
          </w:tcPr>
          <w:p w14:paraId="73BC4D7E" w14:textId="77777777" w:rsidR="003752EA" w:rsidRPr="008D5D0F" w:rsidRDefault="003752EA" w:rsidP="00974D06">
            <w:pPr>
              <w:jc w:val="both"/>
              <w:rPr>
                <w:color w:val="000000" w:themeColor="text1"/>
                <w:sz w:val="20"/>
              </w:rPr>
            </w:pPr>
          </w:p>
        </w:tc>
      </w:tr>
    </w:tbl>
    <w:p w14:paraId="0F38E675" w14:textId="4E0DD4D0" w:rsidR="003752EA" w:rsidRPr="008D5D0F" w:rsidRDefault="003752EA" w:rsidP="003752EA">
      <w:pPr>
        <w:pStyle w:val="aff1"/>
        <w:rPr>
          <w:color w:val="000000" w:themeColor="text1"/>
          <w:sz w:val="20"/>
          <w:szCs w:val="20"/>
        </w:rPr>
      </w:pPr>
    </w:p>
    <w:p w14:paraId="03AA18FE" w14:textId="77777777" w:rsidR="003752EA" w:rsidRPr="008D5D0F" w:rsidRDefault="003752EA">
      <w:pPr>
        <w:rPr>
          <w:color w:val="000000" w:themeColor="text1"/>
          <w:sz w:val="20"/>
        </w:rPr>
      </w:pPr>
      <w:r w:rsidRPr="008D5D0F">
        <w:rPr>
          <w:color w:val="000000" w:themeColor="text1"/>
          <w:sz w:val="20"/>
        </w:rPr>
        <w:br w:type="page"/>
      </w:r>
    </w:p>
    <w:p w14:paraId="08545532" w14:textId="01BE0CCB" w:rsidR="003752EA" w:rsidRPr="008D5D0F" w:rsidRDefault="003752EA" w:rsidP="003752EA">
      <w:pPr>
        <w:pStyle w:val="aff1"/>
        <w:rPr>
          <w:color w:val="000000" w:themeColor="text1"/>
          <w:sz w:val="20"/>
          <w:szCs w:val="20"/>
        </w:rPr>
      </w:pPr>
      <w:r w:rsidRPr="008D5D0F">
        <w:rPr>
          <w:color w:val="000000" w:themeColor="text1"/>
          <w:sz w:val="20"/>
          <w:szCs w:val="20"/>
        </w:rPr>
        <w:lastRenderedPageBreak/>
        <w:t>Table S3| Correlation matrix for Coal, Livestock, and Waste CH</w:t>
      </w:r>
      <w:r w:rsidRPr="008D5D0F">
        <w:rPr>
          <w:color w:val="000000" w:themeColor="text1"/>
          <w:sz w:val="20"/>
          <w:szCs w:val="20"/>
          <w:vertAlign w:val="subscript"/>
        </w:rPr>
        <w:t>4</w:t>
      </w:r>
      <w:r w:rsidRPr="008D5D0F">
        <w:rPr>
          <w:color w:val="000000" w:themeColor="text1"/>
          <w:sz w:val="20"/>
          <w:szCs w:val="20"/>
        </w:rPr>
        <w:t xml:space="preserve"> emissions with corresponding inventory statistics from Table S2.  </w:t>
      </w:r>
    </w:p>
    <w:p w14:paraId="72FD6989" w14:textId="77777777" w:rsidR="003752EA" w:rsidRPr="008D5D0F" w:rsidRDefault="003752EA" w:rsidP="003752EA">
      <w:pPr>
        <w:pStyle w:val="aff1"/>
        <w:rPr>
          <w:color w:val="000000" w:themeColor="text1"/>
          <w:sz w:val="20"/>
          <w:szCs w:val="20"/>
        </w:rPr>
      </w:pPr>
    </w:p>
    <w:tbl>
      <w:tblPr>
        <w:tblStyle w:val="afff1"/>
        <w:tblW w:w="0" w:type="auto"/>
        <w:tblLook w:val="04A0" w:firstRow="1" w:lastRow="0" w:firstColumn="1" w:lastColumn="0" w:noHBand="0" w:noVBand="1"/>
      </w:tblPr>
      <w:tblGrid>
        <w:gridCol w:w="2233"/>
        <w:gridCol w:w="2210"/>
        <w:gridCol w:w="2203"/>
        <w:gridCol w:w="2210"/>
      </w:tblGrid>
      <w:tr w:rsidR="008D5D0F" w:rsidRPr="008D5D0F" w14:paraId="28F550FE" w14:textId="77777777" w:rsidTr="00974D06">
        <w:tc>
          <w:tcPr>
            <w:tcW w:w="2337" w:type="dxa"/>
            <w:tcBorders>
              <w:left w:val="single" w:sz="2" w:space="0" w:color="FFFFFF" w:themeColor="background1"/>
              <w:right w:val="single" w:sz="2" w:space="0" w:color="FFFFFF" w:themeColor="background1"/>
            </w:tcBorders>
          </w:tcPr>
          <w:p w14:paraId="265502AF" w14:textId="77777777" w:rsidR="003752EA" w:rsidRPr="008D5D0F" w:rsidRDefault="003752EA" w:rsidP="00974D06">
            <w:pPr>
              <w:pStyle w:val="aff1"/>
              <w:rPr>
                <w:color w:val="000000" w:themeColor="text1"/>
                <w:sz w:val="20"/>
                <w:szCs w:val="20"/>
              </w:rPr>
            </w:pPr>
            <w:r w:rsidRPr="008D5D0F">
              <w:rPr>
                <w:color w:val="000000" w:themeColor="text1"/>
                <w:sz w:val="20"/>
                <w:szCs w:val="20"/>
              </w:rPr>
              <w:t>Dataset</w:t>
            </w:r>
          </w:p>
        </w:tc>
        <w:tc>
          <w:tcPr>
            <w:tcW w:w="2337" w:type="dxa"/>
            <w:tcBorders>
              <w:left w:val="single" w:sz="2" w:space="0" w:color="FFFFFF" w:themeColor="background1"/>
              <w:right w:val="single" w:sz="2" w:space="0" w:color="FFFFFF" w:themeColor="background1"/>
            </w:tcBorders>
          </w:tcPr>
          <w:p w14:paraId="2654AACC" w14:textId="77777777" w:rsidR="003752EA" w:rsidRPr="008D5D0F" w:rsidRDefault="003752EA" w:rsidP="00974D06">
            <w:pPr>
              <w:pStyle w:val="aff1"/>
              <w:rPr>
                <w:color w:val="000000" w:themeColor="text1"/>
                <w:sz w:val="20"/>
                <w:szCs w:val="20"/>
              </w:rPr>
            </w:pPr>
            <w:r w:rsidRPr="008D5D0F">
              <w:rPr>
                <w:color w:val="000000" w:themeColor="text1"/>
                <w:sz w:val="20"/>
                <w:szCs w:val="20"/>
              </w:rPr>
              <w:t>Coal production</w:t>
            </w:r>
          </w:p>
        </w:tc>
        <w:tc>
          <w:tcPr>
            <w:tcW w:w="2338" w:type="dxa"/>
            <w:tcBorders>
              <w:left w:val="single" w:sz="2" w:space="0" w:color="FFFFFF" w:themeColor="background1"/>
              <w:right w:val="single" w:sz="4" w:space="0" w:color="FFFFFF" w:themeColor="background1"/>
            </w:tcBorders>
          </w:tcPr>
          <w:p w14:paraId="192928EE" w14:textId="77777777" w:rsidR="003752EA" w:rsidRPr="008D5D0F" w:rsidRDefault="003752EA" w:rsidP="00974D06">
            <w:pPr>
              <w:pStyle w:val="aff1"/>
              <w:rPr>
                <w:color w:val="000000" w:themeColor="text1"/>
                <w:sz w:val="20"/>
                <w:szCs w:val="20"/>
              </w:rPr>
            </w:pPr>
            <w:r w:rsidRPr="008D5D0F">
              <w:rPr>
                <w:color w:val="000000" w:themeColor="text1"/>
                <w:sz w:val="20"/>
                <w:szCs w:val="20"/>
              </w:rPr>
              <w:t>Livestock stock</w:t>
            </w:r>
          </w:p>
        </w:tc>
        <w:tc>
          <w:tcPr>
            <w:tcW w:w="2338" w:type="dxa"/>
            <w:tcBorders>
              <w:left w:val="single" w:sz="4" w:space="0" w:color="FFFFFF" w:themeColor="background1"/>
              <w:right w:val="single" w:sz="4" w:space="0" w:color="FFFFFF" w:themeColor="background1"/>
            </w:tcBorders>
          </w:tcPr>
          <w:p w14:paraId="5B13FD9D" w14:textId="77777777" w:rsidR="003752EA" w:rsidRPr="008D5D0F" w:rsidRDefault="003752EA" w:rsidP="00974D06">
            <w:pPr>
              <w:pStyle w:val="aff1"/>
              <w:rPr>
                <w:color w:val="000000" w:themeColor="text1"/>
                <w:sz w:val="20"/>
                <w:szCs w:val="20"/>
              </w:rPr>
            </w:pPr>
            <w:r w:rsidRPr="008D5D0F">
              <w:rPr>
                <w:color w:val="000000" w:themeColor="text1"/>
                <w:sz w:val="20"/>
                <w:szCs w:val="20"/>
              </w:rPr>
              <w:t>Urban population</w:t>
            </w:r>
          </w:p>
        </w:tc>
      </w:tr>
      <w:tr w:rsidR="008D5D0F" w:rsidRPr="008D5D0F" w14:paraId="5EE4BBE0" w14:textId="77777777" w:rsidTr="00974D06">
        <w:tc>
          <w:tcPr>
            <w:tcW w:w="2337" w:type="dxa"/>
            <w:tcBorders>
              <w:left w:val="single" w:sz="2" w:space="0" w:color="FFFFFF" w:themeColor="background1"/>
              <w:bottom w:val="single" w:sz="4" w:space="0" w:color="FFFFFF" w:themeColor="background1"/>
              <w:right w:val="single" w:sz="2" w:space="0" w:color="FFFFFF" w:themeColor="background1"/>
            </w:tcBorders>
          </w:tcPr>
          <w:p w14:paraId="6630FBC2" w14:textId="77777777" w:rsidR="003752EA" w:rsidRPr="008D5D0F" w:rsidRDefault="003752EA" w:rsidP="00974D06">
            <w:pPr>
              <w:pStyle w:val="aff1"/>
              <w:rPr>
                <w:color w:val="000000" w:themeColor="text1"/>
                <w:sz w:val="20"/>
                <w:szCs w:val="20"/>
              </w:rPr>
            </w:pPr>
            <w:r w:rsidRPr="008D5D0F">
              <w:rPr>
                <w:color w:val="000000" w:themeColor="text1"/>
                <w:sz w:val="20"/>
                <w:szCs w:val="20"/>
                <w:lang w:eastAsia="zh-CN"/>
              </w:rPr>
              <w:t>EDGAR</w:t>
            </w:r>
            <w:r w:rsidRPr="008D5D0F">
              <w:rPr>
                <w:color w:val="000000" w:themeColor="text1"/>
                <w:sz w:val="20"/>
                <w:szCs w:val="20"/>
              </w:rPr>
              <w:t>4.2</w:t>
            </w:r>
          </w:p>
        </w:tc>
        <w:tc>
          <w:tcPr>
            <w:tcW w:w="2337" w:type="dxa"/>
            <w:tcBorders>
              <w:left w:val="single" w:sz="2" w:space="0" w:color="FFFFFF" w:themeColor="background1"/>
              <w:bottom w:val="single" w:sz="4" w:space="0" w:color="FFFFFF" w:themeColor="background1"/>
              <w:right w:val="single" w:sz="2" w:space="0" w:color="FFFFFF" w:themeColor="background1"/>
            </w:tcBorders>
          </w:tcPr>
          <w:p w14:paraId="0037395E" w14:textId="77777777" w:rsidR="003752EA" w:rsidRPr="008D5D0F" w:rsidRDefault="003752EA" w:rsidP="00974D06">
            <w:pPr>
              <w:pStyle w:val="aff1"/>
              <w:rPr>
                <w:color w:val="000000" w:themeColor="text1"/>
                <w:sz w:val="20"/>
                <w:szCs w:val="20"/>
              </w:rPr>
            </w:pPr>
            <w:r w:rsidRPr="008D5D0F">
              <w:rPr>
                <w:color w:val="000000" w:themeColor="text1"/>
                <w:sz w:val="20"/>
                <w:szCs w:val="20"/>
              </w:rPr>
              <w:t>0.994</w:t>
            </w:r>
          </w:p>
        </w:tc>
        <w:tc>
          <w:tcPr>
            <w:tcW w:w="2338" w:type="dxa"/>
            <w:tcBorders>
              <w:left w:val="single" w:sz="2" w:space="0" w:color="FFFFFF" w:themeColor="background1"/>
              <w:bottom w:val="single" w:sz="4" w:space="0" w:color="FFFFFF" w:themeColor="background1"/>
              <w:right w:val="single" w:sz="4" w:space="0" w:color="FFFFFF" w:themeColor="background1"/>
            </w:tcBorders>
          </w:tcPr>
          <w:p w14:paraId="61A0703C" w14:textId="77777777" w:rsidR="003752EA" w:rsidRPr="008D5D0F" w:rsidRDefault="003752EA" w:rsidP="00974D06">
            <w:pPr>
              <w:pStyle w:val="aff1"/>
              <w:rPr>
                <w:color w:val="000000" w:themeColor="text1"/>
                <w:sz w:val="20"/>
                <w:szCs w:val="20"/>
              </w:rPr>
            </w:pPr>
            <w:r w:rsidRPr="008D5D0F">
              <w:rPr>
                <w:color w:val="000000" w:themeColor="text1"/>
                <w:sz w:val="20"/>
                <w:szCs w:val="20"/>
              </w:rPr>
              <w:t>0.982</w:t>
            </w:r>
          </w:p>
        </w:tc>
        <w:tc>
          <w:tcPr>
            <w:tcW w:w="2338" w:type="dxa"/>
            <w:tcBorders>
              <w:left w:val="single" w:sz="4" w:space="0" w:color="FFFFFF" w:themeColor="background1"/>
              <w:bottom w:val="single" w:sz="4" w:space="0" w:color="FFFFFF" w:themeColor="background1"/>
              <w:right w:val="single" w:sz="4" w:space="0" w:color="FFFFFF" w:themeColor="background1"/>
            </w:tcBorders>
          </w:tcPr>
          <w:p w14:paraId="62FEAAA1" w14:textId="77777777" w:rsidR="003752EA" w:rsidRPr="008D5D0F" w:rsidRDefault="003752EA" w:rsidP="00974D06">
            <w:pPr>
              <w:pStyle w:val="aff1"/>
              <w:rPr>
                <w:color w:val="000000" w:themeColor="text1"/>
                <w:sz w:val="20"/>
                <w:szCs w:val="20"/>
              </w:rPr>
            </w:pPr>
            <w:r w:rsidRPr="008D5D0F">
              <w:rPr>
                <w:color w:val="000000" w:themeColor="text1"/>
                <w:sz w:val="20"/>
                <w:szCs w:val="20"/>
              </w:rPr>
              <w:t>0.971</w:t>
            </w:r>
          </w:p>
        </w:tc>
      </w:tr>
      <w:tr w:rsidR="008D5D0F" w:rsidRPr="008D5D0F" w14:paraId="541E6D68" w14:textId="77777777" w:rsidTr="00974D06">
        <w:tc>
          <w:tcPr>
            <w:tcW w:w="2337"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080874F8" w14:textId="77777777" w:rsidR="003752EA" w:rsidRPr="008D5D0F" w:rsidRDefault="003752EA" w:rsidP="00974D06">
            <w:pPr>
              <w:pStyle w:val="aff1"/>
              <w:rPr>
                <w:color w:val="000000" w:themeColor="text1"/>
                <w:sz w:val="20"/>
                <w:szCs w:val="20"/>
              </w:rPr>
            </w:pPr>
            <w:r w:rsidRPr="008D5D0F">
              <w:rPr>
                <w:color w:val="000000" w:themeColor="text1"/>
                <w:sz w:val="20"/>
                <w:szCs w:val="20"/>
              </w:rPr>
              <w:t>EDGAR4.3.2</w:t>
            </w:r>
          </w:p>
        </w:tc>
        <w:tc>
          <w:tcPr>
            <w:tcW w:w="2337"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477BF37C" w14:textId="77777777" w:rsidR="003752EA" w:rsidRPr="008D5D0F" w:rsidRDefault="003752EA" w:rsidP="00974D06">
            <w:pPr>
              <w:pStyle w:val="aff1"/>
              <w:rPr>
                <w:color w:val="000000" w:themeColor="text1"/>
                <w:sz w:val="20"/>
                <w:szCs w:val="20"/>
              </w:rPr>
            </w:pPr>
            <w:r w:rsidRPr="008D5D0F">
              <w:rPr>
                <w:color w:val="000000" w:themeColor="text1"/>
                <w:sz w:val="20"/>
                <w:szCs w:val="20"/>
              </w:rPr>
              <w:t>0.988</w:t>
            </w:r>
          </w:p>
        </w:tc>
        <w:tc>
          <w:tcPr>
            <w:tcW w:w="2338"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7938A805" w14:textId="77777777" w:rsidR="003752EA" w:rsidRPr="008D5D0F" w:rsidRDefault="003752EA" w:rsidP="00974D06">
            <w:pPr>
              <w:pStyle w:val="aff1"/>
              <w:rPr>
                <w:color w:val="000000" w:themeColor="text1"/>
                <w:sz w:val="20"/>
                <w:szCs w:val="20"/>
              </w:rPr>
            </w:pPr>
            <w:r w:rsidRPr="008D5D0F">
              <w:rPr>
                <w:color w:val="000000" w:themeColor="text1"/>
                <w:sz w:val="20"/>
                <w:szCs w:val="20"/>
              </w:rPr>
              <w:t>0.991</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92CF11" w14:textId="77777777" w:rsidR="003752EA" w:rsidRPr="008D5D0F" w:rsidRDefault="003752EA" w:rsidP="00974D06">
            <w:pPr>
              <w:pStyle w:val="aff1"/>
              <w:rPr>
                <w:color w:val="000000" w:themeColor="text1"/>
                <w:sz w:val="20"/>
                <w:szCs w:val="20"/>
              </w:rPr>
            </w:pPr>
            <w:r w:rsidRPr="008D5D0F">
              <w:rPr>
                <w:color w:val="000000" w:themeColor="text1"/>
                <w:sz w:val="20"/>
                <w:szCs w:val="20"/>
              </w:rPr>
              <w:t>0.999</w:t>
            </w:r>
          </w:p>
        </w:tc>
      </w:tr>
      <w:tr w:rsidR="008D5D0F" w:rsidRPr="008D5D0F" w14:paraId="224A892A" w14:textId="77777777" w:rsidTr="00974D06">
        <w:tc>
          <w:tcPr>
            <w:tcW w:w="2337"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2E580B65" w14:textId="77777777" w:rsidR="003752EA" w:rsidRPr="008D5D0F" w:rsidRDefault="003752EA" w:rsidP="00974D06">
            <w:pPr>
              <w:pStyle w:val="aff1"/>
              <w:rPr>
                <w:color w:val="000000" w:themeColor="text1"/>
                <w:sz w:val="20"/>
                <w:szCs w:val="20"/>
              </w:rPr>
            </w:pPr>
            <w:r w:rsidRPr="008D5D0F">
              <w:rPr>
                <w:color w:val="000000" w:themeColor="text1"/>
                <w:sz w:val="20"/>
                <w:szCs w:val="20"/>
              </w:rPr>
              <w:t>GAINS</w:t>
            </w:r>
          </w:p>
        </w:tc>
        <w:tc>
          <w:tcPr>
            <w:tcW w:w="2337"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02B9E8A7" w14:textId="77777777" w:rsidR="003752EA" w:rsidRPr="008D5D0F" w:rsidRDefault="003752EA" w:rsidP="00974D06">
            <w:pPr>
              <w:pStyle w:val="aff1"/>
              <w:rPr>
                <w:color w:val="000000" w:themeColor="text1"/>
                <w:sz w:val="20"/>
                <w:szCs w:val="20"/>
              </w:rPr>
            </w:pPr>
            <w:r w:rsidRPr="008D5D0F">
              <w:rPr>
                <w:color w:val="000000" w:themeColor="text1"/>
                <w:sz w:val="20"/>
                <w:szCs w:val="20"/>
              </w:rPr>
              <w:t>0.985</w:t>
            </w:r>
          </w:p>
        </w:tc>
        <w:tc>
          <w:tcPr>
            <w:tcW w:w="2338"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311F02AB" w14:textId="77777777" w:rsidR="003752EA" w:rsidRPr="008D5D0F" w:rsidRDefault="003752EA" w:rsidP="00974D06">
            <w:pPr>
              <w:pStyle w:val="aff1"/>
              <w:rPr>
                <w:color w:val="000000" w:themeColor="text1"/>
                <w:sz w:val="20"/>
                <w:szCs w:val="20"/>
              </w:rPr>
            </w:pPr>
            <w:r w:rsidRPr="008D5D0F">
              <w:rPr>
                <w:color w:val="000000" w:themeColor="text1"/>
                <w:sz w:val="20"/>
                <w:szCs w:val="20"/>
              </w:rPr>
              <w:t>N/A</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B63637" w14:textId="77777777" w:rsidR="003752EA" w:rsidRPr="008D5D0F" w:rsidRDefault="003752EA" w:rsidP="00974D06">
            <w:pPr>
              <w:pStyle w:val="aff1"/>
              <w:rPr>
                <w:color w:val="000000" w:themeColor="text1"/>
                <w:sz w:val="20"/>
                <w:szCs w:val="20"/>
              </w:rPr>
            </w:pPr>
            <w:r w:rsidRPr="008D5D0F">
              <w:rPr>
                <w:color w:val="000000" w:themeColor="text1"/>
                <w:sz w:val="20"/>
                <w:szCs w:val="20"/>
              </w:rPr>
              <w:t>N/A</w:t>
            </w:r>
          </w:p>
        </w:tc>
      </w:tr>
      <w:tr w:rsidR="008D5D0F" w:rsidRPr="008D5D0F" w14:paraId="52B4BC2E" w14:textId="77777777" w:rsidTr="00974D06">
        <w:tc>
          <w:tcPr>
            <w:tcW w:w="2337"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207CD80B" w14:textId="77777777" w:rsidR="003752EA" w:rsidRPr="008D5D0F" w:rsidRDefault="003752EA" w:rsidP="00974D06">
            <w:pPr>
              <w:pStyle w:val="aff1"/>
              <w:rPr>
                <w:color w:val="000000" w:themeColor="text1"/>
                <w:sz w:val="20"/>
                <w:szCs w:val="20"/>
              </w:rPr>
            </w:pPr>
            <w:r w:rsidRPr="008D5D0F">
              <w:rPr>
                <w:color w:val="000000" w:themeColor="text1"/>
                <w:sz w:val="20"/>
                <w:szCs w:val="20"/>
              </w:rPr>
              <w:t>SCH150</w:t>
            </w:r>
          </w:p>
        </w:tc>
        <w:tc>
          <w:tcPr>
            <w:tcW w:w="2337"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7078D1EB" w14:textId="77777777" w:rsidR="003752EA" w:rsidRPr="008D5D0F" w:rsidRDefault="003752EA" w:rsidP="00974D06">
            <w:pPr>
              <w:pStyle w:val="aff1"/>
              <w:rPr>
                <w:color w:val="000000" w:themeColor="text1"/>
                <w:sz w:val="20"/>
                <w:szCs w:val="20"/>
              </w:rPr>
            </w:pPr>
            <w:r w:rsidRPr="008D5D0F">
              <w:rPr>
                <w:color w:val="000000" w:themeColor="text1"/>
                <w:sz w:val="20"/>
                <w:szCs w:val="20"/>
              </w:rPr>
              <w:t>0.997</w:t>
            </w:r>
          </w:p>
        </w:tc>
        <w:tc>
          <w:tcPr>
            <w:tcW w:w="2338"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661A1FDA" w14:textId="77777777" w:rsidR="003752EA" w:rsidRPr="008D5D0F" w:rsidRDefault="003752EA" w:rsidP="00974D06">
            <w:pPr>
              <w:pStyle w:val="aff1"/>
              <w:rPr>
                <w:color w:val="000000" w:themeColor="text1"/>
                <w:sz w:val="20"/>
                <w:szCs w:val="20"/>
              </w:rPr>
            </w:pPr>
            <w:r w:rsidRPr="008D5D0F">
              <w:rPr>
                <w:color w:val="000000" w:themeColor="text1"/>
                <w:sz w:val="20"/>
                <w:szCs w:val="20"/>
              </w:rPr>
              <w:t>N/A</w:t>
            </w:r>
          </w:p>
        </w:tc>
        <w:tc>
          <w:tcPr>
            <w:tcW w:w="23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44D53A" w14:textId="77777777" w:rsidR="003752EA" w:rsidRPr="008D5D0F" w:rsidRDefault="003752EA" w:rsidP="00974D06">
            <w:pPr>
              <w:pStyle w:val="aff1"/>
              <w:rPr>
                <w:color w:val="000000" w:themeColor="text1"/>
                <w:sz w:val="20"/>
                <w:szCs w:val="20"/>
              </w:rPr>
            </w:pPr>
            <w:r w:rsidRPr="008D5D0F">
              <w:rPr>
                <w:color w:val="000000" w:themeColor="text1"/>
                <w:sz w:val="20"/>
                <w:szCs w:val="20"/>
              </w:rPr>
              <w:t>N/A</w:t>
            </w:r>
          </w:p>
        </w:tc>
      </w:tr>
      <w:tr w:rsidR="003752EA" w:rsidRPr="008D5D0F" w14:paraId="27031364" w14:textId="77777777" w:rsidTr="00974D06">
        <w:tc>
          <w:tcPr>
            <w:tcW w:w="2337" w:type="dxa"/>
            <w:tcBorders>
              <w:top w:val="single" w:sz="4" w:space="0" w:color="FFFFFF" w:themeColor="background1"/>
              <w:left w:val="single" w:sz="2" w:space="0" w:color="FFFFFF" w:themeColor="background1"/>
              <w:right w:val="single" w:sz="2" w:space="0" w:color="FFFFFF" w:themeColor="background1"/>
            </w:tcBorders>
          </w:tcPr>
          <w:p w14:paraId="7AA40DB2" w14:textId="77777777" w:rsidR="003752EA" w:rsidRPr="008D5D0F" w:rsidRDefault="003752EA" w:rsidP="00974D06">
            <w:pPr>
              <w:pStyle w:val="aff1"/>
              <w:rPr>
                <w:color w:val="000000" w:themeColor="text1"/>
                <w:sz w:val="20"/>
                <w:szCs w:val="20"/>
              </w:rPr>
            </w:pPr>
            <w:r w:rsidRPr="008D5D0F">
              <w:rPr>
                <w:color w:val="000000" w:themeColor="text1"/>
                <w:sz w:val="20"/>
                <w:szCs w:val="20"/>
              </w:rPr>
              <w:t>Wolf2017</w:t>
            </w:r>
          </w:p>
        </w:tc>
        <w:tc>
          <w:tcPr>
            <w:tcW w:w="2337" w:type="dxa"/>
            <w:tcBorders>
              <w:top w:val="single" w:sz="4" w:space="0" w:color="FFFFFF" w:themeColor="background1"/>
              <w:left w:val="single" w:sz="2" w:space="0" w:color="FFFFFF" w:themeColor="background1"/>
              <w:right w:val="single" w:sz="2" w:space="0" w:color="FFFFFF" w:themeColor="background1"/>
            </w:tcBorders>
          </w:tcPr>
          <w:p w14:paraId="02AE4F78" w14:textId="77777777" w:rsidR="003752EA" w:rsidRPr="008D5D0F" w:rsidRDefault="003752EA" w:rsidP="00974D06">
            <w:pPr>
              <w:pStyle w:val="aff1"/>
              <w:rPr>
                <w:color w:val="000000" w:themeColor="text1"/>
                <w:sz w:val="20"/>
                <w:szCs w:val="20"/>
              </w:rPr>
            </w:pPr>
            <w:r w:rsidRPr="008D5D0F">
              <w:rPr>
                <w:color w:val="000000" w:themeColor="text1"/>
                <w:sz w:val="20"/>
                <w:szCs w:val="20"/>
              </w:rPr>
              <w:t>N/A</w:t>
            </w:r>
          </w:p>
        </w:tc>
        <w:tc>
          <w:tcPr>
            <w:tcW w:w="2338" w:type="dxa"/>
            <w:tcBorders>
              <w:top w:val="single" w:sz="4" w:space="0" w:color="FFFFFF" w:themeColor="background1"/>
              <w:left w:val="single" w:sz="2" w:space="0" w:color="FFFFFF" w:themeColor="background1"/>
              <w:right w:val="single" w:sz="4" w:space="0" w:color="FFFFFF" w:themeColor="background1"/>
            </w:tcBorders>
          </w:tcPr>
          <w:p w14:paraId="742B4DFC" w14:textId="77777777" w:rsidR="003752EA" w:rsidRPr="008D5D0F" w:rsidRDefault="003752EA" w:rsidP="00974D06">
            <w:pPr>
              <w:pStyle w:val="aff1"/>
              <w:rPr>
                <w:color w:val="000000" w:themeColor="text1"/>
                <w:sz w:val="20"/>
                <w:szCs w:val="20"/>
              </w:rPr>
            </w:pPr>
            <w:r w:rsidRPr="008D5D0F">
              <w:rPr>
                <w:color w:val="000000" w:themeColor="text1"/>
                <w:sz w:val="20"/>
                <w:szCs w:val="20"/>
              </w:rPr>
              <w:t>0.961</w:t>
            </w:r>
          </w:p>
        </w:tc>
        <w:tc>
          <w:tcPr>
            <w:tcW w:w="2338" w:type="dxa"/>
            <w:tcBorders>
              <w:top w:val="single" w:sz="4" w:space="0" w:color="FFFFFF" w:themeColor="background1"/>
              <w:left w:val="single" w:sz="4" w:space="0" w:color="FFFFFF" w:themeColor="background1"/>
              <w:right w:val="single" w:sz="4" w:space="0" w:color="FFFFFF" w:themeColor="background1"/>
            </w:tcBorders>
          </w:tcPr>
          <w:p w14:paraId="3C5BC0E0" w14:textId="77777777" w:rsidR="003752EA" w:rsidRPr="008D5D0F" w:rsidRDefault="003752EA" w:rsidP="00974D06">
            <w:pPr>
              <w:pStyle w:val="aff1"/>
              <w:rPr>
                <w:color w:val="000000" w:themeColor="text1"/>
                <w:sz w:val="20"/>
                <w:szCs w:val="20"/>
              </w:rPr>
            </w:pPr>
            <w:r w:rsidRPr="008D5D0F">
              <w:rPr>
                <w:color w:val="000000" w:themeColor="text1"/>
                <w:sz w:val="20"/>
                <w:szCs w:val="20"/>
              </w:rPr>
              <w:t>N/A</w:t>
            </w:r>
          </w:p>
        </w:tc>
      </w:tr>
    </w:tbl>
    <w:p w14:paraId="3C0B97C7" w14:textId="77777777" w:rsidR="003752EA" w:rsidRPr="008D5D0F" w:rsidRDefault="003752EA" w:rsidP="003752EA">
      <w:pPr>
        <w:pStyle w:val="aff1"/>
        <w:rPr>
          <w:color w:val="000000" w:themeColor="text1"/>
          <w:sz w:val="20"/>
          <w:szCs w:val="20"/>
        </w:rPr>
      </w:pPr>
    </w:p>
    <w:p w14:paraId="075D48C8" w14:textId="77777777" w:rsidR="003752EA" w:rsidRPr="008D5D0F" w:rsidRDefault="003752EA" w:rsidP="00EB592C">
      <w:pPr>
        <w:jc w:val="both"/>
        <w:rPr>
          <w:b/>
          <w:color w:val="000000" w:themeColor="text1"/>
          <w:sz w:val="20"/>
        </w:rPr>
      </w:pPr>
    </w:p>
    <w:p w14:paraId="40230F48" w14:textId="5F560300" w:rsidR="00EB592C" w:rsidRPr="008D5D0F" w:rsidRDefault="00EB592C" w:rsidP="00EB592C">
      <w:pPr>
        <w:jc w:val="both"/>
        <w:rPr>
          <w:b/>
          <w:color w:val="000000" w:themeColor="text1"/>
          <w:sz w:val="20"/>
        </w:rPr>
      </w:pPr>
      <w:r w:rsidRPr="008D5D0F">
        <w:rPr>
          <w:b/>
          <w:color w:val="000000" w:themeColor="text1"/>
          <w:sz w:val="20"/>
        </w:rPr>
        <w:t xml:space="preserve">Table </w:t>
      </w:r>
      <w:r w:rsidR="003752EA" w:rsidRPr="008D5D0F">
        <w:rPr>
          <w:b/>
          <w:color w:val="000000" w:themeColor="text1"/>
          <w:sz w:val="20"/>
        </w:rPr>
        <w:t xml:space="preserve">S4 </w:t>
      </w:r>
      <w:r w:rsidRPr="008D5D0F">
        <w:rPr>
          <w:b/>
          <w:color w:val="000000" w:themeColor="text1"/>
          <w:sz w:val="20"/>
        </w:rPr>
        <w:t>| Unweighted global mean in isotopic signature and corresponding uncertainty</w:t>
      </w:r>
      <w:r w:rsidR="00D421F2" w:rsidRPr="008D5D0F">
        <w:rPr>
          <w:b/>
          <w:color w:val="000000" w:themeColor="text1"/>
          <w:sz w:val="20"/>
        </w:rPr>
        <w:t xml:space="preserve"> (1-</w:t>
      </w:r>
      <w:r w:rsidR="00D421F2" w:rsidRPr="008D5D0F">
        <w:rPr>
          <w:b/>
          <w:color w:val="000000" w:themeColor="text1"/>
          <w:sz w:val="20"/>
        </w:rPr>
        <w:sym w:font="Symbol" w:char="F073"/>
      </w:r>
      <w:r w:rsidR="00D421F2" w:rsidRPr="008D5D0F">
        <w:rPr>
          <w:b/>
          <w:color w:val="000000" w:themeColor="text1"/>
          <w:sz w:val="20"/>
        </w:rPr>
        <w:t>)</w:t>
      </w:r>
      <w:r w:rsidRPr="008D5D0F">
        <w:rPr>
          <w:b/>
          <w:color w:val="000000" w:themeColor="text1"/>
          <w:sz w:val="20"/>
        </w:rPr>
        <w:t xml:space="preserve"> used in the Monte Carlo estimation for source categories.</w:t>
      </w:r>
    </w:p>
    <w:p w14:paraId="1C0E20E3" w14:textId="77777777" w:rsidR="00EB592C" w:rsidRPr="008D5D0F" w:rsidRDefault="00EB592C" w:rsidP="00EB592C">
      <w:pPr>
        <w:jc w:val="both"/>
        <w:rPr>
          <w:color w:val="000000" w:themeColor="text1"/>
          <w:sz w:val="20"/>
        </w:rPr>
      </w:pPr>
    </w:p>
    <w:tbl>
      <w:tblPr>
        <w:tblW w:w="0" w:type="auto"/>
        <w:tblCellMar>
          <w:top w:w="15" w:type="dxa"/>
          <w:left w:w="15" w:type="dxa"/>
          <w:bottom w:w="15" w:type="dxa"/>
          <w:right w:w="15" w:type="dxa"/>
        </w:tblCellMar>
        <w:tblLook w:val="04A0" w:firstRow="1" w:lastRow="0" w:firstColumn="1" w:lastColumn="0" w:noHBand="0" w:noVBand="1"/>
      </w:tblPr>
      <w:tblGrid>
        <w:gridCol w:w="1737"/>
        <w:gridCol w:w="1523"/>
        <w:gridCol w:w="2970"/>
      </w:tblGrid>
      <w:tr w:rsidR="008D5D0F" w:rsidRPr="008D5D0F" w14:paraId="6564BA96" w14:textId="77777777" w:rsidTr="00A2398A">
        <w:trPr>
          <w:trHeight w:val="540"/>
        </w:trPr>
        <w:tc>
          <w:tcPr>
            <w:tcW w:w="0" w:type="auto"/>
            <w:tcBorders>
              <w:top w:val="single" w:sz="8"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6510753C" w14:textId="77777777" w:rsidR="00EB592C" w:rsidRPr="008D5D0F" w:rsidRDefault="00EB592C" w:rsidP="00A2398A">
            <w:pPr>
              <w:jc w:val="both"/>
              <w:rPr>
                <w:color w:val="000000" w:themeColor="text1"/>
                <w:sz w:val="20"/>
              </w:rPr>
            </w:pPr>
            <w:r w:rsidRPr="008D5D0F">
              <w:rPr>
                <w:color w:val="000000" w:themeColor="text1"/>
                <w:sz w:val="20"/>
              </w:rPr>
              <w:t>Source type</w:t>
            </w:r>
          </w:p>
        </w:tc>
        <w:tc>
          <w:tcPr>
            <w:tcW w:w="1523" w:type="dxa"/>
            <w:tcBorders>
              <w:top w:val="single" w:sz="8"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436E77A8" w14:textId="77777777" w:rsidR="00EB592C" w:rsidRPr="008D5D0F" w:rsidRDefault="00EB592C" w:rsidP="00A2398A">
            <w:pPr>
              <w:jc w:val="both"/>
              <w:rPr>
                <w:color w:val="000000" w:themeColor="text1"/>
                <w:sz w:val="20"/>
              </w:rPr>
            </w:pPr>
            <w:r w:rsidRPr="008D5D0F">
              <w:rPr>
                <w:color w:val="000000" w:themeColor="text1"/>
                <w:sz w:val="20"/>
              </w:rPr>
              <w:t>δ</w:t>
            </w:r>
            <w:r w:rsidRPr="008D5D0F">
              <w:rPr>
                <w:color w:val="000000" w:themeColor="text1"/>
                <w:sz w:val="20"/>
                <w:vertAlign w:val="superscript"/>
              </w:rPr>
              <w:t>13</w:t>
            </w:r>
            <w:r w:rsidRPr="008D5D0F">
              <w:rPr>
                <w:color w:val="000000" w:themeColor="text1"/>
                <w:sz w:val="20"/>
              </w:rPr>
              <w:t>C-CH</w:t>
            </w:r>
            <w:r w:rsidRPr="008D5D0F">
              <w:rPr>
                <w:color w:val="000000" w:themeColor="text1"/>
                <w:sz w:val="20"/>
                <w:vertAlign w:val="subscript"/>
              </w:rPr>
              <w:t>4</w:t>
            </w:r>
            <w:r w:rsidRPr="008D5D0F">
              <w:rPr>
                <w:color w:val="000000" w:themeColor="text1"/>
                <w:sz w:val="20"/>
              </w:rPr>
              <w:t> (‰)</w:t>
            </w:r>
          </w:p>
        </w:tc>
        <w:tc>
          <w:tcPr>
            <w:tcW w:w="2970" w:type="dxa"/>
            <w:tcBorders>
              <w:top w:val="single" w:sz="8" w:space="0" w:color="000000"/>
              <w:left w:val="single" w:sz="4" w:space="0" w:color="FFFFFF"/>
              <w:bottom w:val="single" w:sz="8" w:space="0" w:color="000000"/>
              <w:right w:val="single" w:sz="4" w:space="0" w:color="FFFFFF"/>
            </w:tcBorders>
            <w:tcMar>
              <w:top w:w="100" w:type="dxa"/>
              <w:left w:w="100" w:type="dxa"/>
              <w:bottom w:w="100" w:type="dxa"/>
              <w:right w:w="100" w:type="dxa"/>
            </w:tcMar>
            <w:hideMark/>
          </w:tcPr>
          <w:p w14:paraId="7FF14158" w14:textId="77777777" w:rsidR="00EB592C" w:rsidRPr="008D5D0F" w:rsidRDefault="00EB592C" w:rsidP="00A2398A">
            <w:pPr>
              <w:jc w:val="both"/>
              <w:rPr>
                <w:color w:val="000000" w:themeColor="text1"/>
                <w:sz w:val="20"/>
              </w:rPr>
            </w:pPr>
            <w:r w:rsidRPr="008D5D0F">
              <w:rPr>
                <w:color w:val="000000" w:themeColor="text1"/>
                <w:sz w:val="20"/>
              </w:rPr>
              <w:t>Reference</w:t>
            </w:r>
          </w:p>
        </w:tc>
      </w:tr>
      <w:tr w:rsidR="008D5D0F" w:rsidRPr="008D5D0F" w14:paraId="69283062" w14:textId="77777777" w:rsidTr="00A2398A">
        <w:trPr>
          <w:trHeight w:val="447"/>
        </w:trPr>
        <w:tc>
          <w:tcPr>
            <w:tcW w:w="0" w:type="auto"/>
            <w:tcBorders>
              <w:top w:val="single" w:sz="8" w:space="0" w:color="000000"/>
              <w:left w:val="single" w:sz="4" w:space="0" w:color="FFFFFF"/>
              <w:bottom w:val="single" w:sz="4" w:space="0" w:color="FFFFFF"/>
              <w:right w:val="single" w:sz="4" w:space="0" w:color="FFFFFF"/>
            </w:tcBorders>
            <w:tcMar>
              <w:top w:w="100" w:type="dxa"/>
              <w:left w:w="100" w:type="dxa"/>
              <w:bottom w:w="100" w:type="dxa"/>
              <w:right w:w="100" w:type="dxa"/>
            </w:tcMar>
            <w:hideMark/>
          </w:tcPr>
          <w:p w14:paraId="645702CD" w14:textId="77777777" w:rsidR="00EB592C" w:rsidRPr="008D5D0F" w:rsidRDefault="00EB592C" w:rsidP="00A2398A">
            <w:pPr>
              <w:jc w:val="both"/>
              <w:rPr>
                <w:color w:val="000000" w:themeColor="text1"/>
                <w:sz w:val="20"/>
              </w:rPr>
            </w:pPr>
            <w:r w:rsidRPr="008D5D0F">
              <w:rPr>
                <w:color w:val="000000" w:themeColor="text1"/>
                <w:sz w:val="20"/>
              </w:rPr>
              <w:t>Coal</w:t>
            </w:r>
            <w:r w:rsidRPr="008D5D0F">
              <w:rPr>
                <w:color w:val="000000" w:themeColor="text1"/>
                <w:sz w:val="20"/>
                <w:vertAlign w:val="superscript"/>
              </w:rPr>
              <w:t>*</w:t>
            </w:r>
          </w:p>
        </w:tc>
        <w:tc>
          <w:tcPr>
            <w:tcW w:w="1523" w:type="dxa"/>
            <w:tcBorders>
              <w:top w:val="single" w:sz="8" w:space="0" w:color="000000"/>
              <w:left w:val="single" w:sz="4" w:space="0" w:color="FFFFFF"/>
              <w:bottom w:val="single" w:sz="4" w:space="0" w:color="FFFFFF"/>
              <w:right w:val="single" w:sz="4" w:space="0" w:color="FFFFFF"/>
            </w:tcBorders>
            <w:tcMar>
              <w:top w:w="100" w:type="dxa"/>
              <w:left w:w="100" w:type="dxa"/>
              <w:bottom w:w="100" w:type="dxa"/>
              <w:right w:w="100" w:type="dxa"/>
            </w:tcMar>
            <w:hideMark/>
          </w:tcPr>
          <w:p w14:paraId="79136B67" w14:textId="77777777" w:rsidR="00EB592C" w:rsidRPr="008D5D0F" w:rsidRDefault="00EB592C" w:rsidP="00A2398A">
            <w:pPr>
              <w:jc w:val="both"/>
              <w:rPr>
                <w:color w:val="000000" w:themeColor="text1"/>
                <w:sz w:val="20"/>
              </w:rPr>
            </w:pPr>
            <w:r w:rsidRPr="008D5D0F">
              <w:rPr>
                <w:color w:val="000000" w:themeColor="text1"/>
                <w:sz w:val="20"/>
              </w:rPr>
              <w:t>-43.7</w:t>
            </w:r>
            <w:r w:rsidRPr="008D5D0F">
              <w:rPr>
                <w:color w:val="000000" w:themeColor="text1"/>
                <w:sz w:val="20"/>
              </w:rPr>
              <w:sym w:font="Symbol" w:char="F0B1"/>
            </w:r>
            <w:r w:rsidRPr="008D5D0F">
              <w:rPr>
                <w:color w:val="000000" w:themeColor="text1"/>
                <w:sz w:val="20"/>
              </w:rPr>
              <w:t>3.8</w:t>
            </w:r>
          </w:p>
        </w:tc>
        <w:tc>
          <w:tcPr>
            <w:tcW w:w="2970" w:type="dxa"/>
            <w:tcBorders>
              <w:top w:val="single" w:sz="8" w:space="0" w:color="000000"/>
              <w:left w:val="single" w:sz="4" w:space="0" w:color="FFFFFF"/>
              <w:bottom w:val="single" w:sz="4" w:space="0" w:color="FFFFFF"/>
              <w:right w:val="single" w:sz="4" w:space="0" w:color="FFFFFF"/>
            </w:tcBorders>
            <w:tcMar>
              <w:top w:w="100" w:type="dxa"/>
              <w:left w:w="100" w:type="dxa"/>
              <w:bottom w:w="100" w:type="dxa"/>
              <w:right w:w="100" w:type="dxa"/>
            </w:tcMar>
            <w:hideMark/>
          </w:tcPr>
          <w:p w14:paraId="790C5510" w14:textId="3166851C" w:rsidR="00EB592C" w:rsidRPr="008D5D0F" w:rsidRDefault="00EB592C" w:rsidP="00A2398A">
            <w:pPr>
              <w:jc w:val="both"/>
              <w:rPr>
                <w:color w:val="000000" w:themeColor="text1"/>
                <w:sz w:val="20"/>
              </w:rPr>
            </w:pPr>
            <w:r w:rsidRPr="008D5D0F">
              <w:rPr>
                <w:color w:val="000000" w:themeColor="text1"/>
                <w:sz w:val="20"/>
              </w:rPr>
              <w:fldChar w:fldCharType="begin"/>
            </w:r>
            <w:r w:rsidR="008900A7" w:rsidRPr="008D5D0F">
              <w:rPr>
                <w:color w:val="000000" w:themeColor="text1"/>
                <w:sz w:val="20"/>
              </w:rPr>
              <w:instrText xml:space="preserve"> ADDIN ZOTERO_ITEM CSL_CITATION {"citationID":"iXI4AFBL","properties":{"formattedCitation":"[29,31]","plainCitation":"[29,31]","noteIndex":0},"citationItems":[{"id":1442,"uris":["http://zotero.org/users/5672304/items/A5R4SBVI"],"uri":["http://zotero.org/users/5672304/items/A5R4SBVI"],"itemData":{"id":1442,"type":"article-journal","container-title":"Atmospheric Environment","DOI":"10.1016/j.atmosenv.2017.11.037","ISSN":"13522310","language":"en","page":"99-111","source":"DOI.org (Crossref)","title":"Isotopic source signatures: Impact of regional variability on the δ13CH4 trend and spatial distribution","title-short":"Isotopic source signatures","volume":"174","author":[{"family":"Feinberg","given":"Aryeh I."},{"family":"Coulon","given":"Ancelin"},{"family":"Stenke","given":"Andrea"},{"family":"Schwietzke","given":"Stefan"},{"family":"Peter","given":"Thomas"}],"issued":{"date-parts":[["2018",2]]}}},{"id":1364,"uris":["http://zotero.org/users/5672304/items/SPCNGDYG"],"uri":["http://zotero.org/users/5672304/items/SPCNGDYG"],"itemData":{"id":1364,"type":"article-journal","abstract":"The concentration of atmospheric methane (CH4) has more than doubled over the industrial era. To help constrain global and regional CH4 budgets, inverse (top-down) models incorporate data on the concentration and stable carbon (δ13C) and hydrogen (δ2H) isotopic ratios of atmospheric CH4. These models depend on accurate δ13C and δ2H end-member source signatures for each of the main emissions categories. Compared with meticulous measurement and calibration of isotopic CH4 in the atmosphere, there has been relatively less effort to characterize globally representative isotopic source signatures, particularly for fossil fuel sources. Most global CH4 budget models have so far relied on outdated source signature values derived from globally nonrepresentative data. To correct this deﬁciency, we present a comprehensive, globally representative end-member database of the δ13C and δ2H of CH4 from fossil fuel (conventional natural gas, shale gas, and coal), modern microbial (wetlands, rice paddies, ruminants, termites, and landﬁlls and/or waste) and biomass burning sources. Gas molecular compositional data for fossil fuel categories are also included with the database. The database comprises 10 706 samples (8734 fossil fuel, 1972 non-fossil) from 190 published references. Mean (unweighted) δ13C signatures for fossil fuel CH4 are signiﬁcantly lighter than values commonly used in CH4 budget models, thus highlighting potential underestimation of fossil fuel CH4 emissions in previous CH4 budget models. This living database will be updated every 2–3 years to provide the atmospheric modeling community with the most complete CH4 source signature data possible. Database digital object identiﬁer (DOI): https://doi.org/10.15138/G3201T.","container-title":"Earth System Science Data","DOI":"10.5194/essd-9-639-2017","ISSN":"1866-3516","issue":"2","language":"en","page":"639-656","source":"DOI.org (Crossref)","title":"Global Inventory of Gas Geochemistry Data from Fossil Fuel, Microbial and Burning Sources, version 2017","volume":"9","author":[{"family":"Sherwood","given":"Owen A."},{"family":"Schwietzke","given":"Stefan"},{"family":"Arling","given":"Victoria A."},{"family":"Etiope","given":"Giuseppe"}],"issued":{"date-parts":[["2017",8,31]]}}}],"schema":"https://github.com/citation-style-language/schema/raw/master/csl-citation.json"} </w:instrText>
            </w:r>
            <w:r w:rsidRPr="008D5D0F">
              <w:rPr>
                <w:color w:val="000000" w:themeColor="text1"/>
                <w:sz w:val="20"/>
              </w:rPr>
              <w:fldChar w:fldCharType="separate"/>
            </w:r>
            <w:r w:rsidR="008900A7" w:rsidRPr="008D5D0F">
              <w:rPr>
                <w:color w:val="000000" w:themeColor="text1"/>
                <w:sz w:val="20"/>
              </w:rPr>
              <w:t>[29,31]</w:t>
            </w:r>
            <w:r w:rsidRPr="008D5D0F">
              <w:rPr>
                <w:color w:val="000000" w:themeColor="text1"/>
                <w:sz w:val="20"/>
              </w:rPr>
              <w:fldChar w:fldCharType="end"/>
            </w:r>
          </w:p>
        </w:tc>
      </w:tr>
      <w:tr w:rsidR="008D5D0F" w:rsidRPr="008D5D0F" w14:paraId="22D723BB" w14:textId="77777777" w:rsidTr="00A2398A">
        <w:trPr>
          <w:trHeight w:val="232"/>
        </w:trPr>
        <w:tc>
          <w:tcPr>
            <w:tcW w:w="0" w:type="auto"/>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hideMark/>
          </w:tcPr>
          <w:p w14:paraId="45D51D42" w14:textId="77777777" w:rsidR="00EB592C" w:rsidRPr="008D5D0F" w:rsidRDefault="00EB592C" w:rsidP="00A2398A">
            <w:pPr>
              <w:jc w:val="both"/>
              <w:rPr>
                <w:color w:val="000000" w:themeColor="text1"/>
                <w:sz w:val="20"/>
              </w:rPr>
            </w:pPr>
            <w:r w:rsidRPr="008D5D0F">
              <w:rPr>
                <w:color w:val="000000" w:themeColor="text1"/>
                <w:sz w:val="20"/>
              </w:rPr>
              <w:t>Natural Gas &amp; Oil</w:t>
            </w:r>
            <w:r w:rsidRPr="008D5D0F">
              <w:rPr>
                <w:color w:val="000000" w:themeColor="text1"/>
                <w:sz w:val="20"/>
                <w:vertAlign w:val="superscript"/>
              </w:rPr>
              <w:t>*</w:t>
            </w:r>
          </w:p>
        </w:tc>
        <w:tc>
          <w:tcPr>
            <w:tcW w:w="1523"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hideMark/>
          </w:tcPr>
          <w:p w14:paraId="1BD037E8" w14:textId="77777777" w:rsidR="00EB592C" w:rsidRPr="008D5D0F" w:rsidRDefault="00EB592C" w:rsidP="00A2398A">
            <w:pPr>
              <w:jc w:val="both"/>
              <w:rPr>
                <w:color w:val="000000" w:themeColor="text1"/>
                <w:sz w:val="20"/>
              </w:rPr>
            </w:pPr>
            <w:r w:rsidRPr="008D5D0F">
              <w:rPr>
                <w:color w:val="000000" w:themeColor="text1"/>
                <w:sz w:val="20"/>
              </w:rPr>
              <w:t>-44.7</w:t>
            </w:r>
            <w:r w:rsidRPr="008D5D0F">
              <w:rPr>
                <w:color w:val="000000" w:themeColor="text1"/>
                <w:sz w:val="20"/>
              </w:rPr>
              <w:sym w:font="Symbol" w:char="F0B1"/>
            </w:r>
            <w:r w:rsidRPr="008D5D0F">
              <w:rPr>
                <w:color w:val="000000" w:themeColor="text1"/>
                <w:sz w:val="20"/>
              </w:rPr>
              <w:t>4.5</w:t>
            </w:r>
          </w:p>
        </w:tc>
        <w:tc>
          <w:tcPr>
            <w:tcW w:w="2970"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hideMark/>
          </w:tcPr>
          <w:p w14:paraId="1DFD8B56" w14:textId="18955B20" w:rsidR="00EB592C" w:rsidRPr="008D5D0F" w:rsidRDefault="00EB592C" w:rsidP="00A2398A">
            <w:pPr>
              <w:jc w:val="both"/>
              <w:rPr>
                <w:color w:val="000000" w:themeColor="text1"/>
                <w:sz w:val="20"/>
              </w:rPr>
            </w:pPr>
            <w:r w:rsidRPr="008D5D0F">
              <w:rPr>
                <w:color w:val="000000" w:themeColor="text1"/>
                <w:sz w:val="20"/>
              </w:rPr>
              <w:fldChar w:fldCharType="begin"/>
            </w:r>
            <w:r w:rsidR="008900A7" w:rsidRPr="008D5D0F">
              <w:rPr>
                <w:color w:val="000000" w:themeColor="text1"/>
                <w:sz w:val="20"/>
              </w:rPr>
              <w:instrText xml:space="preserve"> ADDIN ZOTERO_ITEM CSL_CITATION {"citationID":"jt3ar6A8","properties":{"formattedCitation":"[29,31]","plainCitation":"[29,31]","noteIndex":0},"citationItems":[{"id":1442,"uris":["http://zotero.org/users/5672304/items/A5R4SBVI"],"uri":["http://zotero.org/users/5672304/items/A5R4SBVI"],"itemData":{"id":1442,"type":"article-journal","container-title":"Atmospheric Environment","DOI":"10.1016/j.atmosenv.2017.11.037","ISSN":"13522310","language":"en","page":"99-111","source":"DOI.org (Crossref)","title":"Isotopic source signatures: Impact of regional variability on the δ13CH4 trend and spatial distribution","title-short":"Isotopic source signatures","volume":"174","author":[{"family":"Feinberg","given":"Aryeh I."},{"family":"Coulon","given":"Ancelin"},{"family":"Stenke","given":"Andrea"},{"family":"Schwietzke","given":"Stefan"},{"family":"Peter","given":"Thomas"}],"issued":{"date-parts":[["2018",2]]}}},{"id":1364,"uris":["http://zotero.org/users/5672304/items/SPCNGDYG"],"uri":["http://zotero.org/users/5672304/items/SPCNGDYG"],"itemData":{"id":1364,"type":"article-journal","abstract":"The concentration of atmospheric methane (CH4) has more than doubled over the industrial era. To help constrain global and regional CH4 budgets, inverse (top-down) models incorporate data on the concentration and stable carbon (δ13C) and hydrogen (δ2H) isotopic ratios of atmospheric CH4. These models depend on accurate δ13C and δ2H end-member source signatures for each of the main emissions categories. Compared with meticulous measurement and calibration of isotopic CH4 in the atmosphere, there has been relatively less effort to characterize globally representative isotopic source signatures, particularly for fossil fuel sources. Most global CH4 budget models have so far relied on outdated source signature values derived from globally nonrepresentative data. To correct this deﬁciency, we present a comprehensive, globally representative end-member database of the δ13C and δ2H of CH4 from fossil fuel (conventional natural gas, shale gas, and coal), modern microbial (wetlands, rice paddies, ruminants, termites, and landﬁlls and/or waste) and biomass burning sources. Gas molecular compositional data for fossil fuel categories are also included with the database. The database comprises 10 706 samples (8734 fossil fuel, 1972 non-fossil) from 190 published references. Mean (unweighted) δ13C signatures for fossil fuel CH4 are signiﬁcantly lighter than values commonly used in CH4 budget models, thus highlighting potential underestimation of fossil fuel CH4 emissions in previous CH4 budget models. This living database will be updated every 2–3 years to provide the atmospheric modeling community with the most complete CH4 source signature data possible. Database digital object identiﬁer (DOI): https://doi.org/10.15138/G3201T.","container-title":"Earth System Science Data","DOI":"10.5194/essd-9-639-2017","ISSN":"1866-3516","issue":"2","language":"en","page":"639-656","source":"DOI.org (Crossref)","title":"Global Inventory of Gas Geochemistry Data from Fossil Fuel, Microbial and Burning Sources, version 2017","volume":"9","author":[{"family":"Sherwood","given":"Owen A."},{"family":"Schwietzke","given":"Stefan"},{"family":"Arling","given":"Victoria A."},{"family":"Etiope","given":"Giuseppe"}],"issued":{"date-parts":[["2017",8,31]]}}}],"schema":"https://github.com/citation-style-language/schema/raw/master/csl-citation.json"} </w:instrText>
            </w:r>
            <w:r w:rsidRPr="008D5D0F">
              <w:rPr>
                <w:color w:val="000000" w:themeColor="text1"/>
                <w:sz w:val="20"/>
              </w:rPr>
              <w:fldChar w:fldCharType="separate"/>
            </w:r>
            <w:r w:rsidR="008900A7" w:rsidRPr="008D5D0F">
              <w:rPr>
                <w:color w:val="000000" w:themeColor="text1"/>
                <w:sz w:val="20"/>
              </w:rPr>
              <w:t>[29,31]</w:t>
            </w:r>
            <w:r w:rsidRPr="008D5D0F">
              <w:rPr>
                <w:color w:val="000000" w:themeColor="text1"/>
                <w:sz w:val="20"/>
              </w:rPr>
              <w:fldChar w:fldCharType="end"/>
            </w:r>
          </w:p>
        </w:tc>
      </w:tr>
      <w:tr w:rsidR="008D5D0F" w:rsidRPr="008D5D0F" w14:paraId="462763EB" w14:textId="77777777" w:rsidTr="00A2398A">
        <w:trPr>
          <w:trHeight w:val="520"/>
        </w:trPr>
        <w:tc>
          <w:tcPr>
            <w:tcW w:w="0" w:type="auto"/>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hideMark/>
          </w:tcPr>
          <w:p w14:paraId="32828D55" w14:textId="77777777" w:rsidR="00EB592C" w:rsidRPr="008D5D0F" w:rsidRDefault="00EB592C" w:rsidP="00A2398A">
            <w:pPr>
              <w:jc w:val="both"/>
              <w:rPr>
                <w:color w:val="000000" w:themeColor="text1"/>
                <w:sz w:val="20"/>
              </w:rPr>
            </w:pPr>
            <w:r w:rsidRPr="008D5D0F">
              <w:rPr>
                <w:color w:val="000000" w:themeColor="text1"/>
                <w:sz w:val="20"/>
              </w:rPr>
              <w:t>Livestock</w:t>
            </w:r>
            <w:r w:rsidRPr="008D5D0F">
              <w:rPr>
                <w:color w:val="000000" w:themeColor="text1"/>
                <w:sz w:val="20"/>
                <w:vertAlign w:val="superscript"/>
              </w:rPr>
              <w:t>*</w:t>
            </w:r>
          </w:p>
        </w:tc>
        <w:tc>
          <w:tcPr>
            <w:tcW w:w="1523"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hideMark/>
          </w:tcPr>
          <w:p w14:paraId="5574CBE5" w14:textId="77777777" w:rsidR="00EB592C" w:rsidRPr="008D5D0F" w:rsidRDefault="00EB592C" w:rsidP="00A2398A">
            <w:pPr>
              <w:jc w:val="both"/>
              <w:rPr>
                <w:color w:val="000000" w:themeColor="text1"/>
                <w:sz w:val="20"/>
              </w:rPr>
            </w:pPr>
            <w:r w:rsidRPr="008D5D0F">
              <w:rPr>
                <w:color w:val="000000" w:themeColor="text1"/>
                <w:sz w:val="20"/>
              </w:rPr>
              <w:t>-65.5</w:t>
            </w:r>
            <w:r w:rsidRPr="008D5D0F">
              <w:rPr>
                <w:color w:val="000000" w:themeColor="text1"/>
                <w:sz w:val="20"/>
              </w:rPr>
              <w:sym w:font="Symbol" w:char="F0B1"/>
            </w:r>
            <w:r w:rsidRPr="008D5D0F">
              <w:rPr>
                <w:color w:val="000000" w:themeColor="text1"/>
                <w:sz w:val="20"/>
              </w:rPr>
              <w:t>3.3</w:t>
            </w:r>
          </w:p>
        </w:tc>
        <w:tc>
          <w:tcPr>
            <w:tcW w:w="2970"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hideMark/>
          </w:tcPr>
          <w:p w14:paraId="7CBEFE1C" w14:textId="166A1D48" w:rsidR="00EB592C" w:rsidRPr="008D5D0F" w:rsidRDefault="00EB592C" w:rsidP="00A2398A">
            <w:pPr>
              <w:jc w:val="both"/>
              <w:rPr>
                <w:color w:val="000000" w:themeColor="text1"/>
                <w:sz w:val="20"/>
              </w:rPr>
            </w:pPr>
            <w:r w:rsidRPr="008D5D0F">
              <w:rPr>
                <w:color w:val="000000" w:themeColor="text1"/>
                <w:sz w:val="20"/>
              </w:rPr>
              <w:fldChar w:fldCharType="begin"/>
            </w:r>
            <w:r w:rsidR="008900A7" w:rsidRPr="008D5D0F">
              <w:rPr>
                <w:color w:val="000000" w:themeColor="text1"/>
                <w:sz w:val="20"/>
              </w:rPr>
              <w:instrText xml:space="preserve"> ADDIN ZOTERO_ITEM CSL_CITATION {"citationID":"TChElPVb","properties":{"formattedCitation":"[29,31]","plainCitation":"[29,31]","noteIndex":0},"citationItems":[{"id":1442,"uris":["http://zotero.org/users/5672304/items/A5R4SBVI"],"uri":["http://zotero.org/users/5672304/items/A5R4SBVI"],"itemData":{"id":1442,"type":"article-journal","container-title":"Atmospheric Environment","DOI":"10.1016/j.atmosenv.2017.11.037","ISSN":"13522310","language":"en","page":"99-111","source":"DOI.org (Crossref)","title":"Isotopic source signatures: Impact of regional variability on the δ13CH4 trend and spatial distribution","title-short":"Isotopic source signatures","volume":"174","author":[{"family":"Feinberg","given":"Aryeh I."},{"family":"Coulon","given":"Ancelin"},{"family":"Stenke","given":"Andrea"},{"family":"Schwietzke","given":"Stefan"},{"family":"Peter","given":"Thomas"}],"issued":{"date-parts":[["2018",2]]}}},{"id":1364,"uris":["http://zotero.org/users/5672304/items/SPCNGDYG"],"uri":["http://zotero.org/users/5672304/items/SPCNGDYG"],"itemData":{"id":1364,"type":"article-journal","abstract":"The concentration of atmospheric methane (CH4) has more than doubled over the industrial era. To help constrain global and regional CH4 budgets, inverse (top-down) models incorporate data on the concentration and stable carbon (δ13C) and hydrogen (δ2H) isotopic ratios of atmospheric CH4. These models depend on accurate δ13C and δ2H end-member source signatures for each of the main emissions categories. Compared with meticulous measurement and calibration of isotopic CH4 in the atmosphere, there has been relatively less effort to characterize globally representative isotopic source signatures, particularly for fossil fuel sources. Most global CH4 budget models have so far relied on outdated source signature values derived from globally nonrepresentative data. To correct this deﬁciency, we present a comprehensive, globally representative end-member database of the δ13C and δ2H of CH4 from fossil fuel (conventional natural gas, shale gas, and coal), modern microbial (wetlands, rice paddies, ruminants, termites, and landﬁlls and/or waste) and biomass burning sources. Gas molecular compositional data for fossil fuel categories are also included with the database. The database comprises 10 706 samples (8734 fossil fuel, 1972 non-fossil) from 190 published references. Mean (unweighted) δ13C signatures for fossil fuel CH4 are signiﬁcantly lighter than values commonly used in CH4 budget models, thus highlighting potential underestimation of fossil fuel CH4 emissions in previous CH4 budget models. This living database will be updated every 2–3 years to provide the atmospheric modeling community with the most complete CH4 source signature data possible. Database digital object identiﬁer (DOI): https://doi.org/10.15138/G3201T.","container-title":"Earth System Science Data","DOI":"10.5194/essd-9-639-2017","ISSN":"1866-3516","issue":"2","language":"en","page":"639-656","source":"DOI.org (Crossref)","title":"Global Inventory of Gas Geochemistry Data from Fossil Fuel, Microbial and Burning Sources, version 2017","volume":"9","author":[{"family":"Sherwood","given":"Owen A."},{"family":"Schwietzke","given":"Stefan"},{"family":"Arling","given":"Victoria A."},{"family":"Etiope","given":"Giuseppe"}],"issued":{"date-parts":[["2017",8,31]]}}}],"schema":"https://github.com/citation-style-language/schema/raw/master/csl-citation.json"} </w:instrText>
            </w:r>
            <w:r w:rsidRPr="008D5D0F">
              <w:rPr>
                <w:color w:val="000000" w:themeColor="text1"/>
                <w:sz w:val="20"/>
              </w:rPr>
              <w:fldChar w:fldCharType="separate"/>
            </w:r>
            <w:r w:rsidR="008900A7" w:rsidRPr="008D5D0F">
              <w:rPr>
                <w:color w:val="000000" w:themeColor="text1"/>
                <w:sz w:val="20"/>
              </w:rPr>
              <w:t>[29,31]</w:t>
            </w:r>
            <w:r w:rsidRPr="008D5D0F">
              <w:rPr>
                <w:color w:val="000000" w:themeColor="text1"/>
                <w:sz w:val="20"/>
              </w:rPr>
              <w:fldChar w:fldCharType="end"/>
            </w:r>
          </w:p>
        </w:tc>
      </w:tr>
      <w:tr w:rsidR="008D5D0F" w:rsidRPr="008D5D0F" w14:paraId="7914E97B" w14:textId="77777777" w:rsidTr="00A2398A">
        <w:trPr>
          <w:trHeight w:val="322"/>
        </w:trPr>
        <w:tc>
          <w:tcPr>
            <w:tcW w:w="0" w:type="auto"/>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hideMark/>
          </w:tcPr>
          <w:p w14:paraId="70311000" w14:textId="77777777" w:rsidR="00EB592C" w:rsidRPr="008D5D0F" w:rsidRDefault="00EB592C" w:rsidP="00A2398A">
            <w:pPr>
              <w:jc w:val="both"/>
              <w:rPr>
                <w:color w:val="000000" w:themeColor="text1"/>
                <w:sz w:val="20"/>
              </w:rPr>
            </w:pPr>
            <w:r w:rsidRPr="008D5D0F">
              <w:rPr>
                <w:color w:val="000000" w:themeColor="text1"/>
                <w:sz w:val="20"/>
              </w:rPr>
              <w:t>Rice</w:t>
            </w:r>
          </w:p>
        </w:tc>
        <w:tc>
          <w:tcPr>
            <w:tcW w:w="1523"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hideMark/>
          </w:tcPr>
          <w:p w14:paraId="253FC3D7" w14:textId="77777777" w:rsidR="00EB592C" w:rsidRPr="008D5D0F" w:rsidRDefault="00EB592C" w:rsidP="00A2398A">
            <w:pPr>
              <w:jc w:val="both"/>
              <w:rPr>
                <w:color w:val="000000" w:themeColor="text1"/>
                <w:sz w:val="20"/>
              </w:rPr>
            </w:pPr>
            <w:r w:rsidRPr="008D5D0F">
              <w:rPr>
                <w:color w:val="000000" w:themeColor="text1"/>
                <w:sz w:val="20"/>
              </w:rPr>
              <w:t>-62.2</w:t>
            </w:r>
            <w:r w:rsidRPr="008D5D0F">
              <w:rPr>
                <w:color w:val="000000" w:themeColor="text1"/>
                <w:sz w:val="20"/>
              </w:rPr>
              <w:sym w:font="Symbol" w:char="F0B1"/>
            </w:r>
            <w:r w:rsidRPr="008D5D0F">
              <w:rPr>
                <w:color w:val="000000" w:themeColor="text1"/>
                <w:sz w:val="20"/>
              </w:rPr>
              <w:t>3.8</w:t>
            </w:r>
          </w:p>
        </w:tc>
        <w:tc>
          <w:tcPr>
            <w:tcW w:w="2970"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hideMark/>
          </w:tcPr>
          <w:p w14:paraId="1A48E20E" w14:textId="289BBA52" w:rsidR="00EB592C" w:rsidRPr="008D5D0F" w:rsidRDefault="00EB592C" w:rsidP="00A2398A">
            <w:pPr>
              <w:jc w:val="both"/>
              <w:rPr>
                <w:color w:val="000000" w:themeColor="text1"/>
                <w:sz w:val="20"/>
              </w:rPr>
            </w:pPr>
            <w:r w:rsidRPr="008D5D0F">
              <w:rPr>
                <w:color w:val="000000" w:themeColor="text1"/>
                <w:sz w:val="20"/>
              </w:rPr>
              <w:fldChar w:fldCharType="begin"/>
            </w:r>
            <w:r w:rsidR="008900A7" w:rsidRPr="008D5D0F">
              <w:rPr>
                <w:color w:val="000000" w:themeColor="text1"/>
                <w:sz w:val="20"/>
              </w:rPr>
              <w:instrText xml:space="preserve"> ADDIN ZOTERO_ITEM CSL_CITATION {"citationID":"vukSt4Ii","properties":{"formattedCitation":"[29]","plainCitation":"[29]","noteIndex":0},"citationItems":[{"id":1364,"uris":["http://zotero.org/users/5672304/items/SPCNGDYG"],"uri":["http://zotero.org/users/5672304/items/SPCNGDYG"],"itemData":{"id":1364,"type":"article-journal","abstract":"The concentration of atmospheric methane (CH4) has more than doubled over the industrial era. To help constrain global and regional CH4 budgets, inverse (top-down) models incorporate data on the concentration and stable carbon (δ13C) and hydrogen (δ2H) isotopic ratios of atmospheric CH4. These models depend on accurate δ13C and δ2H end-member source signatures for each of the main emissions categories. Compared with meticulous measurement and calibration of isotopic CH4 in the atmosphere, there has been relatively less effort to characterize globally representative isotopic source signatures, particularly for fossil fuel sources. Most global CH4 budget models have so far relied on outdated source signature values derived from globally nonrepresentative data. To correct this deﬁciency, we present a comprehensive, globally representative end-member database of the δ13C and δ2H of CH4 from fossil fuel (conventional natural gas, shale gas, and coal), modern microbial (wetlands, rice paddies, ruminants, termites, and landﬁlls and/or waste) and biomass burning sources. Gas molecular compositional data for fossil fuel categories are also included with the database. The database comprises 10 706 samples (8734 fossil fuel, 1972 non-fossil) from 190 published references. Mean (unweighted) δ13C signatures for fossil fuel CH4 are signiﬁcantly lighter than values commonly used in CH4 budget models, thus highlighting potential underestimation of fossil fuel CH4 emissions in previous CH4 budget models. This living database will be updated every 2–3 years to provide the atmospheric modeling community with the most complete CH4 source signature data possible. Database digital object identiﬁer (DOI): https://doi.org/10.15138/G3201T.","container-title":"Earth System Science Data","DOI":"10.5194/essd-9-639-2017","ISSN":"1866-3516","issue":"2","language":"en","page":"639-656","source":"DOI.org (Crossref)","title":"Global Inventory of Gas Geochemistry Data from Fossil Fuel, Microbial and Burning Sources, version 2017","volume":"9","author":[{"family":"Sherwood","given":"Owen A."},{"family":"Schwietzke","given":"Stefan"},{"family":"Arling","given":"Victoria A."},{"family":"Etiope","given":"Giuseppe"}],"issued":{"date-parts":[["2017",8,31]]}}}],"schema":"https://github.com/citation-style-language/schema/raw/master/csl-citation.json"} </w:instrText>
            </w:r>
            <w:r w:rsidRPr="008D5D0F">
              <w:rPr>
                <w:color w:val="000000" w:themeColor="text1"/>
                <w:sz w:val="20"/>
              </w:rPr>
              <w:fldChar w:fldCharType="separate"/>
            </w:r>
            <w:r w:rsidR="008900A7" w:rsidRPr="008D5D0F">
              <w:rPr>
                <w:color w:val="000000" w:themeColor="text1"/>
                <w:sz w:val="20"/>
              </w:rPr>
              <w:t>[29]</w:t>
            </w:r>
            <w:r w:rsidRPr="008D5D0F">
              <w:rPr>
                <w:color w:val="000000" w:themeColor="text1"/>
                <w:sz w:val="20"/>
              </w:rPr>
              <w:fldChar w:fldCharType="end"/>
            </w:r>
          </w:p>
        </w:tc>
      </w:tr>
      <w:tr w:rsidR="008D5D0F" w:rsidRPr="008D5D0F" w14:paraId="6DEFB38A" w14:textId="77777777" w:rsidTr="00A2398A">
        <w:trPr>
          <w:trHeight w:val="151"/>
        </w:trPr>
        <w:tc>
          <w:tcPr>
            <w:tcW w:w="0" w:type="auto"/>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hideMark/>
          </w:tcPr>
          <w:p w14:paraId="324E0EF1" w14:textId="77777777" w:rsidR="00EB592C" w:rsidRPr="008D5D0F" w:rsidRDefault="00EB592C" w:rsidP="00A2398A">
            <w:pPr>
              <w:jc w:val="both"/>
              <w:rPr>
                <w:color w:val="000000" w:themeColor="text1"/>
                <w:sz w:val="20"/>
              </w:rPr>
            </w:pPr>
            <w:r w:rsidRPr="008D5D0F">
              <w:rPr>
                <w:color w:val="000000" w:themeColor="text1"/>
                <w:sz w:val="20"/>
              </w:rPr>
              <w:t>Landfill/Waste</w:t>
            </w:r>
          </w:p>
        </w:tc>
        <w:tc>
          <w:tcPr>
            <w:tcW w:w="1523"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hideMark/>
          </w:tcPr>
          <w:p w14:paraId="77A005BE" w14:textId="77777777" w:rsidR="00EB592C" w:rsidRPr="008D5D0F" w:rsidRDefault="00EB592C" w:rsidP="00A2398A">
            <w:pPr>
              <w:jc w:val="both"/>
              <w:rPr>
                <w:color w:val="000000" w:themeColor="text1"/>
                <w:sz w:val="20"/>
              </w:rPr>
            </w:pPr>
            <w:r w:rsidRPr="008D5D0F">
              <w:rPr>
                <w:color w:val="000000" w:themeColor="text1"/>
                <w:sz w:val="20"/>
              </w:rPr>
              <w:t>-56.0</w:t>
            </w:r>
            <w:r w:rsidRPr="008D5D0F">
              <w:rPr>
                <w:color w:val="000000" w:themeColor="text1"/>
                <w:sz w:val="20"/>
              </w:rPr>
              <w:sym w:font="Symbol" w:char="F0B1"/>
            </w:r>
            <w:r w:rsidRPr="008D5D0F">
              <w:rPr>
                <w:color w:val="000000" w:themeColor="text1"/>
                <w:sz w:val="20"/>
              </w:rPr>
              <w:t>7.1</w:t>
            </w:r>
          </w:p>
        </w:tc>
        <w:tc>
          <w:tcPr>
            <w:tcW w:w="2970"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hideMark/>
          </w:tcPr>
          <w:p w14:paraId="51095431" w14:textId="37683E53" w:rsidR="00EB592C" w:rsidRPr="008D5D0F" w:rsidRDefault="00EB592C" w:rsidP="00A2398A">
            <w:pPr>
              <w:jc w:val="both"/>
              <w:rPr>
                <w:color w:val="000000" w:themeColor="text1"/>
                <w:sz w:val="20"/>
              </w:rPr>
            </w:pPr>
            <w:r w:rsidRPr="008D5D0F">
              <w:rPr>
                <w:color w:val="000000" w:themeColor="text1"/>
                <w:sz w:val="20"/>
              </w:rPr>
              <w:fldChar w:fldCharType="begin"/>
            </w:r>
            <w:r w:rsidR="008900A7" w:rsidRPr="008D5D0F">
              <w:rPr>
                <w:color w:val="000000" w:themeColor="text1"/>
                <w:sz w:val="20"/>
              </w:rPr>
              <w:instrText xml:space="preserve"> ADDIN ZOTERO_ITEM CSL_CITATION {"citationID":"uZHqJioh","properties":{"formattedCitation":"[29]","plainCitation":"[29]","noteIndex":0},"citationItems":[{"id":1364,"uris":["http://zotero.org/users/5672304/items/SPCNGDYG"],"uri":["http://zotero.org/users/5672304/items/SPCNGDYG"],"itemData":{"id":1364,"type":"article-journal","abstract":"The concentration of atmospheric methane (CH4) has more than doubled over the industrial era. To help constrain global and regional CH4 budgets, inverse (top-down) models incorporate data on the concentration and stable carbon (δ13C) and hydrogen (δ2H) isotopic ratios of atmospheric CH4. These models depend on accurate δ13C and δ2H end-member source signatures for each of the main emissions categories. Compared with meticulous measurement and calibration of isotopic CH4 in the atmosphere, there has been relatively less effort to characterize globally representative isotopic source signatures, particularly for fossil fuel sources. Most global CH4 budget models have so far relied on outdated source signature values derived from globally nonrepresentative data. To correct this deﬁciency, we present a comprehensive, globally representative end-member database of the δ13C and δ2H of CH4 from fossil fuel (conventional natural gas, shale gas, and coal), modern microbial (wetlands, rice paddies, ruminants, termites, and landﬁlls and/or waste) and biomass burning sources. Gas molecular compositional data for fossil fuel categories are also included with the database. The database comprises 10 706 samples (8734 fossil fuel, 1972 non-fossil) from 190 published references. Mean (unweighted) δ13C signatures for fossil fuel CH4 are signiﬁcantly lighter than values commonly used in CH4 budget models, thus highlighting potential underestimation of fossil fuel CH4 emissions in previous CH4 budget models. This living database will be updated every 2–3 years to provide the atmospheric modeling community with the most complete CH4 source signature data possible. Database digital object identiﬁer (DOI): https://doi.org/10.15138/G3201T.","container-title":"Earth System Science Data","DOI":"10.5194/essd-9-639-2017","ISSN":"1866-3516","issue":"2","language":"en","page":"639-656","source":"DOI.org (Crossref)","title":"Global Inventory of Gas Geochemistry Data from Fossil Fuel, Microbial and Burning Sources, version 2017","volume":"9","author":[{"family":"Sherwood","given":"Owen A."},{"family":"Schwietzke","given":"Stefan"},{"family":"Arling","given":"Victoria A."},{"family":"Etiope","given":"Giuseppe"}],"issued":{"date-parts":[["2017",8,31]]}}}],"schema":"https://github.com/citation-style-language/schema/raw/master/csl-citation.json"} </w:instrText>
            </w:r>
            <w:r w:rsidRPr="008D5D0F">
              <w:rPr>
                <w:color w:val="000000" w:themeColor="text1"/>
                <w:sz w:val="20"/>
              </w:rPr>
              <w:fldChar w:fldCharType="separate"/>
            </w:r>
            <w:r w:rsidR="008900A7" w:rsidRPr="008D5D0F">
              <w:rPr>
                <w:color w:val="000000" w:themeColor="text1"/>
                <w:sz w:val="20"/>
              </w:rPr>
              <w:t>[29]</w:t>
            </w:r>
            <w:r w:rsidRPr="008D5D0F">
              <w:rPr>
                <w:color w:val="000000" w:themeColor="text1"/>
                <w:sz w:val="20"/>
              </w:rPr>
              <w:fldChar w:fldCharType="end"/>
            </w:r>
          </w:p>
        </w:tc>
      </w:tr>
      <w:tr w:rsidR="008D5D0F" w:rsidRPr="008D5D0F" w14:paraId="5C91DB09" w14:textId="77777777" w:rsidTr="00A2398A">
        <w:trPr>
          <w:trHeight w:val="277"/>
        </w:trPr>
        <w:tc>
          <w:tcPr>
            <w:tcW w:w="0" w:type="auto"/>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hideMark/>
          </w:tcPr>
          <w:p w14:paraId="1FC7A9E0" w14:textId="77777777" w:rsidR="00EB592C" w:rsidRPr="008D5D0F" w:rsidRDefault="00EB592C" w:rsidP="00A2398A">
            <w:pPr>
              <w:jc w:val="both"/>
              <w:rPr>
                <w:color w:val="000000" w:themeColor="text1"/>
                <w:sz w:val="20"/>
              </w:rPr>
            </w:pPr>
            <w:r w:rsidRPr="008D5D0F">
              <w:rPr>
                <w:color w:val="000000" w:themeColor="text1"/>
                <w:sz w:val="20"/>
              </w:rPr>
              <w:t>Biomass Burning</w:t>
            </w:r>
            <w:r w:rsidRPr="008D5D0F">
              <w:rPr>
                <w:color w:val="000000" w:themeColor="text1"/>
                <w:sz w:val="20"/>
                <w:vertAlign w:val="superscript"/>
              </w:rPr>
              <w:t>*</w:t>
            </w:r>
          </w:p>
        </w:tc>
        <w:tc>
          <w:tcPr>
            <w:tcW w:w="1523"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hideMark/>
          </w:tcPr>
          <w:p w14:paraId="49CCA9DA" w14:textId="77777777" w:rsidR="00EB592C" w:rsidRPr="008D5D0F" w:rsidRDefault="00EB592C" w:rsidP="00A2398A">
            <w:pPr>
              <w:jc w:val="both"/>
              <w:rPr>
                <w:color w:val="000000" w:themeColor="text1"/>
                <w:sz w:val="20"/>
              </w:rPr>
            </w:pPr>
            <w:r w:rsidRPr="008D5D0F">
              <w:rPr>
                <w:color w:val="000000" w:themeColor="text1"/>
                <w:sz w:val="20"/>
              </w:rPr>
              <w:t>-24.6</w:t>
            </w:r>
            <w:r w:rsidRPr="008D5D0F">
              <w:rPr>
                <w:color w:val="000000" w:themeColor="text1"/>
                <w:sz w:val="20"/>
              </w:rPr>
              <w:sym w:font="Symbol" w:char="F0B1"/>
            </w:r>
            <w:r w:rsidRPr="008D5D0F">
              <w:rPr>
                <w:color w:val="000000" w:themeColor="text1"/>
                <w:sz w:val="20"/>
              </w:rPr>
              <w:t>2.2</w:t>
            </w:r>
          </w:p>
        </w:tc>
        <w:tc>
          <w:tcPr>
            <w:tcW w:w="2970"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hideMark/>
          </w:tcPr>
          <w:p w14:paraId="4B9CE1DE" w14:textId="3B7C4129" w:rsidR="00EB592C" w:rsidRPr="008D5D0F" w:rsidRDefault="00EB592C" w:rsidP="00A2398A">
            <w:pPr>
              <w:jc w:val="both"/>
              <w:rPr>
                <w:color w:val="000000" w:themeColor="text1"/>
                <w:sz w:val="20"/>
              </w:rPr>
            </w:pPr>
            <w:r w:rsidRPr="008D5D0F">
              <w:rPr>
                <w:color w:val="000000" w:themeColor="text1"/>
                <w:sz w:val="20"/>
              </w:rPr>
              <w:fldChar w:fldCharType="begin"/>
            </w:r>
            <w:r w:rsidR="008900A7" w:rsidRPr="008D5D0F">
              <w:rPr>
                <w:color w:val="000000" w:themeColor="text1"/>
                <w:sz w:val="20"/>
              </w:rPr>
              <w:instrText xml:space="preserve"> ADDIN ZOTERO_ITEM CSL_CITATION {"citationID":"f688Pyqh","properties":{"formattedCitation":"[29,31]","plainCitation":"[29,31]","noteIndex":0},"citationItems":[{"id":1442,"uris":["http://zotero.org/users/5672304/items/A5R4SBVI"],"uri":["http://zotero.org/users/5672304/items/A5R4SBVI"],"itemData":{"id":1442,"type":"article-journal","container-title":"Atmospheric Environment","DOI":"10.1016/j.atmosenv.2017.11.037","ISSN":"13522310","language":"en","page":"99-111","source":"DOI.org (Crossref)","title":"Isotopic source signatures: Impact of regional variability on the δ13CH4 trend and spatial distribution","title-short":"Isotopic source signatures","volume":"174","author":[{"family":"Feinberg","given":"Aryeh I."},{"family":"Coulon","given":"Ancelin"},{"family":"Stenke","given":"Andrea"},{"family":"Schwietzke","given":"Stefan"},{"family":"Peter","given":"Thomas"}],"issued":{"date-parts":[["2018",2]]}}},{"id":1364,"uris":["http://zotero.org/users/5672304/items/SPCNGDYG"],"uri":["http://zotero.org/users/5672304/items/SPCNGDYG"],"itemData":{"id":1364,"type":"article-journal","abstract":"The concentration of atmospheric methane (CH4) has more than doubled over the industrial era. To help constrain global and regional CH4 budgets, inverse (top-down) models incorporate data on the concentration and stable carbon (δ13C) and hydrogen (δ2H) isotopic ratios of atmospheric CH4. These models depend on accurate δ13C and δ2H end-member source signatures for each of the main emissions categories. Compared with meticulous measurement and calibration of isotopic CH4 in the atmosphere, there has been relatively less effort to characterize globally representative isotopic source signatures, particularly for fossil fuel sources. Most global CH4 budget models have so far relied on outdated source signature values derived from globally nonrepresentative data. To correct this deﬁciency, we present a comprehensive, globally representative end-member database of the δ13C and δ2H of CH4 from fossil fuel (conventional natural gas, shale gas, and coal), modern microbial (wetlands, rice paddies, ruminants, termites, and landﬁlls and/or waste) and biomass burning sources. Gas molecular compositional data for fossil fuel categories are also included with the database. The database comprises 10 706 samples (8734 fossil fuel, 1972 non-fossil) from 190 published references. Mean (unweighted) δ13C signatures for fossil fuel CH4 are signiﬁcantly lighter than values commonly used in CH4 budget models, thus highlighting potential underestimation of fossil fuel CH4 emissions in previous CH4 budget models. This living database will be updated every 2–3 years to provide the atmospheric modeling community with the most complete CH4 source signature data possible. Database digital object identiﬁer (DOI): https://doi.org/10.15138/G3201T.","container-title":"Earth System Science Data","DOI":"10.5194/essd-9-639-2017","ISSN":"1866-3516","issue":"2","language":"en","page":"639-656","source":"DOI.org (Crossref)","title":"Global Inventory of Gas Geochemistry Data from Fossil Fuel, Microbial and Burning Sources, version 2017","volume":"9","author":[{"family":"Sherwood","given":"Owen A."},{"family":"Schwietzke","given":"Stefan"},{"family":"Arling","given":"Victoria A."},{"family":"Etiope","given":"Giuseppe"}],"issued":{"date-parts":[["2017",8,31]]}}}],"schema":"https://github.com/citation-style-language/schema/raw/master/csl-citation.json"} </w:instrText>
            </w:r>
            <w:r w:rsidRPr="008D5D0F">
              <w:rPr>
                <w:color w:val="000000" w:themeColor="text1"/>
                <w:sz w:val="20"/>
              </w:rPr>
              <w:fldChar w:fldCharType="separate"/>
            </w:r>
            <w:r w:rsidR="008900A7" w:rsidRPr="008D5D0F">
              <w:rPr>
                <w:color w:val="000000" w:themeColor="text1"/>
                <w:sz w:val="20"/>
              </w:rPr>
              <w:t>[29,31]</w:t>
            </w:r>
            <w:r w:rsidRPr="008D5D0F">
              <w:rPr>
                <w:color w:val="000000" w:themeColor="text1"/>
                <w:sz w:val="20"/>
              </w:rPr>
              <w:fldChar w:fldCharType="end"/>
            </w:r>
          </w:p>
        </w:tc>
      </w:tr>
      <w:tr w:rsidR="008D5D0F" w:rsidRPr="008D5D0F" w14:paraId="2112BE89" w14:textId="77777777" w:rsidTr="00A2398A">
        <w:trPr>
          <w:trHeight w:val="142"/>
        </w:trPr>
        <w:tc>
          <w:tcPr>
            <w:tcW w:w="0" w:type="auto"/>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hideMark/>
          </w:tcPr>
          <w:p w14:paraId="628CDCDB" w14:textId="77777777" w:rsidR="00EB592C" w:rsidRPr="008D5D0F" w:rsidRDefault="00EB592C" w:rsidP="00A2398A">
            <w:pPr>
              <w:jc w:val="both"/>
              <w:rPr>
                <w:color w:val="000000" w:themeColor="text1"/>
                <w:sz w:val="20"/>
              </w:rPr>
            </w:pPr>
            <w:r w:rsidRPr="008D5D0F">
              <w:rPr>
                <w:color w:val="000000" w:themeColor="text1"/>
                <w:sz w:val="20"/>
              </w:rPr>
              <w:t>Wetlands</w:t>
            </w:r>
            <w:r w:rsidRPr="008D5D0F">
              <w:rPr>
                <w:color w:val="000000" w:themeColor="text1"/>
                <w:sz w:val="20"/>
                <w:vertAlign w:val="superscript"/>
              </w:rPr>
              <w:t>*</w:t>
            </w:r>
          </w:p>
        </w:tc>
        <w:tc>
          <w:tcPr>
            <w:tcW w:w="1523"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hideMark/>
          </w:tcPr>
          <w:p w14:paraId="5101AFAC" w14:textId="77777777" w:rsidR="00EB592C" w:rsidRPr="008D5D0F" w:rsidRDefault="00EB592C" w:rsidP="00A2398A">
            <w:pPr>
              <w:jc w:val="both"/>
              <w:rPr>
                <w:color w:val="000000" w:themeColor="text1"/>
                <w:sz w:val="20"/>
              </w:rPr>
            </w:pPr>
            <w:r w:rsidRPr="008D5D0F">
              <w:rPr>
                <w:color w:val="000000" w:themeColor="text1"/>
                <w:sz w:val="20"/>
              </w:rPr>
              <w:t>-61.6</w:t>
            </w:r>
            <w:r w:rsidRPr="008D5D0F">
              <w:rPr>
                <w:color w:val="000000" w:themeColor="text1"/>
                <w:sz w:val="20"/>
              </w:rPr>
              <w:sym w:font="Symbol" w:char="F0B1"/>
            </w:r>
            <w:r w:rsidRPr="008D5D0F">
              <w:rPr>
                <w:color w:val="000000" w:themeColor="text1"/>
                <w:sz w:val="20"/>
              </w:rPr>
              <w:t>5.3</w:t>
            </w:r>
          </w:p>
        </w:tc>
        <w:tc>
          <w:tcPr>
            <w:tcW w:w="2970"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hideMark/>
          </w:tcPr>
          <w:p w14:paraId="48BD4BD3" w14:textId="1F06F139" w:rsidR="00EB592C" w:rsidRPr="008D5D0F" w:rsidRDefault="00EB592C" w:rsidP="00A2398A">
            <w:pPr>
              <w:jc w:val="both"/>
              <w:rPr>
                <w:color w:val="000000" w:themeColor="text1"/>
                <w:sz w:val="20"/>
              </w:rPr>
            </w:pPr>
            <w:r w:rsidRPr="008D5D0F">
              <w:rPr>
                <w:color w:val="000000" w:themeColor="text1"/>
                <w:sz w:val="20"/>
              </w:rPr>
              <w:fldChar w:fldCharType="begin"/>
            </w:r>
            <w:r w:rsidR="008900A7" w:rsidRPr="008D5D0F">
              <w:rPr>
                <w:color w:val="000000" w:themeColor="text1"/>
                <w:sz w:val="20"/>
              </w:rPr>
              <w:instrText xml:space="preserve"> ADDIN ZOTERO_ITEM CSL_CITATION {"citationID":"XzFUSjMw","properties":{"formattedCitation":"[32]","plainCitation":"[32]","noteIndex":0},"citationItems":[{"id":1447,"uris":["http://zotero.org/users/5672304/items/77LGNQ4N"],"uri":["http://zotero.org/users/5672304/items/77LGNQ4N"],"itemData":{"id":1447,"type":"article-journal","abstract":"We present the ﬁrst spatially resolved wetland δ13C(CH4) source signature map based on data characterizing wetland ecosystems and demonstrate good agreement with wetland signatures derived from atmospheric observations. The source signature map resolves a latitudinal difference of ~10‰ between northern high-latitude (mean À67.8‰) and tropical (mean À56.7‰) wetlands and shows signiﬁcant regional variations on top of the latitudinal gradient. We assess the errors in inverse modeling studies aiming to separate CH4 sources and sinks by comparing atmospheric δ13C(CH4) derived using our spatially resolved map against the common assumption of globally uniform wetland δ13C(CH4) signature. We ﬁnd a larger interhemispheric gradient, a larger high-latitude seasonal cycle, and smaller trend over the period 2000–2012. The implication is that erroneous CH4 ﬂuxes would be derived to compensate for the biases imposed by not utilizing spatially resolved signatures for the largest source of CH4 emissions. These biases are signiﬁcant when compared to the size of observed signals.","container-title":"Geophysical Research Letters","DOI":"10.1002/2018GL077536","ISSN":"00948276","issue":"8","language":"en","page":"3737-3745","source":"DOI.org (Crossref)","title":"Spatially Resolved Isotopic Source Signatures of Wetland Methane Emissions","volume":"45","author":[{"family":"Ganesan","given":"A. L."},{"family":"Stell","given":"A. C."},{"family":"Gedney","given":"N."},{"family":"Comyn-Platt","given":"E."},{"family":"Hayman","given":"G."},{"family":"Rigby","given":"M."},{"family":"Poulter","given":"B."},{"family":"Hornibrook","given":"E. R. C."}],"issued":{"date-parts":[["2018",4,28]]}}}],"schema":"https://github.com/citation-style-language/schema/raw/master/csl-citation.json"} </w:instrText>
            </w:r>
            <w:r w:rsidRPr="008D5D0F">
              <w:rPr>
                <w:color w:val="000000" w:themeColor="text1"/>
                <w:sz w:val="20"/>
              </w:rPr>
              <w:fldChar w:fldCharType="separate"/>
            </w:r>
            <w:r w:rsidR="008900A7" w:rsidRPr="008D5D0F">
              <w:rPr>
                <w:color w:val="000000" w:themeColor="text1"/>
                <w:sz w:val="20"/>
              </w:rPr>
              <w:t>[32]</w:t>
            </w:r>
            <w:r w:rsidRPr="008D5D0F">
              <w:rPr>
                <w:color w:val="000000" w:themeColor="text1"/>
                <w:sz w:val="20"/>
              </w:rPr>
              <w:fldChar w:fldCharType="end"/>
            </w:r>
          </w:p>
        </w:tc>
      </w:tr>
      <w:tr w:rsidR="008D5D0F" w:rsidRPr="008D5D0F" w14:paraId="163EE367" w14:textId="77777777" w:rsidTr="00A2398A">
        <w:trPr>
          <w:trHeight w:val="178"/>
        </w:trPr>
        <w:tc>
          <w:tcPr>
            <w:tcW w:w="0" w:type="auto"/>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hideMark/>
          </w:tcPr>
          <w:p w14:paraId="67246249" w14:textId="77777777" w:rsidR="00EB592C" w:rsidRPr="008D5D0F" w:rsidRDefault="00EB592C" w:rsidP="00A2398A">
            <w:pPr>
              <w:jc w:val="both"/>
              <w:rPr>
                <w:color w:val="000000" w:themeColor="text1"/>
                <w:sz w:val="20"/>
              </w:rPr>
            </w:pPr>
            <w:r w:rsidRPr="008D5D0F">
              <w:rPr>
                <w:color w:val="000000" w:themeColor="text1"/>
                <w:sz w:val="20"/>
              </w:rPr>
              <w:t>Geological Source</w:t>
            </w:r>
          </w:p>
        </w:tc>
        <w:tc>
          <w:tcPr>
            <w:tcW w:w="1523"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hideMark/>
          </w:tcPr>
          <w:p w14:paraId="79DB8686" w14:textId="77777777" w:rsidR="00EB592C" w:rsidRPr="008D5D0F" w:rsidRDefault="00EB592C" w:rsidP="00A2398A">
            <w:pPr>
              <w:jc w:val="both"/>
              <w:rPr>
                <w:color w:val="000000" w:themeColor="text1"/>
                <w:sz w:val="20"/>
              </w:rPr>
            </w:pPr>
            <w:r w:rsidRPr="008D5D0F">
              <w:rPr>
                <w:color w:val="000000" w:themeColor="text1"/>
                <w:sz w:val="20"/>
              </w:rPr>
              <w:t>-42.5</w:t>
            </w:r>
            <w:r w:rsidRPr="008D5D0F">
              <w:rPr>
                <w:color w:val="000000" w:themeColor="text1"/>
                <w:sz w:val="20"/>
              </w:rPr>
              <w:sym w:font="Symbol" w:char="F0B1"/>
            </w:r>
            <w:r w:rsidRPr="008D5D0F">
              <w:rPr>
                <w:color w:val="000000" w:themeColor="text1"/>
                <w:sz w:val="20"/>
              </w:rPr>
              <w:t>7.0</w:t>
            </w:r>
          </w:p>
        </w:tc>
        <w:tc>
          <w:tcPr>
            <w:tcW w:w="2970"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hideMark/>
          </w:tcPr>
          <w:p w14:paraId="75C4B41E" w14:textId="1EB74507" w:rsidR="00EB592C" w:rsidRPr="008D5D0F" w:rsidRDefault="00EB592C" w:rsidP="00A2398A">
            <w:pPr>
              <w:jc w:val="both"/>
              <w:rPr>
                <w:color w:val="000000" w:themeColor="text1"/>
                <w:sz w:val="20"/>
              </w:rPr>
            </w:pPr>
            <w:r w:rsidRPr="008D5D0F">
              <w:rPr>
                <w:color w:val="000000" w:themeColor="text1"/>
                <w:sz w:val="20"/>
              </w:rPr>
              <w:fldChar w:fldCharType="begin"/>
            </w:r>
            <w:r w:rsidR="008900A7" w:rsidRPr="008D5D0F">
              <w:rPr>
                <w:color w:val="000000" w:themeColor="text1"/>
                <w:sz w:val="20"/>
              </w:rPr>
              <w:instrText xml:space="preserve"> ADDIN ZOTERO_ITEM CSL_CITATION {"citationID":"cQyOhpt4","properties":{"formattedCitation":"[29]","plainCitation":"[29]","noteIndex":0},"citationItems":[{"id":1364,"uris":["http://zotero.org/users/5672304/items/SPCNGDYG"],"uri":["http://zotero.org/users/5672304/items/SPCNGDYG"],"itemData":{"id":1364,"type":"article-journal","abstract":"The concentration of atmospheric methane (CH4) has more than doubled over the industrial era. To help constrain global and regional CH4 budgets, inverse (top-down) models incorporate data on the concentration and stable carbon (δ13C) and hydrogen (δ2H) isotopic ratios of atmospheric CH4. These models depend on accurate δ13C and δ2H end-member source signatures for each of the main emissions categories. Compared with meticulous measurement and calibration of isotopic CH4 in the atmosphere, there has been relatively less effort to characterize globally representative isotopic source signatures, particularly for fossil fuel sources. Most global CH4 budget models have so far relied on outdated source signature values derived from globally nonrepresentative data. To correct this deﬁciency, we present a comprehensive, globally representative end-member database of the δ13C and δ2H of CH4 from fossil fuel (conventional natural gas, shale gas, and coal), modern microbial (wetlands, rice paddies, ruminants, termites, and landﬁlls and/or waste) and biomass burning sources. Gas molecular compositional data for fossil fuel categories are also included with the database. The database comprises 10 706 samples (8734 fossil fuel, 1972 non-fossil) from 190 published references. Mean (unweighted) δ13C signatures for fossil fuel CH4 are signiﬁcantly lighter than values commonly used in CH4 budget models, thus highlighting potential underestimation of fossil fuel CH4 emissions in previous CH4 budget models. This living database will be updated every 2–3 years to provide the atmospheric modeling community with the most complete CH4 source signature data possible. Database digital object identiﬁer (DOI): https://doi.org/10.15138/G3201T.","container-title":"Earth System Science Data","DOI":"10.5194/essd-9-639-2017","ISSN":"1866-3516","issue":"2","language":"en","page":"639-656","source":"DOI.org (Crossref)","title":"Global Inventory of Gas Geochemistry Data from Fossil Fuel, Microbial and Burning Sources, version 2017","volume":"9","author":[{"family":"Sherwood","given":"Owen A."},{"family":"Schwietzke","given":"Stefan"},{"family":"Arling","given":"Victoria A."},{"family":"Etiope","given":"Giuseppe"}],"issued":{"date-parts":[["2017",8,31]]}}}],"schema":"https://github.com/citation-style-language/schema/raw/master/csl-citation.json"} </w:instrText>
            </w:r>
            <w:r w:rsidRPr="008D5D0F">
              <w:rPr>
                <w:color w:val="000000" w:themeColor="text1"/>
                <w:sz w:val="20"/>
              </w:rPr>
              <w:fldChar w:fldCharType="separate"/>
            </w:r>
            <w:r w:rsidR="008900A7" w:rsidRPr="008D5D0F">
              <w:rPr>
                <w:color w:val="000000" w:themeColor="text1"/>
                <w:sz w:val="20"/>
              </w:rPr>
              <w:t>[29]</w:t>
            </w:r>
            <w:r w:rsidRPr="008D5D0F">
              <w:rPr>
                <w:color w:val="000000" w:themeColor="text1"/>
                <w:sz w:val="20"/>
              </w:rPr>
              <w:fldChar w:fldCharType="end"/>
            </w:r>
          </w:p>
        </w:tc>
      </w:tr>
      <w:tr w:rsidR="008D5D0F" w:rsidRPr="008D5D0F" w14:paraId="151ADA9B" w14:textId="77777777" w:rsidTr="00A2398A">
        <w:trPr>
          <w:trHeight w:val="223"/>
        </w:trPr>
        <w:tc>
          <w:tcPr>
            <w:tcW w:w="0" w:type="auto"/>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hideMark/>
          </w:tcPr>
          <w:p w14:paraId="05A6ADAE" w14:textId="77777777" w:rsidR="00EB592C" w:rsidRPr="008D5D0F" w:rsidRDefault="00EB592C" w:rsidP="00A2398A">
            <w:pPr>
              <w:jc w:val="both"/>
              <w:rPr>
                <w:color w:val="000000" w:themeColor="text1"/>
                <w:sz w:val="20"/>
              </w:rPr>
            </w:pPr>
            <w:r w:rsidRPr="008D5D0F">
              <w:rPr>
                <w:color w:val="000000" w:themeColor="text1"/>
                <w:sz w:val="20"/>
              </w:rPr>
              <w:t>Termites</w:t>
            </w:r>
          </w:p>
        </w:tc>
        <w:tc>
          <w:tcPr>
            <w:tcW w:w="1523"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hideMark/>
          </w:tcPr>
          <w:p w14:paraId="666195B8" w14:textId="77777777" w:rsidR="00EB592C" w:rsidRPr="008D5D0F" w:rsidRDefault="00EB592C" w:rsidP="00A2398A">
            <w:pPr>
              <w:jc w:val="both"/>
              <w:rPr>
                <w:color w:val="000000" w:themeColor="text1"/>
                <w:sz w:val="20"/>
              </w:rPr>
            </w:pPr>
            <w:r w:rsidRPr="008D5D0F">
              <w:rPr>
                <w:color w:val="000000" w:themeColor="text1"/>
                <w:sz w:val="20"/>
              </w:rPr>
              <w:t>-63.4</w:t>
            </w:r>
            <w:r w:rsidRPr="008D5D0F">
              <w:rPr>
                <w:color w:val="000000" w:themeColor="text1"/>
                <w:sz w:val="20"/>
              </w:rPr>
              <w:sym w:font="Symbol" w:char="F0B1"/>
            </w:r>
            <w:r w:rsidRPr="008D5D0F">
              <w:rPr>
                <w:color w:val="000000" w:themeColor="text1"/>
                <w:sz w:val="20"/>
              </w:rPr>
              <w:t>5.7</w:t>
            </w:r>
          </w:p>
        </w:tc>
        <w:tc>
          <w:tcPr>
            <w:tcW w:w="2970"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hideMark/>
          </w:tcPr>
          <w:p w14:paraId="48B9A5CF" w14:textId="2147FE1D" w:rsidR="00EB592C" w:rsidRPr="008D5D0F" w:rsidRDefault="00EB592C" w:rsidP="00A2398A">
            <w:pPr>
              <w:jc w:val="both"/>
              <w:rPr>
                <w:color w:val="000000" w:themeColor="text1"/>
                <w:sz w:val="20"/>
              </w:rPr>
            </w:pPr>
            <w:r w:rsidRPr="008D5D0F">
              <w:rPr>
                <w:color w:val="000000" w:themeColor="text1"/>
                <w:sz w:val="20"/>
              </w:rPr>
              <w:fldChar w:fldCharType="begin"/>
            </w:r>
            <w:r w:rsidR="008900A7" w:rsidRPr="008D5D0F">
              <w:rPr>
                <w:color w:val="000000" w:themeColor="text1"/>
                <w:sz w:val="20"/>
              </w:rPr>
              <w:instrText xml:space="preserve"> ADDIN ZOTERO_ITEM CSL_CITATION {"citationID":"Z6yt7dqQ","properties":{"formattedCitation":"[29]","plainCitation":"[29]","noteIndex":0},"citationItems":[{"id":1364,"uris":["http://zotero.org/users/5672304/items/SPCNGDYG"],"uri":["http://zotero.org/users/5672304/items/SPCNGDYG"],"itemData":{"id":1364,"type":"article-journal","abstract":"The concentration of atmospheric methane (CH4) has more than doubled over the industrial era. To help constrain global and regional CH4 budgets, inverse (top-down) models incorporate data on the concentration and stable carbon (δ13C) and hydrogen (δ2H) isotopic ratios of atmospheric CH4. These models depend on accurate δ13C and δ2H end-member source signatures for each of the main emissions categories. Compared with meticulous measurement and calibration of isotopic CH4 in the atmosphere, there has been relatively less effort to characterize globally representative isotopic source signatures, particularly for fossil fuel sources. Most global CH4 budget models have so far relied on outdated source signature values derived from globally nonrepresentative data. To correct this deﬁciency, we present a comprehensive, globally representative end-member database of the δ13C and δ2H of CH4 from fossil fuel (conventional natural gas, shale gas, and coal), modern microbial (wetlands, rice paddies, ruminants, termites, and landﬁlls and/or waste) and biomass burning sources. Gas molecular compositional data for fossil fuel categories are also included with the database. The database comprises 10 706 samples (8734 fossil fuel, 1972 non-fossil) from 190 published references. Mean (unweighted) δ13C signatures for fossil fuel CH4 are signiﬁcantly lighter than values commonly used in CH4 budget models, thus highlighting potential underestimation of fossil fuel CH4 emissions in previous CH4 budget models. This living database will be updated every 2–3 years to provide the atmospheric modeling community with the most complete CH4 source signature data possible. Database digital object identiﬁer (DOI): https://doi.org/10.15138/G3201T.","container-title":"Earth System Science Data","DOI":"10.5194/essd-9-639-2017","ISSN":"1866-3516","issue":"2","language":"en","page":"639-656","source":"DOI.org (Crossref)","title":"Global Inventory of Gas Geochemistry Data from Fossil Fuel, Microbial and Burning Sources, version 2017","volume":"9","author":[{"family":"Sherwood","given":"Owen A."},{"family":"Schwietzke","given":"Stefan"},{"family":"Arling","given":"Victoria A."},{"family":"Etiope","given":"Giuseppe"}],"issued":{"date-parts":[["2017",8,31]]}}}],"schema":"https://github.com/citation-style-language/schema/raw/master/csl-citation.json"} </w:instrText>
            </w:r>
            <w:r w:rsidRPr="008D5D0F">
              <w:rPr>
                <w:color w:val="000000" w:themeColor="text1"/>
                <w:sz w:val="20"/>
              </w:rPr>
              <w:fldChar w:fldCharType="separate"/>
            </w:r>
            <w:r w:rsidR="008900A7" w:rsidRPr="008D5D0F">
              <w:rPr>
                <w:color w:val="000000" w:themeColor="text1"/>
                <w:sz w:val="20"/>
              </w:rPr>
              <w:t>[29]</w:t>
            </w:r>
            <w:r w:rsidRPr="008D5D0F">
              <w:rPr>
                <w:color w:val="000000" w:themeColor="text1"/>
                <w:sz w:val="20"/>
              </w:rPr>
              <w:fldChar w:fldCharType="end"/>
            </w:r>
          </w:p>
        </w:tc>
      </w:tr>
      <w:tr w:rsidR="008D5D0F" w:rsidRPr="008D5D0F" w14:paraId="41C2CBE4" w14:textId="77777777" w:rsidTr="00A2398A">
        <w:trPr>
          <w:trHeight w:val="70"/>
        </w:trPr>
        <w:tc>
          <w:tcPr>
            <w:tcW w:w="0" w:type="auto"/>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hideMark/>
          </w:tcPr>
          <w:p w14:paraId="42412F12" w14:textId="77777777" w:rsidR="00EB592C" w:rsidRPr="008D5D0F" w:rsidRDefault="00EB592C" w:rsidP="00A2398A">
            <w:pPr>
              <w:jc w:val="both"/>
              <w:rPr>
                <w:color w:val="000000" w:themeColor="text1"/>
                <w:sz w:val="20"/>
              </w:rPr>
            </w:pPr>
            <w:r w:rsidRPr="008D5D0F">
              <w:rPr>
                <w:color w:val="000000" w:themeColor="text1"/>
                <w:sz w:val="20"/>
              </w:rPr>
              <w:t>Freshwater</w:t>
            </w:r>
          </w:p>
        </w:tc>
        <w:tc>
          <w:tcPr>
            <w:tcW w:w="1523"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hideMark/>
          </w:tcPr>
          <w:p w14:paraId="59B7994F" w14:textId="77777777" w:rsidR="00EB592C" w:rsidRPr="008D5D0F" w:rsidRDefault="00EB592C" w:rsidP="00A2398A">
            <w:pPr>
              <w:jc w:val="both"/>
              <w:rPr>
                <w:color w:val="000000" w:themeColor="text1"/>
                <w:sz w:val="20"/>
              </w:rPr>
            </w:pPr>
            <w:r w:rsidRPr="008D5D0F">
              <w:rPr>
                <w:color w:val="000000" w:themeColor="text1"/>
                <w:sz w:val="20"/>
              </w:rPr>
              <w:t>-61.5</w:t>
            </w:r>
            <w:r w:rsidRPr="008D5D0F">
              <w:rPr>
                <w:color w:val="000000" w:themeColor="text1"/>
                <w:sz w:val="20"/>
              </w:rPr>
              <w:sym w:font="Symbol" w:char="F0B1"/>
            </w:r>
            <w:r w:rsidRPr="008D5D0F">
              <w:rPr>
                <w:color w:val="000000" w:themeColor="text1"/>
                <w:sz w:val="20"/>
              </w:rPr>
              <w:t>5.0</w:t>
            </w:r>
          </w:p>
        </w:tc>
        <w:tc>
          <w:tcPr>
            <w:tcW w:w="2970"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hideMark/>
          </w:tcPr>
          <w:p w14:paraId="73814862" w14:textId="162A5057" w:rsidR="00EB592C" w:rsidRPr="008D5D0F" w:rsidRDefault="00EB592C" w:rsidP="00A2398A">
            <w:pPr>
              <w:jc w:val="both"/>
              <w:rPr>
                <w:color w:val="000000" w:themeColor="text1"/>
                <w:sz w:val="20"/>
              </w:rPr>
            </w:pPr>
            <w:r w:rsidRPr="008D5D0F">
              <w:rPr>
                <w:color w:val="000000" w:themeColor="text1"/>
                <w:sz w:val="20"/>
              </w:rPr>
              <w:fldChar w:fldCharType="begin"/>
            </w:r>
            <w:r w:rsidR="008900A7" w:rsidRPr="008D5D0F">
              <w:rPr>
                <w:color w:val="000000" w:themeColor="text1"/>
                <w:sz w:val="20"/>
              </w:rPr>
              <w:instrText xml:space="preserve"> ADDIN ZOTERO_ITEM CSL_CITATION {"citationID":"mG8kYrbE","properties":{"formattedCitation":"[29]","plainCitation":"[29]","noteIndex":0},"citationItems":[{"id":1364,"uris":["http://zotero.org/users/5672304/items/SPCNGDYG"],"uri":["http://zotero.org/users/5672304/items/SPCNGDYG"],"itemData":{"id":1364,"type":"article-journal","abstract":"The concentration of atmospheric methane (CH4) has more than doubled over the industrial era. To help constrain global and regional CH4 budgets, inverse (top-down) models incorporate data on the concentration and stable carbon (δ13C) and hydrogen (δ2H) isotopic ratios of atmospheric CH4. These models depend on accurate δ13C and δ2H end-member source signatures for each of the main emissions categories. Compared with meticulous measurement and calibration of isotopic CH4 in the atmosphere, there has been relatively less effort to characterize globally representative isotopic source signatures, particularly for fossil fuel sources. Most global CH4 budget models have so far relied on outdated source signature values derived from globally nonrepresentative data. To correct this deﬁciency, we present a comprehensive, globally representative end-member database of the δ13C and δ2H of CH4 from fossil fuel (conventional natural gas, shale gas, and coal), modern microbial (wetlands, rice paddies, ruminants, termites, and landﬁlls and/or waste) and biomass burning sources. Gas molecular compositional data for fossil fuel categories are also included with the database. The database comprises 10 706 samples (8734 fossil fuel, 1972 non-fossil) from 190 published references. Mean (unweighted) δ13C signatures for fossil fuel CH4 are signiﬁcantly lighter than values commonly used in CH4 budget models, thus highlighting potential underestimation of fossil fuel CH4 emissions in previous CH4 budget models. This living database will be updated every 2–3 years to provide the atmospheric modeling community with the most complete CH4 source signature data possible. Database digital object identiﬁer (DOI): https://doi.org/10.15138/G3201T.","container-title":"Earth System Science Data","DOI":"10.5194/essd-9-639-2017","ISSN":"1866-3516","issue":"2","language":"en","page":"639-656","source":"DOI.org (Crossref)","title":"Global Inventory of Gas Geochemistry Data from Fossil Fuel, Microbial and Burning Sources, version 2017","volume":"9","author":[{"family":"Sherwood","given":"Owen A."},{"family":"Schwietzke","given":"Stefan"},{"family":"Arling","given":"Victoria A."},{"family":"Etiope","given":"Giuseppe"}],"issued":{"date-parts":[["2017",8,31]]}}}],"schema":"https://github.com/citation-style-language/schema/raw/master/csl-citation.json"} </w:instrText>
            </w:r>
            <w:r w:rsidRPr="008D5D0F">
              <w:rPr>
                <w:color w:val="000000" w:themeColor="text1"/>
                <w:sz w:val="20"/>
              </w:rPr>
              <w:fldChar w:fldCharType="separate"/>
            </w:r>
            <w:r w:rsidR="008900A7" w:rsidRPr="008D5D0F">
              <w:rPr>
                <w:color w:val="000000" w:themeColor="text1"/>
                <w:sz w:val="20"/>
              </w:rPr>
              <w:t>[29]</w:t>
            </w:r>
            <w:r w:rsidRPr="008D5D0F">
              <w:rPr>
                <w:color w:val="000000" w:themeColor="text1"/>
                <w:sz w:val="20"/>
              </w:rPr>
              <w:fldChar w:fldCharType="end"/>
            </w:r>
          </w:p>
        </w:tc>
      </w:tr>
      <w:tr w:rsidR="008D5D0F" w:rsidRPr="008D5D0F" w14:paraId="48149C35" w14:textId="77777777" w:rsidTr="00A2398A">
        <w:trPr>
          <w:trHeight w:val="17"/>
        </w:trPr>
        <w:tc>
          <w:tcPr>
            <w:tcW w:w="0" w:type="auto"/>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hideMark/>
          </w:tcPr>
          <w:p w14:paraId="6914C012" w14:textId="77777777" w:rsidR="00EB592C" w:rsidRPr="008D5D0F" w:rsidRDefault="00EB592C" w:rsidP="00A2398A">
            <w:pPr>
              <w:jc w:val="both"/>
              <w:rPr>
                <w:color w:val="000000" w:themeColor="text1"/>
                <w:sz w:val="20"/>
              </w:rPr>
            </w:pPr>
            <w:r w:rsidRPr="008D5D0F">
              <w:rPr>
                <w:color w:val="000000" w:themeColor="text1"/>
                <w:sz w:val="20"/>
              </w:rPr>
              <w:t>Wild Animal</w:t>
            </w:r>
          </w:p>
        </w:tc>
        <w:tc>
          <w:tcPr>
            <w:tcW w:w="1523"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hideMark/>
          </w:tcPr>
          <w:p w14:paraId="5C194F00" w14:textId="77777777" w:rsidR="00EB592C" w:rsidRPr="008D5D0F" w:rsidRDefault="00EB592C" w:rsidP="00A2398A">
            <w:pPr>
              <w:jc w:val="both"/>
              <w:rPr>
                <w:color w:val="000000" w:themeColor="text1"/>
                <w:sz w:val="20"/>
              </w:rPr>
            </w:pPr>
            <w:r w:rsidRPr="008D5D0F">
              <w:rPr>
                <w:color w:val="000000" w:themeColor="text1"/>
                <w:sz w:val="20"/>
              </w:rPr>
              <w:t>-65.4</w:t>
            </w:r>
            <w:r w:rsidRPr="008D5D0F">
              <w:rPr>
                <w:color w:val="000000" w:themeColor="text1"/>
                <w:sz w:val="20"/>
              </w:rPr>
              <w:sym w:font="Symbol" w:char="F0B1"/>
            </w:r>
            <w:r w:rsidRPr="008D5D0F">
              <w:rPr>
                <w:color w:val="000000" w:themeColor="text1"/>
                <w:sz w:val="20"/>
              </w:rPr>
              <w:t>2.8</w:t>
            </w:r>
          </w:p>
        </w:tc>
        <w:tc>
          <w:tcPr>
            <w:tcW w:w="2970"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hideMark/>
          </w:tcPr>
          <w:p w14:paraId="51F89262" w14:textId="05CA249E" w:rsidR="00EB592C" w:rsidRPr="008D5D0F" w:rsidRDefault="00EB592C" w:rsidP="00A2398A">
            <w:pPr>
              <w:jc w:val="both"/>
              <w:rPr>
                <w:color w:val="000000" w:themeColor="text1"/>
                <w:sz w:val="20"/>
              </w:rPr>
            </w:pPr>
            <w:r w:rsidRPr="008D5D0F">
              <w:rPr>
                <w:color w:val="000000" w:themeColor="text1"/>
                <w:sz w:val="20"/>
              </w:rPr>
              <w:fldChar w:fldCharType="begin"/>
            </w:r>
            <w:r w:rsidR="008900A7" w:rsidRPr="008D5D0F">
              <w:rPr>
                <w:color w:val="000000" w:themeColor="text1"/>
                <w:sz w:val="20"/>
              </w:rPr>
              <w:instrText xml:space="preserve"> ADDIN ZOTERO_ITEM CSL_CITATION {"citationID":"SWZi56Yu","properties":{"formattedCitation":"[29]","plainCitation":"[29]","noteIndex":0},"citationItems":[{"id":1364,"uris":["http://zotero.org/users/5672304/items/SPCNGDYG"],"uri":["http://zotero.org/users/5672304/items/SPCNGDYG"],"itemData":{"id":1364,"type":"article-journal","abstract":"The concentration of atmospheric methane (CH4) has more than doubled over the industrial era. To help constrain global and regional CH4 budgets, inverse (top-down) models incorporate data on the concentration and stable carbon (δ13C) and hydrogen (δ2H) isotopic ratios of atmospheric CH4. These models depend on accurate δ13C and δ2H end-member source signatures for each of the main emissions categories. Compared with meticulous measurement and calibration of isotopic CH4 in the atmosphere, there has been relatively less effort to characterize globally representative isotopic source signatures, particularly for fossil fuel sources. Most global CH4 budget models have so far relied on outdated source signature values derived from globally nonrepresentative data. To correct this deﬁciency, we present a comprehensive, globally representative end-member database of the δ13C and δ2H of CH4 from fossil fuel (conventional natural gas, shale gas, and coal), modern microbial (wetlands, rice paddies, ruminants, termites, and landﬁlls and/or waste) and biomass burning sources. Gas molecular compositional data for fossil fuel categories are also included with the database. The database comprises 10 706 samples (8734 fossil fuel, 1972 non-fossil) from 190 published references. Mean (unweighted) δ13C signatures for fossil fuel CH4 are signiﬁcantly lighter than values commonly used in CH4 budget models, thus highlighting potential underestimation of fossil fuel CH4 emissions in previous CH4 budget models. This living database will be updated every 2–3 years to provide the atmospheric modeling community with the most complete CH4 source signature data possible. Database digital object identiﬁer (DOI): https://doi.org/10.15138/G3201T.","container-title":"Earth System Science Data","DOI":"10.5194/essd-9-639-2017","ISSN":"1866-3516","issue":"2","language":"en","page":"639-656","source":"DOI.org (Crossref)","title":"Global Inventory of Gas Geochemistry Data from Fossil Fuel, Microbial and Burning Sources, version 2017","volume":"9","author":[{"family":"Sherwood","given":"Owen A."},{"family":"Schwietzke","given":"Stefan"},{"family":"Arling","given":"Victoria A."},{"family":"Etiope","given":"Giuseppe"}],"issued":{"date-parts":[["2017",8,31]]}}}],"schema":"https://github.com/citation-style-language/schema/raw/master/csl-citation.json"} </w:instrText>
            </w:r>
            <w:r w:rsidRPr="008D5D0F">
              <w:rPr>
                <w:color w:val="000000" w:themeColor="text1"/>
                <w:sz w:val="20"/>
              </w:rPr>
              <w:fldChar w:fldCharType="separate"/>
            </w:r>
            <w:r w:rsidR="008900A7" w:rsidRPr="008D5D0F">
              <w:rPr>
                <w:color w:val="000000" w:themeColor="text1"/>
                <w:sz w:val="20"/>
              </w:rPr>
              <w:t>[29]</w:t>
            </w:r>
            <w:r w:rsidRPr="008D5D0F">
              <w:rPr>
                <w:color w:val="000000" w:themeColor="text1"/>
                <w:sz w:val="20"/>
              </w:rPr>
              <w:fldChar w:fldCharType="end"/>
            </w:r>
          </w:p>
        </w:tc>
      </w:tr>
      <w:tr w:rsidR="008D5D0F" w:rsidRPr="008D5D0F" w14:paraId="06959321" w14:textId="77777777" w:rsidTr="00A2398A">
        <w:trPr>
          <w:trHeight w:val="151"/>
        </w:trPr>
        <w:tc>
          <w:tcPr>
            <w:tcW w:w="0" w:type="auto"/>
            <w:tcBorders>
              <w:top w:val="single" w:sz="4" w:space="0" w:color="FFFFFF"/>
              <w:left w:val="single" w:sz="4" w:space="0" w:color="FFFFFF"/>
              <w:bottom w:val="single" w:sz="8" w:space="0" w:color="000000"/>
              <w:right w:val="single" w:sz="4" w:space="0" w:color="FFFFFF"/>
            </w:tcBorders>
            <w:tcMar>
              <w:top w:w="100" w:type="dxa"/>
              <w:left w:w="100" w:type="dxa"/>
              <w:bottom w:w="100" w:type="dxa"/>
              <w:right w:w="100" w:type="dxa"/>
            </w:tcMar>
            <w:hideMark/>
          </w:tcPr>
          <w:p w14:paraId="59B97897" w14:textId="77777777" w:rsidR="00EB592C" w:rsidRPr="008D5D0F" w:rsidRDefault="00EB592C" w:rsidP="00A2398A">
            <w:pPr>
              <w:jc w:val="both"/>
              <w:rPr>
                <w:color w:val="000000" w:themeColor="text1"/>
                <w:sz w:val="20"/>
              </w:rPr>
            </w:pPr>
            <w:r w:rsidRPr="008D5D0F">
              <w:rPr>
                <w:color w:val="000000" w:themeColor="text1"/>
                <w:sz w:val="20"/>
              </w:rPr>
              <w:t>Others</w:t>
            </w:r>
          </w:p>
        </w:tc>
        <w:tc>
          <w:tcPr>
            <w:tcW w:w="1523" w:type="dxa"/>
            <w:tcBorders>
              <w:top w:val="single" w:sz="4" w:space="0" w:color="FFFFFF"/>
              <w:left w:val="single" w:sz="4" w:space="0" w:color="FFFFFF"/>
              <w:bottom w:val="single" w:sz="8" w:space="0" w:color="000000"/>
              <w:right w:val="single" w:sz="4" w:space="0" w:color="FFFFFF"/>
            </w:tcBorders>
            <w:tcMar>
              <w:top w:w="100" w:type="dxa"/>
              <w:left w:w="100" w:type="dxa"/>
              <w:bottom w:w="100" w:type="dxa"/>
              <w:right w:w="100" w:type="dxa"/>
            </w:tcMar>
            <w:hideMark/>
          </w:tcPr>
          <w:p w14:paraId="3B5422CE" w14:textId="77777777" w:rsidR="00EB592C" w:rsidRPr="008D5D0F" w:rsidRDefault="00EB592C" w:rsidP="00A2398A">
            <w:pPr>
              <w:jc w:val="both"/>
              <w:rPr>
                <w:color w:val="000000" w:themeColor="text1"/>
                <w:sz w:val="20"/>
              </w:rPr>
            </w:pPr>
            <w:r w:rsidRPr="008D5D0F">
              <w:rPr>
                <w:color w:val="000000" w:themeColor="text1"/>
                <w:sz w:val="20"/>
              </w:rPr>
              <w:t>-44.8</w:t>
            </w:r>
            <w:r w:rsidRPr="008D5D0F">
              <w:rPr>
                <w:color w:val="000000" w:themeColor="text1"/>
                <w:sz w:val="20"/>
              </w:rPr>
              <w:sym w:font="Symbol" w:char="F0B1"/>
            </w:r>
            <w:r w:rsidRPr="008D5D0F">
              <w:rPr>
                <w:color w:val="000000" w:themeColor="text1"/>
                <w:sz w:val="20"/>
              </w:rPr>
              <w:t>2.0</w:t>
            </w:r>
          </w:p>
        </w:tc>
        <w:tc>
          <w:tcPr>
            <w:tcW w:w="2970" w:type="dxa"/>
            <w:tcBorders>
              <w:top w:val="single" w:sz="4" w:space="0" w:color="FFFFFF"/>
              <w:left w:val="single" w:sz="4" w:space="0" w:color="FFFFFF"/>
              <w:bottom w:val="single" w:sz="8" w:space="0" w:color="000000"/>
              <w:right w:val="single" w:sz="4" w:space="0" w:color="FFFFFF"/>
            </w:tcBorders>
            <w:tcMar>
              <w:top w:w="100" w:type="dxa"/>
              <w:left w:w="100" w:type="dxa"/>
              <w:bottom w:w="100" w:type="dxa"/>
              <w:right w:w="100" w:type="dxa"/>
            </w:tcMar>
            <w:hideMark/>
          </w:tcPr>
          <w:p w14:paraId="25C80C88" w14:textId="237C5F78" w:rsidR="00EB592C" w:rsidRPr="008D5D0F" w:rsidRDefault="00EB592C" w:rsidP="00A2398A">
            <w:pPr>
              <w:jc w:val="both"/>
              <w:rPr>
                <w:color w:val="000000" w:themeColor="text1"/>
                <w:sz w:val="20"/>
              </w:rPr>
            </w:pPr>
            <w:r w:rsidRPr="008D5D0F">
              <w:rPr>
                <w:color w:val="000000" w:themeColor="text1"/>
                <w:sz w:val="20"/>
              </w:rPr>
              <w:fldChar w:fldCharType="begin"/>
            </w:r>
            <w:r w:rsidR="008900A7" w:rsidRPr="008D5D0F">
              <w:rPr>
                <w:color w:val="000000" w:themeColor="text1"/>
                <w:sz w:val="20"/>
              </w:rPr>
              <w:instrText xml:space="preserve"> ADDIN ZOTERO_ITEM CSL_CITATION {"citationID":"an00iMrJ","properties":{"formattedCitation":"[29]","plainCitation":"[29]","noteIndex":0},"citationItems":[{"id":1364,"uris":["http://zotero.org/users/5672304/items/SPCNGDYG"],"uri":["http://zotero.org/users/5672304/items/SPCNGDYG"],"itemData":{"id":1364,"type":"article-journal","abstract":"The concentration of atmospheric methane (CH4) has more than doubled over the industrial era. To help constrain global and regional CH4 budgets, inverse (top-down) models incorporate data on the concentration and stable carbon (δ13C) and hydrogen (δ2H) isotopic ratios of atmospheric CH4. These models depend on accurate δ13C and δ2H end-member source signatures for each of the main emissions categories. Compared with meticulous measurement and calibration of isotopic CH4 in the atmosphere, there has been relatively less effort to characterize globally representative isotopic source signatures, particularly for fossil fuel sources. Most global CH4 budget models have so far relied on outdated source signature values derived from globally nonrepresentative data. To correct this deﬁciency, we present a comprehensive, globally representative end-member database of the δ13C and δ2H of CH4 from fossil fuel (conventional natural gas, shale gas, and coal), modern microbial (wetlands, rice paddies, ruminants, termites, and landﬁlls and/or waste) and biomass burning sources. Gas molecular compositional data for fossil fuel categories are also included with the database. The database comprises 10 706 samples (8734 fossil fuel, 1972 non-fossil) from 190 published references. Mean (unweighted) δ13C signatures for fossil fuel CH4 are signiﬁcantly lighter than values commonly used in CH4 budget models, thus highlighting potential underestimation of fossil fuel CH4 emissions in previous CH4 budget models. This living database will be updated every 2–3 years to provide the atmospheric modeling community with the most complete CH4 source signature data possible. Database digital object identiﬁer (DOI): https://doi.org/10.15138/G3201T.","container-title":"Earth System Science Data","DOI":"10.5194/essd-9-639-2017","ISSN":"1866-3516","issue":"2","language":"en","page":"639-656","source":"DOI.org (Crossref)","title":"Global Inventory of Gas Geochemistry Data from Fossil Fuel, Microbial and Burning Sources, version 2017","volume":"9","author":[{"family":"Sherwood","given":"Owen A."},{"family":"Schwietzke","given":"Stefan"},{"family":"Arling","given":"Victoria A."},{"family":"Etiope","given":"Giuseppe"}],"issued":{"date-parts":[["2017",8,31]]}}}],"schema":"https://github.com/citation-style-language/schema/raw/master/csl-citation.json"} </w:instrText>
            </w:r>
            <w:r w:rsidRPr="008D5D0F">
              <w:rPr>
                <w:color w:val="000000" w:themeColor="text1"/>
                <w:sz w:val="20"/>
              </w:rPr>
              <w:fldChar w:fldCharType="separate"/>
            </w:r>
            <w:r w:rsidR="008900A7" w:rsidRPr="008D5D0F">
              <w:rPr>
                <w:color w:val="000000" w:themeColor="text1"/>
                <w:sz w:val="20"/>
              </w:rPr>
              <w:t>[29]</w:t>
            </w:r>
            <w:r w:rsidRPr="008D5D0F">
              <w:rPr>
                <w:color w:val="000000" w:themeColor="text1"/>
                <w:sz w:val="20"/>
              </w:rPr>
              <w:fldChar w:fldCharType="end"/>
            </w:r>
          </w:p>
        </w:tc>
      </w:tr>
    </w:tbl>
    <w:p w14:paraId="333A04AC" w14:textId="77777777" w:rsidR="00EB592C" w:rsidRPr="008D5D0F" w:rsidRDefault="00EB592C" w:rsidP="00EB592C">
      <w:pPr>
        <w:jc w:val="both"/>
        <w:rPr>
          <w:color w:val="000000" w:themeColor="text1"/>
          <w:sz w:val="20"/>
        </w:rPr>
      </w:pPr>
      <w:r w:rsidRPr="008D5D0F">
        <w:rPr>
          <w:color w:val="000000" w:themeColor="text1"/>
          <w:sz w:val="20"/>
        </w:rPr>
        <w:t>*Mean value of the spatial distribution</w:t>
      </w:r>
    </w:p>
    <w:p w14:paraId="53D2105A" w14:textId="77777777" w:rsidR="00EB592C" w:rsidRPr="008D5D0F" w:rsidRDefault="00EB592C" w:rsidP="00EB592C">
      <w:pPr>
        <w:pStyle w:val="SMcaption"/>
        <w:rPr>
          <w:color w:val="000000" w:themeColor="text1"/>
          <w:sz w:val="20"/>
        </w:rPr>
      </w:pPr>
    </w:p>
    <w:p w14:paraId="3CCA2CAE" w14:textId="77777777" w:rsidR="00EB592C" w:rsidRPr="008D5D0F" w:rsidRDefault="00EB592C" w:rsidP="00EB592C">
      <w:pPr>
        <w:pStyle w:val="SMcaption"/>
        <w:rPr>
          <w:color w:val="000000" w:themeColor="text1"/>
          <w:sz w:val="20"/>
        </w:rPr>
      </w:pPr>
    </w:p>
    <w:p w14:paraId="3320DCD6" w14:textId="77777777" w:rsidR="00EB592C" w:rsidRPr="008D5D0F" w:rsidRDefault="00EB592C" w:rsidP="00EB592C">
      <w:pPr>
        <w:pStyle w:val="SMcaption"/>
        <w:rPr>
          <w:color w:val="000000" w:themeColor="text1"/>
          <w:sz w:val="20"/>
        </w:rPr>
      </w:pPr>
    </w:p>
    <w:p w14:paraId="0EC4DE7A" w14:textId="77777777" w:rsidR="00EB592C" w:rsidRPr="008D5D0F" w:rsidRDefault="00EB592C" w:rsidP="00EB592C">
      <w:pPr>
        <w:pStyle w:val="SMcaption"/>
        <w:rPr>
          <w:color w:val="000000" w:themeColor="text1"/>
          <w:sz w:val="20"/>
        </w:rPr>
      </w:pPr>
    </w:p>
    <w:p w14:paraId="3197B4E7" w14:textId="77777777" w:rsidR="00EB592C" w:rsidRPr="008D5D0F" w:rsidRDefault="00EB592C" w:rsidP="00EB592C">
      <w:pPr>
        <w:pStyle w:val="SMcaption"/>
        <w:rPr>
          <w:b/>
          <w:color w:val="000000" w:themeColor="text1"/>
          <w:sz w:val="20"/>
        </w:rPr>
      </w:pPr>
      <w:r w:rsidRPr="008D5D0F">
        <w:rPr>
          <w:b/>
          <w:color w:val="000000" w:themeColor="text1"/>
          <w:sz w:val="20"/>
        </w:rPr>
        <w:t>SI References</w:t>
      </w:r>
    </w:p>
    <w:p w14:paraId="2403DFCE" w14:textId="77777777" w:rsidR="00EB592C" w:rsidRPr="008D5D0F" w:rsidRDefault="00EB592C" w:rsidP="00EB592C">
      <w:pPr>
        <w:pStyle w:val="SMcaption"/>
        <w:rPr>
          <w:b/>
          <w:color w:val="000000" w:themeColor="text1"/>
          <w:sz w:val="20"/>
        </w:rPr>
      </w:pPr>
    </w:p>
    <w:p w14:paraId="10318245" w14:textId="77777777" w:rsidR="008900A7" w:rsidRPr="008D5D0F" w:rsidRDefault="00EB592C" w:rsidP="008900A7">
      <w:pPr>
        <w:pStyle w:val="a7"/>
        <w:rPr>
          <w:color w:val="000000" w:themeColor="text1"/>
          <w:sz w:val="20"/>
        </w:rPr>
      </w:pPr>
      <w:r w:rsidRPr="008D5D0F">
        <w:rPr>
          <w:b/>
          <w:color w:val="000000" w:themeColor="text1"/>
          <w:sz w:val="20"/>
        </w:rPr>
        <w:fldChar w:fldCharType="begin"/>
      </w:r>
      <w:r w:rsidR="008900A7" w:rsidRPr="008D5D0F">
        <w:rPr>
          <w:b/>
          <w:color w:val="000000" w:themeColor="text1"/>
          <w:sz w:val="20"/>
        </w:rPr>
        <w:instrText xml:space="preserve"> ADDIN ZOTERO_BIBL {"uncited":[],"omitted":[],"custom":[]} CSL_BIBLIOGRAPHY </w:instrText>
      </w:r>
      <w:r w:rsidRPr="008D5D0F">
        <w:rPr>
          <w:b/>
          <w:color w:val="000000" w:themeColor="text1"/>
          <w:sz w:val="20"/>
        </w:rPr>
        <w:fldChar w:fldCharType="separate"/>
      </w:r>
      <w:r w:rsidR="008900A7" w:rsidRPr="008D5D0F">
        <w:rPr>
          <w:color w:val="000000" w:themeColor="text1"/>
          <w:sz w:val="20"/>
        </w:rPr>
        <w:t xml:space="preserve">1. Schaefer H, Fletcher SEM, Veidt C </w:t>
      </w:r>
      <w:r w:rsidR="008900A7" w:rsidRPr="008D5D0F">
        <w:rPr>
          <w:i/>
          <w:iCs/>
          <w:color w:val="000000" w:themeColor="text1"/>
          <w:sz w:val="20"/>
        </w:rPr>
        <w:t>et al.</w:t>
      </w:r>
      <w:r w:rsidR="008900A7" w:rsidRPr="008D5D0F">
        <w:rPr>
          <w:color w:val="000000" w:themeColor="text1"/>
          <w:sz w:val="20"/>
        </w:rPr>
        <w:t xml:space="preserve"> A 21st-century shift from fossil-fuel to biogenic methane emissions indicated by </w:t>
      </w:r>
      <w:r w:rsidR="008900A7" w:rsidRPr="008D5D0F">
        <w:rPr>
          <w:color w:val="000000" w:themeColor="text1"/>
          <w:sz w:val="20"/>
          <w:vertAlign w:val="superscript"/>
        </w:rPr>
        <w:t>13</w:t>
      </w:r>
      <w:r w:rsidR="008900A7" w:rsidRPr="008D5D0F">
        <w:rPr>
          <w:color w:val="000000" w:themeColor="text1"/>
          <w:sz w:val="20"/>
        </w:rPr>
        <w:t>CH</w:t>
      </w:r>
      <w:r w:rsidR="008900A7" w:rsidRPr="008D5D0F">
        <w:rPr>
          <w:color w:val="000000" w:themeColor="text1"/>
          <w:sz w:val="20"/>
          <w:vertAlign w:val="subscript"/>
        </w:rPr>
        <w:t>4</w:t>
      </w:r>
      <w:r w:rsidR="008900A7" w:rsidRPr="008D5D0F">
        <w:rPr>
          <w:color w:val="000000" w:themeColor="text1"/>
          <w:sz w:val="20"/>
        </w:rPr>
        <w:t xml:space="preserve">. </w:t>
      </w:r>
      <w:r w:rsidR="008900A7" w:rsidRPr="008D5D0F">
        <w:rPr>
          <w:i/>
          <w:iCs/>
          <w:color w:val="000000" w:themeColor="text1"/>
          <w:sz w:val="20"/>
        </w:rPr>
        <w:t>Science</w:t>
      </w:r>
      <w:r w:rsidR="008900A7" w:rsidRPr="008D5D0F">
        <w:rPr>
          <w:color w:val="000000" w:themeColor="text1"/>
          <w:sz w:val="20"/>
        </w:rPr>
        <w:t xml:space="preserve"> 2016;</w:t>
      </w:r>
      <w:r w:rsidR="008900A7" w:rsidRPr="008D5D0F">
        <w:rPr>
          <w:b/>
          <w:bCs/>
          <w:color w:val="000000" w:themeColor="text1"/>
          <w:sz w:val="20"/>
        </w:rPr>
        <w:t>352</w:t>
      </w:r>
      <w:r w:rsidR="008900A7" w:rsidRPr="008D5D0F">
        <w:rPr>
          <w:color w:val="000000" w:themeColor="text1"/>
          <w:sz w:val="20"/>
        </w:rPr>
        <w:t>:80–4.</w:t>
      </w:r>
    </w:p>
    <w:p w14:paraId="565F53D4" w14:textId="77777777" w:rsidR="008900A7" w:rsidRPr="008D5D0F" w:rsidRDefault="008900A7" w:rsidP="008900A7">
      <w:pPr>
        <w:pStyle w:val="a7"/>
        <w:rPr>
          <w:color w:val="000000" w:themeColor="text1"/>
          <w:sz w:val="20"/>
        </w:rPr>
      </w:pPr>
      <w:r w:rsidRPr="008D5D0F">
        <w:rPr>
          <w:color w:val="000000" w:themeColor="text1"/>
          <w:sz w:val="20"/>
        </w:rPr>
        <w:t xml:space="preserve">2. Turner AJ, Frankenberg C, Wennberg PO </w:t>
      </w:r>
      <w:r w:rsidRPr="008D5D0F">
        <w:rPr>
          <w:i/>
          <w:iCs/>
          <w:color w:val="000000" w:themeColor="text1"/>
          <w:sz w:val="20"/>
        </w:rPr>
        <w:t>et al.</w:t>
      </w:r>
      <w:r w:rsidRPr="008D5D0F">
        <w:rPr>
          <w:color w:val="000000" w:themeColor="text1"/>
          <w:sz w:val="20"/>
        </w:rPr>
        <w:t xml:space="preserve"> Ambiguity in the causes for decadal trends in atmospheric methane and hydroxyl. </w:t>
      </w:r>
      <w:r w:rsidRPr="008D5D0F">
        <w:rPr>
          <w:i/>
          <w:iCs/>
          <w:color w:val="000000" w:themeColor="text1"/>
          <w:sz w:val="20"/>
        </w:rPr>
        <w:t>Proceedings of the National Academy of Sciences</w:t>
      </w:r>
      <w:r w:rsidRPr="008D5D0F">
        <w:rPr>
          <w:color w:val="000000" w:themeColor="text1"/>
          <w:sz w:val="20"/>
        </w:rPr>
        <w:t xml:space="preserve"> 2017;</w:t>
      </w:r>
      <w:r w:rsidRPr="008D5D0F">
        <w:rPr>
          <w:b/>
          <w:bCs/>
          <w:color w:val="000000" w:themeColor="text1"/>
          <w:sz w:val="20"/>
        </w:rPr>
        <w:t>114</w:t>
      </w:r>
      <w:r w:rsidRPr="008D5D0F">
        <w:rPr>
          <w:color w:val="000000" w:themeColor="text1"/>
          <w:sz w:val="20"/>
        </w:rPr>
        <w:t>:5367–72.</w:t>
      </w:r>
    </w:p>
    <w:p w14:paraId="221FBFCA" w14:textId="77777777" w:rsidR="008900A7" w:rsidRPr="008D5D0F" w:rsidRDefault="008900A7" w:rsidP="008900A7">
      <w:pPr>
        <w:pStyle w:val="a7"/>
        <w:rPr>
          <w:color w:val="000000" w:themeColor="text1"/>
          <w:sz w:val="20"/>
        </w:rPr>
      </w:pPr>
      <w:r w:rsidRPr="008D5D0F">
        <w:rPr>
          <w:color w:val="000000" w:themeColor="text1"/>
          <w:sz w:val="20"/>
        </w:rPr>
        <w:lastRenderedPageBreak/>
        <w:t xml:space="preserve">3. Houweling S, van der Werf GR, Klein Goldewijk K </w:t>
      </w:r>
      <w:r w:rsidRPr="008D5D0F">
        <w:rPr>
          <w:i/>
          <w:iCs/>
          <w:color w:val="000000" w:themeColor="text1"/>
          <w:sz w:val="20"/>
        </w:rPr>
        <w:t>et al.</w:t>
      </w:r>
      <w:r w:rsidRPr="008D5D0F">
        <w:rPr>
          <w:color w:val="000000" w:themeColor="text1"/>
          <w:sz w:val="20"/>
        </w:rPr>
        <w:t xml:space="preserve"> Early anthropogenic CH</w:t>
      </w:r>
      <w:r w:rsidRPr="008D5D0F">
        <w:rPr>
          <w:color w:val="000000" w:themeColor="text1"/>
          <w:sz w:val="20"/>
          <w:vertAlign w:val="subscript"/>
        </w:rPr>
        <w:t>4</w:t>
      </w:r>
      <w:r w:rsidRPr="008D5D0F">
        <w:rPr>
          <w:color w:val="000000" w:themeColor="text1"/>
          <w:sz w:val="20"/>
        </w:rPr>
        <w:t xml:space="preserve"> emissions and the variation of CH</w:t>
      </w:r>
      <w:r w:rsidRPr="008D5D0F">
        <w:rPr>
          <w:color w:val="000000" w:themeColor="text1"/>
          <w:sz w:val="20"/>
          <w:vertAlign w:val="subscript"/>
        </w:rPr>
        <w:t>4</w:t>
      </w:r>
      <w:r w:rsidRPr="008D5D0F">
        <w:rPr>
          <w:color w:val="000000" w:themeColor="text1"/>
          <w:sz w:val="20"/>
        </w:rPr>
        <w:t xml:space="preserve"> and </w:t>
      </w:r>
      <w:r w:rsidRPr="008D5D0F">
        <w:rPr>
          <w:color w:val="000000" w:themeColor="text1"/>
          <w:sz w:val="20"/>
          <w:vertAlign w:val="superscript"/>
        </w:rPr>
        <w:t>13</w:t>
      </w:r>
      <w:r w:rsidRPr="008D5D0F">
        <w:rPr>
          <w:color w:val="000000" w:themeColor="text1"/>
          <w:sz w:val="20"/>
        </w:rPr>
        <w:t>CH</w:t>
      </w:r>
      <w:r w:rsidRPr="008D5D0F">
        <w:rPr>
          <w:color w:val="000000" w:themeColor="text1"/>
          <w:sz w:val="20"/>
          <w:vertAlign w:val="subscript"/>
        </w:rPr>
        <w:t>4</w:t>
      </w:r>
      <w:r w:rsidRPr="008D5D0F">
        <w:rPr>
          <w:color w:val="000000" w:themeColor="text1"/>
          <w:sz w:val="20"/>
        </w:rPr>
        <w:t xml:space="preserve"> over the last millennium. </w:t>
      </w:r>
      <w:r w:rsidRPr="008D5D0F">
        <w:rPr>
          <w:i/>
          <w:iCs/>
          <w:color w:val="000000" w:themeColor="text1"/>
          <w:sz w:val="20"/>
        </w:rPr>
        <w:t>Global Biogeochemical Cycles</w:t>
      </w:r>
      <w:r w:rsidRPr="008D5D0F">
        <w:rPr>
          <w:color w:val="000000" w:themeColor="text1"/>
          <w:sz w:val="20"/>
        </w:rPr>
        <w:t xml:space="preserve"> 2008;</w:t>
      </w:r>
      <w:r w:rsidRPr="008D5D0F">
        <w:rPr>
          <w:b/>
          <w:bCs/>
          <w:color w:val="000000" w:themeColor="text1"/>
          <w:sz w:val="20"/>
        </w:rPr>
        <w:t>22</w:t>
      </w:r>
      <w:r w:rsidRPr="008D5D0F">
        <w:rPr>
          <w:color w:val="000000" w:themeColor="text1"/>
          <w:sz w:val="20"/>
        </w:rPr>
        <w:t>, DOI: 10.1029/2007GB002961.</w:t>
      </w:r>
    </w:p>
    <w:p w14:paraId="370D5EB5" w14:textId="77777777" w:rsidR="008900A7" w:rsidRPr="008D5D0F" w:rsidRDefault="008900A7" w:rsidP="008900A7">
      <w:pPr>
        <w:pStyle w:val="a7"/>
        <w:rPr>
          <w:color w:val="000000" w:themeColor="text1"/>
          <w:sz w:val="20"/>
        </w:rPr>
      </w:pPr>
      <w:r w:rsidRPr="008D5D0F">
        <w:rPr>
          <w:color w:val="000000" w:themeColor="text1"/>
          <w:sz w:val="20"/>
        </w:rPr>
        <w:t xml:space="preserve">4. Schwietzke S, Sherwood OA, Bruhwiler LMP </w:t>
      </w:r>
      <w:r w:rsidRPr="008D5D0F">
        <w:rPr>
          <w:i/>
          <w:iCs/>
          <w:color w:val="000000" w:themeColor="text1"/>
          <w:sz w:val="20"/>
        </w:rPr>
        <w:t>et al.</w:t>
      </w:r>
      <w:r w:rsidRPr="008D5D0F">
        <w:rPr>
          <w:color w:val="000000" w:themeColor="text1"/>
          <w:sz w:val="20"/>
        </w:rPr>
        <w:t xml:space="preserve"> Upward revision of global fossil fuel methane emissions based on isotope database. </w:t>
      </w:r>
      <w:r w:rsidRPr="008D5D0F">
        <w:rPr>
          <w:i/>
          <w:iCs/>
          <w:color w:val="000000" w:themeColor="text1"/>
          <w:sz w:val="20"/>
        </w:rPr>
        <w:t>Nature</w:t>
      </w:r>
      <w:r w:rsidRPr="008D5D0F">
        <w:rPr>
          <w:color w:val="000000" w:themeColor="text1"/>
          <w:sz w:val="20"/>
        </w:rPr>
        <w:t xml:space="preserve"> 2016;</w:t>
      </w:r>
      <w:r w:rsidRPr="008D5D0F">
        <w:rPr>
          <w:b/>
          <w:bCs/>
          <w:color w:val="000000" w:themeColor="text1"/>
          <w:sz w:val="20"/>
        </w:rPr>
        <w:t>538</w:t>
      </w:r>
      <w:r w:rsidRPr="008D5D0F">
        <w:rPr>
          <w:color w:val="000000" w:themeColor="text1"/>
          <w:sz w:val="20"/>
        </w:rPr>
        <w:t>:88–91.</w:t>
      </w:r>
    </w:p>
    <w:p w14:paraId="16F713AF" w14:textId="77777777" w:rsidR="008900A7" w:rsidRPr="008D5D0F" w:rsidRDefault="008900A7" w:rsidP="008900A7">
      <w:pPr>
        <w:pStyle w:val="a7"/>
        <w:rPr>
          <w:color w:val="000000" w:themeColor="text1"/>
          <w:sz w:val="20"/>
        </w:rPr>
      </w:pPr>
      <w:r w:rsidRPr="008D5D0F">
        <w:rPr>
          <w:color w:val="000000" w:themeColor="text1"/>
          <w:sz w:val="20"/>
        </w:rPr>
        <w:t xml:space="preserve">5. Schwietzke S, Griffin WM, Matthews HS </w:t>
      </w:r>
      <w:r w:rsidRPr="008D5D0F">
        <w:rPr>
          <w:i/>
          <w:iCs/>
          <w:color w:val="000000" w:themeColor="text1"/>
          <w:sz w:val="20"/>
        </w:rPr>
        <w:t>et al.</w:t>
      </w:r>
      <w:r w:rsidRPr="008D5D0F">
        <w:rPr>
          <w:color w:val="000000" w:themeColor="text1"/>
          <w:sz w:val="20"/>
        </w:rPr>
        <w:t xml:space="preserve"> Global Bottom-Up Fossil Fuel Fugitive Methane and Ethane Emissions Inventory for Atmospheric Modeling. </w:t>
      </w:r>
      <w:r w:rsidRPr="008D5D0F">
        <w:rPr>
          <w:i/>
          <w:iCs/>
          <w:color w:val="000000" w:themeColor="text1"/>
          <w:sz w:val="20"/>
        </w:rPr>
        <w:t>ACS Sustainable Chemistry &amp; Engineering</w:t>
      </w:r>
      <w:r w:rsidRPr="008D5D0F">
        <w:rPr>
          <w:color w:val="000000" w:themeColor="text1"/>
          <w:sz w:val="20"/>
        </w:rPr>
        <w:t xml:space="preserve"> 2014;</w:t>
      </w:r>
      <w:r w:rsidRPr="008D5D0F">
        <w:rPr>
          <w:b/>
          <w:bCs/>
          <w:color w:val="000000" w:themeColor="text1"/>
          <w:sz w:val="20"/>
        </w:rPr>
        <w:t>2</w:t>
      </w:r>
      <w:r w:rsidRPr="008D5D0F">
        <w:rPr>
          <w:color w:val="000000" w:themeColor="text1"/>
          <w:sz w:val="20"/>
        </w:rPr>
        <w:t>:1992–2001.</w:t>
      </w:r>
    </w:p>
    <w:p w14:paraId="1FBAD075" w14:textId="77777777" w:rsidR="008900A7" w:rsidRPr="008D5D0F" w:rsidRDefault="008900A7" w:rsidP="008900A7">
      <w:pPr>
        <w:pStyle w:val="a7"/>
        <w:rPr>
          <w:color w:val="000000" w:themeColor="text1"/>
          <w:sz w:val="20"/>
        </w:rPr>
      </w:pPr>
      <w:r w:rsidRPr="008D5D0F">
        <w:rPr>
          <w:color w:val="000000" w:themeColor="text1"/>
          <w:sz w:val="20"/>
        </w:rPr>
        <w:t xml:space="preserve">6. Höglund-Isaksson L. Bottom-up simulations of methane and ethane emissions from global oil and gas systems 1980 to 2012. </w:t>
      </w:r>
      <w:r w:rsidRPr="008D5D0F">
        <w:rPr>
          <w:i/>
          <w:iCs/>
          <w:color w:val="000000" w:themeColor="text1"/>
          <w:sz w:val="20"/>
        </w:rPr>
        <w:t>Environmental Research Letters</w:t>
      </w:r>
      <w:r w:rsidRPr="008D5D0F">
        <w:rPr>
          <w:color w:val="000000" w:themeColor="text1"/>
          <w:sz w:val="20"/>
        </w:rPr>
        <w:t xml:space="preserve"> 2017;</w:t>
      </w:r>
      <w:r w:rsidRPr="008D5D0F">
        <w:rPr>
          <w:b/>
          <w:bCs/>
          <w:color w:val="000000" w:themeColor="text1"/>
          <w:sz w:val="20"/>
        </w:rPr>
        <w:t>12</w:t>
      </w:r>
      <w:r w:rsidRPr="008D5D0F">
        <w:rPr>
          <w:color w:val="000000" w:themeColor="text1"/>
          <w:sz w:val="20"/>
        </w:rPr>
        <w:t>:024007.</w:t>
      </w:r>
    </w:p>
    <w:p w14:paraId="5CDBCE9A" w14:textId="77777777" w:rsidR="008900A7" w:rsidRPr="008D5D0F" w:rsidRDefault="008900A7" w:rsidP="008900A7">
      <w:pPr>
        <w:pStyle w:val="a7"/>
        <w:rPr>
          <w:color w:val="000000" w:themeColor="text1"/>
          <w:sz w:val="20"/>
        </w:rPr>
      </w:pPr>
      <w:r w:rsidRPr="008D5D0F">
        <w:rPr>
          <w:color w:val="000000" w:themeColor="text1"/>
          <w:sz w:val="20"/>
        </w:rPr>
        <w:t xml:space="preserve">7. Wolf J, Asrar GR, West TO. Revised methane emissions factors and spatially distributed annual carbon fluxes for global livestock. </w:t>
      </w:r>
      <w:r w:rsidRPr="008D5D0F">
        <w:rPr>
          <w:i/>
          <w:iCs/>
          <w:color w:val="000000" w:themeColor="text1"/>
          <w:sz w:val="20"/>
        </w:rPr>
        <w:t>Carbon Balance and Management</w:t>
      </w:r>
      <w:r w:rsidRPr="008D5D0F">
        <w:rPr>
          <w:color w:val="000000" w:themeColor="text1"/>
          <w:sz w:val="20"/>
        </w:rPr>
        <w:t xml:space="preserve"> 2017;</w:t>
      </w:r>
      <w:r w:rsidRPr="008D5D0F">
        <w:rPr>
          <w:b/>
          <w:bCs/>
          <w:color w:val="000000" w:themeColor="text1"/>
          <w:sz w:val="20"/>
        </w:rPr>
        <w:t>12</w:t>
      </w:r>
      <w:r w:rsidRPr="008D5D0F">
        <w:rPr>
          <w:color w:val="000000" w:themeColor="text1"/>
          <w:sz w:val="20"/>
        </w:rPr>
        <w:t>:16.</w:t>
      </w:r>
    </w:p>
    <w:p w14:paraId="7791C953" w14:textId="77777777" w:rsidR="008900A7" w:rsidRPr="008D5D0F" w:rsidRDefault="008900A7" w:rsidP="008900A7">
      <w:pPr>
        <w:pStyle w:val="a7"/>
        <w:rPr>
          <w:color w:val="000000" w:themeColor="text1"/>
          <w:sz w:val="20"/>
        </w:rPr>
      </w:pPr>
      <w:r w:rsidRPr="008D5D0F">
        <w:rPr>
          <w:color w:val="000000" w:themeColor="text1"/>
          <w:sz w:val="20"/>
        </w:rPr>
        <w:t xml:space="preserve">8. Marthews TR, Dadson SJ, Lehner B </w:t>
      </w:r>
      <w:r w:rsidRPr="008D5D0F">
        <w:rPr>
          <w:i/>
          <w:iCs/>
          <w:color w:val="000000" w:themeColor="text1"/>
          <w:sz w:val="20"/>
        </w:rPr>
        <w:t>et al.</w:t>
      </w:r>
      <w:r w:rsidRPr="008D5D0F">
        <w:rPr>
          <w:color w:val="000000" w:themeColor="text1"/>
          <w:sz w:val="20"/>
        </w:rPr>
        <w:t xml:space="preserve"> High-resolution global topographic index values for use in large-scale hydrological modelling. </w:t>
      </w:r>
      <w:r w:rsidRPr="008D5D0F">
        <w:rPr>
          <w:i/>
          <w:iCs/>
          <w:color w:val="000000" w:themeColor="text1"/>
          <w:sz w:val="20"/>
        </w:rPr>
        <w:t>Hydrology and Earth System Sciences</w:t>
      </w:r>
      <w:r w:rsidRPr="008D5D0F">
        <w:rPr>
          <w:color w:val="000000" w:themeColor="text1"/>
          <w:sz w:val="20"/>
        </w:rPr>
        <w:t xml:space="preserve"> 2015;</w:t>
      </w:r>
      <w:r w:rsidRPr="008D5D0F">
        <w:rPr>
          <w:b/>
          <w:bCs/>
          <w:color w:val="000000" w:themeColor="text1"/>
          <w:sz w:val="20"/>
        </w:rPr>
        <w:t>19</w:t>
      </w:r>
      <w:r w:rsidRPr="008D5D0F">
        <w:rPr>
          <w:color w:val="000000" w:themeColor="text1"/>
          <w:sz w:val="20"/>
        </w:rPr>
        <w:t>:91–104.</w:t>
      </w:r>
    </w:p>
    <w:p w14:paraId="2EE57E1F" w14:textId="77777777" w:rsidR="008900A7" w:rsidRPr="008D5D0F" w:rsidRDefault="008900A7" w:rsidP="008900A7">
      <w:pPr>
        <w:pStyle w:val="a7"/>
        <w:rPr>
          <w:color w:val="000000" w:themeColor="text1"/>
          <w:sz w:val="20"/>
        </w:rPr>
      </w:pPr>
      <w:r w:rsidRPr="008D5D0F">
        <w:rPr>
          <w:color w:val="000000" w:themeColor="text1"/>
          <w:sz w:val="20"/>
        </w:rPr>
        <w:t xml:space="preserve">9. Zhang Z, Zimmermann NE, Kaplan JO </w:t>
      </w:r>
      <w:r w:rsidRPr="008D5D0F">
        <w:rPr>
          <w:i/>
          <w:iCs/>
          <w:color w:val="000000" w:themeColor="text1"/>
          <w:sz w:val="20"/>
        </w:rPr>
        <w:t>et al.</w:t>
      </w:r>
      <w:r w:rsidRPr="008D5D0F">
        <w:rPr>
          <w:color w:val="000000" w:themeColor="text1"/>
          <w:sz w:val="20"/>
        </w:rPr>
        <w:t xml:space="preserve"> Modeling spatiotemporal dynamics of global wetlands: comprehensive evaluation of a new sub-grid TOPMODEL parameterization and uncertainties. </w:t>
      </w:r>
      <w:r w:rsidRPr="008D5D0F">
        <w:rPr>
          <w:i/>
          <w:iCs/>
          <w:color w:val="000000" w:themeColor="text1"/>
          <w:sz w:val="20"/>
        </w:rPr>
        <w:t>Biogeosciences</w:t>
      </w:r>
      <w:r w:rsidRPr="008D5D0F">
        <w:rPr>
          <w:color w:val="000000" w:themeColor="text1"/>
          <w:sz w:val="20"/>
        </w:rPr>
        <w:t xml:space="preserve"> 2016;</w:t>
      </w:r>
      <w:r w:rsidRPr="008D5D0F">
        <w:rPr>
          <w:b/>
          <w:bCs/>
          <w:color w:val="000000" w:themeColor="text1"/>
          <w:sz w:val="20"/>
        </w:rPr>
        <w:t>13</w:t>
      </w:r>
      <w:r w:rsidRPr="008D5D0F">
        <w:rPr>
          <w:color w:val="000000" w:themeColor="text1"/>
          <w:sz w:val="20"/>
        </w:rPr>
        <w:t>:1387–408.</w:t>
      </w:r>
    </w:p>
    <w:p w14:paraId="3524469A" w14:textId="77777777" w:rsidR="008900A7" w:rsidRPr="008D5D0F" w:rsidRDefault="008900A7" w:rsidP="008900A7">
      <w:pPr>
        <w:pStyle w:val="a7"/>
        <w:rPr>
          <w:color w:val="000000" w:themeColor="text1"/>
          <w:sz w:val="20"/>
        </w:rPr>
      </w:pPr>
      <w:r w:rsidRPr="008D5D0F">
        <w:rPr>
          <w:color w:val="000000" w:themeColor="text1"/>
          <w:sz w:val="20"/>
        </w:rPr>
        <w:t xml:space="preserve">10. Zhang Z, Zimmermann NE, Stenke A </w:t>
      </w:r>
      <w:r w:rsidRPr="008D5D0F">
        <w:rPr>
          <w:i/>
          <w:iCs/>
          <w:color w:val="000000" w:themeColor="text1"/>
          <w:sz w:val="20"/>
        </w:rPr>
        <w:t>et al.</w:t>
      </w:r>
      <w:r w:rsidRPr="008D5D0F">
        <w:rPr>
          <w:color w:val="000000" w:themeColor="text1"/>
          <w:sz w:val="20"/>
        </w:rPr>
        <w:t xml:space="preserve"> Emerging role of wetland methane emissions in driving 21st century climate change. </w:t>
      </w:r>
      <w:r w:rsidRPr="008D5D0F">
        <w:rPr>
          <w:i/>
          <w:iCs/>
          <w:color w:val="000000" w:themeColor="text1"/>
          <w:sz w:val="20"/>
        </w:rPr>
        <w:t>Proceedings of the National Academy of Sciences</w:t>
      </w:r>
      <w:r w:rsidRPr="008D5D0F">
        <w:rPr>
          <w:color w:val="000000" w:themeColor="text1"/>
          <w:sz w:val="20"/>
        </w:rPr>
        <w:t xml:space="preserve"> 2017;</w:t>
      </w:r>
      <w:r w:rsidRPr="008D5D0F">
        <w:rPr>
          <w:b/>
          <w:bCs/>
          <w:color w:val="000000" w:themeColor="text1"/>
          <w:sz w:val="20"/>
        </w:rPr>
        <w:t>114</w:t>
      </w:r>
      <w:r w:rsidRPr="008D5D0F">
        <w:rPr>
          <w:color w:val="000000" w:themeColor="text1"/>
          <w:sz w:val="20"/>
        </w:rPr>
        <w:t>:9647–52.</w:t>
      </w:r>
    </w:p>
    <w:p w14:paraId="4BB54588" w14:textId="77777777" w:rsidR="008900A7" w:rsidRPr="008D5D0F" w:rsidRDefault="008900A7" w:rsidP="008900A7">
      <w:pPr>
        <w:pStyle w:val="a7"/>
        <w:rPr>
          <w:color w:val="000000" w:themeColor="text1"/>
          <w:sz w:val="20"/>
        </w:rPr>
      </w:pPr>
      <w:r w:rsidRPr="008D5D0F">
        <w:rPr>
          <w:color w:val="000000" w:themeColor="text1"/>
          <w:sz w:val="20"/>
        </w:rPr>
        <w:t xml:space="preserve">11. Zhang Z, Zimmermann NE, Calle L </w:t>
      </w:r>
      <w:r w:rsidRPr="008D5D0F">
        <w:rPr>
          <w:i/>
          <w:iCs/>
          <w:color w:val="000000" w:themeColor="text1"/>
          <w:sz w:val="20"/>
        </w:rPr>
        <w:t>et al.</w:t>
      </w:r>
      <w:r w:rsidRPr="008D5D0F">
        <w:rPr>
          <w:color w:val="000000" w:themeColor="text1"/>
          <w:sz w:val="20"/>
        </w:rPr>
        <w:t xml:space="preserve"> Enhanced response of global wetland methane emissions to the 2015–2016 El Niño-Southern Oscillation event. </w:t>
      </w:r>
      <w:r w:rsidRPr="008D5D0F">
        <w:rPr>
          <w:i/>
          <w:iCs/>
          <w:color w:val="000000" w:themeColor="text1"/>
          <w:sz w:val="20"/>
        </w:rPr>
        <w:t>Environmental Research Letters</w:t>
      </w:r>
      <w:r w:rsidRPr="008D5D0F">
        <w:rPr>
          <w:color w:val="000000" w:themeColor="text1"/>
          <w:sz w:val="20"/>
        </w:rPr>
        <w:t xml:space="preserve"> 2018;</w:t>
      </w:r>
      <w:r w:rsidRPr="008D5D0F">
        <w:rPr>
          <w:b/>
          <w:bCs/>
          <w:color w:val="000000" w:themeColor="text1"/>
          <w:sz w:val="20"/>
        </w:rPr>
        <w:t>13</w:t>
      </w:r>
      <w:r w:rsidRPr="008D5D0F">
        <w:rPr>
          <w:color w:val="000000" w:themeColor="text1"/>
          <w:sz w:val="20"/>
        </w:rPr>
        <w:t>:074009.</w:t>
      </w:r>
    </w:p>
    <w:p w14:paraId="0439461B" w14:textId="77777777" w:rsidR="008900A7" w:rsidRPr="008D5D0F" w:rsidRDefault="008900A7" w:rsidP="008900A7">
      <w:pPr>
        <w:pStyle w:val="a7"/>
        <w:rPr>
          <w:color w:val="000000" w:themeColor="text1"/>
          <w:sz w:val="20"/>
        </w:rPr>
      </w:pPr>
      <w:r w:rsidRPr="008D5D0F">
        <w:rPr>
          <w:color w:val="000000" w:themeColor="text1"/>
          <w:sz w:val="20"/>
        </w:rPr>
        <w:t xml:space="preserve">12. Lunt MF, Palmer PI, Feng L </w:t>
      </w:r>
      <w:r w:rsidRPr="008D5D0F">
        <w:rPr>
          <w:i/>
          <w:iCs/>
          <w:color w:val="000000" w:themeColor="text1"/>
          <w:sz w:val="20"/>
        </w:rPr>
        <w:t>et al.</w:t>
      </w:r>
      <w:r w:rsidRPr="008D5D0F">
        <w:rPr>
          <w:color w:val="000000" w:themeColor="text1"/>
          <w:sz w:val="20"/>
        </w:rPr>
        <w:t xml:space="preserve"> An increase in methane emissions from tropical Africa between 2010 and 2016 inferred from satellite data. </w:t>
      </w:r>
      <w:r w:rsidRPr="008D5D0F">
        <w:rPr>
          <w:i/>
          <w:iCs/>
          <w:color w:val="000000" w:themeColor="text1"/>
          <w:sz w:val="20"/>
        </w:rPr>
        <w:t>Atmospheric Chemistry and Physics</w:t>
      </w:r>
      <w:r w:rsidRPr="008D5D0F">
        <w:rPr>
          <w:color w:val="000000" w:themeColor="text1"/>
          <w:sz w:val="20"/>
        </w:rPr>
        <w:t xml:space="preserve"> 2019;</w:t>
      </w:r>
      <w:r w:rsidRPr="008D5D0F">
        <w:rPr>
          <w:b/>
          <w:bCs/>
          <w:color w:val="000000" w:themeColor="text1"/>
          <w:sz w:val="20"/>
        </w:rPr>
        <w:t>19</w:t>
      </w:r>
      <w:r w:rsidRPr="008D5D0F">
        <w:rPr>
          <w:color w:val="000000" w:themeColor="text1"/>
          <w:sz w:val="20"/>
        </w:rPr>
        <w:t>:14721–40.</w:t>
      </w:r>
    </w:p>
    <w:p w14:paraId="2443292A" w14:textId="77777777" w:rsidR="008900A7" w:rsidRPr="008D5D0F" w:rsidRDefault="008900A7" w:rsidP="008900A7">
      <w:pPr>
        <w:pStyle w:val="a7"/>
        <w:rPr>
          <w:color w:val="000000" w:themeColor="text1"/>
          <w:sz w:val="20"/>
        </w:rPr>
      </w:pPr>
      <w:r w:rsidRPr="008D5D0F">
        <w:rPr>
          <w:color w:val="000000" w:themeColor="text1"/>
          <w:sz w:val="20"/>
        </w:rPr>
        <w:t xml:space="preserve">13. Yin Y, Chevallier F, Ciais P </w:t>
      </w:r>
      <w:r w:rsidRPr="008D5D0F">
        <w:rPr>
          <w:i/>
          <w:iCs/>
          <w:color w:val="000000" w:themeColor="text1"/>
          <w:sz w:val="20"/>
        </w:rPr>
        <w:t>et al.</w:t>
      </w:r>
      <w:r w:rsidRPr="008D5D0F">
        <w:rPr>
          <w:color w:val="000000" w:themeColor="text1"/>
          <w:sz w:val="20"/>
        </w:rPr>
        <w:t xml:space="preserve"> Accelerating methane growth rate from 2010 to 2017: leading contributions from the tropics and East Asia. </w:t>
      </w:r>
      <w:r w:rsidRPr="008D5D0F">
        <w:rPr>
          <w:i/>
          <w:iCs/>
          <w:color w:val="000000" w:themeColor="text1"/>
          <w:sz w:val="20"/>
        </w:rPr>
        <w:t>Atmospheric Chemistry and Physics</w:t>
      </w:r>
      <w:r w:rsidRPr="008D5D0F">
        <w:rPr>
          <w:color w:val="000000" w:themeColor="text1"/>
          <w:sz w:val="20"/>
        </w:rPr>
        <w:t xml:space="preserve"> 2021;</w:t>
      </w:r>
      <w:r w:rsidRPr="008D5D0F">
        <w:rPr>
          <w:b/>
          <w:bCs/>
          <w:color w:val="000000" w:themeColor="text1"/>
          <w:sz w:val="20"/>
        </w:rPr>
        <w:t>21</w:t>
      </w:r>
      <w:r w:rsidRPr="008D5D0F">
        <w:rPr>
          <w:color w:val="000000" w:themeColor="text1"/>
          <w:sz w:val="20"/>
        </w:rPr>
        <w:t>:12631–47.</w:t>
      </w:r>
    </w:p>
    <w:p w14:paraId="3F8F024E" w14:textId="77777777" w:rsidR="008900A7" w:rsidRPr="008D5D0F" w:rsidRDefault="008900A7" w:rsidP="008900A7">
      <w:pPr>
        <w:pStyle w:val="a7"/>
        <w:rPr>
          <w:color w:val="000000" w:themeColor="text1"/>
          <w:sz w:val="20"/>
        </w:rPr>
      </w:pPr>
      <w:r w:rsidRPr="008D5D0F">
        <w:rPr>
          <w:color w:val="000000" w:themeColor="text1"/>
          <w:sz w:val="20"/>
        </w:rPr>
        <w:t xml:space="preserve">14. Zhang Y, Jacob DJ, Lu X </w:t>
      </w:r>
      <w:r w:rsidRPr="008D5D0F">
        <w:rPr>
          <w:i/>
          <w:iCs/>
          <w:color w:val="000000" w:themeColor="text1"/>
          <w:sz w:val="20"/>
        </w:rPr>
        <w:t>et al.</w:t>
      </w:r>
      <w:r w:rsidRPr="008D5D0F">
        <w:rPr>
          <w:color w:val="000000" w:themeColor="text1"/>
          <w:sz w:val="20"/>
        </w:rPr>
        <w:t xml:space="preserve"> Attribution of the accelerating increase in atmospheric methane during 2010–2018 by inverse analysis of GOSAT observations. </w:t>
      </w:r>
      <w:r w:rsidRPr="008D5D0F">
        <w:rPr>
          <w:i/>
          <w:iCs/>
          <w:color w:val="000000" w:themeColor="text1"/>
          <w:sz w:val="20"/>
        </w:rPr>
        <w:t>Atmospheric Chemistry and Physics</w:t>
      </w:r>
      <w:r w:rsidRPr="008D5D0F">
        <w:rPr>
          <w:color w:val="000000" w:themeColor="text1"/>
          <w:sz w:val="20"/>
        </w:rPr>
        <w:t xml:space="preserve"> 2021;</w:t>
      </w:r>
      <w:r w:rsidRPr="008D5D0F">
        <w:rPr>
          <w:b/>
          <w:bCs/>
          <w:color w:val="000000" w:themeColor="text1"/>
          <w:sz w:val="20"/>
        </w:rPr>
        <w:t>21</w:t>
      </w:r>
      <w:r w:rsidRPr="008D5D0F">
        <w:rPr>
          <w:color w:val="000000" w:themeColor="text1"/>
          <w:sz w:val="20"/>
        </w:rPr>
        <w:t>:3643–66.</w:t>
      </w:r>
    </w:p>
    <w:p w14:paraId="6C584034" w14:textId="77777777" w:rsidR="008900A7" w:rsidRPr="008D5D0F" w:rsidRDefault="008900A7" w:rsidP="008900A7">
      <w:pPr>
        <w:pStyle w:val="a7"/>
        <w:rPr>
          <w:color w:val="000000" w:themeColor="text1"/>
          <w:sz w:val="20"/>
        </w:rPr>
      </w:pPr>
      <w:r w:rsidRPr="008D5D0F">
        <w:rPr>
          <w:color w:val="000000" w:themeColor="text1"/>
          <w:sz w:val="20"/>
        </w:rPr>
        <w:t xml:space="preserve">15. Werf GR van der, Randerson JT, Giglio L </w:t>
      </w:r>
      <w:r w:rsidRPr="008D5D0F">
        <w:rPr>
          <w:i/>
          <w:iCs/>
          <w:color w:val="000000" w:themeColor="text1"/>
          <w:sz w:val="20"/>
        </w:rPr>
        <w:t>et al.</w:t>
      </w:r>
      <w:r w:rsidRPr="008D5D0F">
        <w:rPr>
          <w:color w:val="000000" w:themeColor="text1"/>
          <w:sz w:val="20"/>
        </w:rPr>
        <w:t xml:space="preserve"> Global fire emissions estimates during 1997–2016. </w:t>
      </w:r>
      <w:r w:rsidRPr="008D5D0F">
        <w:rPr>
          <w:i/>
          <w:iCs/>
          <w:color w:val="000000" w:themeColor="text1"/>
          <w:sz w:val="20"/>
        </w:rPr>
        <w:t>Earth System Science Data</w:t>
      </w:r>
      <w:r w:rsidRPr="008D5D0F">
        <w:rPr>
          <w:color w:val="000000" w:themeColor="text1"/>
          <w:sz w:val="20"/>
        </w:rPr>
        <w:t xml:space="preserve"> 2017;</w:t>
      </w:r>
      <w:r w:rsidRPr="008D5D0F">
        <w:rPr>
          <w:b/>
          <w:bCs/>
          <w:color w:val="000000" w:themeColor="text1"/>
          <w:sz w:val="20"/>
        </w:rPr>
        <w:t>9</w:t>
      </w:r>
      <w:r w:rsidRPr="008D5D0F">
        <w:rPr>
          <w:color w:val="000000" w:themeColor="text1"/>
          <w:sz w:val="20"/>
        </w:rPr>
        <w:t>:697–720.</w:t>
      </w:r>
    </w:p>
    <w:p w14:paraId="10A3EAE1" w14:textId="77777777" w:rsidR="008900A7" w:rsidRPr="008D5D0F" w:rsidRDefault="008900A7" w:rsidP="008900A7">
      <w:pPr>
        <w:pStyle w:val="a7"/>
        <w:rPr>
          <w:color w:val="000000" w:themeColor="text1"/>
          <w:sz w:val="20"/>
        </w:rPr>
      </w:pPr>
      <w:r w:rsidRPr="008D5D0F">
        <w:rPr>
          <w:color w:val="000000" w:themeColor="text1"/>
          <w:sz w:val="20"/>
        </w:rPr>
        <w:t xml:space="preserve">16. Worden JR, Bloom AA, Pandey S </w:t>
      </w:r>
      <w:r w:rsidRPr="008D5D0F">
        <w:rPr>
          <w:i/>
          <w:iCs/>
          <w:color w:val="000000" w:themeColor="text1"/>
          <w:sz w:val="20"/>
        </w:rPr>
        <w:t>et al.</w:t>
      </w:r>
      <w:r w:rsidRPr="008D5D0F">
        <w:rPr>
          <w:color w:val="000000" w:themeColor="text1"/>
          <w:sz w:val="20"/>
        </w:rPr>
        <w:t xml:space="preserve"> Reduced biomass burning emissions reconcile conflicting estimates of the post-2006 atmospheric methane budget. </w:t>
      </w:r>
      <w:r w:rsidRPr="008D5D0F">
        <w:rPr>
          <w:i/>
          <w:iCs/>
          <w:color w:val="000000" w:themeColor="text1"/>
          <w:sz w:val="20"/>
        </w:rPr>
        <w:t>Nature Communications</w:t>
      </w:r>
      <w:r w:rsidRPr="008D5D0F">
        <w:rPr>
          <w:color w:val="000000" w:themeColor="text1"/>
          <w:sz w:val="20"/>
        </w:rPr>
        <w:t xml:space="preserve"> 2017;</w:t>
      </w:r>
      <w:r w:rsidRPr="008D5D0F">
        <w:rPr>
          <w:b/>
          <w:bCs/>
          <w:color w:val="000000" w:themeColor="text1"/>
          <w:sz w:val="20"/>
        </w:rPr>
        <w:t>8</w:t>
      </w:r>
      <w:r w:rsidRPr="008D5D0F">
        <w:rPr>
          <w:color w:val="000000" w:themeColor="text1"/>
          <w:sz w:val="20"/>
        </w:rPr>
        <w:t>:2227.</w:t>
      </w:r>
    </w:p>
    <w:p w14:paraId="7B766113" w14:textId="77777777" w:rsidR="008900A7" w:rsidRPr="008D5D0F" w:rsidRDefault="008900A7" w:rsidP="008900A7">
      <w:pPr>
        <w:pStyle w:val="a7"/>
        <w:rPr>
          <w:color w:val="000000" w:themeColor="text1"/>
          <w:sz w:val="20"/>
        </w:rPr>
      </w:pPr>
      <w:r w:rsidRPr="008D5D0F">
        <w:rPr>
          <w:color w:val="000000" w:themeColor="text1"/>
          <w:sz w:val="20"/>
        </w:rPr>
        <w:t xml:space="preserve">17. Petrenko VV, Smith AM, Schaefer H </w:t>
      </w:r>
      <w:r w:rsidRPr="008D5D0F">
        <w:rPr>
          <w:i/>
          <w:iCs/>
          <w:color w:val="000000" w:themeColor="text1"/>
          <w:sz w:val="20"/>
        </w:rPr>
        <w:t>et al.</w:t>
      </w:r>
      <w:r w:rsidRPr="008D5D0F">
        <w:rPr>
          <w:color w:val="000000" w:themeColor="text1"/>
          <w:sz w:val="20"/>
        </w:rPr>
        <w:t xml:space="preserve"> Minimal geological methane emissions during the Younger Dryas–Preboreal abrupt warming event. </w:t>
      </w:r>
      <w:r w:rsidRPr="008D5D0F">
        <w:rPr>
          <w:i/>
          <w:iCs/>
          <w:color w:val="000000" w:themeColor="text1"/>
          <w:sz w:val="20"/>
        </w:rPr>
        <w:t>Nature</w:t>
      </w:r>
      <w:r w:rsidRPr="008D5D0F">
        <w:rPr>
          <w:color w:val="000000" w:themeColor="text1"/>
          <w:sz w:val="20"/>
        </w:rPr>
        <w:t xml:space="preserve"> 2017;</w:t>
      </w:r>
      <w:r w:rsidRPr="008D5D0F">
        <w:rPr>
          <w:b/>
          <w:bCs/>
          <w:color w:val="000000" w:themeColor="text1"/>
          <w:sz w:val="20"/>
        </w:rPr>
        <w:t>548</w:t>
      </w:r>
      <w:r w:rsidRPr="008D5D0F">
        <w:rPr>
          <w:color w:val="000000" w:themeColor="text1"/>
          <w:sz w:val="20"/>
        </w:rPr>
        <w:t>:443–6.</w:t>
      </w:r>
    </w:p>
    <w:p w14:paraId="0776FD9B" w14:textId="77777777" w:rsidR="008900A7" w:rsidRPr="008D5D0F" w:rsidRDefault="008900A7" w:rsidP="008900A7">
      <w:pPr>
        <w:pStyle w:val="a7"/>
        <w:rPr>
          <w:color w:val="000000" w:themeColor="text1"/>
          <w:sz w:val="20"/>
        </w:rPr>
      </w:pPr>
      <w:r w:rsidRPr="008D5D0F">
        <w:rPr>
          <w:color w:val="000000" w:themeColor="text1"/>
          <w:sz w:val="20"/>
        </w:rPr>
        <w:t xml:space="preserve">18. Hmiel B, Petrenko VV, Dyonisius MN </w:t>
      </w:r>
      <w:r w:rsidRPr="008D5D0F">
        <w:rPr>
          <w:i/>
          <w:iCs/>
          <w:color w:val="000000" w:themeColor="text1"/>
          <w:sz w:val="20"/>
        </w:rPr>
        <w:t>et al.</w:t>
      </w:r>
      <w:r w:rsidRPr="008D5D0F">
        <w:rPr>
          <w:color w:val="000000" w:themeColor="text1"/>
          <w:sz w:val="20"/>
        </w:rPr>
        <w:t xml:space="preserve"> Preindustrial </w:t>
      </w:r>
      <w:r w:rsidRPr="008D5D0F">
        <w:rPr>
          <w:color w:val="000000" w:themeColor="text1"/>
          <w:sz w:val="20"/>
          <w:vertAlign w:val="superscript"/>
        </w:rPr>
        <w:t>14</w:t>
      </w:r>
      <w:r w:rsidRPr="008D5D0F">
        <w:rPr>
          <w:color w:val="000000" w:themeColor="text1"/>
          <w:sz w:val="20"/>
        </w:rPr>
        <w:t>CH</w:t>
      </w:r>
      <w:r w:rsidRPr="008D5D0F">
        <w:rPr>
          <w:color w:val="000000" w:themeColor="text1"/>
          <w:sz w:val="20"/>
          <w:vertAlign w:val="subscript"/>
        </w:rPr>
        <w:t>4</w:t>
      </w:r>
      <w:r w:rsidRPr="008D5D0F">
        <w:rPr>
          <w:color w:val="000000" w:themeColor="text1"/>
          <w:sz w:val="20"/>
        </w:rPr>
        <w:t xml:space="preserve"> indicates greater anthropogenic fossil CH4 emissions. </w:t>
      </w:r>
      <w:r w:rsidRPr="008D5D0F">
        <w:rPr>
          <w:i/>
          <w:iCs/>
          <w:color w:val="000000" w:themeColor="text1"/>
          <w:sz w:val="20"/>
        </w:rPr>
        <w:t>Nature</w:t>
      </w:r>
      <w:r w:rsidRPr="008D5D0F">
        <w:rPr>
          <w:color w:val="000000" w:themeColor="text1"/>
          <w:sz w:val="20"/>
        </w:rPr>
        <w:t xml:space="preserve"> 2020;</w:t>
      </w:r>
      <w:r w:rsidRPr="008D5D0F">
        <w:rPr>
          <w:b/>
          <w:bCs/>
          <w:color w:val="000000" w:themeColor="text1"/>
          <w:sz w:val="20"/>
        </w:rPr>
        <w:t>578</w:t>
      </w:r>
      <w:r w:rsidRPr="008D5D0F">
        <w:rPr>
          <w:color w:val="000000" w:themeColor="text1"/>
          <w:sz w:val="20"/>
        </w:rPr>
        <w:t>:409–12.</w:t>
      </w:r>
    </w:p>
    <w:p w14:paraId="7AEBE5C4" w14:textId="77777777" w:rsidR="008900A7" w:rsidRPr="008D5D0F" w:rsidRDefault="008900A7" w:rsidP="008900A7">
      <w:pPr>
        <w:pStyle w:val="a7"/>
        <w:rPr>
          <w:color w:val="000000" w:themeColor="text1"/>
          <w:sz w:val="20"/>
        </w:rPr>
      </w:pPr>
      <w:r w:rsidRPr="008D5D0F">
        <w:rPr>
          <w:color w:val="000000" w:themeColor="text1"/>
          <w:sz w:val="20"/>
        </w:rPr>
        <w:t xml:space="preserve">19. Etiope G, Milkov A, Derbyshire E. Did geologic emissions of methane play any role in Quaternary climate change? </w:t>
      </w:r>
      <w:r w:rsidRPr="008D5D0F">
        <w:rPr>
          <w:i/>
          <w:iCs/>
          <w:color w:val="000000" w:themeColor="text1"/>
          <w:sz w:val="20"/>
        </w:rPr>
        <w:t>Global and Planetary Change</w:t>
      </w:r>
      <w:r w:rsidRPr="008D5D0F">
        <w:rPr>
          <w:color w:val="000000" w:themeColor="text1"/>
          <w:sz w:val="20"/>
        </w:rPr>
        <w:t xml:space="preserve"> 2008;</w:t>
      </w:r>
      <w:r w:rsidRPr="008D5D0F">
        <w:rPr>
          <w:b/>
          <w:bCs/>
          <w:color w:val="000000" w:themeColor="text1"/>
          <w:sz w:val="20"/>
        </w:rPr>
        <w:t>61</w:t>
      </w:r>
      <w:r w:rsidRPr="008D5D0F">
        <w:rPr>
          <w:color w:val="000000" w:themeColor="text1"/>
          <w:sz w:val="20"/>
        </w:rPr>
        <w:t>:79–88.</w:t>
      </w:r>
    </w:p>
    <w:p w14:paraId="46DA94D3" w14:textId="77777777" w:rsidR="008900A7" w:rsidRPr="008D5D0F" w:rsidRDefault="008900A7" w:rsidP="008900A7">
      <w:pPr>
        <w:pStyle w:val="a7"/>
        <w:rPr>
          <w:color w:val="000000" w:themeColor="text1"/>
          <w:sz w:val="20"/>
        </w:rPr>
      </w:pPr>
      <w:r w:rsidRPr="008D5D0F">
        <w:rPr>
          <w:color w:val="000000" w:themeColor="text1"/>
          <w:sz w:val="20"/>
        </w:rPr>
        <w:lastRenderedPageBreak/>
        <w:t xml:space="preserve">20. Dalsøren SB, Myhre G, Hodnebrog Ø </w:t>
      </w:r>
      <w:r w:rsidRPr="008D5D0F">
        <w:rPr>
          <w:i/>
          <w:iCs/>
          <w:color w:val="000000" w:themeColor="text1"/>
          <w:sz w:val="20"/>
        </w:rPr>
        <w:t>et al.</w:t>
      </w:r>
      <w:r w:rsidRPr="008D5D0F">
        <w:rPr>
          <w:color w:val="000000" w:themeColor="text1"/>
          <w:sz w:val="20"/>
        </w:rPr>
        <w:t xml:space="preserve"> Discrepancy between simulated and observed ethane and propane levels explained by underestimated fossil emissions. </w:t>
      </w:r>
      <w:r w:rsidRPr="008D5D0F">
        <w:rPr>
          <w:i/>
          <w:iCs/>
          <w:color w:val="000000" w:themeColor="text1"/>
          <w:sz w:val="20"/>
        </w:rPr>
        <w:t>Nature Geoscience</w:t>
      </w:r>
      <w:r w:rsidRPr="008D5D0F">
        <w:rPr>
          <w:color w:val="000000" w:themeColor="text1"/>
          <w:sz w:val="20"/>
        </w:rPr>
        <w:t xml:space="preserve"> 2018;</w:t>
      </w:r>
      <w:r w:rsidRPr="008D5D0F">
        <w:rPr>
          <w:b/>
          <w:bCs/>
          <w:color w:val="000000" w:themeColor="text1"/>
          <w:sz w:val="20"/>
        </w:rPr>
        <w:t>11</w:t>
      </w:r>
      <w:r w:rsidRPr="008D5D0F">
        <w:rPr>
          <w:color w:val="000000" w:themeColor="text1"/>
          <w:sz w:val="20"/>
        </w:rPr>
        <w:t>:178–84.</w:t>
      </w:r>
    </w:p>
    <w:p w14:paraId="4A8C4FF9" w14:textId="77777777" w:rsidR="008900A7" w:rsidRPr="008D5D0F" w:rsidRDefault="008900A7" w:rsidP="008900A7">
      <w:pPr>
        <w:pStyle w:val="a7"/>
        <w:rPr>
          <w:color w:val="000000" w:themeColor="text1"/>
          <w:sz w:val="20"/>
        </w:rPr>
      </w:pPr>
      <w:r w:rsidRPr="008D5D0F">
        <w:rPr>
          <w:color w:val="000000" w:themeColor="text1"/>
          <w:sz w:val="20"/>
        </w:rPr>
        <w:t xml:space="preserve">21. Etiope G, Sherwood Lollar B. Abiotic methane on earth. </w:t>
      </w:r>
      <w:r w:rsidRPr="008D5D0F">
        <w:rPr>
          <w:i/>
          <w:iCs/>
          <w:color w:val="000000" w:themeColor="text1"/>
          <w:sz w:val="20"/>
        </w:rPr>
        <w:t>Reviews of Geophysics</w:t>
      </w:r>
      <w:r w:rsidRPr="008D5D0F">
        <w:rPr>
          <w:color w:val="000000" w:themeColor="text1"/>
          <w:sz w:val="20"/>
        </w:rPr>
        <w:t xml:space="preserve"> 2013;</w:t>
      </w:r>
      <w:r w:rsidRPr="008D5D0F">
        <w:rPr>
          <w:b/>
          <w:bCs/>
          <w:color w:val="000000" w:themeColor="text1"/>
          <w:sz w:val="20"/>
        </w:rPr>
        <w:t>51</w:t>
      </w:r>
      <w:r w:rsidRPr="008D5D0F">
        <w:rPr>
          <w:color w:val="000000" w:themeColor="text1"/>
          <w:sz w:val="20"/>
        </w:rPr>
        <w:t>:276–99.</w:t>
      </w:r>
    </w:p>
    <w:p w14:paraId="03E4DDD3" w14:textId="77777777" w:rsidR="008900A7" w:rsidRPr="008D5D0F" w:rsidRDefault="008900A7" w:rsidP="008900A7">
      <w:pPr>
        <w:pStyle w:val="a7"/>
        <w:rPr>
          <w:color w:val="000000" w:themeColor="text1"/>
          <w:sz w:val="20"/>
        </w:rPr>
      </w:pPr>
      <w:r w:rsidRPr="008D5D0F">
        <w:rPr>
          <w:color w:val="000000" w:themeColor="text1"/>
          <w:sz w:val="20"/>
        </w:rPr>
        <w:t xml:space="preserve">22. Etiope G, Ciotoli G, Schwietzke S </w:t>
      </w:r>
      <w:r w:rsidRPr="008D5D0F">
        <w:rPr>
          <w:i/>
          <w:iCs/>
          <w:color w:val="000000" w:themeColor="text1"/>
          <w:sz w:val="20"/>
        </w:rPr>
        <w:t>et al.</w:t>
      </w:r>
      <w:r w:rsidRPr="008D5D0F">
        <w:rPr>
          <w:color w:val="000000" w:themeColor="text1"/>
          <w:sz w:val="20"/>
        </w:rPr>
        <w:t xml:space="preserve"> Gridded maps of geological methane emissions and their isotopic signature. </w:t>
      </w:r>
      <w:r w:rsidRPr="008D5D0F">
        <w:rPr>
          <w:i/>
          <w:iCs/>
          <w:color w:val="000000" w:themeColor="text1"/>
          <w:sz w:val="20"/>
        </w:rPr>
        <w:t>Earth Syst Sci Data</w:t>
      </w:r>
      <w:r w:rsidRPr="008D5D0F">
        <w:rPr>
          <w:color w:val="000000" w:themeColor="text1"/>
          <w:sz w:val="20"/>
        </w:rPr>
        <w:t xml:space="preserve"> 2019;</w:t>
      </w:r>
      <w:r w:rsidRPr="008D5D0F">
        <w:rPr>
          <w:b/>
          <w:bCs/>
          <w:color w:val="000000" w:themeColor="text1"/>
          <w:sz w:val="20"/>
        </w:rPr>
        <w:t>11</w:t>
      </w:r>
      <w:r w:rsidRPr="008D5D0F">
        <w:rPr>
          <w:color w:val="000000" w:themeColor="text1"/>
          <w:sz w:val="20"/>
        </w:rPr>
        <w:t>:1–22.</w:t>
      </w:r>
    </w:p>
    <w:p w14:paraId="7E1E9D5F" w14:textId="77777777" w:rsidR="008900A7" w:rsidRPr="008D5D0F" w:rsidRDefault="008900A7" w:rsidP="008900A7">
      <w:pPr>
        <w:pStyle w:val="a7"/>
        <w:rPr>
          <w:color w:val="000000" w:themeColor="text1"/>
          <w:sz w:val="20"/>
        </w:rPr>
      </w:pPr>
      <w:r w:rsidRPr="008D5D0F">
        <w:rPr>
          <w:color w:val="000000" w:themeColor="text1"/>
          <w:sz w:val="20"/>
        </w:rPr>
        <w:t xml:space="preserve">23. Saunois M, Bousquet P, Poulter B </w:t>
      </w:r>
      <w:r w:rsidRPr="008D5D0F">
        <w:rPr>
          <w:i/>
          <w:iCs/>
          <w:color w:val="000000" w:themeColor="text1"/>
          <w:sz w:val="20"/>
        </w:rPr>
        <w:t>et al.</w:t>
      </w:r>
      <w:r w:rsidRPr="008D5D0F">
        <w:rPr>
          <w:color w:val="000000" w:themeColor="text1"/>
          <w:sz w:val="20"/>
        </w:rPr>
        <w:t xml:space="preserve"> The global methane budget 2000–2012. </w:t>
      </w:r>
      <w:r w:rsidRPr="008D5D0F">
        <w:rPr>
          <w:i/>
          <w:iCs/>
          <w:color w:val="000000" w:themeColor="text1"/>
          <w:sz w:val="20"/>
        </w:rPr>
        <w:t>Earth System Science Data</w:t>
      </w:r>
      <w:r w:rsidRPr="008D5D0F">
        <w:rPr>
          <w:color w:val="000000" w:themeColor="text1"/>
          <w:sz w:val="20"/>
        </w:rPr>
        <w:t xml:space="preserve"> 2016;</w:t>
      </w:r>
      <w:r w:rsidRPr="008D5D0F">
        <w:rPr>
          <w:b/>
          <w:bCs/>
          <w:color w:val="000000" w:themeColor="text1"/>
          <w:sz w:val="20"/>
        </w:rPr>
        <w:t>8</w:t>
      </w:r>
      <w:r w:rsidRPr="008D5D0F">
        <w:rPr>
          <w:color w:val="000000" w:themeColor="text1"/>
          <w:sz w:val="20"/>
        </w:rPr>
        <w:t>:697–751.</w:t>
      </w:r>
    </w:p>
    <w:p w14:paraId="77884EC7" w14:textId="77777777" w:rsidR="008900A7" w:rsidRPr="008D5D0F" w:rsidRDefault="008900A7" w:rsidP="008900A7">
      <w:pPr>
        <w:pStyle w:val="a7"/>
        <w:rPr>
          <w:color w:val="000000" w:themeColor="text1"/>
          <w:sz w:val="20"/>
        </w:rPr>
      </w:pPr>
      <w:r w:rsidRPr="008D5D0F">
        <w:rPr>
          <w:color w:val="000000" w:themeColor="text1"/>
          <w:sz w:val="20"/>
        </w:rPr>
        <w:t xml:space="preserve">24. Saunois M, Stavert AR, Poulter B </w:t>
      </w:r>
      <w:r w:rsidRPr="008D5D0F">
        <w:rPr>
          <w:i/>
          <w:iCs/>
          <w:color w:val="000000" w:themeColor="text1"/>
          <w:sz w:val="20"/>
        </w:rPr>
        <w:t>et al.</w:t>
      </w:r>
      <w:r w:rsidRPr="008D5D0F">
        <w:rPr>
          <w:color w:val="000000" w:themeColor="text1"/>
          <w:sz w:val="20"/>
        </w:rPr>
        <w:t xml:space="preserve"> The Global Methane Budget 2000–2017. </w:t>
      </w:r>
      <w:r w:rsidRPr="008D5D0F">
        <w:rPr>
          <w:i/>
          <w:iCs/>
          <w:color w:val="000000" w:themeColor="text1"/>
          <w:sz w:val="20"/>
        </w:rPr>
        <w:t>Earth System Science Data</w:t>
      </w:r>
      <w:r w:rsidRPr="008D5D0F">
        <w:rPr>
          <w:color w:val="000000" w:themeColor="text1"/>
          <w:sz w:val="20"/>
        </w:rPr>
        <w:t xml:space="preserve"> 2020;</w:t>
      </w:r>
      <w:r w:rsidRPr="008D5D0F">
        <w:rPr>
          <w:b/>
          <w:bCs/>
          <w:color w:val="000000" w:themeColor="text1"/>
          <w:sz w:val="20"/>
        </w:rPr>
        <w:t>12</w:t>
      </w:r>
      <w:r w:rsidRPr="008D5D0F">
        <w:rPr>
          <w:color w:val="000000" w:themeColor="text1"/>
          <w:sz w:val="20"/>
        </w:rPr>
        <w:t>:1561–623.</w:t>
      </w:r>
    </w:p>
    <w:p w14:paraId="43431F81" w14:textId="77777777" w:rsidR="008900A7" w:rsidRPr="008D5D0F" w:rsidRDefault="008900A7" w:rsidP="008900A7">
      <w:pPr>
        <w:pStyle w:val="a7"/>
        <w:rPr>
          <w:color w:val="000000" w:themeColor="text1"/>
          <w:sz w:val="20"/>
        </w:rPr>
      </w:pPr>
      <w:r w:rsidRPr="008D5D0F">
        <w:rPr>
          <w:color w:val="000000" w:themeColor="text1"/>
          <w:sz w:val="20"/>
        </w:rPr>
        <w:t xml:space="preserve">25. Allen GH, Pavelsky TM. Global extent of rivers and streams. </w:t>
      </w:r>
      <w:r w:rsidRPr="008D5D0F">
        <w:rPr>
          <w:i/>
          <w:iCs/>
          <w:color w:val="000000" w:themeColor="text1"/>
          <w:sz w:val="20"/>
        </w:rPr>
        <w:t>Science</w:t>
      </w:r>
      <w:r w:rsidRPr="008D5D0F">
        <w:rPr>
          <w:color w:val="000000" w:themeColor="text1"/>
          <w:sz w:val="20"/>
        </w:rPr>
        <w:t xml:space="preserve"> 2018;</w:t>
      </w:r>
      <w:r w:rsidRPr="008D5D0F">
        <w:rPr>
          <w:b/>
          <w:bCs/>
          <w:color w:val="000000" w:themeColor="text1"/>
          <w:sz w:val="20"/>
        </w:rPr>
        <w:t>361</w:t>
      </w:r>
      <w:r w:rsidRPr="008D5D0F">
        <w:rPr>
          <w:color w:val="000000" w:themeColor="text1"/>
          <w:sz w:val="20"/>
        </w:rPr>
        <w:t>:585–8.</w:t>
      </w:r>
    </w:p>
    <w:p w14:paraId="011C7168" w14:textId="77777777" w:rsidR="008900A7" w:rsidRPr="008D5D0F" w:rsidRDefault="008900A7" w:rsidP="008900A7">
      <w:pPr>
        <w:pStyle w:val="a7"/>
        <w:rPr>
          <w:color w:val="000000" w:themeColor="text1"/>
          <w:sz w:val="20"/>
        </w:rPr>
      </w:pPr>
      <w:r w:rsidRPr="008D5D0F">
        <w:rPr>
          <w:color w:val="000000" w:themeColor="text1"/>
          <w:sz w:val="20"/>
        </w:rPr>
        <w:t xml:space="preserve">26. Messager ML, Lehner B, Grill G </w:t>
      </w:r>
      <w:r w:rsidRPr="008D5D0F">
        <w:rPr>
          <w:i/>
          <w:iCs/>
          <w:color w:val="000000" w:themeColor="text1"/>
          <w:sz w:val="20"/>
        </w:rPr>
        <w:t>et al.</w:t>
      </w:r>
      <w:r w:rsidRPr="008D5D0F">
        <w:rPr>
          <w:color w:val="000000" w:themeColor="text1"/>
          <w:sz w:val="20"/>
        </w:rPr>
        <w:t xml:space="preserve"> Estimating the volume and age of water stored in global lakes using a geo-statistical approach. </w:t>
      </w:r>
      <w:r w:rsidRPr="008D5D0F">
        <w:rPr>
          <w:i/>
          <w:iCs/>
          <w:color w:val="000000" w:themeColor="text1"/>
          <w:sz w:val="20"/>
        </w:rPr>
        <w:t>Nature Communications</w:t>
      </w:r>
      <w:r w:rsidRPr="008D5D0F">
        <w:rPr>
          <w:color w:val="000000" w:themeColor="text1"/>
          <w:sz w:val="20"/>
        </w:rPr>
        <w:t xml:space="preserve"> 2016;</w:t>
      </w:r>
      <w:r w:rsidRPr="008D5D0F">
        <w:rPr>
          <w:b/>
          <w:bCs/>
          <w:color w:val="000000" w:themeColor="text1"/>
          <w:sz w:val="20"/>
        </w:rPr>
        <w:t>7</w:t>
      </w:r>
      <w:r w:rsidRPr="008D5D0F">
        <w:rPr>
          <w:color w:val="000000" w:themeColor="text1"/>
          <w:sz w:val="20"/>
        </w:rPr>
        <w:t>:13603.</w:t>
      </w:r>
    </w:p>
    <w:p w14:paraId="3B375895" w14:textId="77777777" w:rsidR="008900A7" w:rsidRPr="008D5D0F" w:rsidRDefault="008900A7" w:rsidP="008900A7">
      <w:pPr>
        <w:pStyle w:val="a7"/>
        <w:rPr>
          <w:color w:val="000000" w:themeColor="text1"/>
          <w:sz w:val="20"/>
        </w:rPr>
      </w:pPr>
      <w:r w:rsidRPr="008D5D0F">
        <w:rPr>
          <w:color w:val="000000" w:themeColor="text1"/>
          <w:sz w:val="20"/>
        </w:rPr>
        <w:t xml:space="preserve">27. Zhang Z, Fluet-Chouinard E, Jensen K </w:t>
      </w:r>
      <w:r w:rsidRPr="008D5D0F">
        <w:rPr>
          <w:i/>
          <w:iCs/>
          <w:color w:val="000000" w:themeColor="text1"/>
          <w:sz w:val="20"/>
        </w:rPr>
        <w:t>et al.</w:t>
      </w:r>
      <w:r w:rsidRPr="008D5D0F">
        <w:rPr>
          <w:color w:val="000000" w:themeColor="text1"/>
          <w:sz w:val="20"/>
        </w:rPr>
        <w:t xml:space="preserve"> Development of the global dataset of Wetland Area and Dynamics for Methane Modeling (WAD2M). </w:t>
      </w:r>
      <w:r w:rsidRPr="008D5D0F">
        <w:rPr>
          <w:i/>
          <w:iCs/>
          <w:color w:val="000000" w:themeColor="text1"/>
          <w:sz w:val="20"/>
        </w:rPr>
        <w:t>Earth System Science Data</w:t>
      </w:r>
      <w:r w:rsidRPr="008D5D0F">
        <w:rPr>
          <w:color w:val="000000" w:themeColor="text1"/>
          <w:sz w:val="20"/>
        </w:rPr>
        <w:t xml:space="preserve"> 2021;</w:t>
      </w:r>
      <w:r w:rsidRPr="008D5D0F">
        <w:rPr>
          <w:b/>
          <w:bCs/>
          <w:color w:val="000000" w:themeColor="text1"/>
          <w:sz w:val="20"/>
        </w:rPr>
        <w:t>13</w:t>
      </w:r>
      <w:r w:rsidRPr="008D5D0F">
        <w:rPr>
          <w:color w:val="000000" w:themeColor="text1"/>
          <w:sz w:val="20"/>
        </w:rPr>
        <w:t>:2001–23.</w:t>
      </w:r>
    </w:p>
    <w:p w14:paraId="554E0FA4" w14:textId="77777777" w:rsidR="008900A7" w:rsidRPr="008D5D0F" w:rsidRDefault="008900A7" w:rsidP="008900A7">
      <w:pPr>
        <w:pStyle w:val="a7"/>
        <w:rPr>
          <w:color w:val="000000" w:themeColor="text1"/>
          <w:sz w:val="20"/>
        </w:rPr>
      </w:pPr>
      <w:r w:rsidRPr="008D5D0F">
        <w:rPr>
          <w:color w:val="000000" w:themeColor="text1"/>
          <w:sz w:val="20"/>
        </w:rPr>
        <w:t xml:space="preserve">28. Saunois M, Bousquet P, Poulter B </w:t>
      </w:r>
      <w:r w:rsidRPr="008D5D0F">
        <w:rPr>
          <w:i/>
          <w:iCs/>
          <w:color w:val="000000" w:themeColor="text1"/>
          <w:sz w:val="20"/>
        </w:rPr>
        <w:t>et al.</w:t>
      </w:r>
      <w:r w:rsidRPr="008D5D0F">
        <w:rPr>
          <w:color w:val="000000" w:themeColor="text1"/>
          <w:sz w:val="20"/>
        </w:rPr>
        <w:t xml:space="preserve"> The Global Methane Budget 2000–2012. </w:t>
      </w:r>
      <w:r w:rsidRPr="008D5D0F">
        <w:rPr>
          <w:i/>
          <w:iCs/>
          <w:color w:val="000000" w:themeColor="text1"/>
          <w:sz w:val="20"/>
        </w:rPr>
        <w:t>Earth System Science Data</w:t>
      </w:r>
      <w:r w:rsidRPr="008D5D0F">
        <w:rPr>
          <w:color w:val="000000" w:themeColor="text1"/>
          <w:sz w:val="20"/>
        </w:rPr>
        <w:t xml:space="preserve"> 2016;</w:t>
      </w:r>
      <w:r w:rsidRPr="008D5D0F">
        <w:rPr>
          <w:b/>
          <w:bCs/>
          <w:color w:val="000000" w:themeColor="text1"/>
          <w:sz w:val="20"/>
        </w:rPr>
        <w:t>8</w:t>
      </w:r>
      <w:r w:rsidRPr="008D5D0F">
        <w:rPr>
          <w:color w:val="000000" w:themeColor="text1"/>
          <w:sz w:val="20"/>
        </w:rPr>
        <w:t>:697–751.</w:t>
      </w:r>
    </w:p>
    <w:p w14:paraId="2EBADEC5" w14:textId="77777777" w:rsidR="008900A7" w:rsidRPr="008D5D0F" w:rsidRDefault="008900A7" w:rsidP="008900A7">
      <w:pPr>
        <w:pStyle w:val="a7"/>
        <w:rPr>
          <w:color w:val="000000" w:themeColor="text1"/>
          <w:sz w:val="20"/>
        </w:rPr>
      </w:pPr>
      <w:r w:rsidRPr="008D5D0F">
        <w:rPr>
          <w:color w:val="000000" w:themeColor="text1"/>
          <w:sz w:val="20"/>
        </w:rPr>
        <w:t xml:space="preserve">29. Sherwood OA, Schwietzke S, Arling VA </w:t>
      </w:r>
      <w:r w:rsidRPr="008D5D0F">
        <w:rPr>
          <w:i/>
          <w:iCs/>
          <w:color w:val="000000" w:themeColor="text1"/>
          <w:sz w:val="20"/>
        </w:rPr>
        <w:t>et al.</w:t>
      </w:r>
      <w:r w:rsidRPr="008D5D0F">
        <w:rPr>
          <w:color w:val="000000" w:themeColor="text1"/>
          <w:sz w:val="20"/>
        </w:rPr>
        <w:t xml:space="preserve"> Global Inventory of Gas Geochemistry Data from Fossil Fuel, Microbial and Burning Sources, version 2017. </w:t>
      </w:r>
      <w:r w:rsidRPr="008D5D0F">
        <w:rPr>
          <w:i/>
          <w:iCs/>
          <w:color w:val="000000" w:themeColor="text1"/>
          <w:sz w:val="20"/>
        </w:rPr>
        <w:t>Earth System Science Data</w:t>
      </w:r>
      <w:r w:rsidRPr="008D5D0F">
        <w:rPr>
          <w:color w:val="000000" w:themeColor="text1"/>
          <w:sz w:val="20"/>
        </w:rPr>
        <w:t xml:space="preserve"> 2017;</w:t>
      </w:r>
      <w:r w:rsidRPr="008D5D0F">
        <w:rPr>
          <w:b/>
          <w:bCs/>
          <w:color w:val="000000" w:themeColor="text1"/>
          <w:sz w:val="20"/>
        </w:rPr>
        <w:t>9</w:t>
      </w:r>
      <w:r w:rsidRPr="008D5D0F">
        <w:rPr>
          <w:color w:val="000000" w:themeColor="text1"/>
          <w:sz w:val="20"/>
        </w:rPr>
        <w:t>:639–56.</w:t>
      </w:r>
    </w:p>
    <w:p w14:paraId="5200FD63" w14:textId="77777777" w:rsidR="008900A7" w:rsidRPr="008D5D0F" w:rsidRDefault="008900A7" w:rsidP="008900A7">
      <w:pPr>
        <w:pStyle w:val="a7"/>
        <w:rPr>
          <w:color w:val="000000" w:themeColor="text1"/>
          <w:sz w:val="20"/>
        </w:rPr>
      </w:pPr>
      <w:r w:rsidRPr="008D5D0F">
        <w:rPr>
          <w:color w:val="000000" w:themeColor="text1"/>
          <w:sz w:val="20"/>
        </w:rPr>
        <w:t xml:space="preserve">30. Still CJ, Berry JA, Collatz GJ </w:t>
      </w:r>
      <w:r w:rsidRPr="008D5D0F">
        <w:rPr>
          <w:i/>
          <w:iCs/>
          <w:color w:val="000000" w:themeColor="text1"/>
          <w:sz w:val="20"/>
        </w:rPr>
        <w:t>et al.</w:t>
      </w:r>
      <w:r w:rsidRPr="008D5D0F">
        <w:rPr>
          <w:color w:val="000000" w:themeColor="text1"/>
          <w:sz w:val="20"/>
        </w:rPr>
        <w:t xml:space="preserve"> Global distribution of C3 and C4 vegetation: Carbon cycle implications. </w:t>
      </w:r>
      <w:r w:rsidRPr="008D5D0F">
        <w:rPr>
          <w:i/>
          <w:iCs/>
          <w:color w:val="000000" w:themeColor="text1"/>
          <w:sz w:val="20"/>
        </w:rPr>
        <w:t>Global Biogeochemical Cycles</w:t>
      </w:r>
      <w:r w:rsidRPr="008D5D0F">
        <w:rPr>
          <w:color w:val="000000" w:themeColor="text1"/>
          <w:sz w:val="20"/>
        </w:rPr>
        <w:t xml:space="preserve"> 2003;</w:t>
      </w:r>
      <w:r w:rsidRPr="008D5D0F">
        <w:rPr>
          <w:b/>
          <w:bCs/>
          <w:color w:val="000000" w:themeColor="text1"/>
          <w:sz w:val="20"/>
        </w:rPr>
        <w:t>17</w:t>
      </w:r>
      <w:r w:rsidRPr="008D5D0F">
        <w:rPr>
          <w:color w:val="000000" w:themeColor="text1"/>
          <w:sz w:val="20"/>
        </w:rPr>
        <w:t>:6-1-6–14.</w:t>
      </w:r>
    </w:p>
    <w:p w14:paraId="0B05A64B" w14:textId="77777777" w:rsidR="008900A7" w:rsidRPr="008D5D0F" w:rsidRDefault="008900A7" w:rsidP="008900A7">
      <w:pPr>
        <w:pStyle w:val="a7"/>
        <w:rPr>
          <w:color w:val="000000" w:themeColor="text1"/>
          <w:sz w:val="20"/>
        </w:rPr>
      </w:pPr>
      <w:r w:rsidRPr="008D5D0F">
        <w:rPr>
          <w:color w:val="000000" w:themeColor="text1"/>
          <w:sz w:val="20"/>
        </w:rPr>
        <w:t xml:space="preserve">31. Feinberg AI, Coulon A, Stenke A </w:t>
      </w:r>
      <w:r w:rsidRPr="008D5D0F">
        <w:rPr>
          <w:i/>
          <w:iCs/>
          <w:color w:val="000000" w:themeColor="text1"/>
          <w:sz w:val="20"/>
        </w:rPr>
        <w:t>et al.</w:t>
      </w:r>
      <w:r w:rsidRPr="008D5D0F">
        <w:rPr>
          <w:color w:val="000000" w:themeColor="text1"/>
          <w:sz w:val="20"/>
        </w:rPr>
        <w:t xml:space="preserve"> Isotopic source signatures: Impact of regional variability on the δ13CH4 trend and spatial distribution. </w:t>
      </w:r>
      <w:r w:rsidRPr="008D5D0F">
        <w:rPr>
          <w:i/>
          <w:iCs/>
          <w:color w:val="000000" w:themeColor="text1"/>
          <w:sz w:val="20"/>
        </w:rPr>
        <w:t>Atmospheric Environment</w:t>
      </w:r>
      <w:r w:rsidRPr="008D5D0F">
        <w:rPr>
          <w:color w:val="000000" w:themeColor="text1"/>
          <w:sz w:val="20"/>
        </w:rPr>
        <w:t xml:space="preserve"> 2018;</w:t>
      </w:r>
      <w:r w:rsidRPr="008D5D0F">
        <w:rPr>
          <w:b/>
          <w:bCs/>
          <w:color w:val="000000" w:themeColor="text1"/>
          <w:sz w:val="20"/>
        </w:rPr>
        <w:t>174</w:t>
      </w:r>
      <w:r w:rsidRPr="008D5D0F">
        <w:rPr>
          <w:color w:val="000000" w:themeColor="text1"/>
          <w:sz w:val="20"/>
        </w:rPr>
        <w:t>:99–111.</w:t>
      </w:r>
    </w:p>
    <w:p w14:paraId="72C9513A" w14:textId="77777777" w:rsidR="008900A7" w:rsidRPr="008D5D0F" w:rsidRDefault="008900A7" w:rsidP="008900A7">
      <w:pPr>
        <w:pStyle w:val="a7"/>
        <w:rPr>
          <w:color w:val="000000" w:themeColor="text1"/>
          <w:sz w:val="20"/>
        </w:rPr>
      </w:pPr>
      <w:r w:rsidRPr="008D5D0F">
        <w:rPr>
          <w:color w:val="000000" w:themeColor="text1"/>
          <w:sz w:val="20"/>
        </w:rPr>
        <w:t xml:space="preserve">32. Ganesan AL, Stell AC, Gedney N </w:t>
      </w:r>
      <w:r w:rsidRPr="008D5D0F">
        <w:rPr>
          <w:i/>
          <w:iCs/>
          <w:color w:val="000000" w:themeColor="text1"/>
          <w:sz w:val="20"/>
        </w:rPr>
        <w:t>et al.</w:t>
      </w:r>
      <w:r w:rsidRPr="008D5D0F">
        <w:rPr>
          <w:color w:val="000000" w:themeColor="text1"/>
          <w:sz w:val="20"/>
        </w:rPr>
        <w:t xml:space="preserve"> Spatially Resolved Isotopic Source Signatures of Wetland Methane Emissions. </w:t>
      </w:r>
      <w:r w:rsidRPr="008D5D0F">
        <w:rPr>
          <w:i/>
          <w:iCs/>
          <w:color w:val="000000" w:themeColor="text1"/>
          <w:sz w:val="20"/>
        </w:rPr>
        <w:t>Geophysical Research Letters</w:t>
      </w:r>
      <w:r w:rsidRPr="008D5D0F">
        <w:rPr>
          <w:color w:val="000000" w:themeColor="text1"/>
          <w:sz w:val="20"/>
        </w:rPr>
        <w:t xml:space="preserve"> 2018;</w:t>
      </w:r>
      <w:r w:rsidRPr="008D5D0F">
        <w:rPr>
          <w:b/>
          <w:bCs/>
          <w:color w:val="000000" w:themeColor="text1"/>
          <w:sz w:val="20"/>
        </w:rPr>
        <w:t>45</w:t>
      </w:r>
      <w:r w:rsidRPr="008D5D0F">
        <w:rPr>
          <w:color w:val="000000" w:themeColor="text1"/>
          <w:sz w:val="20"/>
        </w:rPr>
        <w:t>:3737–45.</w:t>
      </w:r>
    </w:p>
    <w:p w14:paraId="303E10F0" w14:textId="77777777" w:rsidR="008900A7" w:rsidRPr="008D5D0F" w:rsidRDefault="008900A7" w:rsidP="008900A7">
      <w:pPr>
        <w:pStyle w:val="a7"/>
        <w:rPr>
          <w:color w:val="000000" w:themeColor="text1"/>
          <w:sz w:val="20"/>
        </w:rPr>
      </w:pPr>
      <w:r w:rsidRPr="008D5D0F">
        <w:rPr>
          <w:color w:val="000000" w:themeColor="text1"/>
          <w:sz w:val="20"/>
        </w:rPr>
        <w:t xml:space="preserve">33. Brownlow R, Lowry D, Fisher RE </w:t>
      </w:r>
      <w:r w:rsidRPr="008D5D0F">
        <w:rPr>
          <w:i/>
          <w:iCs/>
          <w:color w:val="000000" w:themeColor="text1"/>
          <w:sz w:val="20"/>
        </w:rPr>
        <w:t>et al.</w:t>
      </w:r>
      <w:r w:rsidRPr="008D5D0F">
        <w:rPr>
          <w:color w:val="000000" w:themeColor="text1"/>
          <w:sz w:val="20"/>
        </w:rPr>
        <w:t xml:space="preserve"> Isotopic Ratios of Tropical Methane Emissions by Atmospheric Measurement: Tropical Methane δ </w:t>
      </w:r>
      <w:r w:rsidRPr="008D5D0F">
        <w:rPr>
          <w:color w:val="000000" w:themeColor="text1"/>
          <w:sz w:val="20"/>
          <w:vertAlign w:val="superscript"/>
        </w:rPr>
        <w:t>13</w:t>
      </w:r>
      <w:r w:rsidRPr="008D5D0F">
        <w:rPr>
          <w:color w:val="000000" w:themeColor="text1"/>
          <w:sz w:val="20"/>
        </w:rPr>
        <w:t xml:space="preserve"> C Source Signatures. </w:t>
      </w:r>
      <w:r w:rsidRPr="008D5D0F">
        <w:rPr>
          <w:i/>
          <w:iCs/>
          <w:color w:val="000000" w:themeColor="text1"/>
          <w:sz w:val="20"/>
        </w:rPr>
        <w:t>Global Biogeochemical Cycles</w:t>
      </w:r>
      <w:r w:rsidRPr="008D5D0F">
        <w:rPr>
          <w:color w:val="000000" w:themeColor="text1"/>
          <w:sz w:val="20"/>
        </w:rPr>
        <w:t xml:space="preserve"> 2017;</w:t>
      </w:r>
      <w:r w:rsidRPr="008D5D0F">
        <w:rPr>
          <w:b/>
          <w:bCs/>
          <w:color w:val="000000" w:themeColor="text1"/>
          <w:sz w:val="20"/>
        </w:rPr>
        <w:t>31</w:t>
      </w:r>
      <w:r w:rsidRPr="008D5D0F">
        <w:rPr>
          <w:color w:val="000000" w:themeColor="text1"/>
          <w:sz w:val="20"/>
        </w:rPr>
        <w:t>:1408–19.</w:t>
      </w:r>
    </w:p>
    <w:p w14:paraId="581C8C32" w14:textId="77777777" w:rsidR="008900A7" w:rsidRPr="008D5D0F" w:rsidRDefault="008900A7" w:rsidP="008900A7">
      <w:pPr>
        <w:pStyle w:val="a7"/>
        <w:rPr>
          <w:color w:val="000000" w:themeColor="text1"/>
          <w:sz w:val="20"/>
        </w:rPr>
      </w:pPr>
      <w:r w:rsidRPr="008D5D0F">
        <w:rPr>
          <w:color w:val="000000" w:themeColor="text1"/>
          <w:sz w:val="20"/>
        </w:rPr>
        <w:t xml:space="preserve">34. Walter KM, Chanton JP, Chapin FS </w:t>
      </w:r>
      <w:r w:rsidRPr="008D5D0F">
        <w:rPr>
          <w:i/>
          <w:iCs/>
          <w:color w:val="000000" w:themeColor="text1"/>
          <w:sz w:val="20"/>
        </w:rPr>
        <w:t>et al.</w:t>
      </w:r>
      <w:r w:rsidRPr="008D5D0F">
        <w:rPr>
          <w:color w:val="000000" w:themeColor="text1"/>
          <w:sz w:val="20"/>
        </w:rPr>
        <w:t xml:space="preserve"> Methane production and bubble emissions from arctic lakes: Isotopic implications for source pathways and ages. </w:t>
      </w:r>
      <w:r w:rsidRPr="008D5D0F">
        <w:rPr>
          <w:i/>
          <w:iCs/>
          <w:color w:val="000000" w:themeColor="text1"/>
          <w:sz w:val="20"/>
        </w:rPr>
        <w:t>Journal of Geophysical Research</w:t>
      </w:r>
      <w:r w:rsidRPr="008D5D0F">
        <w:rPr>
          <w:color w:val="000000" w:themeColor="text1"/>
          <w:sz w:val="20"/>
        </w:rPr>
        <w:t xml:space="preserve"> 2008;</w:t>
      </w:r>
      <w:r w:rsidRPr="008D5D0F">
        <w:rPr>
          <w:b/>
          <w:bCs/>
          <w:color w:val="000000" w:themeColor="text1"/>
          <w:sz w:val="20"/>
        </w:rPr>
        <w:t>113</w:t>
      </w:r>
      <w:r w:rsidRPr="008D5D0F">
        <w:rPr>
          <w:color w:val="000000" w:themeColor="text1"/>
          <w:sz w:val="20"/>
        </w:rPr>
        <w:t>:G00A08.</w:t>
      </w:r>
    </w:p>
    <w:p w14:paraId="5A3B3F2B" w14:textId="77777777" w:rsidR="008900A7" w:rsidRPr="008D5D0F" w:rsidRDefault="008900A7" w:rsidP="008900A7">
      <w:pPr>
        <w:pStyle w:val="a7"/>
        <w:rPr>
          <w:color w:val="000000" w:themeColor="text1"/>
          <w:sz w:val="20"/>
        </w:rPr>
      </w:pPr>
      <w:r w:rsidRPr="008D5D0F">
        <w:rPr>
          <w:color w:val="000000" w:themeColor="text1"/>
          <w:sz w:val="20"/>
        </w:rPr>
        <w:t xml:space="preserve">35. McCalley CK, Woodcroft BJ, Hodgkins SB </w:t>
      </w:r>
      <w:r w:rsidRPr="008D5D0F">
        <w:rPr>
          <w:i/>
          <w:iCs/>
          <w:color w:val="000000" w:themeColor="text1"/>
          <w:sz w:val="20"/>
        </w:rPr>
        <w:t>et al.</w:t>
      </w:r>
      <w:r w:rsidRPr="008D5D0F">
        <w:rPr>
          <w:color w:val="000000" w:themeColor="text1"/>
          <w:sz w:val="20"/>
        </w:rPr>
        <w:t xml:space="preserve"> Methane dynamics regulated by microbial community response to permafrost thaw. </w:t>
      </w:r>
      <w:r w:rsidRPr="008D5D0F">
        <w:rPr>
          <w:i/>
          <w:iCs/>
          <w:color w:val="000000" w:themeColor="text1"/>
          <w:sz w:val="20"/>
        </w:rPr>
        <w:t>Nature</w:t>
      </w:r>
      <w:r w:rsidRPr="008D5D0F">
        <w:rPr>
          <w:color w:val="000000" w:themeColor="text1"/>
          <w:sz w:val="20"/>
        </w:rPr>
        <w:t xml:space="preserve"> 2014;</w:t>
      </w:r>
      <w:r w:rsidRPr="008D5D0F">
        <w:rPr>
          <w:b/>
          <w:bCs/>
          <w:color w:val="000000" w:themeColor="text1"/>
          <w:sz w:val="20"/>
        </w:rPr>
        <w:t>514</w:t>
      </w:r>
      <w:r w:rsidRPr="008D5D0F">
        <w:rPr>
          <w:color w:val="000000" w:themeColor="text1"/>
          <w:sz w:val="20"/>
        </w:rPr>
        <w:t>:478–81.</w:t>
      </w:r>
    </w:p>
    <w:p w14:paraId="2DF328C4" w14:textId="77777777" w:rsidR="008900A7" w:rsidRPr="008D5D0F" w:rsidRDefault="008900A7" w:rsidP="008900A7">
      <w:pPr>
        <w:pStyle w:val="a7"/>
        <w:rPr>
          <w:color w:val="000000" w:themeColor="text1"/>
          <w:sz w:val="20"/>
        </w:rPr>
      </w:pPr>
      <w:r w:rsidRPr="008D5D0F">
        <w:rPr>
          <w:color w:val="000000" w:themeColor="text1"/>
          <w:sz w:val="20"/>
        </w:rPr>
        <w:t xml:space="preserve">36. Poulter B, Bousquet P, Canadell JG </w:t>
      </w:r>
      <w:r w:rsidRPr="008D5D0F">
        <w:rPr>
          <w:i/>
          <w:iCs/>
          <w:color w:val="000000" w:themeColor="text1"/>
          <w:sz w:val="20"/>
        </w:rPr>
        <w:t>et al.</w:t>
      </w:r>
      <w:r w:rsidRPr="008D5D0F">
        <w:rPr>
          <w:color w:val="000000" w:themeColor="text1"/>
          <w:sz w:val="20"/>
        </w:rPr>
        <w:t xml:space="preserve"> Global wetland contribution to 2000–2012 atmospheric methane growth rate dynamics. </w:t>
      </w:r>
      <w:r w:rsidRPr="008D5D0F">
        <w:rPr>
          <w:i/>
          <w:iCs/>
          <w:color w:val="000000" w:themeColor="text1"/>
          <w:sz w:val="20"/>
        </w:rPr>
        <w:t>Environmental Research Letters</w:t>
      </w:r>
      <w:r w:rsidRPr="008D5D0F">
        <w:rPr>
          <w:color w:val="000000" w:themeColor="text1"/>
          <w:sz w:val="20"/>
        </w:rPr>
        <w:t xml:space="preserve"> 2017;</w:t>
      </w:r>
      <w:r w:rsidRPr="008D5D0F">
        <w:rPr>
          <w:b/>
          <w:bCs/>
          <w:color w:val="000000" w:themeColor="text1"/>
          <w:sz w:val="20"/>
        </w:rPr>
        <w:t>12</w:t>
      </w:r>
      <w:r w:rsidRPr="008D5D0F">
        <w:rPr>
          <w:color w:val="000000" w:themeColor="text1"/>
          <w:sz w:val="20"/>
        </w:rPr>
        <w:t>:094013.</w:t>
      </w:r>
    </w:p>
    <w:p w14:paraId="646FC05E" w14:textId="77777777" w:rsidR="008900A7" w:rsidRPr="008D5D0F" w:rsidRDefault="008900A7" w:rsidP="008900A7">
      <w:pPr>
        <w:pStyle w:val="a7"/>
        <w:rPr>
          <w:color w:val="000000" w:themeColor="text1"/>
          <w:sz w:val="20"/>
        </w:rPr>
      </w:pPr>
      <w:r w:rsidRPr="008D5D0F">
        <w:rPr>
          <w:color w:val="000000" w:themeColor="text1"/>
          <w:sz w:val="20"/>
        </w:rPr>
        <w:t xml:space="preserve">37. Taylor KE. Summarizing multiple aspects of model performance in a single diagram. </w:t>
      </w:r>
      <w:r w:rsidRPr="008D5D0F">
        <w:rPr>
          <w:i/>
          <w:iCs/>
          <w:color w:val="000000" w:themeColor="text1"/>
          <w:sz w:val="20"/>
        </w:rPr>
        <w:t>Journal of Geophysical Research: Atmospheres</w:t>
      </w:r>
      <w:r w:rsidRPr="008D5D0F">
        <w:rPr>
          <w:color w:val="000000" w:themeColor="text1"/>
          <w:sz w:val="20"/>
        </w:rPr>
        <w:t xml:space="preserve"> 2001;</w:t>
      </w:r>
      <w:r w:rsidRPr="008D5D0F">
        <w:rPr>
          <w:b/>
          <w:bCs/>
          <w:color w:val="000000" w:themeColor="text1"/>
          <w:sz w:val="20"/>
        </w:rPr>
        <w:t>106</w:t>
      </w:r>
      <w:r w:rsidRPr="008D5D0F">
        <w:rPr>
          <w:color w:val="000000" w:themeColor="text1"/>
          <w:sz w:val="20"/>
        </w:rPr>
        <w:t>:7183–92.</w:t>
      </w:r>
    </w:p>
    <w:p w14:paraId="2E33B5D5" w14:textId="77777777" w:rsidR="008900A7" w:rsidRPr="008D5D0F" w:rsidRDefault="008900A7" w:rsidP="008900A7">
      <w:pPr>
        <w:pStyle w:val="a7"/>
        <w:rPr>
          <w:color w:val="000000" w:themeColor="text1"/>
          <w:sz w:val="20"/>
        </w:rPr>
      </w:pPr>
      <w:r w:rsidRPr="008D5D0F">
        <w:rPr>
          <w:color w:val="000000" w:themeColor="text1"/>
          <w:sz w:val="20"/>
        </w:rPr>
        <w:t xml:space="preserve">38. Rigby M, Montzka SA, Prinn RG </w:t>
      </w:r>
      <w:r w:rsidRPr="008D5D0F">
        <w:rPr>
          <w:i/>
          <w:iCs/>
          <w:color w:val="000000" w:themeColor="text1"/>
          <w:sz w:val="20"/>
        </w:rPr>
        <w:t>et al.</w:t>
      </w:r>
      <w:r w:rsidRPr="008D5D0F">
        <w:rPr>
          <w:color w:val="000000" w:themeColor="text1"/>
          <w:sz w:val="20"/>
        </w:rPr>
        <w:t xml:space="preserve"> Role of atmospheric oxidation in recent methane growth. </w:t>
      </w:r>
      <w:r w:rsidRPr="008D5D0F">
        <w:rPr>
          <w:i/>
          <w:iCs/>
          <w:color w:val="000000" w:themeColor="text1"/>
          <w:sz w:val="20"/>
        </w:rPr>
        <w:t>Proceedings of the National Academy of Sciences</w:t>
      </w:r>
      <w:r w:rsidRPr="008D5D0F">
        <w:rPr>
          <w:color w:val="000000" w:themeColor="text1"/>
          <w:sz w:val="20"/>
        </w:rPr>
        <w:t xml:space="preserve"> 2017;</w:t>
      </w:r>
      <w:r w:rsidRPr="008D5D0F">
        <w:rPr>
          <w:b/>
          <w:bCs/>
          <w:color w:val="000000" w:themeColor="text1"/>
          <w:sz w:val="20"/>
        </w:rPr>
        <w:t>114</w:t>
      </w:r>
      <w:r w:rsidRPr="008D5D0F">
        <w:rPr>
          <w:color w:val="000000" w:themeColor="text1"/>
          <w:sz w:val="20"/>
        </w:rPr>
        <w:t>:5373–7.</w:t>
      </w:r>
    </w:p>
    <w:p w14:paraId="69BED748" w14:textId="574D05C5" w:rsidR="00EB592C" w:rsidRPr="008D5D0F" w:rsidRDefault="008900A7" w:rsidP="008900A7">
      <w:pPr>
        <w:pStyle w:val="a7"/>
        <w:rPr>
          <w:color w:val="000000" w:themeColor="text1"/>
          <w:sz w:val="20"/>
        </w:rPr>
      </w:pPr>
      <w:r w:rsidRPr="008D5D0F">
        <w:rPr>
          <w:color w:val="000000" w:themeColor="text1"/>
          <w:sz w:val="20"/>
        </w:rPr>
        <w:lastRenderedPageBreak/>
        <w:t xml:space="preserve">39. Naus S, Montzka SA, Pandey S </w:t>
      </w:r>
      <w:r w:rsidRPr="008D5D0F">
        <w:rPr>
          <w:i/>
          <w:iCs/>
          <w:color w:val="000000" w:themeColor="text1"/>
          <w:sz w:val="20"/>
        </w:rPr>
        <w:t>et al.</w:t>
      </w:r>
      <w:r w:rsidRPr="008D5D0F">
        <w:rPr>
          <w:color w:val="000000" w:themeColor="text1"/>
          <w:sz w:val="20"/>
        </w:rPr>
        <w:t xml:space="preserve"> Constraints and biases in a tropospheric two-box model of OH. </w:t>
      </w:r>
      <w:r w:rsidRPr="008D5D0F">
        <w:rPr>
          <w:i/>
          <w:iCs/>
          <w:color w:val="000000" w:themeColor="text1"/>
          <w:sz w:val="20"/>
        </w:rPr>
        <w:t>Atmospheric Chemistry and Physics</w:t>
      </w:r>
      <w:r w:rsidRPr="008D5D0F">
        <w:rPr>
          <w:color w:val="000000" w:themeColor="text1"/>
          <w:sz w:val="20"/>
        </w:rPr>
        <w:t xml:space="preserve"> 2019;</w:t>
      </w:r>
      <w:r w:rsidRPr="008D5D0F">
        <w:rPr>
          <w:b/>
          <w:bCs/>
          <w:color w:val="000000" w:themeColor="text1"/>
          <w:sz w:val="20"/>
        </w:rPr>
        <w:t>19</w:t>
      </w:r>
      <w:r w:rsidRPr="008D5D0F">
        <w:rPr>
          <w:color w:val="000000" w:themeColor="text1"/>
          <w:sz w:val="20"/>
        </w:rPr>
        <w:t>:407–24.</w:t>
      </w:r>
      <w:r w:rsidR="00EB592C" w:rsidRPr="008D5D0F">
        <w:rPr>
          <w:b/>
          <w:color w:val="000000" w:themeColor="text1"/>
          <w:sz w:val="20"/>
        </w:rPr>
        <w:fldChar w:fldCharType="end"/>
      </w:r>
    </w:p>
    <w:p w14:paraId="2D71B157" w14:textId="77777777" w:rsidR="00091B06" w:rsidRPr="008D5D0F" w:rsidRDefault="00091B06">
      <w:pPr>
        <w:rPr>
          <w:color w:val="000000" w:themeColor="text1"/>
          <w:sz w:val="20"/>
        </w:rPr>
      </w:pPr>
    </w:p>
    <w:sectPr w:rsidR="00091B06" w:rsidRPr="008D5D0F" w:rsidSect="00F125EE">
      <w:headerReference w:type="default" r:id="rId24"/>
      <w:footerReference w:type="default" r:id="rId25"/>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033E7A" w14:textId="77777777" w:rsidR="00630D7A" w:rsidRDefault="00630D7A">
      <w:r>
        <w:separator/>
      </w:r>
    </w:p>
  </w:endnote>
  <w:endnote w:type="continuationSeparator" w:id="0">
    <w:p w14:paraId="49593143" w14:textId="77777777" w:rsidR="00630D7A" w:rsidRDefault="00630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等线">
    <w:altName w:val="Arial Unicode MS"/>
    <w:charset w:val="86"/>
    <w:family w:val="auto"/>
    <w:pitch w:val="variable"/>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等线 Light">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5005D" w14:textId="77777777" w:rsidR="00F125EE" w:rsidRDefault="00F07BC4">
    <w:pPr>
      <w:pStyle w:val="af6"/>
      <w:jc w:val="right"/>
    </w:pPr>
    <w:r>
      <w:fldChar w:fldCharType="begin"/>
    </w:r>
    <w:r>
      <w:instrText xml:space="preserve"> PAGE   \* MERGEFORMAT </w:instrText>
    </w:r>
    <w:r>
      <w:fldChar w:fldCharType="separate"/>
    </w:r>
    <w:r w:rsidR="00F93643">
      <w:rPr>
        <w:noProof/>
      </w:rPr>
      <w:t>1</w:t>
    </w:r>
    <w:r>
      <w:fldChar w:fldCharType="end"/>
    </w:r>
  </w:p>
  <w:p w14:paraId="2EEBD34B" w14:textId="77777777" w:rsidR="00F125EE" w:rsidRDefault="00630D7A">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576239" w14:textId="77777777" w:rsidR="00630D7A" w:rsidRDefault="00630D7A">
      <w:r>
        <w:separator/>
      </w:r>
    </w:p>
  </w:footnote>
  <w:footnote w:type="continuationSeparator" w:id="0">
    <w:p w14:paraId="7BB874EE" w14:textId="77777777" w:rsidR="00630D7A" w:rsidRDefault="00630D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F9480" w14:textId="77777777" w:rsidR="003A2FD8" w:rsidRPr="005001AC" w:rsidRDefault="00630D7A" w:rsidP="005001AC">
    <w:pPr>
      <w:jc w:val="right"/>
      <w:rPr>
        <w:sz w:val="20"/>
      </w:rPr>
    </w:pPr>
  </w:p>
  <w:p w14:paraId="5380C140" w14:textId="77777777" w:rsidR="003A2FD8" w:rsidRDefault="00630D7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nsid w:val="FFFFFF7F"/>
    <w:multiLevelType w:val="singleLevel"/>
    <w:tmpl w:val="BC8CF8D2"/>
    <w:lvl w:ilvl="0">
      <w:start w:val="1"/>
      <w:numFmt w:val="decimal"/>
      <w:pStyle w:val="2"/>
      <w:lvlText w:val="%1."/>
      <w:lvlJc w:val="left"/>
      <w:pPr>
        <w:tabs>
          <w:tab w:val="num" w:pos="720"/>
        </w:tabs>
        <w:ind w:left="720" w:hanging="360"/>
      </w:pPr>
    </w:lvl>
  </w:abstractNum>
  <w:abstractNum w:abstractNumId="4">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nsid w:val="FFFFFF88"/>
    <w:multiLevelType w:val="singleLevel"/>
    <w:tmpl w:val="98E05002"/>
    <w:lvl w:ilvl="0">
      <w:start w:val="1"/>
      <w:numFmt w:val="decimal"/>
      <w:pStyle w:val="a"/>
      <w:lvlText w:val="%1."/>
      <w:lvlJc w:val="left"/>
      <w:pPr>
        <w:tabs>
          <w:tab w:val="num" w:pos="360"/>
        </w:tabs>
        <w:ind w:left="360" w:hanging="360"/>
      </w:pPr>
    </w:lvl>
  </w:abstractNum>
  <w:abstractNum w:abstractNumId="9">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abstractNum w:abstractNumId="1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B963FF"/>
    <w:multiLevelType w:val="hybridMultilevel"/>
    <w:tmpl w:val="43A20FFE"/>
    <w:lvl w:ilvl="0" w:tplc="041866E8">
      <w:start w:val="202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F8D4926"/>
    <w:multiLevelType w:val="hybridMultilevel"/>
    <w:tmpl w:val="2FCC0058"/>
    <w:lvl w:ilvl="0" w:tplc="7FF679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C116BDC"/>
    <w:multiLevelType w:val="hybridMultilevel"/>
    <w:tmpl w:val="1D98BF46"/>
    <w:lvl w:ilvl="0" w:tplc="F40C2976">
      <w:start w:val="20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8"/>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92C"/>
    <w:rsid w:val="00004EE9"/>
    <w:rsid w:val="00006B74"/>
    <w:rsid w:val="000113FB"/>
    <w:rsid w:val="0001226B"/>
    <w:rsid w:val="00015ED7"/>
    <w:rsid w:val="000175B6"/>
    <w:rsid w:val="00017DF5"/>
    <w:rsid w:val="00027920"/>
    <w:rsid w:val="00035A56"/>
    <w:rsid w:val="0004012B"/>
    <w:rsid w:val="00043351"/>
    <w:rsid w:val="00057667"/>
    <w:rsid w:val="0006069E"/>
    <w:rsid w:val="0008284D"/>
    <w:rsid w:val="0009044B"/>
    <w:rsid w:val="00091B06"/>
    <w:rsid w:val="000B1668"/>
    <w:rsid w:val="000C398B"/>
    <w:rsid w:val="000E02CC"/>
    <w:rsid w:val="000E2D9E"/>
    <w:rsid w:val="000F3002"/>
    <w:rsid w:val="001044BB"/>
    <w:rsid w:val="00110B7B"/>
    <w:rsid w:val="0012091E"/>
    <w:rsid w:val="0012224C"/>
    <w:rsid w:val="0012695B"/>
    <w:rsid w:val="001271F9"/>
    <w:rsid w:val="00140EA9"/>
    <w:rsid w:val="0015735C"/>
    <w:rsid w:val="001639CB"/>
    <w:rsid w:val="0018758C"/>
    <w:rsid w:val="001C1002"/>
    <w:rsid w:val="001C49A3"/>
    <w:rsid w:val="001C5CC0"/>
    <w:rsid w:val="001C7E93"/>
    <w:rsid w:val="001E1637"/>
    <w:rsid w:val="001E1D4C"/>
    <w:rsid w:val="001E2219"/>
    <w:rsid w:val="001E3802"/>
    <w:rsid w:val="001E6770"/>
    <w:rsid w:val="001F1958"/>
    <w:rsid w:val="00200C0D"/>
    <w:rsid w:val="00210886"/>
    <w:rsid w:val="00231E9F"/>
    <w:rsid w:val="00234294"/>
    <w:rsid w:val="00234CD4"/>
    <w:rsid w:val="00282B07"/>
    <w:rsid w:val="00292F46"/>
    <w:rsid w:val="00294996"/>
    <w:rsid w:val="00294F3B"/>
    <w:rsid w:val="00296947"/>
    <w:rsid w:val="002A118E"/>
    <w:rsid w:val="002A1913"/>
    <w:rsid w:val="002B498E"/>
    <w:rsid w:val="002B4F71"/>
    <w:rsid w:val="002C3602"/>
    <w:rsid w:val="002C75F2"/>
    <w:rsid w:val="002D5DC6"/>
    <w:rsid w:val="002E0E98"/>
    <w:rsid w:val="002E6A72"/>
    <w:rsid w:val="00304375"/>
    <w:rsid w:val="003434A3"/>
    <w:rsid w:val="00345615"/>
    <w:rsid w:val="003549BF"/>
    <w:rsid w:val="003619CC"/>
    <w:rsid w:val="00364484"/>
    <w:rsid w:val="003752EA"/>
    <w:rsid w:val="003763FE"/>
    <w:rsid w:val="0038395C"/>
    <w:rsid w:val="00387062"/>
    <w:rsid w:val="003918CA"/>
    <w:rsid w:val="00392407"/>
    <w:rsid w:val="00393D53"/>
    <w:rsid w:val="00395969"/>
    <w:rsid w:val="00396121"/>
    <w:rsid w:val="003C11A8"/>
    <w:rsid w:val="003C1D24"/>
    <w:rsid w:val="003C7717"/>
    <w:rsid w:val="00413BA2"/>
    <w:rsid w:val="00414DD6"/>
    <w:rsid w:val="004267E5"/>
    <w:rsid w:val="0043668A"/>
    <w:rsid w:val="0044125A"/>
    <w:rsid w:val="004466DB"/>
    <w:rsid w:val="0045152E"/>
    <w:rsid w:val="00462698"/>
    <w:rsid w:val="00481995"/>
    <w:rsid w:val="004A2D04"/>
    <w:rsid w:val="004C537D"/>
    <w:rsid w:val="004E0C8C"/>
    <w:rsid w:val="004E35EA"/>
    <w:rsid w:val="00503DAC"/>
    <w:rsid w:val="005047F3"/>
    <w:rsid w:val="005052BC"/>
    <w:rsid w:val="00511C56"/>
    <w:rsid w:val="00524698"/>
    <w:rsid w:val="0053594F"/>
    <w:rsid w:val="005438C9"/>
    <w:rsid w:val="00545EDD"/>
    <w:rsid w:val="0055488E"/>
    <w:rsid w:val="00566EBA"/>
    <w:rsid w:val="00571BFD"/>
    <w:rsid w:val="00571CB5"/>
    <w:rsid w:val="00581BD2"/>
    <w:rsid w:val="00590EBB"/>
    <w:rsid w:val="0059576D"/>
    <w:rsid w:val="005B3FC4"/>
    <w:rsid w:val="005B6199"/>
    <w:rsid w:val="005E6AC9"/>
    <w:rsid w:val="005F1B1E"/>
    <w:rsid w:val="005F2CCE"/>
    <w:rsid w:val="005F51DB"/>
    <w:rsid w:val="005F718A"/>
    <w:rsid w:val="006053D4"/>
    <w:rsid w:val="006134FA"/>
    <w:rsid w:val="00630D7A"/>
    <w:rsid w:val="00641A1A"/>
    <w:rsid w:val="006449A9"/>
    <w:rsid w:val="00660B04"/>
    <w:rsid w:val="00680766"/>
    <w:rsid w:val="006846F3"/>
    <w:rsid w:val="006C366F"/>
    <w:rsid w:val="006C56FB"/>
    <w:rsid w:val="006D3700"/>
    <w:rsid w:val="006E4D81"/>
    <w:rsid w:val="006F71EB"/>
    <w:rsid w:val="00707FB7"/>
    <w:rsid w:val="007102C9"/>
    <w:rsid w:val="007358F1"/>
    <w:rsid w:val="00740BFD"/>
    <w:rsid w:val="007505DA"/>
    <w:rsid w:val="00762F4F"/>
    <w:rsid w:val="007900DA"/>
    <w:rsid w:val="00791F8A"/>
    <w:rsid w:val="007A288F"/>
    <w:rsid w:val="007D0578"/>
    <w:rsid w:val="007F5E32"/>
    <w:rsid w:val="008002F1"/>
    <w:rsid w:val="00800C1A"/>
    <w:rsid w:val="00806FDF"/>
    <w:rsid w:val="00807DCB"/>
    <w:rsid w:val="008128DF"/>
    <w:rsid w:val="00821DAD"/>
    <w:rsid w:val="008331A0"/>
    <w:rsid w:val="00837AC2"/>
    <w:rsid w:val="00842190"/>
    <w:rsid w:val="00846BA3"/>
    <w:rsid w:val="008527C8"/>
    <w:rsid w:val="00857C21"/>
    <w:rsid w:val="00857EB6"/>
    <w:rsid w:val="00876334"/>
    <w:rsid w:val="00884BAF"/>
    <w:rsid w:val="008900A7"/>
    <w:rsid w:val="00897D4C"/>
    <w:rsid w:val="008D5D0F"/>
    <w:rsid w:val="008E6C10"/>
    <w:rsid w:val="008F3975"/>
    <w:rsid w:val="008F6510"/>
    <w:rsid w:val="009112C2"/>
    <w:rsid w:val="0092061D"/>
    <w:rsid w:val="0092757D"/>
    <w:rsid w:val="00927782"/>
    <w:rsid w:val="0093588C"/>
    <w:rsid w:val="009502D5"/>
    <w:rsid w:val="00970DAA"/>
    <w:rsid w:val="00972FF9"/>
    <w:rsid w:val="009833FE"/>
    <w:rsid w:val="009B5589"/>
    <w:rsid w:val="009C4738"/>
    <w:rsid w:val="009D3C1C"/>
    <w:rsid w:val="009D6FD7"/>
    <w:rsid w:val="009F1C3E"/>
    <w:rsid w:val="009F5561"/>
    <w:rsid w:val="00A012EB"/>
    <w:rsid w:val="00A10171"/>
    <w:rsid w:val="00A1144C"/>
    <w:rsid w:val="00A12ACB"/>
    <w:rsid w:val="00A2777A"/>
    <w:rsid w:val="00A3641C"/>
    <w:rsid w:val="00A50D3C"/>
    <w:rsid w:val="00A606FF"/>
    <w:rsid w:val="00A63D2D"/>
    <w:rsid w:val="00A773DF"/>
    <w:rsid w:val="00A86E1C"/>
    <w:rsid w:val="00AA407B"/>
    <w:rsid w:val="00AA7715"/>
    <w:rsid w:val="00AD68FB"/>
    <w:rsid w:val="00AD77D9"/>
    <w:rsid w:val="00AD7D2A"/>
    <w:rsid w:val="00AE2F54"/>
    <w:rsid w:val="00AF5779"/>
    <w:rsid w:val="00B043DE"/>
    <w:rsid w:val="00B074B7"/>
    <w:rsid w:val="00B44870"/>
    <w:rsid w:val="00B46ECE"/>
    <w:rsid w:val="00B503C3"/>
    <w:rsid w:val="00B60289"/>
    <w:rsid w:val="00B63E40"/>
    <w:rsid w:val="00B65043"/>
    <w:rsid w:val="00B702A1"/>
    <w:rsid w:val="00B721E7"/>
    <w:rsid w:val="00B83755"/>
    <w:rsid w:val="00B84ED7"/>
    <w:rsid w:val="00B95EB2"/>
    <w:rsid w:val="00BA25BA"/>
    <w:rsid w:val="00BA2ED4"/>
    <w:rsid w:val="00BB4C73"/>
    <w:rsid w:val="00BF749F"/>
    <w:rsid w:val="00C01D45"/>
    <w:rsid w:val="00C11600"/>
    <w:rsid w:val="00C22866"/>
    <w:rsid w:val="00C310DE"/>
    <w:rsid w:val="00C419BF"/>
    <w:rsid w:val="00C544D8"/>
    <w:rsid w:val="00C5670E"/>
    <w:rsid w:val="00C56942"/>
    <w:rsid w:val="00C77C74"/>
    <w:rsid w:val="00C82033"/>
    <w:rsid w:val="00C8239F"/>
    <w:rsid w:val="00C8248E"/>
    <w:rsid w:val="00C859AA"/>
    <w:rsid w:val="00C916CA"/>
    <w:rsid w:val="00CA77EF"/>
    <w:rsid w:val="00CD25AF"/>
    <w:rsid w:val="00CD2A1E"/>
    <w:rsid w:val="00CE19FF"/>
    <w:rsid w:val="00CF3FF0"/>
    <w:rsid w:val="00CF4BC5"/>
    <w:rsid w:val="00D0775D"/>
    <w:rsid w:val="00D14E15"/>
    <w:rsid w:val="00D33E2B"/>
    <w:rsid w:val="00D421F2"/>
    <w:rsid w:val="00D571D7"/>
    <w:rsid w:val="00D84644"/>
    <w:rsid w:val="00DA3FAA"/>
    <w:rsid w:val="00DA73FA"/>
    <w:rsid w:val="00DB5F31"/>
    <w:rsid w:val="00DC388C"/>
    <w:rsid w:val="00DC5AB0"/>
    <w:rsid w:val="00DC6270"/>
    <w:rsid w:val="00DD155A"/>
    <w:rsid w:val="00DD35B4"/>
    <w:rsid w:val="00E02280"/>
    <w:rsid w:val="00E06389"/>
    <w:rsid w:val="00E079BC"/>
    <w:rsid w:val="00E21BA3"/>
    <w:rsid w:val="00E24ACC"/>
    <w:rsid w:val="00E4257E"/>
    <w:rsid w:val="00E461E4"/>
    <w:rsid w:val="00E602D8"/>
    <w:rsid w:val="00E73772"/>
    <w:rsid w:val="00E90956"/>
    <w:rsid w:val="00E92D7F"/>
    <w:rsid w:val="00E93643"/>
    <w:rsid w:val="00E93F30"/>
    <w:rsid w:val="00E942C5"/>
    <w:rsid w:val="00EA7DF2"/>
    <w:rsid w:val="00EB592C"/>
    <w:rsid w:val="00EC1E95"/>
    <w:rsid w:val="00ED7F9E"/>
    <w:rsid w:val="00EF66EA"/>
    <w:rsid w:val="00F06EC5"/>
    <w:rsid w:val="00F07BC4"/>
    <w:rsid w:val="00F109B7"/>
    <w:rsid w:val="00F12F9F"/>
    <w:rsid w:val="00F14702"/>
    <w:rsid w:val="00F22EA5"/>
    <w:rsid w:val="00F33E70"/>
    <w:rsid w:val="00F44312"/>
    <w:rsid w:val="00F45295"/>
    <w:rsid w:val="00F46EA2"/>
    <w:rsid w:val="00F54D0A"/>
    <w:rsid w:val="00F648AF"/>
    <w:rsid w:val="00F702C7"/>
    <w:rsid w:val="00F73DBD"/>
    <w:rsid w:val="00F777C4"/>
    <w:rsid w:val="00F85E70"/>
    <w:rsid w:val="00F9045A"/>
    <w:rsid w:val="00F93643"/>
    <w:rsid w:val="00FA5011"/>
    <w:rsid w:val="00FA6AF7"/>
    <w:rsid w:val="00FB3391"/>
    <w:rsid w:val="00FC24E6"/>
    <w:rsid w:val="00FC33B8"/>
    <w:rsid w:val="00FD0A20"/>
    <w:rsid w:val="00FD14AD"/>
    <w:rsid w:val="00FD5737"/>
    <w:rsid w:val="00FE4998"/>
    <w:rsid w:val="00FE4C4F"/>
    <w:rsid w:val="00FF7A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46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footnote reference" w:uiPriority="99"/>
    <w:lsdException w:name="lin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3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B592C"/>
    <w:rPr>
      <w:rFonts w:ascii="Times New Roman" w:eastAsia="Times New Roman" w:hAnsi="Times New Roman" w:cs="Times New Roman"/>
      <w:szCs w:val="20"/>
      <w:lang w:eastAsia="en-US"/>
    </w:rPr>
  </w:style>
  <w:style w:type="paragraph" w:styleId="1">
    <w:name w:val="heading 1"/>
    <w:basedOn w:val="a1"/>
    <w:next w:val="a1"/>
    <w:link w:val="1Char"/>
    <w:qFormat/>
    <w:rsid w:val="00EB592C"/>
    <w:pPr>
      <w:keepNext/>
      <w:spacing w:before="240" w:after="60"/>
      <w:outlineLvl w:val="0"/>
    </w:pPr>
    <w:rPr>
      <w:b/>
      <w:bCs/>
      <w:kern w:val="32"/>
      <w:szCs w:val="24"/>
    </w:rPr>
  </w:style>
  <w:style w:type="paragraph" w:styleId="21">
    <w:name w:val="heading 2"/>
    <w:basedOn w:val="a1"/>
    <w:next w:val="a1"/>
    <w:link w:val="2Char"/>
    <w:semiHidden/>
    <w:qFormat/>
    <w:rsid w:val="00EB592C"/>
    <w:pPr>
      <w:keepNext/>
      <w:spacing w:before="240" w:after="60"/>
      <w:outlineLvl w:val="1"/>
    </w:pPr>
    <w:rPr>
      <w:rFonts w:ascii="Cambria" w:hAnsi="Cambria"/>
      <w:b/>
      <w:bCs/>
      <w:i/>
      <w:iCs/>
      <w:sz w:val="28"/>
      <w:szCs w:val="28"/>
    </w:rPr>
  </w:style>
  <w:style w:type="paragraph" w:styleId="31">
    <w:name w:val="heading 3"/>
    <w:basedOn w:val="a1"/>
    <w:next w:val="a1"/>
    <w:link w:val="3Char"/>
    <w:semiHidden/>
    <w:qFormat/>
    <w:rsid w:val="00EB592C"/>
    <w:pPr>
      <w:keepNext/>
      <w:spacing w:line="480" w:lineRule="auto"/>
      <w:outlineLvl w:val="2"/>
    </w:pPr>
    <w:rPr>
      <w:rFonts w:ascii="Times" w:eastAsia="Times" w:hAnsi="Times"/>
      <w:b/>
    </w:rPr>
  </w:style>
  <w:style w:type="paragraph" w:styleId="41">
    <w:name w:val="heading 4"/>
    <w:basedOn w:val="a1"/>
    <w:next w:val="a1"/>
    <w:link w:val="4Char"/>
    <w:semiHidden/>
    <w:qFormat/>
    <w:rsid w:val="00EB592C"/>
    <w:pPr>
      <w:keepNext/>
      <w:spacing w:line="480" w:lineRule="auto"/>
      <w:outlineLvl w:val="3"/>
    </w:pPr>
    <w:rPr>
      <w:rFonts w:ascii="Times" w:hAnsi="Times"/>
      <w:b/>
      <w:color w:val="0000FF"/>
      <w:sz w:val="44"/>
    </w:rPr>
  </w:style>
  <w:style w:type="paragraph" w:styleId="51">
    <w:name w:val="heading 5"/>
    <w:basedOn w:val="a1"/>
    <w:next w:val="a1"/>
    <w:link w:val="5Char"/>
    <w:semiHidden/>
    <w:qFormat/>
    <w:rsid w:val="00EB592C"/>
    <w:pPr>
      <w:spacing w:before="240" w:after="60"/>
      <w:outlineLvl w:val="4"/>
    </w:pPr>
    <w:rPr>
      <w:rFonts w:ascii="Calibri" w:hAnsi="Calibri"/>
      <w:b/>
      <w:bCs/>
      <w:i/>
      <w:iCs/>
      <w:sz w:val="26"/>
      <w:szCs w:val="26"/>
    </w:rPr>
  </w:style>
  <w:style w:type="paragraph" w:styleId="6">
    <w:name w:val="heading 6"/>
    <w:basedOn w:val="a1"/>
    <w:next w:val="a1"/>
    <w:link w:val="6Char"/>
    <w:semiHidden/>
    <w:qFormat/>
    <w:rsid w:val="00EB592C"/>
    <w:pPr>
      <w:spacing w:before="240" w:after="60"/>
      <w:outlineLvl w:val="5"/>
    </w:pPr>
    <w:rPr>
      <w:rFonts w:ascii="Calibri" w:hAnsi="Calibri"/>
      <w:b/>
      <w:bCs/>
      <w:sz w:val="22"/>
      <w:szCs w:val="22"/>
    </w:rPr>
  </w:style>
  <w:style w:type="paragraph" w:styleId="7">
    <w:name w:val="heading 7"/>
    <w:basedOn w:val="a1"/>
    <w:next w:val="a1"/>
    <w:link w:val="7Char"/>
    <w:semiHidden/>
    <w:qFormat/>
    <w:rsid w:val="00EB592C"/>
    <w:pPr>
      <w:spacing w:before="240" w:after="60"/>
      <w:outlineLvl w:val="6"/>
    </w:pPr>
    <w:rPr>
      <w:rFonts w:ascii="Calibri" w:hAnsi="Calibri"/>
      <w:szCs w:val="24"/>
    </w:rPr>
  </w:style>
  <w:style w:type="paragraph" w:styleId="8">
    <w:name w:val="heading 8"/>
    <w:basedOn w:val="a1"/>
    <w:next w:val="a1"/>
    <w:link w:val="8Char"/>
    <w:semiHidden/>
    <w:qFormat/>
    <w:rsid w:val="00EB592C"/>
    <w:pPr>
      <w:spacing w:before="240" w:after="60"/>
      <w:outlineLvl w:val="7"/>
    </w:pPr>
    <w:rPr>
      <w:rFonts w:ascii="Calibri" w:hAnsi="Calibri"/>
      <w:i/>
      <w:iCs/>
      <w:szCs w:val="24"/>
    </w:rPr>
  </w:style>
  <w:style w:type="paragraph" w:styleId="9">
    <w:name w:val="heading 9"/>
    <w:basedOn w:val="a1"/>
    <w:next w:val="a1"/>
    <w:link w:val="9Char"/>
    <w:semiHidden/>
    <w:qFormat/>
    <w:rsid w:val="00EB592C"/>
    <w:pPr>
      <w:spacing w:before="240" w:after="60"/>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basedOn w:val="a2"/>
    <w:link w:val="1"/>
    <w:rsid w:val="00EB592C"/>
    <w:rPr>
      <w:rFonts w:ascii="Times New Roman" w:eastAsia="Times New Roman" w:hAnsi="Times New Roman" w:cs="Times New Roman"/>
      <w:b/>
      <w:bCs/>
      <w:kern w:val="32"/>
      <w:lang w:eastAsia="en-US"/>
    </w:rPr>
  </w:style>
  <w:style w:type="character" w:customStyle="1" w:styleId="2Char">
    <w:name w:val="标题 2 Char"/>
    <w:basedOn w:val="a2"/>
    <w:link w:val="21"/>
    <w:semiHidden/>
    <w:rsid w:val="00EB592C"/>
    <w:rPr>
      <w:rFonts w:ascii="Cambria" w:eastAsia="Times New Roman" w:hAnsi="Cambria" w:cs="Times New Roman"/>
      <w:b/>
      <w:bCs/>
      <w:i/>
      <w:iCs/>
      <w:sz w:val="28"/>
      <w:szCs w:val="28"/>
      <w:lang w:eastAsia="en-US"/>
    </w:rPr>
  </w:style>
  <w:style w:type="character" w:customStyle="1" w:styleId="3Char">
    <w:name w:val="标题 3 Char"/>
    <w:basedOn w:val="a2"/>
    <w:link w:val="31"/>
    <w:semiHidden/>
    <w:rsid w:val="00EB592C"/>
    <w:rPr>
      <w:rFonts w:ascii="Times" w:eastAsia="Times" w:hAnsi="Times" w:cs="Times New Roman"/>
      <w:b/>
      <w:szCs w:val="20"/>
      <w:lang w:eastAsia="en-US"/>
    </w:rPr>
  </w:style>
  <w:style w:type="character" w:customStyle="1" w:styleId="4Char">
    <w:name w:val="标题 4 Char"/>
    <w:basedOn w:val="a2"/>
    <w:link w:val="41"/>
    <w:semiHidden/>
    <w:rsid w:val="00EB592C"/>
    <w:rPr>
      <w:rFonts w:ascii="Times" w:eastAsia="Times New Roman" w:hAnsi="Times" w:cs="Times New Roman"/>
      <w:b/>
      <w:color w:val="0000FF"/>
      <w:sz w:val="44"/>
      <w:szCs w:val="20"/>
      <w:lang w:eastAsia="en-US"/>
    </w:rPr>
  </w:style>
  <w:style w:type="character" w:customStyle="1" w:styleId="5Char">
    <w:name w:val="标题 5 Char"/>
    <w:basedOn w:val="a2"/>
    <w:link w:val="51"/>
    <w:semiHidden/>
    <w:rsid w:val="00EB592C"/>
    <w:rPr>
      <w:rFonts w:ascii="Calibri" w:eastAsia="Times New Roman" w:hAnsi="Calibri" w:cs="Times New Roman"/>
      <w:b/>
      <w:bCs/>
      <w:i/>
      <w:iCs/>
      <w:sz w:val="26"/>
      <w:szCs w:val="26"/>
      <w:lang w:eastAsia="en-US"/>
    </w:rPr>
  </w:style>
  <w:style w:type="character" w:customStyle="1" w:styleId="6Char">
    <w:name w:val="标题 6 Char"/>
    <w:basedOn w:val="a2"/>
    <w:link w:val="6"/>
    <w:semiHidden/>
    <w:rsid w:val="00EB592C"/>
    <w:rPr>
      <w:rFonts w:ascii="Calibri" w:eastAsia="Times New Roman" w:hAnsi="Calibri" w:cs="Times New Roman"/>
      <w:b/>
      <w:bCs/>
      <w:sz w:val="22"/>
      <w:szCs w:val="22"/>
      <w:lang w:eastAsia="en-US"/>
    </w:rPr>
  </w:style>
  <w:style w:type="character" w:customStyle="1" w:styleId="7Char">
    <w:name w:val="标题 7 Char"/>
    <w:basedOn w:val="a2"/>
    <w:link w:val="7"/>
    <w:semiHidden/>
    <w:rsid w:val="00EB592C"/>
    <w:rPr>
      <w:rFonts w:ascii="Calibri" w:eastAsia="Times New Roman" w:hAnsi="Calibri" w:cs="Times New Roman"/>
      <w:lang w:eastAsia="en-US"/>
    </w:rPr>
  </w:style>
  <w:style w:type="character" w:customStyle="1" w:styleId="8Char">
    <w:name w:val="标题 8 Char"/>
    <w:basedOn w:val="a2"/>
    <w:link w:val="8"/>
    <w:semiHidden/>
    <w:rsid w:val="00EB592C"/>
    <w:rPr>
      <w:rFonts w:ascii="Calibri" w:eastAsia="Times New Roman" w:hAnsi="Calibri" w:cs="Times New Roman"/>
      <w:i/>
      <w:iCs/>
      <w:lang w:eastAsia="en-US"/>
    </w:rPr>
  </w:style>
  <w:style w:type="character" w:customStyle="1" w:styleId="9Char">
    <w:name w:val="标题 9 Char"/>
    <w:basedOn w:val="a2"/>
    <w:link w:val="9"/>
    <w:semiHidden/>
    <w:rsid w:val="00EB592C"/>
    <w:rPr>
      <w:rFonts w:ascii="Cambria" w:eastAsia="Times New Roman" w:hAnsi="Cambria" w:cs="Times New Roman"/>
      <w:sz w:val="22"/>
      <w:szCs w:val="22"/>
      <w:lang w:eastAsia="en-US"/>
    </w:rPr>
  </w:style>
  <w:style w:type="character" w:styleId="a5">
    <w:name w:val="page number"/>
    <w:basedOn w:val="a2"/>
    <w:semiHidden/>
    <w:rsid w:val="00EB592C"/>
  </w:style>
  <w:style w:type="paragraph" w:customStyle="1" w:styleId="SMHeading">
    <w:name w:val="SM Heading"/>
    <w:basedOn w:val="1"/>
    <w:qFormat/>
    <w:rsid w:val="00EB592C"/>
  </w:style>
  <w:style w:type="paragraph" w:customStyle="1" w:styleId="SMSubheading">
    <w:name w:val="SM Subheading"/>
    <w:basedOn w:val="a1"/>
    <w:qFormat/>
    <w:rsid w:val="00EB592C"/>
    <w:rPr>
      <w:u w:val="words"/>
    </w:rPr>
  </w:style>
  <w:style w:type="paragraph" w:customStyle="1" w:styleId="SMText">
    <w:name w:val="SM Text"/>
    <w:basedOn w:val="a1"/>
    <w:qFormat/>
    <w:rsid w:val="00EB592C"/>
    <w:pPr>
      <w:ind w:firstLine="480"/>
    </w:pPr>
  </w:style>
  <w:style w:type="paragraph" w:customStyle="1" w:styleId="SMcaption">
    <w:name w:val="SM caption"/>
    <w:basedOn w:val="SMText"/>
    <w:qFormat/>
    <w:rsid w:val="00EB592C"/>
    <w:pPr>
      <w:ind w:firstLine="0"/>
    </w:pPr>
  </w:style>
  <w:style w:type="paragraph" w:styleId="a6">
    <w:name w:val="Balloon Text"/>
    <w:basedOn w:val="a1"/>
    <w:link w:val="Char"/>
    <w:semiHidden/>
    <w:rsid w:val="00EB592C"/>
    <w:rPr>
      <w:rFonts w:ascii="Tahoma" w:hAnsi="Tahoma" w:cs="Tahoma"/>
      <w:sz w:val="16"/>
      <w:szCs w:val="16"/>
    </w:rPr>
  </w:style>
  <w:style w:type="character" w:customStyle="1" w:styleId="Char">
    <w:name w:val="批注框文本 Char"/>
    <w:basedOn w:val="a2"/>
    <w:link w:val="a6"/>
    <w:semiHidden/>
    <w:rsid w:val="00EB592C"/>
    <w:rPr>
      <w:rFonts w:ascii="Tahoma" w:eastAsia="Times New Roman" w:hAnsi="Tahoma" w:cs="Tahoma"/>
      <w:sz w:val="16"/>
      <w:szCs w:val="16"/>
      <w:lang w:eastAsia="en-US"/>
    </w:rPr>
  </w:style>
  <w:style w:type="paragraph" w:styleId="a7">
    <w:name w:val="Bibliography"/>
    <w:basedOn w:val="a1"/>
    <w:next w:val="a1"/>
    <w:uiPriority w:val="37"/>
    <w:semiHidden/>
    <w:rsid w:val="00EB592C"/>
    <w:pPr>
      <w:tabs>
        <w:tab w:val="left" w:pos="500"/>
      </w:tabs>
      <w:spacing w:after="240"/>
    </w:pPr>
  </w:style>
  <w:style w:type="paragraph" w:styleId="a8">
    <w:name w:val="Block Text"/>
    <w:basedOn w:val="a1"/>
    <w:semiHidden/>
    <w:rsid w:val="00EB592C"/>
    <w:pPr>
      <w:spacing w:after="120"/>
      <w:ind w:left="1440" w:right="1440"/>
    </w:pPr>
  </w:style>
  <w:style w:type="paragraph" w:styleId="a9">
    <w:name w:val="Body Text"/>
    <w:basedOn w:val="a1"/>
    <w:link w:val="Char0"/>
    <w:semiHidden/>
    <w:rsid w:val="00EB592C"/>
    <w:pPr>
      <w:spacing w:after="120"/>
    </w:pPr>
  </w:style>
  <w:style w:type="character" w:customStyle="1" w:styleId="Char0">
    <w:name w:val="正文文本 Char"/>
    <w:basedOn w:val="a2"/>
    <w:link w:val="a9"/>
    <w:semiHidden/>
    <w:rsid w:val="00EB592C"/>
    <w:rPr>
      <w:rFonts w:ascii="Times New Roman" w:eastAsia="Times New Roman" w:hAnsi="Times New Roman" w:cs="Times New Roman"/>
      <w:szCs w:val="20"/>
      <w:lang w:eastAsia="en-US"/>
    </w:rPr>
  </w:style>
  <w:style w:type="paragraph" w:styleId="22">
    <w:name w:val="Body Text 2"/>
    <w:basedOn w:val="a1"/>
    <w:link w:val="2Char0"/>
    <w:semiHidden/>
    <w:rsid w:val="00EB592C"/>
    <w:pPr>
      <w:spacing w:after="120" w:line="480" w:lineRule="auto"/>
    </w:pPr>
  </w:style>
  <w:style w:type="character" w:customStyle="1" w:styleId="2Char0">
    <w:name w:val="正文文本 2 Char"/>
    <w:basedOn w:val="a2"/>
    <w:link w:val="22"/>
    <w:semiHidden/>
    <w:rsid w:val="00EB592C"/>
    <w:rPr>
      <w:rFonts w:ascii="Times New Roman" w:eastAsia="Times New Roman" w:hAnsi="Times New Roman" w:cs="Times New Roman"/>
      <w:szCs w:val="20"/>
      <w:lang w:eastAsia="en-US"/>
    </w:rPr>
  </w:style>
  <w:style w:type="paragraph" w:styleId="32">
    <w:name w:val="Body Text 3"/>
    <w:basedOn w:val="a1"/>
    <w:link w:val="3Char0"/>
    <w:semiHidden/>
    <w:rsid w:val="00EB592C"/>
    <w:pPr>
      <w:spacing w:after="120"/>
    </w:pPr>
    <w:rPr>
      <w:sz w:val="16"/>
      <w:szCs w:val="16"/>
    </w:rPr>
  </w:style>
  <w:style w:type="character" w:customStyle="1" w:styleId="3Char0">
    <w:name w:val="正文文本 3 Char"/>
    <w:basedOn w:val="a2"/>
    <w:link w:val="32"/>
    <w:semiHidden/>
    <w:rsid w:val="00EB592C"/>
    <w:rPr>
      <w:rFonts w:ascii="Times New Roman" w:eastAsia="Times New Roman" w:hAnsi="Times New Roman" w:cs="Times New Roman"/>
      <w:sz w:val="16"/>
      <w:szCs w:val="16"/>
      <w:lang w:eastAsia="en-US"/>
    </w:rPr>
  </w:style>
  <w:style w:type="paragraph" w:styleId="aa">
    <w:name w:val="Body Text First Indent"/>
    <w:basedOn w:val="a9"/>
    <w:link w:val="Char1"/>
    <w:semiHidden/>
    <w:rsid w:val="00EB592C"/>
    <w:pPr>
      <w:ind w:firstLine="210"/>
    </w:pPr>
  </w:style>
  <w:style w:type="character" w:customStyle="1" w:styleId="Char1">
    <w:name w:val="正文首行缩进 Char"/>
    <w:basedOn w:val="Char0"/>
    <w:link w:val="aa"/>
    <w:semiHidden/>
    <w:rsid w:val="00EB592C"/>
    <w:rPr>
      <w:rFonts w:ascii="Times New Roman" w:eastAsia="Times New Roman" w:hAnsi="Times New Roman" w:cs="Times New Roman"/>
      <w:szCs w:val="20"/>
      <w:lang w:eastAsia="en-US"/>
    </w:rPr>
  </w:style>
  <w:style w:type="paragraph" w:styleId="ab">
    <w:name w:val="Body Text Indent"/>
    <w:basedOn w:val="a1"/>
    <w:link w:val="Char2"/>
    <w:semiHidden/>
    <w:rsid w:val="00EB592C"/>
    <w:pPr>
      <w:spacing w:after="120"/>
      <w:ind w:left="360"/>
    </w:pPr>
  </w:style>
  <w:style w:type="character" w:customStyle="1" w:styleId="Char2">
    <w:name w:val="正文文本缩进 Char"/>
    <w:basedOn w:val="a2"/>
    <w:link w:val="ab"/>
    <w:semiHidden/>
    <w:rsid w:val="00EB592C"/>
    <w:rPr>
      <w:rFonts w:ascii="Times New Roman" w:eastAsia="Times New Roman" w:hAnsi="Times New Roman" w:cs="Times New Roman"/>
      <w:szCs w:val="20"/>
      <w:lang w:eastAsia="en-US"/>
    </w:rPr>
  </w:style>
  <w:style w:type="paragraph" w:styleId="23">
    <w:name w:val="Body Text First Indent 2"/>
    <w:basedOn w:val="ab"/>
    <w:link w:val="2Char1"/>
    <w:semiHidden/>
    <w:rsid w:val="00EB592C"/>
    <w:pPr>
      <w:ind w:firstLine="210"/>
    </w:pPr>
  </w:style>
  <w:style w:type="character" w:customStyle="1" w:styleId="2Char1">
    <w:name w:val="正文首行缩进 2 Char"/>
    <w:basedOn w:val="Char2"/>
    <w:link w:val="23"/>
    <w:semiHidden/>
    <w:rsid w:val="00EB592C"/>
    <w:rPr>
      <w:rFonts w:ascii="Times New Roman" w:eastAsia="Times New Roman" w:hAnsi="Times New Roman" w:cs="Times New Roman"/>
      <w:szCs w:val="20"/>
      <w:lang w:eastAsia="en-US"/>
    </w:rPr>
  </w:style>
  <w:style w:type="paragraph" w:styleId="24">
    <w:name w:val="Body Text Indent 2"/>
    <w:basedOn w:val="a1"/>
    <w:link w:val="2Char2"/>
    <w:semiHidden/>
    <w:rsid w:val="00EB592C"/>
    <w:pPr>
      <w:spacing w:after="120" w:line="480" w:lineRule="auto"/>
      <w:ind w:left="360"/>
    </w:pPr>
  </w:style>
  <w:style w:type="character" w:customStyle="1" w:styleId="2Char2">
    <w:name w:val="正文文本缩进 2 Char"/>
    <w:basedOn w:val="a2"/>
    <w:link w:val="24"/>
    <w:semiHidden/>
    <w:rsid w:val="00EB592C"/>
    <w:rPr>
      <w:rFonts w:ascii="Times New Roman" w:eastAsia="Times New Roman" w:hAnsi="Times New Roman" w:cs="Times New Roman"/>
      <w:szCs w:val="20"/>
      <w:lang w:eastAsia="en-US"/>
    </w:rPr>
  </w:style>
  <w:style w:type="paragraph" w:styleId="33">
    <w:name w:val="Body Text Indent 3"/>
    <w:basedOn w:val="a1"/>
    <w:link w:val="3Char1"/>
    <w:semiHidden/>
    <w:rsid w:val="00EB592C"/>
    <w:pPr>
      <w:spacing w:after="120"/>
      <w:ind w:left="360"/>
    </w:pPr>
    <w:rPr>
      <w:sz w:val="16"/>
      <w:szCs w:val="16"/>
    </w:rPr>
  </w:style>
  <w:style w:type="character" w:customStyle="1" w:styleId="3Char1">
    <w:name w:val="正文文本缩进 3 Char"/>
    <w:basedOn w:val="a2"/>
    <w:link w:val="33"/>
    <w:semiHidden/>
    <w:rsid w:val="00EB592C"/>
    <w:rPr>
      <w:rFonts w:ascii="Times New Roman" w:eastAsia="Times New Roman" w:hAnsi="Times New Roman" w:cs="Times New Roman"/>
      <w:sz w:val="16"/>
      <w:szCs w:val="16"/>
      <w:lang w:eastAsia="en-US"/>
    </w:rPr>
  </w:style>
  <w:style w:type="paragraph" w:styleId="ac">
    <w:name w:val="caption"/>
    <w:basedOn w:val="a1"/>
    <w:next w:val="a1"/>
    <w:semiHidden/>
    <w:qFormat/>
    <w:rsid w:val="00EB592C"/>
    <w:rPr>
      <w:b/>
      <w:bCs/>
      <w:sz w:val="20"/>
    </w:rPr>
  </w:style>
  <w:style w:type="paragraph" w:styleId="ad">
    <w:name w:val="Closing"/>
    <w:basedOn w:val="a1"/>
    <w:link w:val="Char3"/>
    <w:semiHidden/>
    <w:rsid w:val="00EB592C"/>
    <w:pPr>
      <w:ind w:left="4320"/>
    </w:pPr>
  </w:style>
  <w:style w:type="character" w:customStyle="1" w:styleId="Char3">
    <w:name w:val="结束语 Char"/>
    <w:basedOn w:val="a2"/>
    <w:link w:val="ad"/>
    <w:semiHidden/>
    <w:rsid w:val="00EB592C"/>
    <w:rPr>
      <w:rFonts w:ascii="Times New Roman" w:eastAsia="Times New Roman" w:hAnsi="Times New Roman" w:cs="Times New Roman"/>
      <w:szCs w:val="20"/>
      <w:lang w:eastAsia="en-US"/>
    </w:rPr>
  </w:style>
  <w:style w:type="paragraph" w:styleId="ae">
    <w:name w:val="annotation text"/>
    <w:basedOn w:val="a1"/>
    <w:link w:val="Char4"/>
    <w:semiHidden/>
    <w:rsid w:val="00EB592C"/>
    <w:rPr>
      <w:sz w:val="20"/>
    </w:rPr>
  </w:style>
  <w:style w:type="character" w:customStyle="1" w:styleId="Char4">
    <w:name w:val="批注文字 Char"/>
    <w:basedOn w:val="a2"/>
    <w:link w:val="ae"/>
    <w:semiHidden/>
    <w:rsid w:val="00EB592C"/>
    <w:rPr>
      <w:rFonts w:ascii="Times New Roman" w:eastAsia="Times New Roman" w:hAnsi="Times New Roman" w:cs="Times New Roman"/>
      <w:sz w:val="20"/>
      <w:szCs w:val="20"/>
      <w:lang w:eastAsia="en-US"/>
    </w:rPr>
  </w:style>
  <w:style w:type="paragraph" w:styleId="af">
    <w:name w:val="annotation subject"/>
    <w:basedOn w:val="ae"/>
    <w:next w:val="ae"/>
    <w:link w:val="Char5"/>
    <w:semiHidden/>
    <w:rsid w:val="00EB592C"/>
    <w:rPr>
      <w:b/>
      <w:bCs/>
    </w:rPr>
  </w:style>
  <w:style w:type="character" w:customStyle="1" w:styleId="Char5">
    <w:name w:val="批注主题 Char"/>
    <w:basedOn w:val="Char4"/>
    <w:link w:val="af"/>
    <w:semiHidden/>
    <w:rsid w:val="00EB592C"/>
    <w:rPr>
      <w:rFonts w:ascii="Times New Roman" w:eastAsia="Times New Roman" w:hAnsi="Times New Roman" w:cs="Times New Roman"/>
      <w:b/>
      <w:bCs/>
      <w:sz w:val="20"/>
      <w:szCs w:val="20"/>
      <w:lang w:eastAsia="en-US"/>
    </w:rPr>
  </w:style>
  <w:style w:type="paragraph" w:styleId="af0">
    <w:name w:val="Date"/>
    <w:basedOn w:val="a1"/>
    <w:next w:val="a1"/>
    <w:link w:val="Char6"/>
    <w:semiHidden/>
    <w:rsid w:val="00EB592C"/>
  </w:style>
  <w:style w:type="character" w:customStyle="1" w:styleId="Char6">
    <w:name w:val="日期 Char"/>
    <w:basedOn w:val="a2"/>
    <w:link w:val="af0"/>
    <w:semiHidden/>
    <w:rsid w:val="00EB592C"/>
    <w:rPr>
      <w:rFonts w:ascii="Times New Roman" w:eastAsia="Times New Roman" w:hAnsi="Times New Roman" w:cs="Times New Roman"/>
      <w:szCs w:val="20"/>
      <w:lang w:eastAsia="en-US"/>
    </w:rPr>
  </w:style>
  <w:style w:type="paragraph" w:styleId="af1">
    <w:name w:val="Document Map"/>
    <w:basedOn w:val="a1"/>
    <w:link w:val="Char7"/>
    <w:semiHidden/>
    <w:rsid w:val="00EB592C"/>
    <w:rPr>
      <w:rFonts w:ascii="Tahoma" w:hAnsi="Tahoma" w:cs="Tahoma"/>
      <w:sz w:val="16"/>
      <w:szCs w:val="16"/>
    </w:rPr>
  </w:style>
  <w:style w:type="character" w:customStyle="1" w:styleId="Char7">
    <w:name w:val="文档结构图 Char"/>
    <w:basedOn w:val="a2"/>
    <w:link w:val="af1"/>
    <w:semiHidden/>
    <w:rsid w:val="00EB592C"/>
    <w:rPr>
      <w:rFonts w:ascii="Tahoma" w:eastAsia="Times New Roman" w:hAnsi="Tahoma" w:cs="Tahoma"/>
      <w:sz w:val="16"/>
      <w:szCs w:val="16"/>
      <w:lang w:eastAsia="en-US"/>
    </w:rPr>
  </w:style>
  <w:style w:type="paragraph" w:styleId="af2">
    <w:name w:val="E-mail Signature"/>
    <w:basedOn w:val="a1"/>
    <w:link w:val="Char8"/>
    <w:semiHidden/>
    <w:rsid w:val="00EB592C"/>
  </w:style>
  <w:style w:type="character" w:customStyle="1" w:styleId="Char8">
    <w:name w:val="电子邮件签名 Char"/>
    <w:basedOn w:val="a2"/>
    <w:link w:val="af2"/>
    <w:semiHidden/>
    <w:rsid w:val="00EB592C"/>
    <w:rPr>
      <w:rFonts w:ascii="Times New Roman" w:eastAsia="Times New Roman" w:hAnsi="Times New Roman" w:cs="Times New Roman"/>
      <w:szCs w:val="20"/>
      <w:lang w:eastAsia="en-US"/>
    </w:rPr>
  </w:style>
  <w:style w:type="paragraph" w:styleId="af3">
    <w:name w:val="endnote text"/>
    <w:basedOn w:val="a1"/>
    <w:link w:val="Char9"/>
    <w:semiHidden/>
    <w:rsid w:val="00EB592C"/>
    <w:rPr>
      <w:sz w:val="20"/>
    </w:rPr>
  </w:style>
  <w:style w:type="character" w:customStyle="1" w:styleId="Char9">
    <w:name w:val="尾注文本 Char"/>
    <w:basedOn w:val="a2"/>
    <w:link w:val="af3"/>
    <w:semiHidden/>
    <w:rsid w:val="00EB592C"/>
    <w:rPr>
      <w:rFonts w:ascii="Times New Roman" w:eastAsia="Times New Roman" w:hAnsi="Times New Roman" w:cs="Times New Roman"/>
      <w:sz w:val="20"/>
      <w:szCs w:val="20"/>
      <w:lang w:eastAsia="en-US"/>
    </w:rPr>
  </w:style>
  <w:style w:type="paragraph" w:styleId="af4">
    <w:name w:val="envelope address"/>
    <w:basedOn w:val="a1"/>
    <w:semiHidden/>
    <w:rsid w:val="00EB592C"/>
    <w:pPr>
      <w:framePr w:w="7920" w:h="1980" w:hRule="exact" w:hSpace="180" w:wrap="auto" w:hAnchor="page" w:xAlign="center" w:yAlign="bottom"/>
      <w:ind w:left="2880"/>
    </w:pPr>
    <w:rPr>
      <w:rFonts w:ascii="Cambria" w:hAnsi="Cambria"/>
      <w:szCs w:val="24"/>
    </w:rPr>
  </w:style>
  <w:style w:type="paragraph" w:styleId="af5">
    <w:name w:val="envelope return"/>
    <w:basedOn w:val="a1"/>
    <w:semiHidden/>
    <w:rsid w:val="00EB592C"/>
    <w:rPr>
      <w:rFonts w:ascii="Cambria" w:hAnsi="Cambria"/>
      <w:sz w:val="20"/>
    </w:rPr>
  </w:style>
  <w:style w:type="paragraph" w:styleId="af6">
    <w:name w:val="footer"/>
    <w:basedOn w:val="a1"/>
    <w:link w:val="Chara"/>
    <w:semiHidden/>
    <w:rsid w:val="00EB592C"/>
    <w:pPr>
      <w:tabs>
        <w:tab w:val="center" w:pos="4680"/>
        <w:tab w:val="right" w:pos="9360"/>
      </w:tabs>
    </w:pPr>
  </w:style>
  <w:style w:type="character" w:customStyle="1" w:styleId="Chara">
    <w:name w:val="页脚 Char"/>
    <w:basedOn w:val="a2"/>
    <w:link w:val="af6"/>
    <w:semiHidden/>
    <w:rsid w:val="00EB592C"/>
    <w:rPr>
      <w:rFonts w:ascii="Times New Roman" w:eastAsia="Times New Roman" w:hAnsi="Times New Roman" w:cs="Times New Roman"/>
      <w:szCs w:val="20"/>
      <w:lang w:eastAsia="en-US"/>
    </w:rPr>
  </w:style>
  <w:style w:type="paragraph" w:styleId="af7">
    <w:name w:val="footnote text"/>
    <w:basedOn w:val="a1"/>
    <w:link w:val="Charb"/>
    <w:semiHidden/>
    <w:rsid w:val="00EB592C"/>
    <w:rPr>
      <w:sz w:val="20"/>
    </w:rPr>
  </w:style>
  <w:style w:type="character" w:customStyle="1" w:styleId="Charb">
    <w:name w:val="脚注文本 Char"/>
    <w:basedOn w:val="a2"/>
    <w:link w:val="af7"/>
    <w:semiHidden/>
    <w:rsid w:val="00EB592C"/>
    <w:rPr>
      <w:rFonts w:ascii="Times New Roman" w:eastAsia="Times New Roman" w:hAnsi="Times New Roman" w:cs="Times New Roman"/>
      <w:sz w:val="20"/>
      <w:szCs w:val="20"/>
      <w:lang w:eastAsia="en-US"/>
    </w:rPr>
  </w:style>
  <w:style w:type="paragraph" w:styleId="af8">
    <w:name w:val="header"/>
    <w:basedOn w:val="a1"/>
    <w:link w:val="Charc"/>
    <w:semiHidden/>
    <w:rsid w:val="00EB592C"/>
    <w:pPr>
      <w:tabs>
        <w:tab w:val="center" w:pos="4680"/>
        <w:tab w:val="right" w:pos="9360"/>
      </w:tabs>
    </w:pPr>
  </w:style>
  <w:style w:type="character" w:customStyle="1" w:styleId="Charc">
    <w:name w:val="页眉 Char"/>
    <w:basedOn w:val="a2"/>
    <w:link w:val="af8"/>
    <w:semiHidden/>
    <w:rsid w:val="00EB592C"/>
    <w:rPr>
      <w:rFonts w:ascii="Times New Roman" w:eastAsia="Times New Roman" w:hAnsi="Times New Roman" w:cs="Times New Roman"/>
      <w:szCs w:val="20"/>
      <w:lang w:eastAsia="en-US"/>
    </w:rPr>
  </w:style>
  <w:style w:type="paragraph" w:styleId="HTML">
    <w:name w:val="HTML Address"/>
    <w:basedOn w:val="a1"/>
    <w:link w:val="HTMLChar"/>
    <w:semiHidden/>
    <w:rsid w:val="00EB592C"/>
    <w:rPr>
      <w:i/>
      <w:iCs/>
    </w:rPr>
  </w:style>
  <w:style w:type="character" w:customStyle="1" w:styleId="HTMLChar">
    <w:name w:val="HTML 地址 Char"/>
    <w:basedOn w:val="a2"/>
    <w:link w:val="HTML"/>
    <w:semiHidden/>
    <w:rsid w:val="00EB592C"/>
    <w:rPr>
      <w:rFonts w:ascii="Times New Roman" w:eastAsia="Times New Roman" w:hAnsi="Times New Roman" w:cs="Times New Roman"/>
      <w:i/>
      <w:iCs/>
      <w:szCs w:val="20"/>
      <w:lang w:eastAsia="en-US"/>
    </w:rPr>
  </w:style>
  <w:style w:type="paragraph" w:styleId="HTML0">
    <w:name w:val="HTML Preformatted"/>
    <w:basedOn w:val="a1"/>
    <w:link w:val="HTMLChar0"/>
    <w:semiHidden/>
    <w:rsid w:val="00EB592C"/>
    <w:rPr>
      <w:rFonts w:ascii="Courier New" w:hAnsi="Courier New" w:cs="Courier New"/>
      <w:sz w:val="20"/>
    </w:rPr>
  </w:style>
  <w:style w:type="character" w:customStyle="1" w:styleId="HTMLChar0">
    <w:name w:val="HTML 预设格式 Char"/>
    <w:basedOn w:val="a2"/>
    <w:link w:val="HTML0"/>
    <w:semiHidden/>
    <w:rsid w:val="00EB592C"/>
    <w:rPr>
      <w:rFonts w:ascii="Courier New" w:eastAsia="Times New Roman" w:hAnsi="Courier New" w:cs="Courier New"/>
      <w:sz w:val="20"/>
      <w:szCs w:val="20"/>
      <w:lang w:eastAsia="en-US"/>
    </w:rPr>
  </w:style>
  <w:style w:type="paragraph" w:styleId="10">
    <w:name w:val="index 1"/>
    <w:basedOn w:val="a1"/>
    <w:next w:val="a1"/>
    <w:autoRedefine/>
    <w:semiHidden/>
    <w:rsid w:val="00EB592C"/>
    <w:pPr>
      <w:ind w:left="240" w:hanging="240"/>
    </w:pPr>
  </w:style>
  <w:style w:type="paragraph" w:styleId="25">
    <w:name w:val="index 2"/>
    <w:basedOn w:val="a1"/>
    <w:next w:val="a1"/>
    <w:autoRedefine/>
    <w:semiHidden/>
    <w:rsid w:val="00EB592C"/>
    <w:pPr>
      <w:ind w:left="480" w:hanging="240"/>
    </w:pPr>
  </w:style>
  <w:style w:type="paragraph" w:styleId="34">
    <w:name w:val="index 3"/>
    <w:basedOn w:val="a1"/>
    <w:next w:val="a1"/>
    <w:autoRedefine/>
    <w:semiHidden/>
    <w:rsid w:val="00EB592C"/>
    <w:pPr>
      <w:ind w:left="720" w:hanging="240"/>
    </w:pPr>
  </w:style>
  <w:style w:type="paragraph" w:styleId="42">
    <w:name w:val="index 4"/>
    <w:basedOn w:val="a1"/>
    <w:next w:val="a1"/>
    <w:autoRedefine/>
    <w:semiHidden/>
    <w:rsid w:val="00EB592C"/>
    <w:pPr>
      <w:ind w:left="960" w:hanging="240"/>
    </w:pPr>
  </w:style>
  <w:style w:type="paragraph" w:styleId="52">
    <w:name w:val="index 5"/>
    <w:basedOn w:val="a1"/>
    <w:next w:val="a1"/>
    <w:autoRedefine/>
    <w:semiHidden/>
    <w:rsid w:val="00EB592C"/>
    <w:pPr>
      <w:ind w:left="1200" w:hanging="240"/>
    </w:pPr>
  </w:style>
  <w:style w:type="paragraph" w:styleId="60">
    <w:name w:val="index 6"/>
    <w:basedOn w:val="a1"/>
    <w:next w:val="a1"/>
    <w:autoRedefine/>
    <w:semiHidden/>
    <w:rsid w:val="00EB592C"/>
    <w:pPr>
      <w:ind w:left="1440" w:hanging="240"/>
    </w:pPr>
  </w:style>
  <w:style w:type="paragraph" w:styleId="70">
    <w:name w:val="index 7"/>
    <w:basedOn w:val="a1"/>
    <w:next w:val="a1"/>
    <w:autoRedefine/>
    <w:semiHidden/>
    <w:rsid w:val="00EB592C"/>
    <w:pPr>
      <w:ind w:left="1680" w:hanging="240"/>
    </w:pPr>
  </w:style>
  <w:style w:type="paragraph" w:styleId="80">
    <w:name w:val="index 8"/>
    <w:basedOn w:val="a1"/>
    <w:next w:val="a1"/>
    <w:autoRedefine/>
    <w:semiHidden/>
    <w:rsid w:val="00EB592C"/>
    <w:pPr>
      <w:ind w:left="1920" w:hanging="240"/>
    </w:pPr>
  </w:style>
  <w:style w:type="paragraph" w:styleId="90">
    <w:name w:val="index 9"/>
    <w:basedOn w:val="a1"/>
    <w:next w:val="a1"/>
    <w:autoRedefine/>
    <w:semiHidden/>
    <w:rsid w:val="00EB592C"/>
    <w:pPr>
      <w:ind w:left="2160" w:hanging="240"/>
    </w:pPr>
  </w:style>
  <w:style w:type="paragraph" w:styleId="af9">
    <w:name w:val="index heading"/>
    <w:basedOn w:val="a1"/>
    <w:next w:val="10"/>
    <w:semiHidden/>
    <w:rsid w:val="00EB592C"/>
    <w:rPr>
      <w:rFonts w:ascii="Cambria" w:hAnsi="Cambria"/>
      <w:b/>
      <w:bCs/>
    </w:rPr>
  </w:style>
  <w:style w:type="paragraph" w:styleId="afa">
    <w:name w:val="Intense Quote"/>
    <w:basedOn w:val="a1"/>
    <w:next w:val="a1"/>
    <w:link w:val="Chard"/>
    <w:uiPriority w:val="30"/>
    <w:qFormat/>
    <w:rsid w:val="00EB592C"/>
    <w:pPr>
      <w:pBdr>
        <w:bottom w:val="single" w:sz="4" w:space="4" w:color="4F81BD"/>
      </w:pBdr>
      <w:spacing w:before="200" w:after="280"/>
      <w:ind w:left="936" w:right="936"/>
    </w:pPr>
    <w:rPr>
      <w:b/>
      <w:bCs/>
      <w:i/>
      <w:iCs/>
      <w:color w:val="4F81BD"/>
    </w:rPr>
  </w:style>
  <w:style w:type="character" w:customStyle="1" w:styleId="Chard">
    <w:name w:val="明显引用 Char"/>
    <w:basedOn w:val="a2"/>
    <w:link w:val="afa"/>
    <w:uiPriority w:val="30"/>
    <w:rsid w:val="00EB592C"/>
    <w:rPr>
      <w:rFonts w:ascii="Times New Roman" w:eastAsia="Times New Roman" w:hAnsi="Times New Roman" w:cs="Times New Roman"/>
      <w:b/>
      <w:bCs/>
      <w:i/>
      <w:iCs/>
      <w:color w:val="4F81BD"/>
      <w:szCs w:val="20"/>
      <w:lang w:eastAsia="en-US"/>
    </w:rPr>
  </w:style>
  <w:style w:type="paragraph" w:styleId="afb">
    <w:name w:val="List"/>
    <w:basedOn w:val="a1"/>
    <w:semiHidden/>
    <w:rsid w:val="00EB592C"/>
    <w:pPr>
      <w:ind w:left="360" w:hanging="360"/>
      <w:contextualSpacing/>
    </w:pPr>
  </w:style>
  <w:style w:type="paragraph" w:styleId="26">
    <w:name w:val="List 2"/>
    <w:basedOn w:val="a1"/>
    <w:semiHidden/>
    <w:rsid w:val="00EB592C"/>
    <w:pPr>
      <w:ind w:left="720" w:hanging="360"/>
      <w:contextualSpacing/>
    </w:pPr>
  </w:style>
  <w:style w:type="paragraph" w:styleId="35">
    <w:name w:val="List 3"/>
    <w:basedOn w:val="a1"/>
    <w:semiHidden/>
    <w:rsid w:val="00EB592C"/>
    <w:pPr>
      <w:ind w:left="1080" w:hanging="360"/>
      <w:contextualSpacing/>
    </w:pPr>
  </w:style>
  <w:style w:type="paragraph" w:styleId="43">
    <w:name w:val="List 4"/>
    <w:basedOn w:val="a1"/>
    <w:semiHidden/>
    <w:rsid w:val="00EB592C"/>
    <w:pPr>
      <w:ind w:left="1440" w:hanging="360"/>
      <w:contextualSpacing/>
    </w:pPr>
  </w:style>
  <w:style w:type="paragraph" w:styleId="53">
    <w:name w:val="List 5"/>
    <w:basedOn w:val="a1"/>
    <w:semiHidden/>
    <w:rsid w:val="00EB592C"/>
    <w:pPr>
      <w:ind w:left="1800" w:hanging="360"/>
      <w:contextualSpacing/>
    </w:pPr>
  </w:style>
  <w:style w:type="paragraph" w:styleId="a0">
    <w:name w:val="List Bullet"/>
    <w:basedOn w:val="a1"/>
    <w:semiHidden/>
    <w:rsid w:val="00EB592C"/>
    <w:pPr>
      <w:numPr>
        <w:numId w:val="1"/>
      </w:numPr>
      <w:contextualSpacing/>
    </w:pPr>
  </w:style>
  <w:style w:type="paragraph" w:styleId="20">
    <w:name w:val="List Bullet 2"/>
    <w:basedOn w:val="a1"/>
    <w:semiHidden/>
    <w:rsid w:val="00EB592C"/>
    <w:pPr>
      <w:numPr>
        <w:numId w:val="2"/>
      </w:numPr>
      <w:contextualSpacing/>
    </w:pPr>
  </w:style>
  <w:style w:type="paragraph" w:styleId="30">
    <w:name w:val="List Bullet 3"/>
    <w:basedOn w:val="a1"/>
    <w:semiHidden/>
    <w:rsid w:val="00EB592C"/>
    <w:pPr>
      <w:numPr>
        <w:numId w:val="3"/>
      </w:numPr>
      <w:contextualSpacing/>
    </w:pPr>
  </w:style>
  <w:style w:type="paragraph" w:styleId="40">
    <w:name w:val="List Bullet 4"/>
    <w:basedOn w:val="a1"/>
    <w:semiHidden/>
    <w:rsid w:val="00EB592C"/>
    <w:pPr>
      <w:numPr>
        <w:numId w:val="4"/>
      </w:numPr>
      <w:contextualSpacing/>
    </w:pPr>
  </w:style>
  <w:style w:type="paragraph" w:styleId="50">
    <w:name w:val="List Bullet 5"/>
    <w:basedOn w:val="a1"/>
    <w:semiHidden/>
    <w:rsid w:val="00EB592C"/>
    <w:pPr>
      <w:numPr>
        <w:numId w:val="5"/>
      </w:numPr>
      <w:contextualSpacing/>
    </w:pPr>
  </w:style>
  <w:style w:type="paragraph" w:styleId="afc">
    <w:name w:val="List Continue"/>
    <w:basedOn w:val="a1"/>
    <w:semiHidden/>
    <w:rsid w:val="00EB592C"/>
    <w:pPr>
      <w:spacing w:after="120"/>
      <w:ind w:left="360"/>
      <w:contextualSpacing/>
    </w:pPr>
  </w:style>
  <w:style w:type="paragraph" w:styleId="27">
    <w:name w:val="List Continue 2"/>
    <w:basedOn w:val="a1"/>
    <w:semiHidden/>
    <w:rsid w:val="00EB592C"/>
    <w:pPr>
      <w:spacing w:after="120"/>
      <w:ind w:left="720"/>
      <w:contextualSpacing/>
    </w:pPr>
  </w:style>
  <w:style w:type="paragraph" w:styleId="36">
    <w:name w:val="List Continue 3"/>
    <w:basedOn w:val="a1"/>
    <w:semiHidden/>
    <w:rsid w:val="00EB592C"/>
    <w:pPr>
      <w:spacing w:after="120"/>
      <w:ind w:left="1080"/>
      <w:contextualSpacing/>
    </w:pPr>
  </w:style>
  <w:style w:type="paragraph" w:styleId="44">
    <w:name w:val="List Continue 4"/>
    <w:basedOn w:val="a1"/>
    <w:semiHidden/>
    <w:rsid w:val="00EB592C"/>
    <w:pPr>
      <w:spacing w:after="120"/>
      <w:ind w:left="1440"/>
      <w:contextualSpacing/>
    </w:pPr>
  </w:style>
  <w:style w:type="paragraph" w:styleId="54">
    <w:name w:val="List Continue 5"/>
    <w:basedOn w:val="a1"/>
    <w:semiHidden/>
    <w:rsid w:val="00EB592C"/>
    <w:pPr>
      <w:spacing w:after="120"/>
      <w:ind w:left="1800"/>
      <w:contextualSpacing/>
    </w:pPr>
  </w:style>
  <w:style w:type="paragraph" w:styleId="a">
    <w:name w:val="List Number"/>
    <w:basedOn w:val="a1"/>
    <w:semiHidden/>
    <w:rsid w:val="00EB592C"/>
    <w:pPr>
      <w:numPr>
        <w:numId w:val="6"/>
      </w:numPr>
      <w:contextualSpacing/>
    </w:pPr>
  </w:style>
  <w:style w:type="paragraph" w:styleId="2">
    <w:name w:val="List Number 2"/>
    <w:basedOn w:val="a1"/>
    <w:semiHidden/>
    <w:rsid w:val="00EB592C"/>
    <w:pPr>
      <w:numPr>
        <w:numId w:val="7"/>
      </w:numPr>
      <w:contextualSpacing/>
    </w:pPr>
  </w:style>
  <w:style w:type="paragraph" w:styleId="3">
    <w:name w:val="List Number 3"/>
    <w:basedOn w:val="a1"/>
    <w:semiHidden/>
    <w:rsid w:val="00EB592C"/>
    <w:pPr>
      <w:numPr>
        <w:numId w:val="8"/>
      </w:numPr>
      <w:contextualSpacing/>
    </w:pPr>
  </w:style>
  <w:style w:type="paragraph" w:styleId="4">
    <w:name w:val="List Number 4"/>
    <w:basedOn w:val="a1"/>
    <w:semiHidden/>
    <w:rsid w:val="00EB592C"/>
    <w:pPr>
      <w:numPr>
        <w:numId w:val="9"/>
      </w:numPr>
      <w:contextualSpacing/>
    </w:pPr>
  </w:style>
  <w:style w:type="paragraph" w:styleId="5">
    <w:name w:val="List Number 5"/>
    <w:basedOn w:val="a1"/>
    <w:semiHidden/>
    <w:rsid w:val="00EB592C"/>
    <w:pPr>
      <w:numPr>
        <w:numId w:val="10"/>
      </w:numPr>
      <w:contextualSpacing/>
    </w:pPr>
  </w:style>
  <w:style w:type="paragraph" w:styleId="afd">
    <w:name w:val="List Paragraph"/>
    <w:basedOn w:val="a1"/>
    <w:uiPriority w:val="34"/>
    <w:qFormat/>
    <w:rsid w:val="00EB592C"/>
    <w:pPr>
      <w:ind w:left="720"/>
    </w:pPr>
  </w:style>
  <w:style w:type="paragraph" w:styleId="afe">
    <w:name w:val="macro"/>
    <w:link w:val="Chare"/>
    <w:semiHidden/>
    <w:rsid w:val="00EB592C"/>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lang w:eastAsia="en-US"/>
    </w:rPr>
  </w:style>
  <w:style w:type="character" w:customStyle="1" w:styleId="Chare">
    <w:name w:val="宏文本 Char"/>
    <w:basedOn w:val="a2"/>
    <w:link w:val="afe"/>
    <w:semiHidden/>
    <w:rsid w:val="00EB592C"/>
    <w:rPr>
      <w:rFonts w:ascii="Courier New" w:eastAsia="Times New Roman" w:hAnsi="Courier New" w:cs="Courier New"/>
      <w:sz w:val="20"/>
      <w:szCs w:val="20"/>
      <w:lang w:eastAsia="en-US"/>
    </w:rPr>
  </w:style>
  <w:style w:type="paragraph" w:styleId="aff">
    <w:name w:val="Message Header"/>
    <w:basedOn w:val="a1"/>
    <w:link w:val="Charf"/>
    <w:semiHidden/>
    <w:rsid w:val="00EB592C"/>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Charf">
    <w:name w:val="信息标题 Char"/>
    <w:basedOn w:val="a2"/>
    <w:link w:val="aff"/>
    <w:semiHidden/>
    <w:rsid w:val="00EB592C"/>
    <w:rPr>
      <w:rFonts w:ascii="Cambria" w:eastAsia="Times New Roman" w:hAnsi="Cambria" w:cs="Times New Roman"/>
      <w:shd w:val="pct20" w:color="auto" w:fill="auto"/>
      <w:lang w:eastAsia="en-US"/>
    </w:rPr>
  </w:style>
  <w:style w:type="paragraph" w:styleId="aff0">
    <w:name w:val="No Spacing"/>
    <w:uiPriority w:val="1"/>
    <w:qFormat/>
    <w:rsid w:val="00EB592C"/>
    <w:rPr>
      <w:rFonts w:ascii="Times New Roman" w:eastAsia="Times New Roman" w:hAnsi="Times New Roman" w:cs="Times New Roman"/>
      <w:szCs w:val="20"/>
      <w:lang w:eastAsia="en-US"/>
    </w:rPr>
  </w:style>
  <w:style w:type="paragraph" w:styleId="aff1">
    <w:name w:val="Normal (Web)"/>
    <w:basedOn w:val="a1"/>
    <w:uiPriority w:val="99"/>
    <w:rsid w:val="00EB592C"/>
    <w:rPr>
      <w:szCs w:val="24"/>
    </w:rPr>
  </w:style>
  <w:style w:type="paragraph" w:styleId="aff2">
    <w:name w:val="Normal Indent"/>
    <w:basedOn w:val="a1"/>
    <w:semiHidden/>
    <w:rsid w:val="00EB592C"/>
    <w:pPr>
      <w:ind w:left="720"/>
    </w:pPr>
  </w:style>
  <w:style w:type="paragraph" w:styleId="aff3">
    <w:name w:val="Note Heading"/>
    <w:basedOn w:val="a1"/>
    <w:next w:val="a1"/>
    <w:link w:val="Charf0"/>
    <w:semiHidden/>
    <w:rsid w:val="00EB592C"/>
  </w:style>
  <w:style w:type="character" w:customStyle="1" w:styleId="Charf0">
    <w:name w:val="注释标题 Char"/>
    <w:basedOn w:val="a2"/>
    <w:link w:val="aff3"/>
    <w:semiHidden/>
    <w:rsid w:val="00EB592C"/>
    <w:rPr>
      <w:rFonts w:ascii="Times New Roman" w:eastAsia="Times New Roman" w:hAnsi="Times New Roman" w:cs="Times New Roman"/>
      <w:szCs w:val="20"/>
      <w:lang w:eastAsia="en-US"/>
    </w:rPr>
  </w:style>
  <w:style w:type="paragraph" w:styleId="aff4">
    <w:name w:val="Plain Text"/>
    <w:basedOn w:val="a1"/>
    <w:link w:val="Charf1"/>
    <w:semiHidden/>
    <w:rsid w:val="00EB592C"/>
    <w:rPr>
      <w:rFonts w:ascii="Courier New" w:hAnsi="Courier New" w:cs="Courier New"/>
      <w:sz w:val="20"/>
    </w:rPr>
  </w:style>
  <w:style w:type="character" w:customStyle="1" w:styleId="Charf1">
    <w:name w:val="纯文本 Char"/>
    <w:basedOn w:val="a2"/>
    <w:link w:val="aff4"/>
    <w:semiHidden/>
    <w:rsid w:val="00EB592C"/>
    <w:rPr>
      <w:rFonts w:ascii="Courier New" w:eastAsia="Times New Roman" w:hAnsi="Courier New" w:cs="Courier New"/>
      <w:sz w:val="20"/>
      <w:szCs w:val="20"/>
      <w:lang w:eastAsia="en-US"/>
    </w:rPr>
  </w:style>
  <w:style w:type="paragraph" w:styleId="aff5">
    <w:name w:val="Quote"/>
    <w:basedOn w:val="a1"/>
    <w:next w:val="a1"/>
    <w:link w:val="Charf2"/>
    <w:uiPriority w:val="29"/>
    <w:qFormat/>
    <w:rsid w:val="00EB592C"/>
    <w:rPr>
      <w:i/>
      <w:iCs/>
      <w:color w:val="000000"/>
    </w:rPr>
  </w:style>
  <w:style w:type="character" w:customStyle="1" w:styleId="Charf2">
    <w:name w:val="引用 Char"/>
    <w:basedOn w:val="a2"/>
    <w:link w:val="aff5"/>
    <w:uiPriority w:val="29"/>
    <w:rsid w:val="00EB592C"/>
    <w:rPr>
      <w:rFonts w:ascii="Times New Roman" w:eastAsia="Times New Roman" w:hAnsi="Times New Roman" w:cs="Times New Roman"/>
      <w:i/>
      <w:iCs/>
      <w:color w:val="000000"/>
      <w:szCs w:val="20"/>
      <w:lang w:eastAsia="en-US"/>
    </w:rPr>
  </w:style>
  <w:style w:type="paragraph" w:styleId="aff6">
    <w:name w:val="Salutation"/>
    <w:basedOn w:val="a1"/>
    <w:next w:val="a1"/>
    <w:link w:val="Charf3"/>
    <w:semiHidden/>
    <w:rsid w:val="00EB592C"/>
  </w:style>
  <w:style w:type="character" w:customStyle="1" w:styleId="Charf3">
    <w:name w:val="称呼 Char"/>
    <w:basedOn w:val="a2"/>
    <w:link w:val="aff6"/>
    <w:semiHidden/>
    <w:rsid w:val="00EB592C"/>
    <w:rPr>
      <w:rFonts w:ascii="Times New Roman" w:eastAsia="Times New Roman" w:hAnsi="Times New Roman" w:cs="Times New Roman"/>
      <w:szCs w:val="20"/>
      <w:lang w:eastAsia="en-US"/>
    </w:rPr>
  </w:style>
  <w:style w:type="paragraph" w:styleId="aff7">
    <w:name w:val="Signature"/>
    <w:basedOn w:val="a1"/>
    <w:link w:val="Charf4"/>
    <w:semiHidden/>
    <w:rsid w:val="00EB592C"/>
    <w:pPr>
      <w:ind w:left="4320"/>
    </w:pPr>
  </w:style>
  <w:style w:type="character" w:customStyle="1" w:styleId="Charf4">
    <w:name w:val="签名 Char"/>
    <w:basedOn w:val="a2"/>
    <w:link w:val="aff7"/>
    <w:semiHidden/>
    <w:rsid w:val="00EB592C"/>
    <w:rPr>
      <w:rFonts w:ascii="Times New Roman" w:eastAsia="Times New Roman" w:hAnsi="Times New Roman" w:cs="Times New Roman"/>
      <w:szCs w:val="20"/>
      <w:lang w:eastAsia="en-US"/>
    </w:rPr>
  </w:style>
  <w:style w:type="paragraph" w:styleId="aff8">
    <w:name w:val="Subtitle"/>
    <w:basedOn w:val="a1"/>
    <w:next w:val="a1"/>
    <w:link w:val="Charf5"/>
    <w:qFormat/>
    <w:rsid w:val="00EB592C"/>
    <w:pPr>
      <w:spacing w:after="60"/>
      <w:jc w:val="center"/>
      <w:outlineLvl w:val="1"/>
    </w:pPr>
    <w:rPr>
      <w:rFonts w:ascii="Cambria" w:hAnsi="Cambria"/>
      <w:szCs w:val="24"/>
    </w:rPr>
  </w:style>
  <w:style w:type="character" w:customStyle="1" w:styleId="Charf5">
    <w:name w:val="副标题 Char"/>
    <w:basedOn w:val="a2"/>
    <w:link w:val="aff8"/>
    <w:rsid w:val="00EB592C"/>
    <w:rPr>
      <w:rFonts w:ascii="Cambria" w:eastAsia="Times New Roman" w:hAnsi="Cambria" w:cs="Times New Roman"/>
      <w:lang w:eastAsia="en-US"/>
    </w:rPr>
  </w:style>
  <w:style w:type="paragraph" w:styleId="aff9">
    <w:name w:val="table of authorities"/>
    <w:basedOn w:val="a1"/>
    <w:next w:val="a1"/>
    <w:semiHidden/>
    <w:rsid w:val="00EB592C"/>
    <w:pPr>
      <w:ind w:left="240" w:hanging="240"/>
    </w:pPr>
  </w:style>
  <w:style w:type="paragraph" w:styleId="affa">
    <w:name w:val="table of figures"/>
    <w:basedOn w:val="a1"/>
    <w:next w:val="a1"/>
    <w:semiHidden/>
    <w:rsid w:val="00EB592C"/>
  </w:style>
  <w:style w:type="paragraph" w:styleId="affb">
    <w:name w:val="Title"/>
    <w:basedOn w:val="a1"/>
    <w:next w:val="a1"/>
    <w:link w:val="Charf6"/>
    <w:qFormat/>
    <w:rsid w:val="00EB592C"/>
    <w:pPr>
      <w:spacing w:before="240" w:after="60"/>
      <w:jc w:val="center"/>
      <w:outlineLvl w:val="0"/>
    </w:pPr>
    <w:rPr>
      <w:rFonts w:ascii="Cambria" w:hAnsi="Cambria"/>
      <w:b/>
      <w:bCs/>
      <w:kern w:val="28"/>
      <w:sz w:val="32"/>
      <w:szCs w:val="32"/>
    </w:rPr>
  </w:style>
  <w:style w:type="character" w:customStyle="1" w:styleId="Charf6">
    <w:name w:val="标题 Char"/>
    <w:basedOn w:val="a2"/>
    <w:link w:val="affb"/>
    <w:rsid w:val="00EB592C"/>
    <w:rPr>
      <w:rFonts w:ascii="Cambria" w:eastAsia="Times New Roman" w:hAnsi="Cambria" w:cs="Times New Roman"/>
      <w:b/>
      <w:bCs/>
      <w:kern w:val="28"/>
      <w:sz w:val="32"/>
      <w:szCs w:val="32"/>
      <w:lang w:eastAsia="en-US"/>
    </w:rPr>
  </w:style>
  <w:style w:type="paragraph" w:styleId="affc">
    <w:name w:val="toa heading"/>
    <w:basedOn w:val="a1"/>
    <w:next w:val="a1"/>
    <w:semiHidden/>
    <w:rsid w:val="00EB592C"/>
    <w:pPr>
      <w:spacing w:before="120"/>
    </w:pPr>
    <w:rPr>
      <w:rFonts w:ascii="Cambria" w:hAnsi="Cambria"/>
      <w:b/>
      <w:bCs/>
      <w:szCs w:val="24"/>
    </w:rPr>
  </w:style>
  <w:style w:type="paragraph" w:styleId="11">
    <w:name w:val="toc 1"/>
    <w:basedOn w:val="a1"/>
    <w:next w:val="a1"/>
    <w:autoRedefine/>
    <w:semiHidden/>
    <w:rsid w:val="00EB592C"/>
  </w:style>
  <w:style w:type="paragraph" w:styleId="28">
    <w:name w:val="toc 2"/>
    <w:basedOn w:val="a1"/>
    <w:next w:val="a1"/>
    <w:autoRedefine/>
    <w:semiHidden/>
    <w:rsid w:val="00EB592C"/>
    <w:pPr>
      <w:ind w:left="240"/>
    </w:pPr>
  </w:style>
  <w:style w:type="paragraph" w:styleId="37">
    <w:name w:val="toc 3"/>
    <w:basedOn w:val="a1"/>
    <w:next w:val="a1"/>
    <w:autoRedefine/>
    <w:semiHidden/>
    <w:rsid w:val="00EB592C"/>
    <w:pPr>
      <w:ind w:left="480"/>
    </w:pPr>
  </w:style>
  <w:style w:type="paragraph" w:styleId="45">
    <w:name w:val="toc 4"/>
    <w:basedOn w:val="a1"/>
    <w:next w:val="a1"/>
    <w:autoRedefine/>
    <w:semiHidden/>
    <w:rsid w:val="00EB592C"/>
    <w:pPr>
      <w:ind w:left="720"/>
    </w:pPr>
  </w:style>
  <w:style w:type="paragraph" w:styleId="55">
    <w:name w:val="toc 5"/>
    <w:basedOn w:val="a1"/>
    <w:next w:val="a1"/>
    <w:autoRedefine/>
    <w:semiHidden/>
    <w:rsid w:val="00EB592C"/>
    <w:pPr>
      <w:ind w:left="960"/>
    </w:pPr>
  </w:style>
  <w:style w:type="paragraph" w:styleId="61">
    <w:name w:val="toc 6"/>
    <w:basedOn w:val="a1"/>
    <w:next w:val="a1"/>
    <w:autoRedefine/>
    <w:semiHidden/>
    <w:rsid w:val="00EB592C"/>
    <w:pPr>
      <w:ind w:left="1200"/>
    </w:pPr>
  </w:style>
  <w:style w:type="paragraph" w:styleId="71">
    <w:name w:val="toc 7"/>
    <w:basedOn w:val="a1"/>
    <w:next w:val="a1"/>
    <w:autoRedefine/>
    <w:semiHidden/>
    <w:rsid w:val="00EB592C"/>
    <w:pPr>
      <w:ind w:left="1440"/>
    </w:pPr>
  </w:style>
  <w:style w:type="paragraph" w:styleId="81">
    <w:name w:val="toc 8"/>
    <w:basedOn w:val="a1"/>
    <w:next w:val="a1"/>
    <w:autoRedefine/>
    <w:semiHidden/>
    <w:rsid w:val="00EB592C"/>
    <w:pPr>
      <w:ind w:left="1680"/>
    </w:pPr>
  </w:style>
  <w:style w:type="paragraph" w:styleId="91">
    <w:name w:val="toc 9"/>
    <w:basedOn w:val="a1"/>
    <w:next w:val="a1"/>
    <w:autoRedefine/>
    <w:semiHidden/>
    <w:rsid w:val="00EB592C"/>
    <w:pPr>
      <w:ind w:left="1920"/>
    </w:pPr>
  </w:style>
  <w:style w:type="paragraph" w:styleId="TOC">
    <w:name w:val="TOC Heading"/>
    <w:basedOn w:val="1"/>
    <w:next w:val="a1"/>
    <w:uiPriority w:val="39"/>
    <w:semiHidden/>
    <w:unhideWhenUsed/>
    <w:qFormat/>
    <w:rsid w:val="00EB592C"/>
    <w:pPr>
      <w:outlineLvl w:val="9"/>
    </w:pPr>
    <w:rPr>
      <w:rFonts w:ascii="Cambria" w:hAnsi="Cambria"/>
      <w:sz w:val="32"/>
      <w:szCs w:val="32"/>
    </w:rPr>
  </w:style>
  <w:style w:type="character" w:styleId="affd">
    <w:name w:val="Hyperlink"/>
    <w:basedOn w:val="a2"/>
    <w:semiHidden/>
    <w:rsid w:val="00EB592C"/>
    <w:rPr>
      <w:color w:val="0000FF"/>
      <w:u w:val="single"/>
    </w:rPr>
  </w:style>
  <w:style w:type="character" w:styleId="affe">
    <w:name w:val="Emphasis"/>
    <w:basedOn w:val="a2"/>
    <w:uiPriority w:val="20"/>
    <w:qFormat/>
    <w:rsid w:val="00EB592C"/>
    <w:rPr>
      <w:i/>
      <w:iCs/>
    </w:rPr>
  </w:style>
  <w:style w:type="character" w:styleId="afff">
    <w:name w:val="annotation reference"/>
    <w:basedOn w:val="a2"/>
    <w:semiHidden/>
    <w:rsid w:val="00EB592C"/>
    <w:rPr>
      <w:sz w:val="16"/>
      <w:szCs w:val="16"/>
    </w:rPr>
  </w:style>
  <w:style w:type="character" w:styleId="afff0">
    <w:name w:val="FollowedHyperlink"/>
    <w:basedOn w:val="a2"/>
    <w:semiHidden/>
    <w:unhideWhenUsed/>
    <w:rsid w:val="00EB592C"/>
    <w:rPr>
      <w:color w:val="954F72" w:themeColor="followedHyperlink"/>
      <w:u w:val="single"/>
    </w:rPr>
  </w:style>
  <w:style w:type="paragraph" w:customStyle="1" w:styleId="SOMContent">
    <w:name w:val="SOMContent"/>
    <w:basedOn w:val="a1"/>
    <w:rsid w:val="00EB592C"/>
    <w:pPr>
      <w:spacing w:before="120"/>
    </w:pPr>
    <w:rPr>
      <w:szCs w:val="24"/>
    </w:rPr>
  </w:style>
  <w:style w:type="paragraph" w:customStyle="1" w:styleId="Paragraph">
    <w:name w:val="Paragraph"/>
    <w:basedOn w:val="a1"/>
    <w:rsid w:val="00EB592C"/>
    <w:pPr>
      <w:spacing w:before="120"/>
      <w:ind w:firstLine="720"/>
    </w:pPr>
    <w:rPr>
      <w:szCs w:val="24"/>
    </w:rPr>
  </w:style>
  <w:style w:type="table" w:styleId="afff1">
    <w:name w:val="Table Grid"/>
    <w:basedOn w:val="a3"/>
    <w:uiPriority w:val="39"/>
    <w:rsid w:val="003752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footnote reference" w:uiPriority="99"/>
    <w:lsdException w:name="lin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3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B592C"/>
    <w:rPr>
      <w:rFonts w:ascii="Times New Roman" w:eastAsia="Times New Roman" w:hAnsi="Times New Roman" w:cs="Times New Roman"/>
      <w:szCs w:val="20"/>
      <w:lang w:eastAsia="en-US"/>
    </w:rPr>
  </w:style>
  <w:style w:type="paragraph" w:styleId="1">
    <w:name w:val="heading 1"/>
    <w:basedOn w:val="a1"/>
    <w:next w:val="a1"/>
    <w:link w:val="1Char"/>
    <w:qFormat/>
    <w:rsid w:val="00EB592C"/>
    <w:pPr>
      <w:keepNext/>
      <w:spacing w:before="240" w:after="60"/>
      <w:outlineLvl w:val="0"/>
    </w:pPr>
    <w:rPr>
      <w:b/>
      <w:bCs/>
      <w:kern w:val="32"/>
      <w:szCs w:val="24"/>
    </w:rPr>
  </w:style>
  <w:style w:type="paragraph" w:styleId="21">
    <w:name w:val="heading 2"/>
    <w:basedOn w:val="a1"/>
    <w:next w:val="a1"/>
    <w:link w:val="2Char"/>
    <w:semiHidden/>
    <w:qFormat/>
    <w:rsid w:val="00EB592C"/>
    <w:pPr>
      <w:keepNext/>
      <w:spacing w:before="240" w:after="60"/>
      <w:outlineLvl w:val="1"/>
    </w:pPr>
    <w:rPr>
      <w:rFonts w:ascii="Cambria" w:hAnsi="Cambria"/>
      <w:b/>
      <w:bCs/>
      <w:i/>
      <w:iCs/>
      <w:sz w:val="28"/>
      <w:szCs w:val="28"/>
    </w:rPr>
  </w:style>
  <w:style w:type="paragraph" w:styleId="31">
    <w:name w:val="heading 3"/>
    <w:basedOn w:val="a1"/>
    <w:next w:val="a1"/>
    <w:link w:val="3Char"/>
    <w:semiHidden/>
    <w:qFormat/>
    <w:rsid w:val="00EB592C"/>
    <w:pPr>
      <w:keepNext/>
      <w:spacing w:line="480" w:lineRule="auto"/>
      <w:outlineLvl w:val="2"/>
    </w:pPr>
    <w:rPr>
      <w:rFonts w:ascii="Times" w:eastAsia="Times" w:hAnsi="Times"/>
      <w:b/>
    </w:rPr>
  </w:style>
  <w:style w:type="paragraph" w:styleId="41">
    <w:name w:val="heading 4"/>
    <w:basedOn w:val="a1"/>
    <w:next w:val="a1"/>
    <w:link w:val="4Char"/>
    <w:semiHidden/>
    <w:qFormat/>
    <w:rsid w:val="00EB592C"/>
    <w:pPr>
      <w:keepNext/>
      <w:spacing w:line="480" w:lineRule="auto"/>
      <w:outlineLvl w:val="3"/>
    </w:pPr>
    <w:rPr>
      <w:rFonts w:ascii="Times" w:hAnsi="Times"/>
      <w:b/>
      <w:color w:val="0000FF"/>
      <w:sz w:val="44"/>
    </w:rPr>
  </w:style>
  <w:style w:type="paragraph" w:styleId="51">
    <w:name w:val="heading 5"/>
    <w:basedOn w:val="a1"/>
    <w:next w:val="a1"/>
    <w:link w:val="5Char"/>
    <w:semiHidden/>
    <w:qFormat/>
    <w:rsid w:val="00EB592C"/>
    <w:pPr>
      <w:spacing w:before="240" w:after="60"/>
      <w:outlineLvl w:val="4"/>
    </w:pPr>
    <w:rPr>
      <w:rFonts w:ascii="Calibri" w:hAnsi="Calibri"/>
      <w:b/>
      <w:bCs/>
      <w:i/>
      <w:iCs/>
      <w:sz w:val="26"/>
      <w:szCs w:val="26"/>
    </w:rPr>
  </w:style>
  <w:style w:type="paragraph" w:styleId="6">
    <w:name w:val="heading 6"/>
    <w:basedOn w:val="a1"/>
    <w:next w:val="a1"/>
    <w:link w:val="6Char"/>
    <w:semiHidden/>
    <w:qFormat/>
    <w:rsid w:val="00EB592C"/>
    <w:pPr>
      <w:spacing w:before="240" w:after="60"/>
      <w:outlineLvl w:val="5"/>
    </w:pPr>
    <w:rPr>
      <w:rFonts w:ascii="Calibri" w:hAnsi="Calibri"/>
      <w:b/>
      <w:bCs/>
      <w:sz w:val="22"/>
      <w:szCs w:val="22"/>
    </w:rPr>
  </w:style>
  <w:style w:type="paragraph" w:styleId="7">
    <w:name w:val="heading 7"/>
    <w:basedOn w:val="a1"/>
    <w:next w:val="a1"/>
    <w:link w:val="7Char"/>
    <w:semiHidden/>
    <w:qFormat/>
    <w:rsid w:val="00EB592C"/>
    <w:pPr>
      <w:spacing w:before="240" w:after="60"/>
      <w:outlineLvl w:val="6"/>
    </w:pPr>
    <w:rPr>
      <w:rFonts w:ascii="Calibri" w:hAnsi="Calibri"/>
      <w:szCs w:val="24"/>
    </w:rPr>
  </w:style>
  <w:style w:type="paragraph" w:styleId="8">
    <w:name w:val="heading 8"/>
    <w:basedOn w:val="a1"/>
    <w:next w:val="a1"/>
    <w:link w:val="8Char"/>
    <w:semiHidden/>
    <w:qFormat/>
    <w:rsid w:val="00EB592C"/>
    <w:pPr>
      <w:spacing w:before="240" w:after="60"/>
      <w:outlineLvl w:val="7"/>
    </w:pPr>
    <w:rPr>
      <w:rFonts w:ascii="Calibri" w:hAnsi="Calibri"/>
      <w:i/>
      <w:iCs/>
      <w:szCs w:val="24"/>
    </w:rPr>
  </w:style>
  <w:style w:type="paragraph" w:styleId="9">
    <w:name w:val="heading 9"/>
    <w:basedOn w:val="a1"/>
    <w:next w:val="a1"/>
    <w:link w:val="9Char"/>
    <w:semiHidden/>
    <w:qFormat/>
    <w:rsid w:val="00EB592C"/>
    <w:pPr>
      <w:spacing w:before="240" w:after="60"/>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basedOn w:val="a2"/>
    <w:link w:val="1"/>
    <w:rsid w:val="00EB592C"/>
    <w:rPr>
      <w:rFonts w:ascii="Times New Roman" w:eastAsia="Times New Roman" w:hAnsi="Times New Roman" w:cs="Times New Roman"/>
      <w:b/>
      <w:bCs/>
      <w:kern w:val="32"/>
      <w:lang w:eastAsia="en-US"/>
    </w:rPr>
  </w:style>
  <w:style w:type="character" w:customStyle="1" w:styleId="2Char">
    <w:name w:val="标题 2 Char"/>
    <w:basedOn w:val="a2"/>
    <w:link w:val="21"/>
    <w:semiHidden/>
    <w:rsid w:val="00EB592C"/>
    <w:rPr>
      <w:rFonts w:ascii="Cambria" w:eastAsia="Times New Roman" w:hAnsi="Cambria" w:cs="Times New Roman"/>
      <w:b/>
      <w:bCs/>
      <w:i/>
      <w:iCs/>
      <w:sz w:val="28"/>
      <w:szCs w:val="28"/>
      <w:lang w:eastAsia="en-US"/>
    </w:rPr>
  </w:style>
  <w:style w:type="character" w:customStyle="1" w:styleId="3Char">
    <w:name w:val="标题 3 Char"/>
    <w:basedOn w:val="a2"/>
    <w:link w:val="31"/>
    <w:semiHidden/>
    <w:rsid w:val="00EB592C"/>
    <w:rPr>
      <w:rFonts w:ascii="Times" w:eastAsia="Times" w:hAnsi="Times" w:cs="Times New Roman"/>
      <w:b/>
      <w:szCs w:val="20"/>
      <w:lang w:eastAsia="en-US"/>
    </w:rPr>
  </w:style>
  <w:style w:type="character" w:customStyle="1" w:styleId="4Char">
    <w:name w:val="标题 4 Char"/>
    <w:basedOn w:val="a2"/>
    <w:link w:val="41"/>
    <w:semiHidden/>
    <w:rsid w:val="00EB592C"/>
    <w:rPr>
      <w:rFonts w:ascii="Times" w:eastAsia="Times New Roman" w:hAnsi="Times" w:cs="Times New Roman"/>
      <w:b/>
      <w:color w:val="0000FF"/>
      <w:sz w:val="44"/>
      <w:szCs w:val="20"/>
      <w:lang w:eastAsia="en-US"/>
    </w:rPr>
  </w:style>
  <w:style w:type="character" w:customStyle="1" w:styleId="5Char">
    <w:name w:val="标题 5 Char"/>
    <w:basedOn w:val="a2"/>
    <w:link w:val="51"/>
    <w:semiHidden/>
    <w:rsid w:val="00EB592C"/>
    <w:rPr>
      <w:rFonts w:ascii="Calibri" w:eastAsia="Times New Roman" w:hAnsi="Calibri" w:cs="Times New Roman"/>
      <w:b/>
      <w:bCs/>
      <w:i/>
      <w:iCs/>
      <w:sz w:val="26"/>
      <w:szCs w:val="26"/>
      <w:lang w:eastAsia="en-US"/>
    </w:rPr>
  </w:style>
  <w:style w:type="character" w:customStyle="1" w:styleId="6Char">
    <w:name w:val="标题 6 Char"/>
    <w:basedOn w:val="a2"/>
    <w:link w:val="6"/>
    <w:semiHidden/>
    <w:rsid w:val="00EB592C"/>
    <w:rPr>
      <w:rFonts w:ascii="Calibri" w:eastAsia="Times New Roman" w:hAnsi="Calibri" w:cs="Times New Roman"/>
      <w:b/>
      <w:bCs/>
      <w:sz w:val="22"/>
      <w:szCs w:val="22"/>
      <w:lang w:eastAsia="en-US"/>
    </w:rPr>
  </w:style>
  <w:style w:type="character" w:customStyle="1" w:styleId="7Char">
    <w:name w:val="标题 7 Char"/>
    <w:basedOn w:val="a2"/>
    <w:link w:val="7"/>
    <w:semiHidden/>
    <w:rsid w:val="00EB592C"/>
    <w:rPr>
      <w:rFonts w:ascii="Calibri" w:eastAsia="Times New Roman" w:hAnsi="Calibri" w:cs="Times New Roman"/>
      <w:lang w:eastAsia="en-US"/>
    </w:rPr>
  </w:style>
  <w:style w:type="character" w:customStyle="1" w:styleId="8Char">
    <w:name w:val="标题 8 Char"/>
    <w:basedOn w:val="a2"/>
    <w:link w:val="8"/>
    <w:semiHidden/>
    <w:rsid w:val="00EB592C"/>
    <w:rPr>
      <w:rFonts w:ascii="Calibri" w:eastAsia="Times New Roman" w:hAnsi="Calibri" w:cs="Times New Roman"/>
      <w:i/>
      <w:iCs/>
      <w:lang w:eastAsia="en-US"/>
    </w:rPr>
  </w:style>
  <w:style w:type="character" w:customStyle="1" w:styleId="9Char">
    <w:name w:val="标题 9 Char"/>
    <w:basedOn w:val="a2"/>
    <w:link w:val="9"/>
    <w:semiHidden/>
    <w:rsid w:val="00EB592C"/>
    <w:rPr>
      <w:rFonts w:ascii="Cambria" w:eastAsia="Times New Roman" w:hAnsi="Cambria" w:cs="Times New Roman"/>
      <w:sz w:val="22"/>
      <w:szCs w:val="22"/>
      <w:lang w:eastAsia="en-US"/>
    </w:rPr>
  </w:style>
  <w:style w:type="character" w:styleId="a5">
    <w:name w:val="page number"/>
    <w:basedOn w:val="a2"/>
    <w:semiHidden/>
    <w:rsid w:val="00EB592C"/>
  </w:style>
  <w:style w:type="paragraph" w:customStyle="1" w:styleId="SMHeading">
    <w:name w:val="SM Heading"/>
    <w:basedOn w:val="1"/>
    <w:qFormat/>
    <w:rsid w:val="00EB592C"/>
  </w:style>
  <w:style w:type="paragraph" w:customStyle="1" w:styleId="SMSubheading">
    <w:name w:val="SM Subheading"/>
    <w:basedOn w:val="a1"/>
    <w:qFormat/>
    <w:rsid w:val="00EB592C"/>
    <w:rPr>
      <w:u w:val="words"/>
    </w:rPr>
  </w:style>
  <w:style w:type="paragraph" w:customStyle="1" w:styleId="SMText">
    <w:name w:val="SM Text"/>
    <w:basedOn w:val="a1"/>
    <w:qFormat/>
    <w:rsid w:val="00EB592C"/>
    <w:pPr>
      <w:ind w:firstLine="480"/>
    </w:pPr>
  </w:style>
  <w:style w:type="paragraph" w:customStyle="1" w:styleId="SMcaption">
    <w:name w:val="SM caption"/>
    <w:basedOn w:val="SMText"/>
    <w:qFormat/>
    <w:rsid w:val="00EB592C"/>
    <w:pPr>
      <w:ind w:firstLine="0"/>
    </w:pPr>
  </w:style>
  <w:style w:type="paragraph" w:styleId="a6">
    <w:name w:val="Balloon Text"/>
    <w:basedOn w:val="a1"/>
    <w:link w:val="Char"/>
    <w:semiHidden/>
    <w:rsid w:val="00EB592C"/>
    <w:rPr>
      <w:rFonts w:ascii="Tahoma" w:hAnsi="Tahoma" w:cs="Tahoma"/>
      <w:sz w:val="16"/>
      <w:szCs w:val="16"/>
    </w:rPr>
  </w:style>
  <w:style w:type="character" w:customStyle="1" w:styleId="Char">
    <w:name w:val="批注框文本 Char"/>
    <w:basedOn w:val="a2"/>
    <w:link w:val="a6"/>
    <w:semiHidden/>
    <w:rsid w:val="00EB592C"/>
    <w:rPr>
      <w:rFonts w:ascii="Tahoma" w:eastAsia="Times New Roman" w:hAnsi="Tahoma" w:cs="Tahoma"/>
      <w:sz w:val="16"/>
      <w:szCs w:val="16"/>
      <w:lang w:eastAsia="en-US"/>
    </w:rPr>
  </w:style>
  <w:style w:type="paragraph" w:styleId="a7">
    <w:name w:val="Bibliography"/>
    <w:basedOn w:val="a1"/>
    <w:next w:val="a1"/>
    <w:uiPriority w:val="37"/>
    <w:semiHidden/>
    <w:rsid w:val="00EB592C"/>
    <w:pPr>
      <w:tabs>
        <w:tab w:val="left" w:pos="500"/>
      </w:tabs>
      <w:spacing w:after="240"/>
    </w:pPr>
  </w:style>
  <w:style w:type="paragraph" w:styleId="a8">
    <w:name w:val="Block Text"/>
    <w:basedOn w:val="a1"/>
    <w:semiHidden/>
    <w:rsid w:val="00EB592C"/>
    <w:pPr>
      <w:spacing w:after="120"/>
      <w:ind w:left="1440" w:right="1440"/>
    </w:pPr>
  </w:style>
  <w:style w:type="paragraph" w:styleId="a9">
    <w:name w:val="Body Text"/>
    <w:basedOn w:val="a1"/>
    <w:link w:val="Char0"/>
    <w:semiHidden/>
    <w:rsid w:val="00EB592C"/>
    <w:pPr>
      <w:spacing w:after="120"/>
    </w:pPr>
  </w:style>
  <w:style w:type="character" w:customStyle="1" w:styleId="Char0">
    <w:name w:val="正文文本 Char"/>
    <w:basedOn w:val="a2"/>
    <w:link w:val="a9"/>
    <w:semiHidden/>
    <w:rsid w:val="00EB592C"/>
    <w:rPr>
      <w:rFonts w:ascii="Times New Roman" w:eastAsia="Times New Roman" w:hAnsi="Times New Roman" w:cs="Times New Roman"/>
      <w:szCs w:val="20"/>
      <w:lang w:eastAsia="en-US"/>
    </w:rPr>
  </w:style>
  <w:style w:type="paragraph" w:styleId="22">
    <w:name w:val="Body Text 2"/>
    <w:basedOn w:val="a1"/>
    <w:link w:val="2Char0"/>
    <w:semiHidden/>
    <w:rsid w:val="00EB592C"/>
    <w:pPr>
      <w:spacing w:after="120" w:line="480" w:lineRule="auto"/>
    </w:pPr>
  </w:style>
  <w:style w:type="character" w:customStyle="1" w:styleId="2Char0">
    <w:name w:val="正文文本 2 Char"/>
    <w:basedOn w:val="a2"/>
    <w:link w:val="22"/>
    <w:semiHidden/>
    <w:rsid w:val="00EB592C"/>
    <w:rPr>
      <w:rFonts w:ascii="Times New Roman" w:eastAsia="Times New Roman" w:hAnsi="Times New Roman" w:cs="Times New Roman"/>
      <w:szCs w:val="20"/>
      <w:lang w:eastAsia="en-US"/>
    </w:rPr>
  </w:style>
  <w:style w:type="paragraph" w:styleId="32">
    <w:name w:val="Body Text 3"/>
    <w:basedOn w:val="a1"/>
    <w:link w:val="3Char0"/>
    <w:semiHidden/>
    <w:rsid w:val="00EB592C"/>
    <w:pPr>
      <w:spacing w:after="120"/>
    </w:pPr>
    <w:rPr>
      <w:sz w:val="16"/>
      <w:szCs w:val="16"/>
    </w:rPr>
  </w:style>
  <w:style w:type="character" w:customStyle="1" w:styleId="3Char0">
    <w:name w:val="正文文本 3 Char"/>
    <w:basedOn w:val="a2"/>
    <w:link w:val="32"/>
    <w:semiHidden/>
    <w:rsid w:val="00EB592C"/>
    <w:rPr>
      <w:rFonts w:ascii="Times New Roman" w:eastAsia="Times New Roman" w:hAnsi="Times New Roman" w:cs="Times New Roman"/>
      <w:sz w:val="16"/>
      <w:szCs w:val="16"/>
      <w:lang w:eastAsia="en-US"/>
    </w:rPr>
  </w:style>
  <w:style w:type="paragraph" w:styleId="aa">
    <w:name w:val="Body Text First Indent"/>
    <w:basedOn w:val="a9"/>
    <w:link w:val="Char1"/>
    <w:semiHidden/>
    <w:rsid w:val="00EB592C"/>
    <w:pPr>
      <w:ind w:firstLine="210"/>
    </w:pPr>
  </w:style>
  <w:style w:type="character" w:customStyle="1" w:styleId="Char1">
    <w:name w:val="正文首行缩进 Char"/>
    <w:basedOn w:val="Char0"/>
    <w:link w:val="aa"/>
    <w:semiHidden/>
    <w:rsid w:val="00EB592C"/>
    <w:rPr>
      <w:rFonts w:ascii="Times New Roman" w:eastAsia="Times New Roman" w:hAnsi="Times New Roman" w:cs="Times New Roman"/>
      <w:szCs w:val="20"/>
      <w:lang w:eastAsia="en-US"/>
    </w:rPr>
  </w:style>
  <w:style w:type="paragraph" w:styleId="ab">
    <w:name w:val="Body Text Indent"/>
    <w:basedOn w:val="a1"/>
    <w:link w:val="Char2"/>
    <w:semiHidden/>
    <w:rsid w:val="00EB592C"/>
    <w:pPr>
      <w:spacing w:after="120"/>
      <w:ind w:left="360"/>
    </w:pPr>
  </w:style>
  <w:style w:type="character" w:customStyle="1" w:styleId="Char2">
    <w:name w:val="正文文本缩进 Char"/>
    <w:basedOn w:val="a2"/>
    <w:link w:val="ab"/>
    <w:semiHidden/>
    <w:rsid w:val="00EB592C"/>
    <w:rPr>
      <w:rFonts w:ascii="Times New Roman" w:eastAsia="Times New Roman" w:hAnsi="Times New Roman" w:cs="Times New Roman"/>
      <w:szCs w:val="20"/>
      <w:lang w:eastAsia="en-US"/>
    </w:rPr>
  </w:style>
  <w:style w:type="paragraph" w:styleId="23">
    <w:name w:val="Body Text First Indent 2"/>
    <w:basedOn w:val="ab"/>
    <w:link w:val="2Char1"/>
    <w:semiHidden/>
    <w:rsid w:val="00EB592C"/>
    <w:pPr>
      <w:ind w:firstLine="210"/>
    </w:pPr>
  </w:style>
  <w:style w:type="character" w:customStyle="1" w:styleId="2Char1">
    <w:name w:val="正文首行缩进 2 Char"/>
    <w:basedOn w:val="Char2"/>
    <w:link w:val="23"/>
    <w:semiHidden/>
    <w:rsid w:val="00EB592C"/>
    <w:rPr>
      <w:rFonts w:ascii="Times New Roman" w:eastAsia="Times New Roman" w:hAnsi="Times New Roman" w:cs="Times New Roman"/>
      <w:szCs w:val="20"/>
      <w:lang w:eastAsia="en-US"/>
    </w:rPr>
  </w:style>
  <w:style w:type="paragraph" w:styleId="24">
    <w:name w:val="Body Text Indent 2"/>
    <w:basedOn w:val="a1"/>
    <w:link w:val="2Char2"/>
    <w:semiHidden/>
    <w:rsid w:val="00EB592C"/>
    <w:pPr>
      <w:spacing w:after="120" w:line="480" w:lineRule="auto"/>
      <w:ind w:left="360"/>
    </w:pPr>
  </w:style>
  <w:style w:type="character" w:customStyle="1" w:styleId="2Char2">
    <w:name w:val="正文文本缩进 2 Char"/>
    <w:basedOn w:val="a2"/>
    <w:link w:val="24"/>
    <w:semiHidden/>
    <w:rsid w:val="00EB592C"/>
    <w:rPr>
      <w:rFonts w:ascii="Times New Roman" w:eastAsia="Times New Roman" w:hAnsi="Times New Roman" w:cs="Times New Roman"/>
      <w:szCs w:val="20"/>
      <w:lang w:eastAsia="en-US"/>
    </w:rPr>
  </w:style>
  <w:style w:type="paragraph" w:styleId="33">
    <w:name w:val="Body Text Indent 3"/>
    <w:basedOn w:val="a1"/>
    <w:link w:val="3Char1"/>
    <w:semiHidden/>
    <w:rsid w:val="00EB592C"/>
    <w:pPr>
      <w:spacing w:after="120"/>
      <w:ind w:left="360"/>
    </w:pPr>
    <w:rPr>
      <w:sz w:val="16"/>
      <w:szCs w:val="16"/>
    </w:rPr>
  </w:style>
  <w:style w:type="character" w:customStyle="1" w:styleId="3Char1">
    <w:name w:val="正文文本缩进 3 Char"/>
    <w:basedOn w:val="a2"/>
    <w:link w:val="33"/>
    <w:semiHidden/>
    <w:rsid w:val="00EB592C"/>
    <w:rPr>
      <w:rFonts w:ascii="Times New Roman" w:eastAsia="Times New Roman" w:hAnsi="Times New Roman" w:cs="Times New Roman"/>
      <w:sz w:val="16"/>
      <w:szCs w:val="16"/>
      <w:lang w:eastAsia="en-US"/>
    </w:rPr>
  </w:style>
  <w:style w:type="paragraph" w:styleId="ac">
    <w:name w:val="caption"/>
    <w:basedOn w:val="a1"/>
    <w:next w:val="a1"/>
    <w:semiHidden/>
    <w:qFormat/>
    <w:rsid w:val="00EB592C"/>
    <w:rPr>
      <w:b/>
      <w:bCs/>
      <w:sz w:val="20"/>
    </w:rPr>
  </w:style>
  <w:style w:type="paragraph" w:styleId="ad">
    <w:name w:val="Closing"/>
    <w:basedOn w:val="a1"/>
    <w:link w:val="Char3"/>
    <w:semiHidden/>
    <w:rsid w:val="00EB592C"/>
    <w:pPr>
      <w:ind w:left="4320"/>
    </w:pPr>
  </w:style>
  <w:style w:type="character" w:customStyle="1" w:styleId="Char3">
    <w:name w:val="结束语 Char"/>
    <w:basedOn w:val="a2"/>
    <w:link w:val="ad"/>
    <w:semiHidden/>
    <w:rsid w:val="00EB592C"/>
    <w:rPr>
      <w:rFonts w:ascii="Times New Roman" w:eastAsia="Times New Roman" w:hAnsi="Times New Roman" w:cs="Times New Roman"/>
      <w:szCs w:val="20"/>
      <w:lang w:eastAsia="en-US"/>
    </w:rPr>
  </w:style>
  <w:style w:type="paragraph" w:styleId="ae">
    <w:name w:val="annotation text"/>
    <w:basedOn w:val="a1"/>
    <w:link w:val="Char4"/>
    <w:semiHidden/>
    <w:rsid w:val="00EB592C"/>
    <w:rPr>
      <w:sz w:val="20"/>
    </w:rPr>
  </w:style>
  <w:style w:type="character" w:customStyle="1" w:styleId="Char4">
    <w:name w:val="批注文字 Char"/>
    <w:basedOn w:val="a2"/>
    <w:link w:val="ae"/>
    <w:semiHidden/>
    <w:rsid w:val="00EB592C"/>
    <w:rPr>
      <w:rFonts w:ascii="Times New Roman" w:eastAsia="Times New Roman" w:hAnsi="Times New Roman" w:cs="Times New Roman"/>
      <w:sz w:val="20"/>
      <w:szCs w:val="20"/>
      <w:lang w:eastAsia="en-US"/>
    </w:rPr>
  </w:style>
  <w:style w:type="paragraph" w:styleId="af">
    <w:name w:val="annotation subject"/>
    <w:basedOn w:val="ae"/>
    <w:next w:val="ae"/>
    <w:link w:val="Char5"/>
    <w:semiHidden/>
    <w:rsid w:val="00EB592C"/>
    <w:rPr>
      <w:b/>
      <w:bCs/>
    </w:rPr>
  </w:style>
  <w:style w:type="character" w:customStyle="1" w:styleId="Char5">
    <w:name w:val="批注主题 Char"/>
    <w:basedOn w:val="Char4"/>
    <w:link w:val="af"/>
    <w:semiHidden/>
    <w:rsid w:val="00EB592C"/>
    <w:rPr>
      <w:rFonts w:ascii="Times New Roman" w:eastAsia="Times New Roman" w:hAnsi="Times New Roman" w:cs="Times New Roman"/>
      <w:b/>
      <w:bCs/>
      <w:sz w:val="20"/>
      <w:szCs w:val="20"/>
      <w:lang w:eastAsia="en-US"/>
    </w:rPr>
  </w:style>
  <w:style w:type="paragraph" w:styleId="af0">
    <w:name w:val="Date"/>
    <w:basedOn w:val="a1"/>
    <w:next w:val="a1"/>
    <w:link w:val="Char6"/>
    <w:semiHidden/>
    <w:rsid w:val="00EB592C"/>
  </w:style>
  <w:style w:type="character" w:customStyle="1" w:styleId="Char6">
    <w:name w:val="日期 Char"/>
    <w:basedOn w:val="a2"/>
    <w:link w:val="af0"/>
    <w:semiHidden/>
    <w:rsid w:val="00EB592C"/>
    <w:rPr>
      <w:rFonts w:ascii="Times New Roman" w:eastAsia="Times New Roman" w:hAnsi="Times New Roman" w:cs="Times New Roman"/>
      <w:szCs w:val="20"/>
      <w:lang w:eastAsia="en-US"/>
    </w:rPr>
  </w:style>
  <w:style w:type="paragraph" w:styleId="af1">
    <w:name w:val="Document Map"/>
    <w:basedOn w:val="a1"/>
    <w:link w:val="Char7"/>
    <w:semiHidden/>
    <w:rsid w:val="00EB592C"/>
    <w:rPr>
      <w:rFonts w:ascii="Tahoma" w:hAnsi="Tahoma" w:cs="Tahoma"/>
      <w:sz w:val="16"/>
      <w:szCs w:val="16"/>
    </w:rPr>
  </w:style>
  <w:style w:type="character" w:customStyle="1" w:styleId="Char7">
    <w:name w:val="文档结构图 Char"/>
    <w:basedOn w:val="a2"/>
    <w:link w:val="af1"/>
    <w:semiHidden/>
    <w:rsid w:val="00EB592C"/>
    <w:rPr>
      <w:rFonts w:ascii="Tahoma" w:eastAsia="Times New Roman" w:hAnsi="Tahoma" w:cs="Tahoma"/>
      <w:sz w:val="16"/>
      <w:szCs w:val="16"/>
      <w:lang w:eastAsia="en-US"/>
    </w:rPr>
  </w:style>
  <w:style w:type="paragraph" w:styleId="af2">
    <w:name w:val="E-mail Signature"/>
    <w:basedOn w:val="a1"/>
    <w:link w:val="Char8"/>
    <w:semiHidden/>
    <w:rsid w:val="00EB592C"/>
  </w:style>
  <w:style w:type="character" w:customStyle="1" w:styleId="Char8">
    <w:name w:val="电子邮件签名 Char"/>
    <w:basedOn w:val="a2"/>
    <w:link w:val="af2"/>
    <w:semiHidden/>
    <w:rsid w:val="00EB592C"/>
    <w:rPr>
      <w:rFonts w:ascii="Times New Roman" w:eastAsia="Times New Roman" w:hAnsi="Times New Roman" w:cs="Times New Roman"/>
      <w:szCs w:val="20"/>
      <w:lang w:eastAsia="en-US"/>
    </w:rPr>
  </w:style>
  <w:style w:type="paragraph" w:styleId="af3">
    <w:name w:val="endnote text"/>
    <w:basedOn w:val="a1"/>
    <w:link w:val="Char9"/>
    <w:semiHidden/>
    <w:rsid w:val="00EB592C"/>
    <w:rPr>
      <w:sz w:val="20"/>
    </w:rPr>
  </w:style>
  <w:style w:type="character" w:customStyle="1" w:styleId="Char9">
    <w:name w:val="尾注文本 Char"/>
    <w:basedOn w:val="a2"/>
    <w:link w:val="af3"/>
    <w:semiHidden/>
    <w:rsid w:val="00EB592C"/>
    <w:rPr>
      <w:rFonts w:ascii="Times New Roman" w:eastAsia="Times New Roman" w:hAnsi="Times New Roman" w:cs="Times New Roman"/>
      <w:sz w:val="20"/>
      <w:szCs w:val="20"/>
      <w:lang w:eastAsia="en-US"/>
    </w:rPr>
  </w:style>
  <w:style w:type="paragraph" w:styleId="af4">
    <w:name w:val="envelope address"/>
    <w:basedOn w:val="a1"/>
    <w:semiHidden/>
    <w:rsid w:val="00EB592C"/>
    <w:pPr>
      <w:framePr w:w="7920" w:h="1980" w:hRule="exact" w:hSpace="180" w:wrap="auto" w:hAnchor="page" w:xAlign="center" w:yAlign="bottom"/>
      <w:ind w:left="2880"/>
    </w:pPr>
    <w:rPr>
      <w:rFonts w:ascii="Cambria" w:hAnsi="Cambria"/>
      <w:szCs w:val="24"/>
    </w:rPr>
  </w:style>
  <w:style w:type="paragraph" w:styleId="af5">
    <w:name w:val="envelope return"/>
    <w:basedOn w:val="a1"/>
    <w:semiHidden/>
    <w:rsid w:val="00EB592C"/>
    <w:rPr>
      <w:rFonts w:ascii="Cambria" w:hAnsi="Cambria"/>
      <w:sz w:val="20"/>
    </w:rPr>
  </w:style>
  <w:style w:type="paragraph" w:styleId="af6">
    <w:name w:val="footer"/>
    <w:basedOn w:val="a1"/>
    <w:link w:val="Chara"/>
    <w:semiHidden/>
    <w:rsid w:val="00EB592C"/>
    <w:pPr>
      <w:tabs>
        <w:tab w:val="center" w:pos="4680"/>
        <w:tab w:val="right" w:pos="9360"/>
      </w:tabs>
    </w:pPr>
  </w:style>
  <w:style w:type="character" w:customStyle="1" w:styleId="Chara">
    <w:name w:val="页脚 Char"/>
    <w:basedOn w:val="a2"/>
    <w:link w:val="af6"/>
    <w:semiHidden/>
    <w:rsid w:val="00EB592C"/>
    <w:rPr>
      <w:rFonts w:ascii="Times New Roman" w:eastAsia="Times New Roman" w:hAnsi="Times New Roman" w:cs="Times New Roman"/>
      <w:szCs w:val="20"/>
      <w:lang w:eastAsia="en-US"/>
    </w:rPr>
  </w:style>
  <w:style w:type="paragraph" w:styleId="af7">
    <w:name w:val="footnote text"/>
    <w:basedOn w:val="a1"/>
    <w:link w:val="Charb"/>
    <w:semiHidden/>
    <w:rsid w:val="00EB592C"/>
    <w:rPr>
      <w:sz w:val="20"/>
    </w:rPr>
  </w:style>
  <w:style w:type="character" w:customStyle="1" w:styleId="Charb">
    <w:name w:val="脚注文本 Char"/>
    <w:basedOn w:val="a2"/>
    <w:link w:val="af7"/>
    <w:semiHidden/>
    <w:rsid w:val="00EB592C"/>
    <w:rPr>
      <w:rFonts w:ascii="Times New Roman" w:eastAsia="Times New Roman" w:hAnsi="Times New Roman" w:cs="Times New Roman"/>
      <w:sz w:val="20"/>
      <w:szCs w:val="20"/>
      <w:lang w:eastAsia="en-US"/>
    </w:rPr>
  </w:style>
  <w:style w:type="paragraph" w:styleId="af8">
    <w:name w:val="header"/>
    <w:basedOn w:val="a1"/>
    <w:link w:val="Charc"/>
    <w:semiHidden/>
    <w:rsid w:val="00EB592C"/>
    <w:pPr>
      <w:tabs>
        <w:tab w:val="center" w:pos="4680"/>
        <w:tab w:val="right" w:pos="9360"/>
      </w:tabs>
    </w:pPr>
  </w:style>
  <w:style w:type="character" w:customStyle="1" w:styleId="Charc">
    <w:name w:val="页眉 Char"/>
    <w:basedOn w:val="a2"/>
    <w:link w:val="af8"/>
    <w:semiHidden/>
    <w:rsid w:val="00EB592C"/>
    <w:rPr>
      <w:rFonts w:ascii="Times New Roman" w:eastAsia="Times New Roman" w:hAnsi="Times New Roman" w:cs="Times New Roman"/>
      <w:szCs w:val="20"/>
      <w:lang w:eastAsia="en-US"/>
    </w:rPr>
  </w:style>
  <w:style w:type="paragraph" w:styleId="HTML">
    <w:name w:val="HTML Address"/>
    <w:basedOn w:val="a1"/>
    <w:link w:val="HTMLChar"/>
    <w:semiHidden/>
    <w:rsid w:val="00EB592C"/>
    <w:rPr>
      <w:i/>
      <w:iCs/>
    </w:rPr>
  </w:style>
  <w:style w:type="character" w:customStyle="1" w:styleId="HTMLChar">
    <w:name w:val="HTML 地址 Char"/>
    <w:basedOn w:val="a2"/>
    <w:link w:val="HTML"/>
    <w:semiHidden/>
    <w:rsid w:val="00EB592C"/>
    <w:rPr>
      <w:rFonts w:ascii="Times New Roman" w:eastAsia="Times New Roman" w:hAnsi="Times New Roman" w:cs="Times New Roman"/>
      <w:i/>
      <w:iCs/>
      <w:szCs w:val="20"/>
      <w:lang w:eastAsia="en-US"/>
    </w:rPr>
  </w:style>
  <w:style w:type="paragraph" w:styleId="HTML0">
    <w:name w:val="HTML Preformatted"/>
    <w:basedOn w:val="a1"/>
    <w:link w:val="HTMLChar0"/>
    <w:semiHidden/>
    <w:rsid w:val="00EB592C"/>
    <w:rPr>
      <w:rFonts w:ascii="Courier New" w:hAnsi="Courier New" w:cs="Courier New"/>
      <w:sz w:val="20"/>
    </w:rPr>
  </w:style>
  <w:style w:type="character" w:customStyle="1" w:styleId="HTMLChar0">
    <w:name w:val="HTML 预设格式 Char"/>
    <w:basedOn w:val="a2"/>
    <w:link w:val="HTML0"/>
    <w:semiHidden/>
    <w:rsid w:val="00EB592C"/>
    <w:rPr>
      <w:rFonts w:ascii="Courier New" w:eastAsia="Times New Roman" w:hAnsi="Courier New" w:cs="Courier New"/>
      <w:sz w:val="20"/>
      <w:szCs w:val="20"/>
      <w:lang w:eastAsia="en-US"/>
    </w:rPr>
  </w:style>
  <w:style w:type="paragraph" w:styleId="10">
    <w:name w:val="index 1"/>
    <w:basedOn w:val="a1"/>
    <w:next w:val="a1"/>
    <w:autoRedefine/>
    <w:semiHidden/>
    <w:rsid w:val="00EB592C"/>
    <w:pPr>
      <w:ind w:left="240" w:hanging="240"/>
    </w:pPr>
  </w:style>
  <w:style w:type="paragraph" w:styleId="25">
    <w:name w:val="index 2"/>
    <w:basedOn w:val="a1"/>
    <w:next w:val="a1"/>
    <w:autoRedefine/>
    <w:semiHidden/>
    <w:rsid w:val="00EB592C"/>
    <w:pPr>
      <w:ind w:left="480" w:hanging="240"/>
    </w:pPr>
  </w:style>
  <w:style w:type="paragraph" w:styleId="34">
    <w:name w:val="index 3"/>
    <w:basedOn w:val="a1"/>
    <w:next w:val="a1"/>
    <w:autoRedefine/>
    <w:semiHidden/>
    <w:rsid w:val="00EB592C"/>
    <w:pPr>
      <w:ind w:left="720" w:hanging="240"/>
    </w:pPr>
  </w:style>
  <w:style w:type="paragraph" w:styleId="42">
    <w:name w:val="index 4"/>
    <w:basedOn w:val="a1"/>
    <w:next w:val="a1"/>
    <w:autoRedefine/>
    <w:semiHidden/>
    <w:rsid w:val="00EB592C"/>
    <w:pPr>
      <w:ind w:left="960" w:hanging="240"/>
    </w:pPr>
  </w:style>
  <w:style w:type="paragraph" w:styleId="52">
    <w:name w:val="index 5"/>
    <w:basedOn w:val="a1"/>
    <w:next w:val="a1"/>
    <w:autoRedefine/>
    <w:semiHidden/>
    <w:rsid w:val="00EB592C"/>
    <w:pPr>
      <w:ind w:left="1200" w:hanging="240"/>
    </w:pPr>
  </w:style>
  <w:style w:type="paragraph" w:styleId="60">
    <w:name w:val="index 6"/>
    <w:basedOn w:val="a1"/>
    <w:next w:val="a1"/>
    <w:autoRedefine/>
    <w:semiHidden/>
    <w:rsid w:val="00EB592C"/>
    <w:pPr>
      <w:ind w:left="1440" w:hanging="240"/>
    </w:pPr>
  </w:style>
  <w:style w:type="paragraph" w:styleId="70">
    <w:name w:val="index 7"/>
    <w:basedOn w:val="a1"/>
    <w:next w:val="a1"/>
    <w:autoRedefine/>
    <w:semiHidden/>
    <w:rsid w:val="00EB592C"/>
    <w:pPr>
      <w:ind w:left="1680" w:hanging="240"/>
    </w:pPr>
  </w:style>
  <w:style w:type="paragraph" w:styleId="80">
    <w:name w:val="index 8"/>
    <w:basedOn w:val="a1"/>
    <w:next w:val="a1"/>
    <w:autoRedefine/>
    <w:semiHidden/>
    <w:rsid w:val="00EB592C"/>
    <w:pPr>
      <w:ind w:left="1920" w:hanging="240"/>
    </w:pPr>
  </w:style>
  <w:style w:type="paragraph" w:styleId="90">
    <w:name w:val="index 9"/>
    <w:basedOn w:val="a1"/>
    <w:next w:val="a1"/>
    <w:autoRedefine/>
    <w:semiHidden/>
    <w:rsid w:val="00EB592C"/>
    <w:pPr>
      <w:ind w:left="2160" w:hanging="240"/>
    </w:pPr>
  </w:style>
  <w:style w:type="paragraph" w:styleId="af9">
    <w:name w:val="index heading"/>
    <w:basedOn w:val="a1"/>
    <w:next w:val="10"/>
    <w:semiHidden/>
    <w:rsid w:val="00EB592C"/>
    <w:rPr>
      <w:rFonts w:ascii="Cambria" w:hAnsi="Cambria"/>
      <w:b/>
      <w:bCs/>
    </w:rPr>
  </w:style>
  <w:style w:type="paragraph" w:styleId="afa">
    <w:name w:val="Intense Quote"/>
    <w:basedOn w:val="a1"/>
    <w:next w:val="a1"/>
    <w:link w:val="Chard"/>
    <w:uiPriority w:val="30"/>
    <w:qFormat/>
    <w:rsid w:val="00EB592C"/>
    <w:pPr>
      <w:pBdr>
        <w:bottom w:val="single" w:sz="4" w:space="4" w:color="4F81BD"/>
      </w:pBdr>
      <w:spacing w:before="200" w:after="280"/>
      <w:ind w:left="936" w:right="936"/>
    </w:pPr>
    <w:rPr>
      <w:b/>
      <w:bCs/>
      <w:i/>
      <w:iCs/>
      <w:color w:val="4F81BD"/>
    </w:rPr>
  </w:style>
  <w:style w:type="character" w:customStyle="1" w:styleId="Chard">
    <w:name w:val="明显引用 Char"/>
    <w:basedOn w:val="a2"/>
    <w:link w:val="afa"/>
    <w:uiPriority w:val="30"/>
    <w:rsid w:val="00EB592C"/>
    <w:rPr>
      <w:rFonts w:ascii="Times New Roman" w:eastAsia="Times New Roman" w:hAnsi="Times New Roman" w:cs="Times New Roman"/>
      <w:b/>
      <w:bCs/>
      <w:i/>
      <w:iCs/>
      <w:color w:val="4F81BD"/>
      <w:szCs w:val="20"/>
      <w:lang w:eastAsia="en-US"/>
    </w:rPr>
  </w:style>
  <w:style w:type="paragraph" w:styleId="afb">
    <w:name w:val="List"/>
    <w:basedOn w:val="a1"/>
    <w:semiHidden/>
    <w:rsid w:val="00EB592C"/>
    <w:pPr>
      <w:ind w:left="360" w:hanging="360"/>
      <w:contextualSpacing/>
    </w:pPr>
  </w:style>
  <w:style w:type="paragraph" w:styleId="26">
    <w:name w:val="List 2"/>
    <w:basedOn w:val="a1"/>
    <w:semiHidden/>
    <w:rsid w:val="00EB592C"/>
    <w:pPr>
      <w:ind w:left="720" w:hanging="360"/>
      <w:contextualSpacing/>
    </w:pPr>
  </w:style>
  <w:style w:type="paragraph" w:styleId="35">
    <w:name w:val="List 3"/>
    <w:basedOn w:val="a1"/>
    <w:semiHidden/>
    <w:rsid w:val="00EB592C"/>
    <w:pPr>
      <w:ind w:left="1080" w:hanging="360"/>
      <w:contextualSpacing/>
    </w:pPr>
  </w:style>
  <w:style w:type="paragraph" w:styleId="43">
    <w:name w:val="List 4"/>
    <w:basedOn w:val="a1"/>
    <w:semiHidden/>
    <w:rsid w:val="00EB592C"/>
    <w:pPr>
      <w:ind w:left="1440" w:hanging="360"/>
      <w:contextualSpacing/>
    </w:pPr>
  </w:style>
  <w:style w:type="paragraph" w:styleId="53">
    <w:name w:val="List 5"/>
    <w:basedOn w:val="a1"/>
    <w:semiHidden/>
    <w:rsid w:val="00EB592C"/>
    <w:pPr>
      <w:ind w:left="1800" w:hanging="360"/>
      <w:contextualSpacing/>
    </w:pPr>
  </w:style>
  <w:style w:type="paragraph" w:styleId="a0">
    <w:name w:val="List Bullet"/>
    <w:basedOn w:val="a1"/>
    <w:semiHidden/>
    <w:rsid w:val="00EB592C"/>
    <w:pPr>
      <w:numPr>
        <w:numId w:val="1"/>
      </w:numPr>
      <w:contextualSpacing/>
    </w:pPr>
  </w:style>
  <w:style w:type="paragraph" w:styleId="20">
    <w:name w:val="List Bullet 2"/>
    <w:basedOn w:val="a1"/>
    <w:semiHidden/>
    <w:rsid w:val="00EB592C"/>
    <w:pPr>
      <w:numPr>
        <w:numId w:val="2"/>
      </w:numPr>
      <w:contextualSpacing/>
    </w:pPr>
  </w:style>
  <w:style w:type="paragraph" w:styleId="30">
    <w:name w:val="List Bullet 3"/>
    <w:basedOn w:val="a1"/>
    <w:semiHidden/>
    <w:rsid w:val="00EB592C"/>
    <w:pPr>
      <w:numPr>
        <w:numId w:val="3"/>
      </w:numPr>
      <w:contextualSpacing/>
    </w:pPr>
  </w:style>
  <w:style w:type="paragraph" w:styleId="40">
    <w:name w:val="List Bullet 4"/>
    <w:basedOn w:val="a1"/>
    <w:semiHidden/>
    <w:rsid w:val="00EB592C"/>
    <w:pPr>
      <w:numPr>
        <w:numId w:val="4"/>
      </w:numPr>
      <w:contextualSpacing/>
    </w:pPr>
  </w:style>
  <w:style w:type="paragraph" w:styleId="50">
    <w:name w:val="List Bullet 5"/>
    <w:basedOn w:val="a1"/>
    <w:semiHidden/>
    <w:rsid w:val="00EB592C"/>
    <w:pPr>
      <w:numPr>
        <w:numId w:val="5"/>
      </w:numPr>
      <w:contextualSpacing/>
    </w:pPr>
  </w:style>
  <w:style w:type="paragraph" w:styleId="afc">
    <w:name w:val="List Continue"/>
    <w:basedOn w:val="a1"/>
    <w:semiHidden/>
    <w:rsid w:val="00EB592C"/>
    <w:pPr>
      <w:spacing w:after="120"/>
      <w:ind w:left="360"/>
      <w:contextualSpacing/>
    </w:pPr>
  </w:style>
  <w:style w:type="paragraph" w:styleId="27">
    <w:name w:val="List Continue 2"/>
    <w:basedOn w:val="a1"/>
    <w:semiHidden/>
    <w:rsid w:val="00EB592C"/>
    <w:pPr>
      <w:spacing w:after="120"/>
      <w:ind w:left="720"/>
      <w:contextualSpacing/>
    </w:pPr>
  </w:style>
  <w:style w:type="paragraph" w:styleId="36">
    <w:name w:val="List Continue 3"/>
    <w:basedOn w:val="a1"/>
    <w:semiHidden/>
    <w:rsid w:val="00EB592C"/>
    <w:pPr>
      <w:spacing w:after="120"/>
      <w:ind w:left="1080"/>
      <w:contextualSpacing/>
    </w:pPr>
  </w:style>
  <w:style w:type="paragraph" w:styleId="44">
    <w:name w:val="List Continue 4"/>
    <w:basedOn w:val="a1"/>
    <w:semiHidden/>
    <w:rsid w:val="00EB592C"/>
    <w:pPr>
      <w:spacing w:after="120"/>
      <w:ind w:left="1440"/>
      <w:contextualSpacing/>
    </w:pPr>
  </w:style>
  <w:style w:type="paragraph" w:styleId="54">
    <w:name w:val="List Continue 5"/>
    <w:basedOn w:val="a1"/>
    <w:semiHidden/>
    <w:rsid w:val="00EB592C"/>
    <w:pPr>
      <w:spacing w:after="120"/>
      <w:ind w:left="1800"/>
      <w:contextualSpacing/>
    </w:pPr>
  </w:style>
  <w:style w:type="paragraph" w:styleId="a">
    <w:name w:val="List Number"/>
    <w:basedOn w:val="a1"/>
    <w:semiHidden/>
    <w:rsid w:val="00EB592C"/>
    <w:pPr>
      <w:numPr>
        <w:numId w:val="6"/>
      </w:numPr>
      <w:contextualSpacing/>
    </w:pPr>
  </w:style>
  <w:style w:type="paragraph" w:styleId="2">
    <w:name w:val="List Number 2"/>
    <w:basedOn w:val="a1"/>
    <w:semiHidden/>
    <w:rsid w:val="00EB592C"/>
    <w:pPr>
      <w:numPr>
        <w:numId w:val="7"/>
      </w:numPr>
      <w:contextualSpacing/>
    </w:pPr>
  </w:style>
  <w:style w:type="paragraph" w:styleId="3">
    <w:name w:val="List Number 3"/>
    <w:basedOn w:val="a1"/>
    <w:semiHidden/>
    <w:rsid w:val="00EB592C"/>
    <w:pPr>
      <w:numPr>
        <w:numId w:val="8"/>
      </w:numPr>
      <w:contextualSpacing/>
    </w:pPr>
  </w:style>
  <w:style w:type="paragraph" w:styleId="4">
    <w:name w:val="List Number 4"/>
    <w:basedOn w:val="a1"/>
    <w:semiHidden/>
    <w:rsid w:val="00EB592C"/>
    <w:pPr>
      <w:numPr>
        <w:numId w:val="9"/>
      </w:numPr>
      <w:contextualSpacing/>
    </w:pPr>
  </w:style>
  <w:style w:type="paragraph" w:styleId="5">
    <w:name w:val="List Number 5"/>
    <w:basedOn w:val="a1"/>
    <w:semiHidden/>
    <w:rsid w:val="00EB592C"/>
    <w:pPr>
      <w:numPr>
        <w:numId w:val="10"/>
      </w:numPr>
      <w:contextualSpacing/>
    </w:pPr>
  </w:style>
  <w:style w:type="paragraph" w:styleId="afd">
    <w:name w:val="List Paragraph"/>
    <w:basedOn w:val="a1"/>
    <w:uiPriority w:val="34"/>
    <w:qFormat/>
    <w:rsid w:val="00EB592C"/>
    <w:pPr>
      <w:ind w:left="720"/>
    </w:pPr>
  </w:style>
  <w:style w:type="paragraph" w:styleId="afe">
    <w:name w:val="macro"/>
    <w:link w:val="Chare"/>
    <w:semiHidden/>
    <w:rsid w:val="00EB592C"/>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lang w:eastAsia="en-US"/>
    </w:rPr>
  </w:style>
  <w:style w:type="character" w:customStyle="1" w:styleId="Chare">
    <w:name w:val="宏文本 Char"/>
    <w:basedOn w:val="a2"/>
    <w:link w:val="afe"/>
    <w:semiHidden/>
    <w:rsid w:val="00EB592C"/>
    <w:rPr>
      <w:rFonts w:ascii="Courier New" w:eastAsia="Times New Roman" w:hAnsi="Courier New" w:cs="Courier New"/>
      <w:sz w:val="20"/>
      <w:szCs w:val="20"/>
      <w:lang w:eastAsia="en-US"/>
    </w:rPr>
  </w:style>
  <w:style w:type="paragraph" w:styleId="aff">
    <w:name w:val="Message Header"/>
    <w:basedOn w:val="a1"/>
    <w:link w:val="Charf"/>
    <w:semiHidden/>
    <w:rsid w:val="00EB592C"/>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Charf">
    <w:name w:val="信息标题 Char"/>
    <w:basedOn w:val="a2"/>
    <w:link w:val="aff"/>
    <w:semiHidden/>
    <w:rsid w:val="00EB592C"/>
    <w:rPr>
      <w:rFonts w:ascii="Cambria" w:eastAsia="Times New Roman" w:hAnsi="Cambria" w:cs="Times New Roman"/>
      <w:shd w:val="pct20" w:color="auto" w:fill="auto"/>
      <w:lang w:eastAsia="en-US"/>
    </w:rPr>
  </w:style>
  <w:style w:type="paragraph" w:styleId="aff0">
    <w:name w:val="No Spacing"/>
    <w:uiPriority w:val="1"/>
    <w:qFormat/>
    <w:rsid w:val="00EB592C"/>
    <w:rPr>
      <w:rFonts w:ascii="Times New Roman" w:eastAsia="Times New Roman" w:hAnsi="Times New Roman" w:cs="Times New Roman"/>
      <w:szCs w:val="20"/>
      <w:lang w:eastAsia="en-US"/>
    </w:rPr>
  </w:style>
  <w:style w:type="paragraph" w:styleId="aff1">
    <w:name w:val="Normal (Web)"/>
    <w:basedOn w:val="a1"/>
    <w:uiPriority w:val="99"/>
    <w:rsid w:val="00EB592C"/>
    <w:rPr>
      <w:szCs w:val="24"/>
    </w:rPr>
  </w:style>
  <w:style w:type="paragraph" w:styleId="aff2">
    <w:name w:val="Normal Indent"/>
    <w:basedOn w:val="a1"/>
    <w:semiHidden/>
    <w:rsid w:val="00EB592C"/>
    <w:pPr>
      <w:ind w:left="720"/>
    </w:pPr>
  </w:style>
  <w:style w:type="paragraph" w:styleId="aff3">
    <w:name w:val="Note Heading"/>
    <w:basedOn w:val="a1"/>
    <w:next w:val="a1"/>
    <w:link w:val="Charf0"/>
    <w:semiHidden/>
    <w:rsid w:val="00EB592C"/>
  </w:style>
  <w:style w:type="character" w:customStyle="1" w:styleId="Charf0">
    <w:name w:val="注释标题 Char"/>
    <w:basedOn w:val="a2"/>
    <w:link w:val="aff3"/>
    <w:semiHidden/>
    <w:rsid w:val="00EB592C"/>
    <w:rPr>
      <w:rFonts w:ascii="Times New Roman" w:eastAsia="Times New Roman" w:hAnsi="Times New Roman" w:cs="Times New Roman"/>
      <w:szCs w:val="20"/>
      <w:lang w:eastAsia="en-US"/>
    </w:rPr>
  </w:style>
  <w:style w:type="paragraph" w:styleId="aff4">
    <w:name w:val="Plain Text"/>
    <w:basedOn w:val="a1"/>
    <w:link w:val="Charf1"/>
    <w:semiHidden/>
    <w:rsid w:val="00EB592C"/>
    <w:rPr>
      <w:rFonts w:ascii="Courier New" w:hAnsi="Courier New" w:cs="Courier New"/>
      <w:sz w:val="20"/>
    </w:rPr>
  </w:style>
  <w:style w:type="character" w:customStyle="1" w:styleId="Charf1">
    <w:name w:val="纯文本 Char"/>
    <w:basedOn w:val="a2"/>
    <w:link w:val="aff4"/>
    <w:semiHidden/>
    <w:rsid w:val="00EB592C"/>
    <w:rPr>
      <w:rFonts w:ascii="Courier New" w:eastAsia="Times New Roman" w:hAnsi="Courier New" w:cs="Courier New"/>
      <w:sz w:val="20"/>
      <w:szCs w:val="20"/>
      <w:lang w:eastAsia="en-US"/>
    </w:rPr>
  </w:style>
  <w:style w:type="paragraph" w:styleId="aff5">
    <w:name w:val="Quote"/>
    <w:basedOn w:val="a1"/>
    <w:next w:val="a1"/>
    <w:link w:val="Charf2"/>
    <w:uiPriority w:val="29"/>
    <w:qFormat/>
    <w:rsid w:val="00EB592C"/>
    <w:rPr>
      <w:i/>
      <w:iCs/>
      <w:color w:val="000000"/>
    </w:rPr>
  </w:style>
  <w:style w:type="character" w:customStyle="1" w:styleId="Charf2">
    <w:name w:val="引用 Char"/>
    <w:basedOn w:val="a2"/>
    <w:link w:val="aff5"/>
    <w:uiPriority w:val="29"/>
    <w:rsid w:val="00EB592C"/>
    <w:rPr>
      <w:rFonts w:ascii="Times New Roman" w:eastAsia="Times New Roman" w:hAnsi="Times New Roman" w:cs="Times New Roman"/>
      <w:i/>
      <w:iCs/>
      <w:color w:val="000000"/>
      <w:szCs w:val="20"/>
      <w:lang w:eastAsia="en-US"/>
    </w:rPr>
  </w:style>
  <w:style w:type="paragraph" w:styleId="aff6">
    <w:name w:val="Salutation"/>
    <w:basedOn w:val="a1"/>
    <w:next w:val="a1"/>
    <w:link w:val="Charf3"/>
    <w:semiHidden/>
    <w:rsid w:val="00EB592C"/>
  </w:style>
  <w:style w:type="character" w:customStyle="1" w:styleId="Charf3">
    <w:name w:val="称呼 Char"/>
    <w:basedOn w:val="a2"/>
    <w:link w:val="aff6"/>
    <w:semiHidden/>
    <w:rsid w:val="00EB592C"/>
    <w:rPr>
      <w:rFonts w:ascii="Times New Roman" w:eastAsia="Times New Roman" w:hAnsi="Times New Roman" w:cs="Times New Roman"/>
      <w:szCs w:val="20"/>
      <w:lang w:eastAsia="en-US"/>
    </w:rPr>
  </w:style>
  <w:style w:type="paragraph" w:styleId="aff7">
    <w:name w:val="Signature"/>
    <w:basedOn w:val="a1"/>
    <w:link w:val="Charf4"/>
    <w:semiHidden/>
    <w:rsid w:val="00EB592C"/>
    <w:pPr>
      <w:ind w:left="4320"/>
    </w:pPr>
  </w:style>
  <w:style w:type="character" w:customStyle="1" w:styleId="Charf4">
    <w:name w:val="签名 Char"/>
    <w:basedOn w:val="a2"/>
    <w:link w:val="aff7"/>
    <w:semiHidden/>
    <w:rsid w:val="00EB592C"/>
    <w:rPr>
      <w:rFonts w:ascii="Times New Roman" w:eastAsia="Times New Roman" w:hAnsi="Times New Roman" w:cs="Times New Roman"/>
      <w:szCs w:val="20"/>
      <w:lang w:eastAsia="en-US"/>
    </w:rPr>
  </w:style>
  <w:style w:type="paragraph" w:styleId="aff8">
    <w:name w:val="Subtitle"/>
    <w:basedOn w:val="a1"/>
    <w:next w:val="a1"/>
    <w:link w:val="Charf5"/>
    <w:qFormat/>
    <w:rsid w:val="00EB592C"/>
    <w:pPr>
      <w:spacing w:after="60"/>
      <w:jc w:val="center"/>
      <w:outlineLvl w:val="1"/>
    </w:pPr>
    <w:rPr>
      <w:rFonts w:ascii="Cambria" w:hAnsi="Cambria"/>
      <w:szCs w:val="24"/>
    </w:rPr>
  </w:style>
  <w:style w:type="character" w:customStyle="1" w:styleId="Charf5">
    <w:name w:val="副标题 Char"/>
    <w:basedOn w:val="a2"/>
    <w:link w:val="aff8"/>
    <w:rsid w:val="00EB592C"/>
    <w:rPr>
      <w:rFonts w:ascii="Cambria" w:eastAsia="Times New Roman" w:hAnsi="Cambria" w:cs="Times New Roman"/>
      <w:lang w:eastAsia="en-US"/>
    </w:rPr>
  </w:style>
  <w:style w:type="paragraph" w:styleId="aff9">
    <w:name w:val="table of authorities"/>
    <w:basedOn w:val="a1"/>
    <w:next w:val="a1"/>
    <w:semiHidden/>
    <w:rsid w:val="00EB592C"/>
    <w:pPr>
      <w:ind w:left="240" w:hanging="240"/>
    </w:pPr>
  </w:style>
  <w:style w:type="paragraph" w:styleId="affa">
    <w:name w:val="table of figures"/>
    <w:basedOn w:val="a1"/>
    <w:next w:val="a1"/>
    <w:semiHidden/>
    <w:rsid w:val="00EB592C"/>
  </w:style>
  <w:style w:type="paragraph" w:styleId="affb">
    <w:name w:val="Title"/>
    <w:basedOn w:val="a1"/>
    <w:next w:val="a1"/>
    <w:link w:val="Charf6"/>
    <w:qFormat/>
    <w:rsid w:val="00EB592C"/>
    <w:pPr>
      <w:spacing w:before="240" w:after="60"/>
      <w:jc w:val="center"/>
      <w:outlineLvl w:val="0"/>
    </w:pPr>
    <w:rPr>
      <w:rFonts w:ascii="Cambria" w:hAnsi="Cambria"/>
      <w:b/>
      <w:bCs/>
      <w:kern w:val="28"/>
      <w:sz w:val="32"/>
      <w:szCs w:val="32"/>
    </w:rPr>
  </w:style>
  <w:style w:type="character" w:customStyle="1" w:styleId="Charf6">
    <w:name w:val="标题 Char"/>
    <w:basedOn w:val="a2"/>
    <w:link w:val="affb"/>
    <w:rsid w:val="00EB592C"/>
    <w:rPr>
      <w:rFonts w:ascii="Cambria" w:eastAsia="Times New Roman" w:hAnsi="Cambria" w:cs="Times New Roman"/>
      <w:b/>
      <w:bCs/>
      <w:kern w:val="28"/>
      <w:sz w:val="32"/>
      <w:szCs w:val="32"/>
      <w:lang w:eastAsia="en-US"/>
    </w:rPr>
  </w:style>
  <w:style w:type="paragraph" w:styleId="affc">
    <w:name w:val="toa heading"/>
    <w:basedOn w:val="a1"/>
    <w:next w:val="a1"/>
    <w:semiHidden/>
    <w:rsid w:val="00EB592C"/>
    <w:pPr>
      <w:spacing w:before="120"/>
    </w:pPr>
    <w:rPr>
      <w:rFonts w:ascii="Cambria" w:hAnsi="Cambria"/>
      <w:b/>
      <w:bCs/>
      <w:szCs w:val="24"/>
    </w:rPr>
  </w:style>
  <w:style w:type="paragraph" w:styleId="11">
    <w:name w:val="toc 1"/>
    <w:basedOn w:val="a1"/>
    <w:next w:val="a1"/>
    <w:autoRedefine/>
    <w:semiHidden/>
    <w:rsid w:val="00EB592C"/>
  </w:style>
  <w:style w:type="paragraph" w:styleId="28">
    <w:name w:val="toc 2"/>
    <w:basedOn w:val="a1"/>
    <w:next w:val="a1"/>
    <w:autoRedefine/>
    <w:semiHidden/>
    <w:rsid w:val="00EB592C"/>
    <w:pPr>
      <w:ind w:left="240"/>
    </w:pPr>
  </w:style>
  <w:style w:type="paragraph" w:styleId="37">
    <w:name w:val="toc 3"/>
    <w:basedOn w:val="a1"/>
    <w:next w:val="a1"/>
    <w:autoRedefine/>
    <w:semiHidden/>
    <w:rsid w:val="00EB592C"/>
    <w:pPr>
      <w:ind w:left="480"/>
    </w:pPr>
  </w:style>
  <w:style w:type="paragraph" w:styleId="45">
    <w:name w:val="toc 4"/>
    <w:basedOn w:val="a1"/>
    <w:next w:val="a1"/>
    <w:autoRedefine/>
    <w:semiHidden/>
    <w:rsid w:val="00EB592C"/>
    <w:pPr>
      <w:ind w:left="720"/>
    </w:pPr>
  </w:style>
  <w:style w:type="paragraph" w:styleId="55">
    <w:name w:val="toc 5"/>
    <w:basedOn w:val="a1"/>
    <w:next w:val="a1"/>
    <w:autoRedefine/>
    <w:semiHidden/>
    <w:rsid w:val="00EB592C"/>
    <w:pPr>
      <w:ind w:left="960"/>
    </w:pPr>
  </w:style>
  <w:style w:type="paragraph" w:styleId="61">
    <w:name w:val="toc 6"/>
    <w:basedOn w:val="a1"/>
    <w:next w:val="a1"/>
    <w:autoRedefine/>
    <w:semiHidden/>
    <w:rsid w:val="00EB592C"/>
    <w:pPr>
      <w:ind w:left="1200"/>
    </w:pPr>
  </w:style>
  <w:style w:type="paragraph" w:styleId="71">
    <w:name w:val="toc 7"/>
    <w:basedOn w:val="a1"/>
    <w:next w:val="a1"/>
    <w:autoRedefine/>
    <w:semiHidden/>
    <w:rsid w:val="00EB592C"/>
    <w:pPr>
      <w:ind w:left="1440"/>
    </w:pPr>
  </w:style>
  <w:style w:type="paragraph" w:styleId="81">
    <w:name w:val="toc 8"/>
    <w:basedOn w:val="a1"/>
    <w:next w:val="a1"/>
    <w:autoRedefine/>
    <w:semiHidden/>
    <w:rsid w:val="00EB592C"/>
    <w:pPr>
      <w:ind w:left="1680"/>
    </w:pPr>
  </w:style>
  <w:style w:type="paragraph" w:styleId="91">
    <w:name w:val="toc 9"/>
    <w:basedOn w:val="a1"/>
    <w:next w:val="a1"/>
    <w:autoRedefine/>
    <w:semiHidden/>
    <w:rsid w:val="00EB592C"/>
    <w:pPr>
      <w:ind w:left="1920"/>
    </w:pPr>
  </w:style>
  <w:style w:type="paragraph" w:styleId="TOC">
    <w:name w:val="TOC Heading"/>
    <w:basedOn w:val="1"/>
    <w:next w:val="a1"/>
    <w:uiPriority w:val="39"/>
    <w:semiHidden/>
    <w:unhideWhenUsed/>
    <w:qFormat/>
    <w:rsid w:val="00EB592C"/>
    <w:pPr>
      <w:outlineLvl w:val="9"/>
    </w:pPr>
    <w:rPr>
      <w:rFonts w:ascii="Cambria" w:hAnsi="Cambria"/>
      <w:sz w:val="32"/>
      <w:szCs w:val="32"/>
    </w:rPr>
  </w:style>
  <w:style w:type="character" w:styleId="affd">
    <w:name w:val="Hyperlink"/>
    <w:basedOn w:val="a2"/>
    <w:semiHidden/>
    <w:rsid w:val="00EB592C"/>
    <w:rPr>
      <w:color w:val="0000FF"/>
      <w:u w:val="single"/>
    </w:rPr>
  </w:style>
  <w:style w:type="character" w:styleId="affe">
    <w:name w:val="Emphasis"/>
    <w:basedOn w:val="a2"/>
    <w:uiPriority w:val="20"/>
    <w:qFormat/>
    <w:rsid w:val="00EB592C"/>
    <w:rPr>
      <w:i/>
      <w:iCs/>
    </w:rPr>
  </w:style>
  <w:style w:type="character" w:styleId="afff">
    <w:name w:val="annotation reference"/>
    <w:basedOn w:val="a2"/>
    <w:semiHidden/>
    <w:rsid w:val="00EB592C"/>
    <w:rPr>
      <w:sz w:val="16"/>
      <w:szCs w:val="16"/>
    </w:rPr>
  </w:style>
  <w:style w:type="character" w:styleId="afff0">
    <w:name w:val="FollowedHyperlink"/>
    <w:basedOn w:val="a2"/>
    <w:semiHidden/>
    <w:unhideWhenUsed/>
    <w:rsid w:val="00EB592C"/>
    <w:rPr>
      <w:color w:val="954F72" w:themeColor="followedHyperlink"/>
      <w:u w:val="single"/>
    </w:rPr>
  </w:style>
  <w:style w:type="paragraph" w:customStyle="1" w:styleId="SOMContent">
    <w:name w:val="SOMContent"/>
    <w:basedOn w:val="a1"/>
    <w:rsid w:val="00EB592C"/>
    <w:pPr>
      <w:spacing w:before="120"/>
    </w:pPr>
    <w:rPr>
      <w:szCs w:val="24"/>
    </w:rPr>
  </w:style>
  <w:style w:type="paragraph" w:customStyle="1" w:styleId="Paragraph">
    <w:name w:val="Paragraph"/>
    <w:basedOn w:val="a1"/>
    <w:rsid w:val="00EB592C"/>
    <w:pPr>
      <w:spacing w:before="120"/>
      <w:ind w:firstLine="720"/>
    </w:pPr>
    <w:rPr>
      <w:szCs w:val="24"/>
    </w:rPr>
  </w:style>
  <w:style w:type="table" w:styleId="afff1">
    <w:name w:val="Table Grid"/>
    <w:basedOn w:val="a3"/>
    <w:uiPriority w:val="39"/>
    <w:rsid w:val="003752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uisheng@gmail.com" TargetMode="Externa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fao.org/faostat" TargetMode="External"/><Relationship Id="rId10" Type="http://schemas.openxmlformats.org/officeDocument/2006/relationships/image" Target="media/image1.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www.bp.com" TargetMode="External"/><Relationship Id="rId14" Type="http://schemas.openxmlformats.org/officeDocument/2006/relationships/image" Target="media/image5.emf"/><Relationship Id="rId22" Type="http://schemas.openxmlformats.org/officeDocument/2006/relationships/hyperlink" Target="https://www.iea.org/data-and-statistics/charts/world-total-coal-production-1971-2020"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SimHei"/>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SimSun"/>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35574</Words>
  <Characters>202774</Characters>
  <Application>Microsoft Office Word</Application>
  <DocSecurity>0</DocSecurity>
  <Lines>1689</Lines>
  <Paragraphs>475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Zhen Zhang</dc:creator>
  <cp:keywords/>
  <dc:description/>
  <cp:lastModifiedBy>刘素贞</cp:lastModifiedBy>
  <cp:revision>5</cp:revision>
  <dcterms:created xsi:type="dcterms:W3CDTF">2021-10-30T02:33:00Z</dcterms:created>
  <dcterms:modified xsi:type="dcterms:W3CDTF">2021-11-04T01:41:00Z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id="lPwtHjdp"/&gt;&lt;style id="http://www.zotero.org/styles/oxford-university-press-scimed-numeric" hasBibliography="1" bibliographyStyleHasBeenSet="1"/&gt;&lt;prefs&gt;&lt;pref name="fieldType" value="Field"/&gt;&lt;/pr</vt:lpwstr>
  </property>
  <property fmtid="{D5CDD505-2E9C-101B-9397-08002B2CF9AE}" pid="3" name="ZOTERO_PREF_2">
    <vt:lpwstr>efs&gt;&lt;/data&gt;</vt:lpwstr>
  </property>
</Properties>
</file>