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A44341" w14:textId="77777777" w:rsidR="00F565BA" w:rsidRPr="005319D8" w:rsidRDefault="005319D8" w:rsidP="00143CD2">
      <w:pPr>
        <w:pStyle w:val="Title"/>
      </w:pPr>
      <w:r w:rsidRPr="005319D8">
        <w:t xml:space="preserve">Mars Entry Instrumentation Flight Data and Mars 2020 Entry </w:t>
      </w:r>
      <w:r>
        <w:t>Environments</w:t>
      </w:r>
    </w:p>
    <w:p w14:paraId="05B4DA00" w14:textId="79B1681F" w:rsidR="005D3817" w:rsidRPr="00C410A5" w:rsidRDefault="005D3817" w:rsidP="005D3817">
      <w:pPr>
        <w:jc w:val="center"/>
      </w:pPr>
      <w:r w:rsidRPr="00C410A5">
        <w:t>Todd R. White</w:t>
      </w:r>
      <w:r w:rsidRPr="00C410A5">
        <w:rPr>
          <w:vertAlign w:val="superscript"/>
        </w:rPr>
        <w:footnoteReference w:id="1"/>
      </w:r>
      <w:r>
        <w:t>, Milad Mahzari</w:t>
      </w:r>
      <w:r w:rsidR="00084623" w:rsidRPr="00084623">
        <w:rPr>
          <w:vertAlign w:val="superscript"/>
        </w:rPr>
        <w:t>1</w:t>
      </w:r>
      <w:r>
        <w:t xml:space="preserve">, </w:t>
      </w:r>
      <w:r w:rsidRPr="00C410A5">
        <w:t>Ruth A. Miller</w:t>
      </w:r>
      <w:r w:rsidRPr="00C410A5">
        <w:rPr>
          <w:vertAlign w:val="superscript"/>
        </w:rPr>
        <w:footnoteReference w:id="2"/>
      </w:r>
      <w:r w:rsidRPr="00C410A5">
        <w:t>, Chun Y. Tang</w:t>
      </w:r>
      <w:r w:rsidRPr="00C410A5">
        <w:rPr>
          <w:vertAlign w:val="superscript"/>
        </w:rPr>
        <w:footnoteReference w:id="3"/>
      </w:r>
      <w:r>
        <w:t>, Josh Monk</w:t>
      </w:r>
      <w:r w:rsidRPr="00C410A5">
        <w:rPr>
          <w:vertAlign w:val="superscript"/>
        </w:rPr>
        <w:footnoteReference w:id="4"/>
      </w:r>
      <w:r>
        <w:t xml:space="preserve">, Jose A. </w:t>
      </w:r>
      <w:r w:rsidR="00084623">
        <w:t>Santos</w:t>
      </w:r>
      <w:r w:rsidR="00084623">
        <w:rPr>
          <w:vertAlign w:val="superscript"/>
        </w:rPr>
        <w:t>4</w:t>
      </w:r>
    </w:p>
    <w:p w14:paraId="061BED1F" w14:textId="77777777" w:rsidR="005D3817" w:rsidRDefault="005D3817" w:rsidP="005D3817">
      <w:pPr>
        <w:spacing w:after="240"/>
        <w:jc w:val="center"/>
        <w:rPr>
          <w:i/>
        </w:rPr>
      </w:pPr>
      <w:r w:rsidRPr="00C410A5">
        <w:rPr>
          <w:i/>
        </w:rPr>
        <w:t>NASA Ames Research Center, Moffett Field, California 94035</w:t>
      </w:r>
    </w:p>
    <w:p w14:paraId="78647DCC" w14:textId="77777777" w:rsidR="005D3817" w:rsidRPr="00C410A5" w:rsidRDefault="005D3817" w:rsidP="005D3817">
      <w:pPr>
        <w:jc w:val="center"/>
      </w:pPr>
      <w:r>
        <w:t>Christopher D. Karlgaard</w:t>
      </w:r>
      <w:r w:rsidRPr="00C410A5">
        <w:rPr>
          <w:vertAlign w:val="superscript"/>
        </w:rPr>
        <w:footnoteReference w:id="5"/>
      </w:r>
    </w:p>
    <w:p w14:paraId="423AFC83" w14:textId="32365170" w:rsidR="005D3817" w:rsidRPr="005D3817" w:rsidRDefault="005D3817" w:rsidP="005D3817">
      <w:pPr>
        <w:spacing w:after="240"/>
        <w:jc w:val="center"/>
        <w:rPr>
          <w:i/>
        </w:rPr>
      </w:pPr>
      <w:r w:rsidRPr="005D3817">
        <w:rPr>
          <w:i/>
        </w:rPr>
        <w:t>Analytical M</w:t>
      </w:r>
      <w:r>
        <w:rPr>
          <w:i/>
        </w:rPr>
        <w:t>echanics Associates</w:t>
      </w:r>
      <w:r w:rsidR="00982E9B">
        <w:rPr>
          <w:i/>
        </w:rPr>
        <w:t xml:space="preserve"> Inc.</w:t>
      </w:r>
      <w:r>
        <w:rPr>
          <w:i/>
        </w:rPr>
        <w:t>, Hampton, Virginia</w:t>
      </w:r>
      <w:r w:rsidRPr="005D3817">
        <w:rPr>
          <w:i/>
        </w:rPr>
        <w:t>, 23666</w:t>
      </w:r>
    </w:p>
    <w:p w14:paraId="6BF5FBBD" w14:textId="77777777" w:rsidR="005D3817" w:rsidRPr="00C410A5" w:rsidRDefault="005D3817" w:rsidP="005D3817">
      <w:pPr>
        <w:jc w:val="center"/>
      </w:pPr>
      <w:r w:rsidRPr="005D3817">
        <w:t>Hannah S. Alpert</w:t>
      </w:r>
      <w:r w:rsidRPr="00C410A5">
        <w:rPr>
          <w:vertAlign w:val="superscript"/>
        </w:rPr>
        <w:footnoteReference w:id="6"/>
      </w:r>
    </w:p>
    <w:p w14:paraId="56C76CCE" w14:textId="4BEFD5D7" w:rsidR="005D3817" w:rsidRDefault="00C147F2" w:rsidP="005D3817">
      <w:pPr>
        <w:spacing w:after="240"/>
        <w:jc w:val="center"/>
        <w:rPr>
          <w:i/>
        </w:rPr>
      </w:pPr>
      <w:r w:rsidRPr="005D3817">
        <w:rPr>
          <w:i/>
        </w:rPr>
        <w:t>Analytical M</w:t>
      </w:r>
      <w:r>
        <w:rPr>
          <w:i/>
        </w:rPr>
        <w:t>echanics Associates</w:t>
      </w:r>
      <w:r w:rsidRPr="00C410A5">
        <w:rPr>
          <w:i/>
        </w:rPr>
        <w:t xml:space="preserve"> </w:t>
      </w:r>
      <w:r w:rsidR="005D3817" w:rsidRPr="00C410A5">
        <w:rPr>
          <w:i/>
        </w:rPr>
        <w:t>Inc. at NASA Ames Research Center, Moffett Field, California 94035</w:t>
      </w:r>
    </w:p>
    <w:p w14:paraId="3BA61173" w14:textId="77777777" w:rsidR="005D3817" w:rsidRPr="00C410A5" w:rsidRDefault="005D3817" w:rsidP="005D3817">
      <w:pPr>
        <w:jc w:val="center"/>
      </w:pPr>
      <w:r>
        <w:t>Henry S. Wright</w:t>
      </w:r>
      <w:r w:rsidRPr="00C410A5">
        <w:rPr>
          <w:vertAlign w:val="superscript"/>
        </w:rPr>
        <w:footnoteReference w:id="7"/>
      </w:r>
      <w:r>
        <w:t>, Chris Kuhl</w:t>
      </w:r>
      <w:r w:rsidRPr="00C410A5">
        <w:rPr>
          <w:vertAlign w:val="superscript"/>
        </w:rPr>
        <w:footnoteReference w:id="8"/>
      </w:r>
    </w:p>
    <w:p w14:paraId="6CF830DB" w14:textId="77777777" w:rsidR="005D3817" w:rsidRPr="00C410A5" w:rsidRDefault="005D3817" w:rsidP="005D3817">
      <w:pPr>
        <w:spacing w:after="240"/>
        <w:jc w:val="center"/>
        <w:rPr>
          <w:i/>
        </w:rPr>
      </w:pPr>
      <w:r w:rsidRPr="005D3817">
        <w:rPr>
          <w:i/>
        </w:rPr>
        <w:t>NASA Langley Research Center, Hampton, V</w:t>
      </w:r>
      <w:r>
        <w:rPr>
          <w:i/>
        </w:rPr>
        <w:t>irginia</w:t>
      </w:r>
      <w:r w:rsidRPr="005D3817">
        <w:rPr>
          <w:i/>
        </w:rPr>
        <w:t>, 23681</w:t>
      </w:r>
    </w:p>
    <w:p w14:paraId="668A668A" w14:textId="77777777" w:rsidR="005E0B1F" w:rsidRDefault="005E0B1F" w:rsidP="006E7B77">
      <w:pPr>
        <w:spacing w:before="480" w:after="480"/>
        <w:ind w:left="720" w:right="720"/>
        <w:rPr>
          <w:b/>
        </w:rPr>
      </w:pPr>
    </w:p>
    <w:p w14:paraId="6BDCF588" w14:textId="52650F2F" w:rsidR="00F3003A" w:rsidRDefault="00041A73" w:rsidP="00A76FC6">
      <w:pPr>
        <w:spacing w:before="480" w:after="480"/>
        <w:ind w:left="720" w:right="720"/>
        <w:rPr>
          <w:b/>
        </w:rPr>
      </w:pPr>
      <w:r w:rsidRPr="00041A73">
        <w:rPr>
          <w:b/>
        </w:rPr>
        <w:t>On February 18</w:t>
      </w:r>
      <w:r w:rsidRPr="00041A73">
        <w:rPr>
          <w:b/>
          <w:vertAlign w:val="superscript"/>
        </w:rPr>
        <w:t>th</w:t>
      </w:r>
      <w:r>
        <w:rPr>
          <w:b/>
        </w:rPr>
        <w:t>,</w:t>
      </w:r>
      <w:r w:rsidRPr="00041A73">
        <w:rPr>
          <w:b/>
        </w:rPr>
        <w:t xml:space="preserve"> 2021, the Mars 2020 entry </w:t>
      </w:r>
      <w:r>
        <w:rPr>
          <w:b/>
        </w:rPr>
        <w:t xml:space="preserve">vehicle </w:t>
      </w:r>
      <w:r w:rsidRPr="00041A73">
        <w:rPr>
          <w:b/>
        </w:rPr>
        <w:t xml:space="preserve">delivered the Perseverance rover </w:t>
      </w:r>
      <w:r>
        <w:rPr>
          <w:b/>
        </w:rPr>
        <w:t>to the surface of Mars</w:t>
      </w:r>
      <w:r w:rsidR="00DE335E">
        <w:rPr>
          <w:b/>
        </w:rPr>
        <w:t xml:space="preserve">. </w:t>
      </w:r>
      <w:r w:rsidRPr="00041A73">
        <w:rPr>
          <w:b/>
        </w:rPr>
        <w:t xml:space="preserve">The entry </w:t>
      </w:r>
      <w:r>
        <w:rPr>
          <w:b/>
        </w:rPr>
        <w:t xml:space="preserve">vehicle </w:t>
      </w:r>
      <w:r w:rsidRPr="00041A73">
        <w:rPr>
          <w:b/>
        </w:rPr>
        <w:t>carried a set of instrumentation installed on the heatshield and backshell</w:t>
      </w:r>
      <w:r w:rsidR="003752D1" w:rsidRPr="003752D1">
        <w:rPr>
          <w:b/>
        </w:rPr>
        <w:t xml:space="preserve"> </w:t>
      </w:r>
      <w:r w:rsidR="003752D1">
        <w:rPr>
          <w:b/>
        </w:rPr>
        <w:t xml:space="preserve">to </w:t>
      </w:r>
      <w:r w:rsidR="003752D1" w:rsidRPr="00041A73">
        <w:rPr>
          <w:b/>
        </w:rPr>
        <w:t xml:space="preserve">measure aerodynamic and </w:t>
      </w:r>
      <w:r w:rsidR="003752D1">
        <w:rPr>
          <w:b/>
        </w:rPr>
        <w:t>aerothermal</w:t>
      </w:r>
      <w:r w:rsidR="003752D1" w:rsidRPr="00041A73">
        <w:rPr>
          <w:b/>
        </w:rPr>
        <w:t xml:space="preserve"> p</w:t>
      </w:r>
      <w:r w:rsidR="003752D1">
        <w:rPr>
          <w:b/>
        </w:rPr>
        <w:t>erformance</w:t>
      </w:r>
      <w:r w:rsidRPr="00041A73">
        <w:rPr>
          <w:b/>
        </w:rPr>
        <w:t>, named the Mars Entry, Descent, and Landing Instrumentation</w:t>
      </w:r>
      <w:r>
        <w:rPr>
          <w:b/>
        </w:rPr>
        <w:t xml:space="preserve"> 2</w:t>
      </w:r>
      <w:r w:rsidRPr="00041A73">
        <w:rPr>
          <w:b/>
        </w:rPr>
        <w:t xml:space="preserve">. </w:t>
      </w:r>
      <w:r>
        <w:rPr>
          <w:b/>
        </w:rPr>
        <w:t>T</w:t>
      </w:r>
      <w:r w:rsidR="00DE335E">
        <w:rPr>
          <w:b/>
        </w:rPr>
        <w:t xml:space="preserve">his set of instrumentation </w:t>
      </w:r>
      <w:r w:rsidRPr="00041A73">
        <w:rPr>
          <w:b/>
        </w:rPr>
        <w:t>include</w:t>
      </w:r>
      <w:r w:rsidR="003752D1">
        <w:rPr>
          <w:b/>
        </w:rPr>
        <w:t>d</w:t>
      </w:r>
      <w:r w:rsidRPr="00041A73">
        <w:rPr>
          <w:b/>
        </w:rPr>
        <w:t xml:space="preserve"> pressure transducers, thermocouples, heatflux </w:t>
      </w:r>
      <w:r>
        <w:rPr>
          <w:b/>
        </w:rPr>
        <w:t>sensors</w:t>
      </w:r>
      <w:r w:rsidRPr="00041A73">
        <w:rPr>
          <w:b/>
        </w:rPr>
        <w:t xml:space="preserve">, and </w:t>
      </w:r>
      <w:r>
        <w:rPr>
          <w:b/>
        </w:rPr>
        <w:t>a radiometer, as well as a dedicated sensor support electronics system</w:t>
      </w:r>
      <w:r w:rsidR="00A76FC6">
        <w:rPr>
          <w:b/>
        </w:rPr>
        <w:t xml:space="preserve">. </w:t>
      </w:r>
      <w:r w:rsidR="00F3003A">
        <w:rPr>
          <w:b/>
        </w:rPr>
        <w:t xml:space="preserve">All MEDLI2 </w:t>
      </w:r>
      <w:r w:rsidR="00A76FC6">
        <w:rPr>
          <w:b/>
        </w:rPr>
        <w:t xml:space="preserve">hardware operated as expected during cruise and entry. MEDLI2 sensors gathered </w:t>
      </w:r>
      <w:r w:rsidR="00F3003A" w:rsidRPr="00A76FC6">
        <w:rPr>
          <w:b/>
        </w:rPr>
        <w:t>accurate pressure measurements in hypersonic through supersonic regimes</w:t>
      </w:r>
      <w:r w:rsidR="00A76FC6" w:rsidRPr="00A76FC6">
        <w:rPr>
          <w:b/>
        </w:rPr>
        <w:t xml:space="preserve"> to reconstruct vehicle attitude</w:t>
      </w:r>
      <w:r w:rsidR="00A76FC6">
        <w:rPr>
          <w:b/>
        </w:rPr>
        <w:t xml:space="preserve"> and atmospheric profiles. </w:t>
      </w:r>
      <w:r w:rsidR="00EE2B52" w:rsidRPr="00A76FC6">
        <w:rPr>
          <w:b/>
        </w:rPr>
        <w:t xml:space="preserve">MEDLI2 </w:t>
      </w:r>
      <w:r w:rsidR="00A76FC6">
        <w:rPr>
          <w:b/>
        </w:rPr>
        <w:t xml:space="preserve">on the heatshield </w:t>
      </w:r>
      <w:r w:rsidR="00EE2B52" w:rsidRPr="00A76FC6">
        <w:rPr>
          <w:b/>
        </w:rPr>
        <w:t>sensors indicate</w:t>
      </w:r>
      <w:r w:rsidR="00A76FC6" w:rsidRPr="00A76FC6">
        <w:rPr>
          <w:b/>
        </w:rPr>
        <w:t>d</w:t>
      </w:r>
      <w:r w:rsidR="00EE2B52" w:rsidRPr="00A76FC6">
        <w:rPr>
          <w:b/>
        </w:rPr>
        <w:t xml:space="preserve"> </w:t>
      </w:r>
      <w:r w:rsidR="00A76FC6">
        <w:rPr>
          <w:b/>
        </w:rPr>
        <w:t xml:space="preserve">that </w:t>
      </w:r>
      <w:r w:rsidR="00EE2B52" w:rsidRPr="00A76FC6">
        <w:rPr>
          <w:b/>
        </w:rPr>
        <w:t xml:space="preserve">surface temperatures, caused by turbulent heating </w:t>
      </w:r>
      <w:r w:rsidR="00A76FC6" w:rsidRPr="00A76FC6">
        <w:rPr>
          <w:b/>
        </w:rPr>
        <w:t xml:space="preserve">beginning </w:t>
      </w:r>
      <w:r w:rsidR="00EE2B52" w:rsidRPr="00A76FC6">
        <w:rPr>
          <w:b/>
        </w:rPr>
        <w:t>70 seconds after entry, remained at or below 1430</w:t>
      </w:r>
      <w:r w:rsidR="00A76FC6" w:rsidRPr="00A76FC6">
        <w:rPr>
          <w:b/>
        </w:rPr>
        <w:t>°</w:t>
      </w:r>
      <w:r w:rsidR="00982E9B">
        <w:rPr>
          <w:b/>
        </w:rPr>
        <w:t xml:space="preserve"> </w:t>
      </w:r>
      <w:r w:rsidR="00A76FC6" w:rsidRPr="00A76FC6">
        <w:rPr>
          <w:b/>
        </w:rPr>
        <w:t xml:space="preserve">C, </w:t>
      </w:r>
      <w:r w:rsidR="00A76FC6">
        <w:rPr>
          <w:b/>
        </w:rPr>
        <w:t xml:space="preserve">while </w:t>
      </w:r>
      <w:r w:rsidR="00A76FC6" w:rsidRPr="00A76FC6">
        <w:rPr>
          <w:b/>
        </w:rPr>
        <w:t xml:space="preserve">heatshield </w:t>
      </w:r>
      <w:proofErr w:type="spellStart"/>
      <w:r w:rsidR="00EE2B52" w:rsidRPr="00A76FC6">
        <w:rPr>
          <w:b/>
        </w:rPr>
        <w:t>bondline</w:t>
      </w:r>
      <w:proofErr w:type="spellEnd"/>
      <w:r w:rsidR="00EE2B52" w:rsidRPr="00A76FC6">
        <w:rPr>
          <w:b/>
        </w:rPr>
        <w:t xml:space="preserve"> temperatures </w:t>
      </w:r>
      <w:r w:rsidR="00A76FC6" w:rsidRPr="00A76FC6">
        <w:rPr>
          <w:b/>
        </w:rPr>
        <w:t xml:space="preserve">rose less than </w:t>
      </w:r>
      <w:r w:rsidR="00EE2B52" w:rsidRPr="00A76FC6">
        <w:rPr>
          <w:b/>
        </w:rPr>
        <w:t>45</w:t>
      </w:r>
      <w:r w:rsidR="00A76FC6" w:rsidRPr="00A76FC6">
        <w:rPr>
          <w:b/>
        </w:rPr>
        <w:t>°</w:t>
      </w:r>
      <w:r w:rsidR="00982E9B">
        <w:rPr>
          <w:b/>
        </w:rPr>
        <w:t xml:space="preserve"> </w:t>
      </w:r>
      <w:r w:rsidR="00A76FC6" w:rsidRPr="00A76FC6">
        <w:rPr>
          <w:b/>
        </w:rPr>
        <w:t>C</w:t>
      </w:r>
      <w:r w:rsidR="00A76FC6">
        <w:rPr>
          <w:b/>
        </w:rPr>
        <w:t xml:space="preserve">. </w:t>
      </w:r>
      <w:r w:rsidR="00EE2B52" w:rsidRPr="00A76FC6">
        <w:rPr>
          <w:b/>
        </w:rPr>
        <w:t>Backshell surface TPS temperatures peaked at 630</w:t>
      </w:r>
      <w:r w:rsidR="00A76FC6" w:rsidRPr="00A76FC6">
        <w:rPr>
          <w:b/>
        </w:rPr>
        <w:t>°</w:t>
      </w:r>
      <w:r w:rsidR="00982E9B">
        <w:rPr>
          <w:b/>
        </w:rPr>
        <w:t xml:space="preserve"> </w:t>
      </w:r>
      <w:r w:rsidR="00A76FC6" w:rsidRPr="00A76FC6">
        <w:rPr>
          <w:b/>
        </w:rPr>
        <w:t>C</w:t>
      </w:r>
      <w:r w:rsidR="00EE2B52" w:rsidRPr="00A76FC6">
        <w:rPr>
          <w:b/>
        </w:rPr>
        <w:t xml:space="preserve">, </w:t>
      </w:r>
      <w:r w:rsidR="00A76FC6" w:rsidRPr="00A76FC6">
        <w:rPr>
          <w:b/>
        </w:rPr>
        <w:t xml:space="preserve">which was caused primarily by </w:t>
      </w:r>
      <w:r w:rsidR="00EE2B52" w:rsidRPr="00A76FC6">
        <w:rPr>
          <w:b/>
        </w:rPr>
        <w:t>radiative heatin</w:t>
      </w:r>
      <w:r w:rsidR="00A76FC6" w:rsidRPr="00A76FC6">
        <w:rPr>
          <w:b/>
        </w:rPr>
        <w:t>g measured by several separate sensors</w:t>
      </w:r>
      <w:r w:rsidR="00A76FC6">
        <w:rPr>
          <w:b/>
        </w:rPr>
        <w:t xml:space="preserve">. </w:t>
      </w:r>
      <w:r w:rsidR="00A76FC6" w:rsidRPr="00A76FC6">
        <w:rPr>
          <w:b/>
        </w:rPr>
        <w:t>The MEDLI2 temperature and pressure measurements enabled further detailed characterization of the Mars 2020 entry performance</w:t>
      </w:r>
      <w:r w:rsidR="00A76FC6">
        <w:rPr>
          <w:b/>
        </w:rPr>
        <w:t xml:space="preserve">, and the flight dataset will provide a </w:t>
      </w:r>
      <w:r w:rsidR="00F3003A">
        <w:rPr>
          <w:b/>
        </w:rPr>
        <w:t>wealth of information for the EDL community and future mission designers.</w:t>
      </w:r>
    </w:p>
    <w:p w14:paraId="55B40734" w14:textId="77777777" w:rsidR="00A50084" w:rsidRDefault="00A50084" w:rsidP="006E7B77">
      <w:pPr>
        <w:spacing w:before="480" w:after="480"/>
        <w:ind w:left="720" w:right="720"/>
        <w:rPr>
          <w:b/>
        </w:rPr>
      </w:pPr>
    </w:p>
    <w:p w14:paraId="60A178EA" w14:textId="77777777" w:rsidR="00F565BA" w:rsidRPr="00F565BA" w:rsidRDefault="00FC5BB6" w:rsidP="00F67C97">
      <w:pPr>
        <w:keepNext/>
        <w:spacing w:before="240" w:after="60"/>
        <w:jc w:val="center"/>
        <w:outlineLvl w:val="0"/>
        <w:rPr>
          <w:b/>
          <w:kern w:val="32"/>
          <w:sz w:val="22"/>
        </w:rPr>
      </w:pPr>
      <w:r>
        <w:rPr>
          <w:b/>
          <w:kern w:val="32"/>
          <w:sz w:val="22"/>
        </w:rPr>
        <w:t xml:space="preserve">Acronyms and </w:t>
      </w:r>
      <w:r w:rsidR="00F565BA" w:rsidRPr="00F565BA">
        <w:rPr>
          <w:b/>
          <w:kern w:val="32"/>
          <w:sz w:val="22"/>
        </w:rPr>
        <w:t>Nomenclature</w:t>
      </w:r>
    </w:p>
    <w:p w14:paraId="2DA89881" w14:textId="52DCC32A" w:rsidR="00A66287" w:rsidRDefault="00A66287" w:rsidP="00F565BA">
      <w:pPr>
        <w:widowControl w:val="0"/>
        <w:tabs>
          <w:tab w:val="left" w:pos="864"/>
          <w:tab w:val="left" w:pos="1152"/>
        </w:tabs>
        <w:rPr>
          <w:i/>
        </w:rPr>
      </w:pPr>
      <w:r>
        <w:rPr>
          <w:i/>
        </w:rPr>
        <w:t>EI</w:t>
      </w:r>
      <w:r w:rsidRPr="00F565BA">
        <w:tab/>
        <w:t>=</w:t>
      </w:r>
      <w:r w:rsidRPr="00F565BA">
        <w:tab/>
      </w:r>
      <w:r>
        <w:t>Entry Interface</w:t>
      </w:r>
    </w:p>
    <w:p w14:paraId="37EF4B21" w14:textId="77777777" w:rsidR="00F565BA" w:rsidRPr="00E967B0" w:rsidRDefault="00FC5BB6" w:rsidP="00F565BA">
      <w:pPr>
        <w:widowControl w:val="0"/>
        <w:tabs>
          <w:tab w:val="left" w:pos="864"/>
          <w:tab w:val="left" w:pos="1152"/>
        </w:tabs>
      </w:pPr>
      <w:r>
        <w:rPr>
          <w:i/>
        </w:rPr>
        <w:t>MEADS</w:t>
      </w:r>
      <w:r w:rsidR="00F565BA" w:rsidRPr="00F565BA">
        <w:tab/>
        <w:t>=</w:t>
      </w:r>
      <w:r w:rsidR="00F565BA" w:rsidRPr="00F565BA">
        <w:tab/>
      </w:r>
      <w:r w:rsidR="00E967B0">
        <w:t>MEDLI2</w:t>
      </w:r>
      <w:r w:rsidR="00E967B0" w:rsidRPr="00E967B0">
        <w:t xml:space="preserve"> Entry Atmospheric Data System</w:t>
      </w:r>
    </w:p>
    <w:p w14:paraId="116CA86E" w14:textId="3D0A8D0E" w:rsidR="005E0B1F" w:rsidRDefault="005E0B1F" w:rsidP="005E0B1F">
      <w:pPr>
        <w:widowControl w:val="0"/>
        <w:tabs>
          <w:tab w:val="left" w:pos="864"/>
          <w:tab w:val="left" w:pos="1152"/>
        </w:tabs>
        <w:rPr>
          <w:i/>
        </w:rPr>
      </w:pPr>
      <w:r>
        <w:rPr>
          <w:i/>
        </w:rPr>
        <w:t>MEDLI</w:t>
      </w:r>
      <w:r w:rsidRPr="00F565BA">
        <w:tab/>
        <w:t>=</w:t>
      </w:r>
      <w:r w:rsidRPr="00F565BA">
        <w:tab/>
      </w:r>
      <w:r w:rsidRPr="00E967B0">
        <w:t>Mars Entry, Descent, and Landing Instrumentation</w:t>
      </w:r>
    </w:p>
    <w:p w14:paraId="722208A7" w14:textId="38CF125B" w:rsidR="00E967B0" w:rsidRDefault="00E967B0" w:rsidP="00E967B0">
      <w:pPr>
        <w:widowControl w:val="0"/>
        <w:tabs>
          <w:tab w:val="left" w:pos="864"/>
          <w:tab w:val="left" w:pos="1152"/>
        </w:tabs>
        <w:rPr>
          <w:i/>
        </w:rPr>
      </w:pPr>
      <w:r>
        <w:rPr>
          <w:i/>
        </w:rPr>
        <w:t>MEDLI2</w:t>
      </w:r>
      <w:r w:rsidRPr="00F565BA">
        <w:tab/>
        <w:t>=</w:t>
      </w:r>
      <w:r w:rsidRPr="00F565BA">
        <w:tab/>
      </w:r>
      <w:r w:rsidRPr="00E967B0">
        <w:t>Mars Entry, Descent, and Landing Instrumentation 2</w:t>
      </w:r>
    </w:p>
    <w:p w14:paraId="1EB2DC71" w14:textId="77777777" w:rsidR="00FC5BB6" w:rsidRPr="00F565BA" w:rsidRDefault="00FC5BB6" w:rsidP="00FC5BB6">
      <w:pPr>
        <w:widowControl w:val="0"/>
        <w:tabs>
          <w:tab w:val="left" w:pos="864"/>
          <w:tab w:val="left" w:pos="1152"/>
        </w:tabs>
      </w:pPr>
      <w:r>
        <w:rPr>
          <w:i/>
        </w:rPr>
        <w:t>MISP</w:t>
      </w:r>
      <w:r w:rsidRPr="00F565BA">
        <w:tab/>
        <w:t>=</w:t>
      </w:r>
      <w:r w:rsidRPr="00F565BA">
        <w:tab/>
      </w:r>
      <w:r w:rsidR="00E967B0">
        <w:t>MEDLI2 Instrumented Sensor Plug</w:t>
      </w:r>
    </w:p>
    <w:p w14:paraId="4EBF9292" w14:textId="77777777" w:rsidR="00FC5BB6" w:rsidRDefault="00FC5BB6" w:rsidP="00FC5BB6">
      <w:pPr>
        <w:widowControl w:val="0"/>
        <w:tabs>
          <w:tab w:val="left" w:pos="864"/>
          <w:tab w:val="left" w:pos="1152"/>
        </w:tabs>
      </w:pPr>
      <w:r>
        <w:rPr>
          <w:i/>
        </w:rPr>
        <w:t>MPB</w:t>
      </w:r>
      <w:r w:rsidRPr="00F565BA">
        <w:tab/>
        <w:t>=</w:t>
      </w:r>
      <w:r w:rsidRPr="00F565BA">
        <w:tab/>
      </w:r>
      <w:r w:rsidR="00E967B0">
        <w:t>MEDLI2 Pressure Backshell</w:t>
      </w:r>
    </w:p>
    <w:p w14:paraId="2666DBBC" w14:textId="77777777" w:rsidR="00FC5BB6" w:rsidRPr="00F565BA" w:rsidRDefault="00FC5BB6" w:rsidP="00FC5BB6">
      <w:pPr>
        <w:widowControl w:val="0"/>
        <w:tabs>
          <w:tab w:val="left" w:pos="864"/>
          <w:tab w:val="left" w:pos="1152"/>
        </w:tabs>
      </w:pPr>
      <w:r>
        <w:rPr>
          <w:i/>
        </w:rPr>
        <w:t>MPH</w:t>
      </w:r>
      <w:r w:rsidRPr="00F565BA">
        <w:tab/>
        <w:t>=</w:t>
      </w:r>
      <w:r w:rsidRPr="00F565BA">
        <w:tab/>
      </w:r>
      <w:r w:rsidR="00E967B0">
        <w:t>MEDLI2 Pressure Heatshield</w:t>
      </w:r>
    </w:p>
    <w:p w14:paraId="530875F7" w14:textId="77777777" w:rsidR="00DE335E" w:rsidRPr="00F565BA" w:rsidRDefault="00DE335E" w:rsidP="00DE335E">
      <w:pPr>
        <w:widowControl w:val="0"/>
        <w:tabs>
          <w:tab w:val="left" w:pos="864"/>
          <w:tab w:val="left" w:pos="1152"/>
        </w:tabs>
      </w:pPr>
      <w:r>
        <w:rPr>
          <w:i/>
        </w:rPr>
        <w:t>MSL</w:t>
      </w:r>
      <w:r w:rsidRPr="00F565BA">
        <w:tab/>
        <w:t>=</w:t>
      </w:r>
      <w:r w:rsidRPr="00F565BA">
        <w:tab/>
      </w:r>
      <w:r>
        <w:t>Mars Science Laboratory Mission</w:t>
      </w:r>
    </w:p>
    <w:p w14:paraId="06A26731" w14:textId="77777777" w:rsidR="00FC5BB6" w:rsidRPr="00F565BA" w:rsidRDefault="00FC5BB6" w:rsidP="00FC5BB6">
      <w:pPr>
        <w:widowControl w:val="0"/>
        <w:tabs>
          <w:tab w:val="left" w:pos="864"/>
          <w:tab w:val="left" w:pos="1152"/>
        </w:tabs>
      </w:pPr>
      <w:r>
        <w:rPr>
          <w:i/>
        </w:rPr>
        <w:t>MTB</w:t>
      </w:r>
      <w:r w:rsidRPr="00F565BA">
        <w:tab/>
        <w:t>=</w:t>
      </w:r>
      <w:r w:rsidRPr="00F565BA">
        <w:tab/>
      </w:r>
      <w:r w:rsidR="00E967B0">
        <w:t>MEDLI2 Thermal Backshell</w:t>
      </w:r>
    </w:p>
    <w:p w14:paraId="1F5D69D7" w14:textId="77777777" w:rsidR="00FC5BB6" w:rsidRPr="00F565BA" w:rsidRDefault="00FC5BB6" w:rsidP="00FC5BB6">
      <w:pPr>
        <w:widowControl w:val="0"/>
        <w:tabs>
          <w:tab w:val="left" w:pos="864"/>
          <w:tab w:val="left" w:pos="1152"/>
        </w:tabs>
      </w:pPr>
      <w:r>
        <w:rPr>
          <w:i/>
        </w:rPr>
        <w:t>MTH</w:t>
      </w:r>
      <w:r w:rsidRPr="00F565BA">
        <w:tab/>
        <w:t>=</w:t>
      </w:r>
      <w:r w:rsidRPr="00F565BA">
        <w:tab/>
      </w:r>
      <w:r>
        <w:t>M</w:t>
      </w:r>
      <w:r w:rsidR="00E967B0">
        <w:t>EDLI2 Thermal Heatshield</w:t>
      </w:r>
    </w:p>
    <w:p w14:paraId="5DB228EE" w14:textId="77777777" w:rsidR="00FC5BB6" w:rsidRPr="00F565BA" w:rsidRDefault="00FC5BB6" w:rsidP="00FC5BB6">
      <w:pPr>
        <w:widowControl w:val="0"/>
        <w:tabs>
          <w:tab w:val="left" w:pos="864"/>
          <w:tab w:val="left" w:pos="1152"/>
        </w:tabs>
      </w:pPr>
      <w:r>
        <w:rPr>
          <w:i/>
        </w:rPr>
        <w:t>PICA</w:t>
      </w:r>
      <w:r>
        <w:rPr>
          <w:i/>
        </w:rPr>
        <w:tab/>
      </w:r>
      <w:r w:rsidRPr="00F565BA">
        <w:t>=</w:t>
      </w:r>
      <w:r w:rsidRPr="00F565BA">
        <w:tab/>
      </w:r>
      <w:r>
        <w:t>Phenolic Impregnated Carbon Ablator</w:t>
      </w:r>
    </w:p>
    <w:p w14:paraId="16D92BC6" w14:textId="5C5495C0" w:rsidR="00FC5BB6" w:rsidRPr="00FC5BB6" w:rsidRDefault="00FC5BB6" w:rsidP="00FC5BB6">
      <w:pPr>
        <w:widowControl w:val="0"/>
        <w:tabs>
          <w:tab w:val="left" w:pos="864"/>
          <w:tab w:val="left" w:pos="1152"/>
        </w:tabs>
      </w:pPr>
      <w:r>
        <w:rPr>
          <w:i/>
        </w:rPr>
        <w:t>SLA</w:t>
      </w:r>
      <w:r>
        <w:rPr>
          <w:i/>
        </w:rPr>
        <w:tab/>
      </w:r>
      <w:r w:rsidRPr="00F565BA">
        <w:t>=</w:t>
      </w:r>
      <w:r w:rsidRPr="00F565BA">
        <w:tab/>
      </w:r>
      <w:r w:rsidR="00BB489F">
        <w:t>Super Lightweight Ablator</w:t>
      </w:r>
    </w:p>
    <w:p w14:paraId="15F96020" w14:textId="77777777" w:rsidR="007B75D7" w:rsidRPr="00F565BA" w:rsidRDefault="007B75D7" w:rsidP="007B75D7">
      <w:pPr>
        <w:widowControl w:val="0"/>
        <w:tabs>
          <w:tab w:val="left" w:pos="864"/>
          <w:tab w:val="left" w:pos="1152"/>
        </w:tabs>
      </w:pPr>
      <w:r>
        <w:rPr>
          <w:i/>
        </w:rPr>
        <w:t>SC</w:t>
      </w:r>
      <w:r>
        <w:rPr>
          <w:i/>
        </w:rPr>
        <w:tab/>
      </w:r>
      <w:r w:rsidRPr="00F565BA">
        <w:t>=</w:t>
      </w:r>
      <w:r w:rsidRPr="00F565BA">
        <w:tab/>
      </w:r>
      <w:r>
        <w:t>Spacecraft Coordinates</w:t>
      </w:r>
    </w:p>
    <w:p w14:paraId="24710154" w14:textId="340AFD44" w:rsidR="00FC5BB6" w:rsidRDefault="00FC5BB6" w:rsidP="00FC5BB6">
      <w:pPr>
        <w:widowControl w:val="0"/>
        <w:tabs>
          <w:tab w:val="left" w:pos="864"/>
          <w:tab w:val="left" w:pos="1152"/>
        </w:tabs>
      </w:pPr>
      <w:r>
        <w:rPr>
          <w:i/>
        </w:rPr>
        <w:t>SSE</w:t>
      </w:r>
      <w:r>
        <w:rPr>
          <w:i/>
        </w:rPr>
        <w:tab/>
      </w:r>
      <w:r w:rsidRPr="00F565BA">
        <w:t>=</w:t>
      </w:r>
      <w:r w:rsidRPr="00F565BA">
        <w:tab/>
      </w:r>
      <w:r w:rsidR="00BB489F">
        <w:t>Sensor Support Electronics</w:t>
      </w:r>
    </w:p>
    <w:p w14:paraId="1E4CC869" w14:textId="77777777" w:rsidR="00F565BA" w:rsidRPr="00F565BA" w:rsidRDefault="00F565BA" w:rsidP="00F565BA">
      <w:pPr>
        <w:keepNext/>
        <w:numPr>
          <w:ilvl w:val="0"/>
          <w:numId w:val="2"/>
        </w:numPr>
        <w:tabs>
          <w:tab w:val="clear" w:pos="360"/>
          <w:tab w:val="num" w:pos="180"/>
        </w:tabs>
        <w:spacing w:before="240" w:after="60"/>
        <w:ind w:left="180" w:hanging="180"/>
        <w:jc w:val="center"/>
        <w:outlineLvl w:val="0"/>
        <w:rPr>
          <w:b/>
          <w:kern w:val="32"/>
          <w:sz w:val="22"/>
        </w:rPr>
      </w:pPr>
      <w:r w:rsidRPr="00F565BA">
        <w:rPr>
          <w:b/>
          <w:kern w:val="32"/>
          <w:sz w:val="22"/>
        </w:rPr>
        <w:lastRenderedPageBreak/>
        <w:t>Introduction</w:t>
      </w:r>
    </w:p>
    <w:p w14:paraId="02B13645" w14:textId="34463621" w:rsidR="005319D8" w:rsidRDefault="003752D1" w:rsidP="00DE74DB">
      <w:pPr>
        <w:autoSpaceDE w:val="0"/>
        <w:autoSpaceDN w:val="0"/>
        <w:adjustRightInd w:val="0"/>
        <w:ind w:firstLine="180"/>
        <w:jc w:val="left"/>
      </w:pPr>
      <w:r>
        <w:t>T</w:t>
      </w:r>
      <w:r w:rsidR="00A45EC9">
        <w:t xml:space="preserve">he </w:t>
      </w:r>
      <w:r w:rsidR="00A45EC9" w:rsidRPr="005319D8">
        <w:t xml:space="preserve">Mars 2020 Perseverance rover </w:t>
      </w:r>
      <w:r w:rsidR="00A45EC9">
        <w:t xml:space="preserve">entered Mars’ </w:t>
      </w:r>
      <w:r w:rsidR="00A45EC9" w:rsidRPr="005319D8">
        <w:t>atmosphere on February 18</w:t>
      </w:r>
      <w:r w:rsidR="00D748B3" w:rsidRPr="00B17135">
        <w:rPr>
          <w:vertAlign w:val="superscript"/>
        </w:rPr>
        <w:t>th</w:t>
      </w:r>
      <w:r w:rsidR="00A45EC9" w:rsidRPr="005319D8">
        <w:t>, 2021</w:t>
      </w:r>
      <w:r w:rsidR="00084623">
        <w:t xml:space="preserve">. </w:t>
      </w:r>
      <w:r w:rsidR="00451A06">
        <w:t xml:space="preserve">The rover was protected during entry by an aeroshell that </w:t>
      </w:r>
      <w:r w:rsidR="00A45EC9">
        <w:t xml:space="preserve">included a sensor suite to observe the </w:t>
      </w:r>
      <w:r w:rsidR="00451A06">
        <w:t xml:space="preserve">entry event external surface </w:t>
      </w:r>
      <w:r w:rsidR="00A45EC9">
        <w:t xml:space="preserve">pressures, near-surface thermal protection system (TPS) temperatures, and </w:t>
      </w:r>
      <w:r w:rsidR="00451A06">
        <w:t>backshell</w:t>
      </w:r>
      <w:r w:rsidR="00A45EC9">
        <w:t xml:space="preserve"> radia</w:t>
      </w:r>
      <w:r>
        <w:t>tive</w:t>
      </w:r>
      <w:r w:rsidR="00A45EC9">
        <w:t xml:space="preserve"> and convective heating</w:t>
      </w:r>
      <w:r w:rsidR="00084623">
        <w:t xml:space="preserve">. </w:t>
      </w:r>
      <w:r w:rsidR="00A45EC9">
        <w:t xml:space="preserve">This sensor suite </w:t>
      </w:r>
      <w:r w:rsidR="005A3C35">
        <w:t xml:space="preserve">was </w:t>
      </w:r>
      <w:r w:rsidR="00A45EC9">
        <w:t xml:space="preserve">the </w:t>
      </w:r>
      <w:r w:rsidR="005319D8" w:rsidRPr="005319D8">
        <w:t xml:space="preserve">Mars Entry, Descent, and Landing Instrumentation 2 (MEDLI2) </w:t>
      </w:r>
      <w:r w:rsidR="00A45EC9">
        <w:t>system</w:t>
      </w:r>
      <w:r w:rsidR="00EF6630">
        <w:t xml:space="preserve"> [1]</w:t>
      </w:r>
      <w:r w:rsidR="00084623">
        <w:t xml:space="preserve">. </w:t>
      </w:r>
      <w:r w:rsidR="005319D8">
        <w:t xml:space="preserve">MEDLI2 </w:t>
      </w:r>
      <w:r w:rsidR="00E20BB1">
        <w:t xml:space="preserve">was derived from the </w:t>
      </w:r>
      <w:r w:rsidR="005319D8">
        <w:t>success</w:t>
      </w:r>
      <w:r w:rsidR="00E20BB1">
        <w:t>ful</w:t>
      </w:r>
      <w:r w:rsidR="005319D8">
        <w:t xml:space="preserve"> Mars Science Laboratory Entry, Descent, and</w:t>
      </w:r>
      <w:r w:rsidR="00A45EC9">
        <w:t xml:space="preserve"> Landing Instrumentation (MEDLI), which was </w:t>
      </w:r>
      <w:r w:rsidR="00DE74DB">
        <w:t xml:space="preserve">flown </w:t>
      </w:r>
      <w:r w:rsidR="00A45EC9">
        <w:t xml:space="preserve">as part of the </w:t>
      </w:r>
      <w:r w:rsidR="005319D8">
        <w:t>Mars Science Laboratory (MSL)</w:t>
      </w:r>
      <w:r w:rsidR="00A45EC9">
        <w:t xml:space="preserve"> aeroshell</w:t>
      </w:r>
      <w:r w:rsidR="00DE74DB">
        <w:t xml:space="preserve"> in 2012</w:t>
      </w:r>
      <w:r w:rsidR="00D748B3">
        <w:t xml:space="preserve"> </w:t>
      </w:r>
      <w:r w:rsidR="00EF6630">
        <w:t>[2]</w:t>
      </w:r>
      <w:r w:rsidR="00084623">
        <w:t xml:space="preserve">. </w:t>
      </w:r>
      <w:r w:rsidR="005319D8">
        <w:t>MEDLI2 instru</w:t>
      </w:r>
      <w:r w:rsidR="00DE74DB">
        <w:t xml:space="preserve">mentation </w:t>
      </w:r>
      <w:r w:rsidR="00C85550">
        <w:t>improved on MEDLI by incorporating sensors with greater range and area coverage</w:t>
      </w:r>
      <w:r w:rsidR="00084623">
        <w:t xml:space="preserve">. </w:t>
      </w:r>
      <w:r w:rsidR="00A45EC9">
        <w:t>MEDLI2 include</w:t>
      </w:r>
      <w:r w:rsidR="005A3C35">
        <w:t>d</w:t>
      </w:r>
      <w:r w:rsidR="00F16967">
        <w:t xml:space="preserve"> </w:t>
      </w:r>
      <w:r w:rsidR="00A45EC9">
        <w:t xml:space="preserve">new </w:t>
      </w:r>
      <w:r w:rsidR="00C85550">
        <w:t xml:space="preserve">heatshield </w:t>
      </w:r>
      <w:r w:rsidR="00A45EC9">
        <w:t xml:space="preserve">sensors to measure pressure </w:t>
      </w:r>
      <w:r w:rsidR="005E0B1F">
        <w:t xml:space="preserve">during the supersonic portion of the </w:t>
      </w:r>
      <w:r w:rsidR="00A45EC9">
        <w:t>entry phase</w:t>
      </w:r>
      <w:r w:rsidR="00084623">
        <w:t xml:space="preserve">. </w:t>
      </w:r>
      <w:r w:rsidR="00C85550">
        <w:t>MEDLI2 also included new b</w:t>
      </w:r>
      <w:r w:rsidR="00F16967">
        <w:t>ackshell</w:t>
      </w:r>
      <w:r w:rsidR="00FA35E7">
        <w:t xml:space="preserve"> sensors </w:t>
      </w:r>
      <w:r w:rsidR="00F16967">
        <w:t xml:space="preserve">to </w:t>
      </w:r>
      <w:r w:rsidR="00A45EC9">
        <w:t xml:space="preserve">measure the </w:t>
      </w:r>
      <w:r w:rsidR="005E0B1F">
        <w:t xml:space="preserve">heating, pressure, and TPS response on the </w:t>
      </w:r>
      <w:r w:rsidR="00A45EC9">
        <w:t xml:space="preserve">wake </w:t>
      </w:r>
      <w:r w:rsidR="005E0B1F">
        <w:t xml:space="preserve">side of the </w:t>
      </w:r>
      <w:r w:rsidR="00F16967">
        <w:t>entry vehicle</w:t>
      </w:r>
      <w:r w:rsidR="00084623">
        <w:t xml:space="preserve">. </w:t>
      </w:r>
      <w:r w:rsidR="00C85550">
        <w:t>Finally, MEDLI2 expanded coverage of heatshield thermal measurements to better detect the onset and extent of heatshield flow transition</w:t>
      </w:r>
      <w:r w:rsidR="00EE2B52">
        <w:t xml:space="preserve">. </w:t>
      </w:r>
      <w:r w:rsidR="00A45EC9">
        <w:t>Figure 1 shows the MEDLI2 sensors on heatshield and backshell, prior to aeroshell integration around the Perseverance rover.</w:t>
      </w:r>
    </w:p>
    <w:p w14:paraId="637BAB8A" w14:textId="77777777" w:rsidR="00AA376D" w:rsidRDefault="00AA376D" w:rsidP="00F565BA"/>
    <w:p w14:paraId="1A70A900" w14:textId="77777777" w:rsidR="00AA376D" w:rsidRDefault="00AA376D" w:rsidP="00AA376D">
      <w:pPr>
        <w:keepNext/>
        <w:jc w:val="center"/>
      </w:pPr>
      <w:r w:rsidRPr="00AA376D">
        <w:rPr>
          <w:noProof/>
        </w:rPr>
        <w:drawing>
          <wp:inline distT="0" distB="0" distL="0" distR="0" wp14:anchorId="7299BCDD" wp14:editId="0EEF6180">
            <wp:extent cx="3810088" cy="2496503"/>
            <wp:effectExtent l="0" t="0" r="0" b="0"/>
            <wp:docPr id="5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2"/>
                    <pic:cNvPicPr>
                      <a:picLocks noChangeAspect="1"/>
                    </pic:cNvPicPr>
                  </pic:nvPicPr>
                  <pic:blipFill>
                    <a:blip r:embed="rId8"/>
                    <a:stretch>
                      <a:fillRect/>
                    </a:stretch>
                  </pic:blipFill>
                  <pic:spPr>
                    <a:xfrm>
                      <a:off x="0" y="0"/>
                      <a:ext cx="3818118" cy="2501765"/>
                    </a:xfrm>
                    <a:prstGeom prst="rect">
                      <a:avLst/>
                    </a:prstGeom>
                  </pic:spPr>
                </pic:pic>
              </a:graphicData>
            </a:graphic>
          </wp:inline>
        </w:drawing>
      </w:r>
    </w:p>
    <w:p w14:paraId="6F1023A3" w14:textId="46D74E69" w:rsidR="00AA376D" w:rsidRDefault="00AA376D" w:rsidP="00FA1D8C">
      <w:pPr>
        <w:pStyle w:val="Caption"/>
      </w:pPr>
      <w:r>
        <w:t xml:space="preserve">Figure </w:t>
      </w:r>
      <w:r w:rsidR="00496F19">
        <w:fldChar w:fldCharType="begin"/>
      </w:r>
      <w:r w:rsidR="00496F19">
        <w:instrText xml:space="preserve"> SEQ Figure \* ARABIC </w:instrText>
      </w:r>
      <w:r w:rsidR="00496F19">
        <w:fldChar w:fldCharType="separate"/>
      </w:r>
      <w:r w:rsidR="00C85550">
        <w:rPr>
          <w:noProof/>
        </w:rPr>
        <w:t>1</w:t>
      </w:r>
      <w:r w:rsidR="00496F19">
        <w:rPr>
          <w:noProof/>
        </w:rPr>
        <w:fldChar w:fldCharType="end"/>
      </w:r>
      <w:r>
        <w:t xml:space="preserve"> Mars 2020 Aeroshell with MEDLI2 Sensors</w:t>
      </w:r>
    </w:p>
    <w:p w14:paraId="35458B3F" w14:textId="47FBCEAC" w:rsidR="0046037E" w:rsidRDefault="0046037E" w:rsidP="0046037E"/>
    <w:p w14:paraId="10C1E8CF" w14:textId="6A024FFE" w:rsidR="00451A06" w:rsidRDefault="0046037E" w:rsidP="0046037E">
      <w:pPr>
        <w:ind w:firstLine="288"/>
      </w:pPr>
      <w:r>
        <w:t>The MEDLI2 project was responsible for developing and delivering the MEDLI2 system, including all sensors, intra-instrument harnessing, and avionics</w:t>
      </w:r>
      <w:r w:rsidR="00EE2B52">
        <w:t xml:space="preserve">. </w:t>
      </w:r>
      <w:r>
        <w:t xml:space="preserve">Following the successful entry of the Mars 2020 aeroshell and MEDLI2 operations, the MEDLI2 team, comprised of engineers and researchers primarily at NASA </w:t>
      </w:r>
      <w:r w:rsidR="00FA35E7">
        <w:t>Langley (LaRC)</w:t>
      </w:r>
      <w:r>
        <w:t xml:space="preserve"> and </w:t>
      </w:r>
      <w:r w:rsidR="00FA35E7">
        <w:t>Ames (</w:t>
      </w:r>
      <w:r>
        <w:t>ARC</w:t>
      </w:r>
      <w:r w:rsidR="00FA35E7">
        <w:t>),</w:t>
      </w:r>
      <w:r>
        <w:t xml:space="preserve"> began assessing the flight data</w:t>
      </w:r>
      <w:r w:rsidR="00EE2B52">
        <w:t xml:space="preserve">. </w:t>
      </w:r>
    </w:p>
    <w:p w14:paraId="211463B5" w14:textId="0A0467CD" w:rsidR="00FA35E7" w:rsidRDefault="0046037E" w:rsidP="00451A06">
      <w:pPr>
        <w:ind w:firstLine="288"/>
      </w:pPr>
      <w:r>
        <w:t xml:space="preserve">This paper is one of several papers </w:t>
      </w:r>
      <w:r w:rsidR="00C85550">
        <w:t xml:space="preserve">on </w:t>
      </w:r>
      <w:r w:rsidR="00451A06">
        <w:t xml:space="preserve">the MEDLI2 </w:t>
      </w:r>
      <w:r w:rsidR="00C85550">
        <w:t xml:space="preserve">team’s </w:t>
      </w:r>
      <w:r w:rsidR="00451A06">
        <w:t>initial assessment of the returned flight data</w:t>
      </w:r>
      <w:r w:rsidR="00C85550">
        <w:t xml:space="preserve">; it should </w:t>
      </w:r>
      <w:r>
        <w:t xml:space="preserve">be read in concert with </w:t>
      </w:r>
      <w:r w:rsidR="00C85550">
        <w:t xml:space="preserve">papers that more fully describe </w:t>
      </w:r>
      <w:r>
        <w:t>the flight mechanics trajectory and atmospheric reconstruction</w:t>
      </w:r>
      <w:r w:rsidR="002039E2">
        <w:t xml:space="preserve"> [</w:t>
      </w:r>
      <w:r w:rsidR="000E4DA1">
        <w:t>3</w:t>
      </w:r>
      <w:r w:rsidR="002039E2">
        <w:t>]</w:t>
      </w:r>
      <w:r>
        <w:t xml:space="preserve">, and aerothermal </w:t>
      </w:r>
      <w:r w:rsidR="002039E2">
        <w:t>[</w:t>
      </w:r>
      <w:r w:rsidR="000E4DA1">
        <w:t>4</w:t>
      </w:r>
      <w:r w:rsidR="00C56BB8">
        <w:t xml:space="preserve">, </w:t>
      </w:r>
      <w:r w:rsidR="000E4DA1">
        <w:t>5</w:t>
      </w:r>
      <w:r w:rsidR="00C56BB8">
        <w:t xml:space="preserve">, </w:t>
      </w:r>
      <w:r w:rsidR="000E4DA1">
        <w:t>6</w:t>
      </w:r>
      <w:r w:rsidR="002039E2">
        <w:t xml:space="preserve">] </w:t>
      </w:r>
      <w:r>
        <w:t>and TPS analysis</w:t>
      </w:r>
      <w:r w:rsidR="002039E2">
        <w:t xml:space="preserve"> [</w:t>
      </w:r>
      <w:r w:rsidR="000E4DA1">
        <w:t>7</w:t>
      </w:r>
      <w:r w:rsidR="00C56BB8">
        <w:t xml:space="preserve">, </w:t>
      </w:r>
      <w:r w:rsidR="000E4DA1">
        <w:t>8</w:t>
      </w:r>
      <w:r w:rsidR="002039E2">
        <w:t>]</w:t>
      </w:r>
      <w:r w:rsidR="00EE2B52">
        <w:t xml:space="preserve">. </w:t>
      </w:r>
      <w:r w:rsidR="00FA35E7">
        <w:t xml:space="preserve">The paper is </w:t>
      </w:r>
      <w:r w:rsidR="00451A06">
        <w:t xml:space="preserve">focused primarily on the engineering level data returned by </w:t>
      </w:r>
      <w:proofErr w:type="gramStart"/>
      <w:r w:rsidR="00451A06">
        <w:t>MEDLI2, and</w:t>
      </w:r>
      <w:proofErr w:type="gramEnd"/>
      <w:r w:rsidR="00451A06">
        <w:t xml:space="preserve"> is </w:t>
      </w:r>
      <w:r w:rsidR="00FA35E7">
        <w:t>organized</w:t>
      </w:r>
      <w:r w:rsidR="00451A06">
        <w:t xml:space="preserve"> by sensor hardware and location</w:t>
      </w:r>
      <w:r w:rsidR="00EE2B52">
        <w:t xml:space="preserve">. </w:t>
      </w:r>
      <w:r w:rsidR="00451A06">
        <w:t>The paper begins with a description of the MEDLI2 hardware, Mars 2020 operations, followed by pressure and thermal sensor sections</w:t>
      </w:r>
      <w:r w:rsidR="00EE2B52">
        <w:t xml:space="preserve">. </w:t>
      </w:r>
      <w:r w:rsidR="00451A06">
        <w:t>The paper closes with observations for future mission designers and EDL modelers</w:t>
      </w:r>
      <w:r w:rsidR="002039E2">
        <w:t>.</w:t>
      </w:r>
    </w:p>
    <w:p w14:paraId="537D47E6" w14:textId="77777777" w:rsidR="0046037E" w:rsidRPr="0046037E" w:rsidRDefault="0046037E" w:rsidP="0046037E"/>
    <w:p w14:paraId="59341EB9" w14:textId="77777777" w:rsidR="00F565BA" w:rsidRPr="00F565BA" w:rsidRDefault="00FC5BB6" w:rsidP="00F565BA">
      <w:pPr>
        <w:keepNext/>
        <w:numPr>
          <w:ilvl w:val="0"/>
          <w:numId w:val="2"/>
        </w:numPr>
        <w:tabs>
          <w:tab w:val="clear" w:pos="360"/>
          <w:tab w:val="num" w:pos="180"/>
        </w:tabs>
        <w:spacing w:before="240" w:after="60"/>
        <w:ind w:left="180" w:hanging="180"/>
        <w:jc w:val="center"/>
        <w:outlineLvl w:val="0"/>
        <w:rPr>
          <w:b/>
          <w:kern w:val="32"/>
          <w:sz w:val="22"/>
        </w:rPr>
      </w:pPr>
      <w:r>
        <w:rPr>
          <w:b/>
          <w:kern w:val="32"/>
          <w:sz w:val="22"/>
        </w:rPr>
        <w:t>MEDLI2 System Description</w:t>
      </w:r>
    </w:p>
    <w:p w14:paraId="1D515A2A" w14:textId="5966DD20" w:rsidR="00FC674E" w:rsidRDefault="00FC5BB6" w:rsidP="00FC674E">
      <w:pPr>
        <w:tabs>
          <w:tab w:val="left" w:pos="288"/>
        </w:tabs>
        <w:ind w:firstLine="288"/>
      </w:pPr>
      <w:r>
        <w:t xml:space="preserve">The MEDLI2 system </w:t>
      </w:r>
      <w:r w:rsidR="005A3C35">
        <w:t xml:space="preserve">was </w:t>
      </w:r>
      <w:r>
        <w:t xml:space="preserve">comprised of </w:t>
      </w:r>
      <w:r w:rsidR="00A45EC9">
        <w:t>three main hardware components</w:t>
      </w:r>
      <w:r w:rsidR="00084623">
        <w:t xml:space="preserve">. </w:t>
      </w:r>
      <w:r w:rsidR="00A45EC9">
        <w:t xml:space="preserve">The first </w:t>
      </w:r>
      <w:r w:rsidR="005A3C35">
        <w:t xml:space="preserve">was </w:t>
      </w:r>
      <w:r w:rsidR="00A45EC9">
        <w:t xml:space="preserve">the </w:t>
      </w:r>
      <w:r>
        <w:t>pressure measurement system</w:t>
      </w:r>
      <w:r w:rsidR="00A45EC9">
        <w:t xml:space="preserve">, </w:t>
      </w:r>
      <w:r w:rsidR="00A45EC9" w:rsidRPr="00A45EC9">
        <w:t>MEDLI2 Entry Atmospheric Data System</w:t>
      </w:r>
      <w:r w:rsidR="00A45EC9">
        <w:t>, or MEADS</w:t>
      </w:r>
      <w:r w:rsidR="00084623">
        <w:t xml:space="preserve">. </w:t>
      </w:r>
      <w:r w:rsidR="00A45EC9">
        <w:t xml:space="preserve">The second </w:t>
      </w:r>
      <w:r w:rsidR="005A3C35">
        <w:t xml:space="preserve">was </w:t>
      </w:r>
      <w:r w:rsidR="00A45EC9">
        <w:t xml:space="preserve">a </w:t>
      </w:r>
      <w:r>
        <w:t>thermal measurement syste</w:t>
      </w:r>
      <w:r w:rsidR="00E967B0">
        <w:t>m</w:t>
      </w:r>
      <w:r w:rsidR="00A45EC9">
        <w:t xml:space="preserve">, MISP, or </w:t>
      </w:r>
      <w:r w:rsidR="00A45EC9" w:rsidRPr="00A45EC9">
        <w:t>MEDLI2 Instrumented Sensor Plug</w:t>
      </w:r>
      <w:r w:rsidR="00084623">
        <w:t xml:space="preserve">. </w:t>
      </w:r>
      <w:r w:rsidR="00A45EC9">
        <w:t>Both ME</w:t>
      </w:r>
      <w:r w:rsidR="00DE74DB">
        <w:t>ADS and MISP directly interface</w:t>
      </w:r>
      <w:r w:rsidR="005A3C35">
        <w:t>d</w:t>
      </w:r>
      <w:r w:rsidR="00A45EC9">
        <w:t xml:space="preserve"> with the third component, the S</w:t>
      </w:r>
      <w:r w:rsidR="00E967B0">
        <w:t xml:space="preserve">ensor </w:t>
      </w:r>
      <w:r w:rsidR="00A45EC9">
        <w:t>S</w:t>
      </w:r>
      <w:r w:rsidR="00E967B0">
        <w:t xml:space="preserve">upport </w:t>
      </w:r>
      <w:r w:rsidR="00A45EC9">
        <w:t xml:space="preserve">Electronics </w:t>
      </w:r>
      <w:r w:rsidR="00E967B0">
        <w:t>(SSE)</w:t>
      </w:r>
      <w:r w:rsidR="00A45EC9">
        <w:t xml:space="preserve"> and intra-instrument harnesses</w:t>
      </w:r>
      <w:r w:rsidR="00084623">
        <w:t xml:space="preserve">. </w:t>
      </w:r>
      <w:r w:rsidR="00A45EC9">
        <w:t>The locations of the MISP and MEADS components on the heatshield and backshell are shown in Figure 2 below</w:t>
      </w:r>
      <w:r w:rsidR="00084623">
        <w:t xml:space="preserve">. </w:t>
      </w:r>
      <w:r w:rsidR="00E20BB1">
        <w:t>MISP sensors are marked as MTH or MTB (</w:t>
      </w:r>
      <w:r w:rsidR="00E20BB1" w:rsidRPr="00411EF9">
        <w:rPr>
          <w:u w:val="single"/>
        </w:rPr>
        <w:t>M</w:t>
      </w:r>
      <w:r w:rsidR="00E20BB1">
        <w:t xml:space="preserve">EDLI2 </w:t>
      </w:r>
      <w:r w:rsidR="00E20BB1" w:rsidRPr="00411EF9">
        <w:rPr>
          <w:u w:val="single"/>
        </w:rPr>
        <w:t>T</w:t>
      </w:r>
      <w:r w:rsidR="00E20BB1">
        <w:t xml:space="preserve">hermal on </w:t>
      </w:r>
      <w:r w:rsidR="00E20BB1" w:rsidRPr="00411EF9">
        <w:rPr>
          <w:u w:val="single"/>
        </w:rPr>
        <w:t>H</w:t>
      </w:r>
      <w:r w:rsidR="00E20BB1">
        <w:t xml:space="preserve">eatshield </w:t>
      </w:r>
      <w:r w:rsidR="00FA35E7">
        <w:t>or</w:t>
      </w:r>
      <w:r w:rsidR="00E20BB1">
        <w:t xml:space="preserve"> </w:t>
      </w:r>
      <w:r w:rsidR="00E20BB1" w:rsidRPr="00411EF9">
        <w:rPr>
          <w:u w:val="single"/>
        </w:rPr>
        <w:t>B</w:t>
      </w:r>
      <w:r w:rsidR="00E20BB1">
        <w:t>ackshell) whereas MEADS sensors are marked as MPH or MPB (</w:t>
      </w:r>
      <w:r w:rsidR="00E20BB1" w:rsidRPr="00411EF9">
        <w:rPr>
          <w:u w:val="single"/>
        </w:rPr>
        <w:t>M</w:t>
      </w:r>
      <w:r w:rsidR="00E20BB1">
        <w:t xml:space="preserve">EDLI2 </w:t>
      </w:r>
      <w:r w:rsidR="00E20BB1" w:rsidRPr="00411EF9">
        <w:rPr>
          <w:u w:val="single"/>
        </w:rPr>
        <w:t>P</w:t>
      </w:r>
      <w:r w:rsidR="00E20BB1">
        <w:t xml:space="preserve">ressure on </w:t>
      </w:r>
      <w:r w:rsidR="00E20BB1" w:rsidRPr="00411EF9">
        <w:rPr>
          <w:u w:val="single"/>
        </w:rPr>
        <w:t>H</w:t>
      </w:r>
      <w:r w:rsidR="00E20BB1">
        <w:t xml:space="preserve">eatshield or </w:t>
      </w:r>
      <w:r w:rsidR="00E20BB1" w:rsidRPr="00411EF9">
        <w:rPr>
          <w:u w:val="single"/>
        </w:rPr>
        <w:t>B</w:t>
      </w:r>
      <w:r w:rsidR="00E20BB1">
        <w:t>ackshell)</w:t>
      </w:r>
      <w:r w:rsidR="00EE2B52">
        <w:t xml:space="preserve">. </w:t>
      </w:r>
      <w:r w:rsidR="007B75D7">
        <w:t xml:space="preserve">The </w:t>
      </w:r>
      <w:r w:rsidR="00FC674E">
        <w:t xml:space="preserve">Mars 2020 </w:t>
      </w:r>
      <w:r w:rsidR="007B75D7">
        <w:t xml:space="preserve">aeroshell was a </w:t>
      </w:r>
      <w:r w:rsidR="002039E2">
        <w:t xml:space="preserve">4.5m </w:t>
      </w:r>
      <w:r w:rsidR="007B75D7">
        <w:t>70</w:t>
      </w:r>
      <w:r w:rsidR="002039E2" w:rsidRPr="002039E2">
        <w:t>°</w:t>
      </w:r>
      <w:r w:rsidR="002039E2">
        <w:t xml:space="preserve"> </w:t>
      </w:r>
      <w:r w:rsidR="007B75D7">
        <w:t>sphere</w:t>
      </w:r>
      <w:r w:rsidR="002039E2">
        <w:t>-</w:t>
      </w:r>
      <w:r w:rsidR="007B75D7">
        <w:t xml:space="preserve">cone, and the mission </w:t>
      </w:r>
      <w:r w:rsidR="00FC674E">
        <w:t>flew a guided entry with a nominal angle of attack of -16</w:t>
      </w:r>
      <w:r w:rsidR="002039E2" w:rsidRPr="002039E2">
        <w:t>°</w:t>
      </w:r>
      <w:r w:rsidR="00FC674E">
        <w:t xml:space="preserve"> during entry</w:t>
      </w:r>
      <w:r w:rsidR="00EE2B52">
        <w:t xml:space="preserve">. </w:t>
      </w:r>
      <w:r w:rsidR="002039E2">
        <w:t xml:space="preserve">Flying at angle of attack shifted </w:t>
      </w:r>
      <w:r w:rsidR="00FC674E">
        <w:t>the stagnation point away from the geometric apex</w:t>
      </w:r>
      <w:r w:rsidR="007B75D7">
        <w:t xml:space="preserve"> (at </w:t>
      </w:r>
      <w:proofErr w:type="spellStart"/>
      <w:r w:rsidR="007B75D7">
        <w:t>X</w:t>
      </w:r>
      <w:r w:rsidR="007B75D7" w:rsidRPr="007B75D7">
        <w:rPr>
          <w:vertAlign w:val="subscript"/>
        </w:rPr>
        <w:t>sc</w:t>
      </w:r>
      <w:proofErr w:type="spellEnd"/>
      <w:r w:rsidR="007B75D7">
        <w:t xml:space="preserve"> = 0, </w:t>
      </w:r>
      <w:proofErr w:type="spellStart"/>
      <w:r w:rsidR="007B75D7">
        <w:t>Y</w:t>
      </w:r>
      <w:r w:rsidR="007B75D7" w:rsidRPr="007B75D7">
        <w:rPr>
          <w:vertAlign w:val="subscript"/>
        </w:rPr>
        <w:t>sc</w:t>
      </w:r>
      <w:proofErr w:type="spellEnd"/>
      <w:r w:rsidR="007B75D7">
        <w:t xml:space="preserve"> = 0, </w:t>
      </w:r>
      <w:proofErr w:type="spellStart"/>
      <w:r w:rsidR="007B75D7">
        <w:t>Z</w:t>
      </w:r>
      <w:r w:rsidR="007B75D7" w:rsidRPr="007B75D7">
        <w:rPr>
          <w:vertAlign w:val="subscript"/>
        </w:rPr>
        <w:t>sc</w:t>
      </w:r>
      <w:proofErr w:type="spellEnd"/>
      <w:r w:rsidR="007B75D7">
        <w:t xml:space="preserve"> = 2327</w:t>
      </w:r>
      <w:r w:rsidR="002039E2">
        <w:t xml:space="preserve"> </w:t>
      </w:r>
      <w:r w:rsidR="007B75D7">
        <w:t>mm)</w:t>
      </w:r>
      <w:r w:rsidR="00FC674E">
        <w:t xml:space="preserve"> </w:t>
      </w:r>
      <w:r w:rsidR="002039E2">
        <w:t xml:space="preserve">on to the </w:t>
      </w:r>
      <w:proofErr w:type="spellStart"/>
      <w:r w:rsidR="007B75D7">
        <w:t>windside</w:t>
      </w:r>
      <w:proofErr w:type="spellEnd"/>
      <w:r w:rsidR="007B75D7">
        <w:t xml:space="preserve"> (</w:t>
      </w:r>
      <w:proofErr w:type="spellStart"/>
      <w:r w:rsidR="00FC674E">
        <w:t>X</w:t>
      </w:r>
      <w:r w:rsidR="00FC674E" w:rsidRPr="007B75D7">
        <w:rPr>
          <w:vertAlign w:val="subscript"/>
        </w:rPr>
        <w:t>sc</w:t>
      </w:r>
      <w:proofErr w:type="spellEnd"/>
      <w:r w:rsidR="00FC674E">
        <w:t xml:space="preserve"> = 1000</w:t>
      </w:r>
      <w:r w:rsidR="002039E2">
        <w:t xml:space="preserve"> </w:t>
      </w:r>
      <w:r w:rsidR="00FC674E">
        <w:t xml:space="preserve">mm, </w:t>
      </w:r>
      <w:proofErr w:type="spellStart"/>
      <w:r w:rsidR="00FC674E">
        <w:t>Y</w:t>
      </w:r>
      <w:r w:rsidR="00FC674E" w:rsidRPr="007B75D7">
        <w:rPr>
          <w:vertAlign w:val="subscript"/>
        </w:rPr>
        <w:t>sc</w:t>
      </w:r>
      <w:proofErr w:type="spellEnd"/>
      <w:r w:rsidR="00FC674E">
        <w:t xml:space="preserve"> = 0</w:t>
      </w:r>
      <w:r w:rsidR="002039E2">
        <w:t xml:space="preserve"> </w:t>
      </w:r>
      <w:r w:rsidR="00FC674E">
        <w:t>mm</w:t>
      </w:r>
      <w:r w:rsidR="007B75D7">
        <w:t>).</w:t>
      </w:r>
    </w:p>
    <w:p w14:paraId="3F8B7872" w14:textId="54FCBB73" w:rsidR="00FC5BB6" w:rsidRDefault="00FC5BB6" w:rsidP="00FC5BB6">
      <w:pPr>
        <w:tabs>
          <w:tab w:val="left" w:pos="288"/>
        </w:tabs>
        <w:ind w:firstLine="288"/>
      </w:pPr>
    </w:p>
    <w:p w14:paraId="64989410" w14:textId="16F163E0" w:rsidR="002A191D" w:rsidRDefault="002A191D" w:rsidP="002A191D">
      <w:pPr>
        <w:keepNext/>
        <w:tabs>
          <w:tab w:val="left" w:pos="288"/>
        </w:tabs>
        <w:ind w:firstLine="288"/>
        <w:jc w:val="center"/>
      </w:pPr>
      <w:r w:rsidRPr="002A191D">
        <w:rPr>
          <w:noProof/>
        </w:rPr>
        <w:lastRenderedPageBreak/>
        <w:drawing>
          <wp:inline distT="0" distB="0" distL="0" distR="0" wp14:anchorId="107C1EAE" wp14:editId="707EB6C8">
            <wp:extent cx="2891642" cy="2605518"/>
            <wp:effectExtent l="0" t="0" r="4445" b="444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1972" cy="2614826"/>
                    </a:xfrm>
                    <a:prstGeom prst="rect">
                      <a:avLst/>
                    </a:prstGeom>
                  </pic:spPr>
                </pic:pic>
              </a:graphicData>
            </a:graphic>
          </wp:inline>
        </w:drawing>
      </w:r>
      <w:r w:rsidR="00B152C8">
        <w:t xml:space="preserve">   </w:t>
      </w:r>
      <w:r w:rsidRPr="002A191D">
        <w:rPr>
          <w:noProof/>
        </w:rPr>
        <w:drawing>
          <wp:inline distT="0" distB="0" distL="0" distR="0" wp14:anchorId="2F93C99A" wp14:editId="5B421AD4">
            <wp:extent cx="2748087" cy="2645945"/>
            <wp:effectExtent l="0" t="0" r="0" b="254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48087" cy="2645945"/>
                    </a:xfrm>
                    <a:prstGeom prst="rect">
                      <a:avLst/>
                    </a:prstGeom>
                  </pic:spPr>
                </pic:pic>
              </a:graphicData>
            </a:graphic>
          </wp:inline>
        </w:drawing>
      </w:r>
    </w:p>
    <w:p w14:paraId="4C75242C" w14:textId="319D9DA5" w:rsidR="002A191D" w:rsidRDefault="002A191D" w:rsidP="00FA1D8C">
      <w:pPr>
        <w:pStyle w:val="Caption"/>
      </w:pPr>
      <w:r>
        <w:t xml:space="preserve">Figure </w:t>
      </w:r>
      <w:r w:rsidR="00496F19">
        <w:fldChar w:fldCharType="begin"/>
      </w:r>
      <w:r w:rsidR="00496F19">
        <w:instrText xml:space="preserve"> SEQ Figure \* ARABIC </w:instrText>
      </w:r>
      <w:r w:rsidR="00496F19">
        <w:fldChar w:fldCharType="separate"/>
      </w:r>
      <w:r w:rsidR="00C85550">
        <w:rPr>
          <w:noProof/>
        </w:rPr>
        <w:t>2</w:t>
      </w:r>
      <w:r w:rsidR="00496F19">
        <w:rPr>
          <w:noProof/>
        </w:rPr>
        <w:fldChar w:fldCharType="end"/>
      </w:r>
      <w:r>
        <w:t xml:space="preserve"> MEDLI2 Sensor Locations on the Mars 2020 heatshield (left) and backshell (right)</w:t>
      </w:r>
    </w:p>
    <w:p w14:paraId="44F97736" w14:textId="750D5939" w:rsidR="00FC5BB6" w:rsidRDefault="00FC5BB6" w:rsidP="00FC5BB6">
      <w:pPr>
        <w:tabs>
          <w:tab w:val="left" w:pos="288"/>
        </w:tabs>
        <w:ind w:firstLine="288"/>
      </w:pPr>
      <w:r>
        <w:t xml:space="preserve">The main goals of </w:t>
      </w:r>
      <w:r w:rsidR="00A45EC9">
        <w:t xml:space="preserve">the MEADS </w:t>
      </w:r>
      <w:r>
        <w:t xml:space="preserve">pressure system </w:t>
      </w:r>
      <w:r w:rsidR="005A3C35">
        <w:t xml:space="preserve">were </w:t>
      </w:r>
      <w:r>
        <w:t xml:space="preserve">to record and measure </w:t>
      </w:r>
      <w:r w:rsidR="00FC674E">
        <w:t xml:space="preserve">pressure during the </w:t>
      </w:r>
      <w:r>
        <w:t xml:space="preserve">hypersonic </w:t>
      </w:r>
      <w:r w:rsidR="00FC674E">
        <w:t>and supersonic flight regimes</w:t>
      </w:r>
      <w:r>
        <w:t xml:space="preserve"> to enable reconstruction of vehicle attitude, atmospheric profile, winds, and </w:t>
      </w:r>
      <w:r w:rsidR="00FC674E">
        <w:t xml:space="preserve">overall </w:t>
      </w:r>
      <w:r>
        <w:t>aerodynamic performance</w:t>
      </w:r>
      <w:r w:rsidR="00084623">
        <w:t xml:space="preserve">. </w:t>
      </w:r>
      <w:r>
        <w:t>This was accomplished by three separate sensor types, across the heatshield and backshell</w:t>
      </w:r>
      <w:r w:rsidR="00FC674E">
        <w:t>, with ranges set based on expected pressures</w:t>
      </w:r>
      <w:r w:rsidR="00EE2B52">
        <w:t xml:space="preserve">. </w:t>
      </w:r>
      <w:r>
        <w:t xml:space="preserve">The heatshield </w:t>
      </w:r>
      <w:r w:rsidR="005A3C35">
        <w:t xml:space="preserve">included </w:t>
      </w:r>
      <w:r>
        <w:t>a single hypersonic-ranged pressure transducer</w:t>
      </w:r>
      <w:r w:rsidR="00FC674E">
        <w:t xml:space="preserve"> </w:t>
      </w:r>
      <w:r w:rsidR="00C85550">
        <w:t xml:space="preserve">placed at the stagnation point </w:t>
      </w:r>
      <w:r w:rsidR="00FC674E">
        <w:t>(maximum range of 35 kPa)</w:t>
      </w:r>
      <w:r>
        <w:t>, and six supersonic ranged transducers</w:t>
      </w:r>
      <w:r w:rsidR="00FC674E">
        <w:t xml:space="preserve"> (maximum range of ~ 8 kPa)</w:t>
      </w:r>
      <w:r w:rsidR="00084623">
        <w:t xml:space="preserve">. </w:t>
      </w:r>
      <w:r>
        <w:t xml:space="preserve">The backshell </w:t>
      </w:r>
      <w:r w:rsidR="005A3C35">
        <w:t xml:space="preserve">included </w:t>
      </w:r>
      <w:r>
        <w:t>a single low-pressure transducer on the detached leeward side</w:t>
      </w:r>
      <w:r w:rsidR="00FC674E">
        <w:t>, set to measure much lower (350 Pa) pressures</w:t>
      </w:r>
      <w:r w:rsidR="00EE2B52">
        <w:t xml:space="preserve">. </w:t>
      </w:r>
      <w:r w:rsidR="00A45EC9">
        <w:t xml:space="preserve">Figure 3 shows </w:t>
      </w:r>
      <w:r w:rsidR="00C85550">
        <w:t xml:space="preserve">examples of each of the </w:t>
      </w:r>
      <w:r w:rsidR="00195030">
        <w:t xml:space="preserve">pressure transducer </w:t>
      </w:r>
      <w:r w:rsidR="00C85550">
        <w:t xml:space="preserve">body </w:t>
      </w:r>
      <w:r w:rsidR="00A45EC9">
        <w:t>types.</w:t>
      </w:r>
    </w:p>
    <w:p w14:paraId="315F3A8B" w14:textId="5A4BD439" w:rsidR="005319D8" w:rsidRDefault="005319D8" w:rsidP="005319D8">
      <w:pPr>
        <w:keepNext/>
        <w:tabs>
          <w:tab w:val="left" w:pos="288"/>
        </w:tabs>
        <w:ind w:firstLine="288"/>
        <w:jc w:val="center"/>
      </w:pPr>
    </w:p>
    <w:p w14:paraId="3CCF660A" w14:textId="38DF66DC" w:rsidR="000D19D5" w:rsidRDefault="000D19D5" w:rsidP="005319D8">
      <w:pPr>
        <w:keepNext/>
        <w:tabs>
          <w:tab w:val="left" w:pos="288"/>
        </w:tabs>
        <w:ind w:firstLine="288"/>
        <w:jc w:val="center"/>
      </w:pPr>
      <w:r>
        <w:rPr>
          <w:noProof/>
        </w:rPr>
        <w:drawing>
          <wp:inline distT="0" distB="0" distL="0" distR="0" wp14:anchorId="7F30A127" wp14:editId="3F8A54AE">
            <wp:extent cx="2883535" cy="14751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3535" cy="1475105"/>
                    </a:xfrm>
                    <a:prstGeom prst="rect">
                      <a:avLst/>
                    </a:prstGeom>
                    <a:noFill/>
                  </pic:spPr>
                </pic:pic>
              </a:graphicData>
            </a:graphic>
          </wp:inline>
        </w:drawing>
      </w:r>
    </w:p>
    <w:p w14:paraId="2D55BDDD" w14:textId="1393AE71" w:rsidR="005319D8" w:rsidRDefault="005319D8" w:rsidP="00FA1D8C">
      <w:pPr>
        <w:pStyle w:val="Caption"/>
      </w:pPr>
      <w:r>
        <w:t xml:space="preserve">Figure </w:t>
      </w:r>
      <w:r w:rsidR="00496F19">
        <w:fldChar w:fldCharType="begin"/>
      </w:r>
      <w:r w:rsidR="00496F19">
        <w:instrText xml:space="preserve"> SEQ Figure \* ARABIC </w:instrText>
      </w:r>
      <w:r w:rsidR="00496F19">
        <w:fldChar w:fldCharType="separate"/>
      </w:r>
      <w:r w:rsidR="00C85550">
        <w:rPr>
          <w:noProof/>
        </w:rPr>
        <w:t>3</w:t>
      </w:r>
      <w:r w:rsidR="00496F19">
        <w:rPr>
          <w:noProof/>
        </w:rPr>
        <w:fldChar w:fldCharType="end"/>
      </w:r>
      <w:r>
        <w:t xml:space="preserve"> MEADS Pressure </w:t>
      </w:r>
      <w:r w:rsidRPr="00151386">
        <w:t>Instrumentation</w:t>
      </w:r>
      <w:r w:rsidR="000D19D5">
        <w:t>: a. Supersonic, b. Backshell, and c. Hypersonic Transducers</w:t>
      </w:r>
      <w:r w:rsidR="005E0B1F">
        <w:t xml:space="preserve"> </w:t>
      </w:r>
    </w:p>
    <w:p w14:paraId="0844FE81" w14:textId="5A0619F1" w:rsidR="003B56E2" w:rsidRDefault="00E967B0" w:rsidP="003B56E2">
      <w:pPr>
        <w:tabs>
          <w:tab w:val="left" w:pos="288"/>
        </w:tabs>
        <w:ind w:firstLine="288"/>
      </w:pPr>
      <w:r>
        <w:t xml:space="preserve">The </w:t>
      </w:r>
      <w:r w:rsidR="00EE7BA6">
        <w:t>m</w:t>
      </w:r>
      <w:r w:rsidR="00FC5BB6">
        <w:t xml:space="preserve">ain goals of </w:t>
      </w:r>
      <w:r w:rsidR="00EE7BA6">
        <w:t xml:space="preserve">the </w:t>
      </w:r>
      <w:r w:rsidR="00A45EC9">
        <w:t xml:space="preserve">MISP </w:t>
      </w:r>
      <w:r w:rsidR="00FC5BB6">
        <w:t xml:space="preserve">thermal system </w:t>
      </w:r>
      <w:r w:rsidR="005A3C35">
        <w:t xml:space="preserve">were </w:t>
      </w:r>
      <w:r w:rsidR="00FC5BB6">
        <w:t>to characterize heating on the heatshield and backshell during hypersonic entry</w:t>
      </w:r>
      <w:r w:rsidR="00084623">
        <w:t xml:space="preserve">. </w:t>
      </w:r>
      <w:r w:rsidR="00FC5BB6">
        <w:t xml:space="preserve">The thermal system </w:t>
      </w:r>
      <w:r w:rsidR="005A3C35">
        <w:t xml:space="preserve">consisted </w:t>
      </w:r>
      <w:r w:rsidR="00FC5BB6">
        <w:t>of a series of heatshield and backshell thermocouple plugs and three direct heatflux sensing elements on the backshell</w:t>
      </w:r>
      <w:r w:rsidR="00084623">
        <w:t xml:space="preserve">. </w:t>
      </w:r>
      <w:r w:rsidR="003B56E2">
        <w:t>Figure 4 shows each type of heatshield and backshell MISP sensor prior to installation</w:t>
      </w:r>
      <w:r w:rsidR="00EE2B52">
        <w:t xml:space="preserve">. </w:t>
      </w:r>
      <w:r w:rsidR="00FC5BB6">
        <w:t xml:space="preserve">On the heatshield, there </w:t>
      </w:r>
      <w:r w:rsidR="005A3C35">
        <w:t xml:space="preserve">were </w:t>
      </w:r>
      <w:r w:rsidR="00FC5BB6">
        <w:t>eleven PICA plugs, instrumented with in-depth and near-surface thermocouples</w:t>
      </w:r>
      <w:r w:rsidR="00084623">
        <w:t xml:space="preserve">. </w:t>
      </w:r>
      <w:r w:rsidR="003B56E2">
        <w:t xml:space="preserve">After the heatshield MISP TC plugs were installed, the Mars 2020 heatshield was sprayed with a light coat of </w:t>
      </w:r>
      <w:proofErr w:type="spellStart"/>
      <w:r w:rsidR="003B56E2">
        <w:t>NuSil</w:t>
      </w:r>
      <w:proofErr w:type="spellEnd"/>
      <w:r w:rsidR="003B56E2">
        <w:t xml:space="preserve"> CV1144-0 for dust control</w:t>
      </w:r>
      <w:r w:rsidR="00EE2B52">
        <w:t xml:space="preserve">. </w:t>
      </w:r>
      <w:r w:rsidR="003B56E2">
        <w:t xml:space="preserve">This </w:t>
      </w:r>
      <w:proofErr w:type="spellStart"/>
      <w:r w:rsidR="003B56E2">
        <w:t>NuSil</w:t>
      </w:r>
      <w:proofErr w:type="spellEnd"/>
      <w:r w:rsidR="003B56E2">
        <w:t xml:space="preserve"> coating has been studied and shown to inhibit the normal recession of PICA in oxidizing environments, and to lower surface temperatures relative to un-coated PICA</w:t>
      </w:r>
      <w:r w:rsidR="00C56BB8">
        <w:t xml:space="preserve"> </w:t>
      </w:r>
      <w:r w:rsidR="000E4DA1">
        <w:t>[9]</w:t>
      </w:r>
      <w:r w:rsidR="00C56BB8">
        <w:t>.</w:t>
      </w:r>
    </w:p>
    <w:p w14:paraId="19FB89C1" w14:textId="6735FA0D" w:rsidR="003B56E2" w:rsidRDefault="00FC5BB6" w:rsidP="003B56E2">
      <w:pPr>
        <w:tabs>
          <w:tab w:val="left" w:pos="288"/>
        </w:tabs>
        <w:ind w:firstLine="288"/>
      </w:pPr>
      <w:r>
        <w:t xml:space="preserve">On the backshell, there </w:t>
      </w:r>
      <w:r w:rsidR="005A3C35">
        <w:t xml:space="preserve">were </w:t>
      </w:r>
      <w:r>
        <w:t>six SLA-561V plugs with near-surface thermocouples</w:t>
      </w:r>
      <w:r w:rsidR="00084623">
        <w:t xml:space="preserve">. </w:t>
      </w:r>
      <w:r w:rsidR="005319D8">
        <w:t xml:space="preserve">Additionally, there were three direct heatflux-sensing instruments on the backshell: two heatflux sensors on opposing sides of the vehicle, as well as </w:t>
      </w:r>
      <w:r w:rsidR="00EE7BA6">
        <w:t xml:space="preserve">one </w:t>
      </w:r>
      <w:r w:rsidR="005319D8">
        <w:t>radiometer</w:t>
      </w:r>
      <w:r w:rsidR="00EE2B52">
        <w:t xml:space="preserve">. </w:t>
      </w:r>
      <w:r w:rsidR="003B56E2">
        <w:t>The backshell MISP sensors were installed after thermal control paint</w:t>
      </w:r>
      <w:r w:rsidR="00C85550">
        <w:t xml:space="preserve"> was applied</w:t>
      </w:r>
      <w:r w:rsidR="00EE2B52">
        <w:t xml:space="preserve">. </w:t>
      </w:r>
      <w:r w:rsidR="00C85550">
        <w:t xml:space="preserve">Each sensor was in the </w:t>
      </w:r>
      <w:r w:rsidR="003B56E2">
        <w:t>middle of a large (~23</w:t>
      </w:r>
      <w:r w:rsidR="002039E2">
        <w:t xml:space="preserve"> </w:t>
      </w:r>
      <w:r w:rsidR="003B56E2">
        <w:t>cm diameter) standoff distance, to minimize any effects of coatings on the sensors.</w:t>
      </w:r>
    </w:p>
    <w:p w14:paraId="343E6802" w14:textId="5DD1B164" w:rsidR="005319D8" w:rsidRDefault="005319D8" w:rsidP="005319D8">
      <w:pPr>
        <w:keepNext/>
        <w:tabs>
          <w:tab w:val="left" w:pos="288"/>
        </w:tabs>
        <w:ind w:firstLine="288"/>
        <w:jc w:val="center"/>
      </w:pPr>
    </w:p>
    <w:p w14:paraId="41BEB38D" w14:textId="59D6CE88" w:rsidR="000D19D5" w:rsidRDefault="000D19D5" w:rsidP="005319D8">
      <w:pPr>
        <w:keepNext/>
        <w:tabs>
          <w:tab w:val="left" w:pos="288"/>
        </w:tabs>
        <w:ind w:firstLine="288"/>
        <w:jc w:val="center"/>
      </w:pPr>
      <w:r>
        <w:rPr>
          <w:noProof/>
        </w:rPr>
        <w:drawing>
          <wp:inline distT="0" distB="0" distL="0" distR="0" wp14:anchorId="17E797A5" wp14:editId="0D498DEF">
            <wp:extent cx="1957070" cy="1652270"/>
            <wp:effectExtent l="0" t="0" r="508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57070" cy="1652270"/>
                    </a:xfrm>
                    <a:prstGeom prst="rect">
                      <a:avLst/>
                    </a:prstGeom>
                    <a:noFill/>
                  </pic:spPr>
                </pic:pic>
              </a:graphicData>
            </a:graphic>
          </wp:inline>
        </w:drawing>
      </w:r>
    </w:p>
    <w:p w14:paraId="5928D696" w14:textId="280A4CEB" w:rsidR="00F565BA" w:rsidRDefault="005319D8" w:rsidP="00FA1D8C">
      <w:pPr>
        <w:pStyle w:val="Caption"/>
      </w:pPr>
      <w:r>
        <w:t xml:space="preserve">Figure </w:t>
      </w:r>
      <w:r w:rsidR="00496F19">
        <w:fldChar w:fldCharType="begin"/>
      </w:r>
      <w:r w:rsidR="00496F19">
        <w:instrText xml:space="preserve"> SEQ Figure \* ARABIC </w:instrText>
      </w:r>
      <w:r w:rsidR="00496F19">
        <w:fldChar w:fldCharType="separate"/>
      </w:r>
      <w:r w:rsidR="00C85550">
        <w:rPr>
          <w:noProof/>
        </w:rPr>
        <w:t>4</w:t>
      </w:r>
      <w:r w:rsidR="00496F19">
        <w:rPr>
          <w:noProof/>
        </w:rPr>
        <w:fldChar w:fldCharType="end"/>
      </w:r>
      <w:r>
        <w:t xml:space="preserve"> MISP Thermal Instrumentation Prior to Installation</w:t>
      </w:r>
      <w:r w:rsidR="000D19D5">
        <w:t>: a. PICA plug, b. Radiometer, c. SLA-561V plug, d. Heatflux Sensor</w:t>
      </w:r>
    </w:p>
    <w:p w14:paraId="0EBD2BBC" w14:textId="2A9E815B" w:rsidR="00E967B0" w:rsidRDefault="00C85550" w:rsidP="00E967B0">
      <w:pPr>
        <w:ind w:firstLine="288"/>
      </w:pPr>
      <w:r>
        <w:t>MISP and MEADS sensors were connected to the SSE</w:t>
      </w:r>
      <w:r w:rsidR="00EE2B52">
        <w:t xml:space="preserve">. </w:t>
      </w:r>
      <w:r w:rsidR="00E967B0">
        <w:t xml:space="preserve">The </w:t>
      </w:r>
      <w:r w:rsidR="00FA35E7">
        <w:t>SSE</w:t>
      </w:r>
      <w:r w:rsidR="00E967B0">
        <w:t xml:space="preserve"> </w:t>
      </w:r>
      <w:r w:rsidR="005A3C35">
        <w:t xml:space="preserve">was </w:t>
      </w:r>
      <w:r w:rsidR="00A66287">
        <w:t xml:space="preserve">a </w:t>
      </w:r>
      <w:r w:rsidR="00E967B0">
        <w:t xml:space="preserve">high-accuracy multiplexing system that </w:t>
      </w:r>
      <w:r w:rsidR="005A3C35">
        <w:t xml:space="preserve">provided </w:t>
      </w:r>
      <w:r w:rsidR="00E967B0">
        <w:t>an analog interface with the thermal and pressure sensors</w:t>
      </w:r>
      <w:r w:rsidR="00195030">
        <w:t xml:space="preserve"> (Figure 5)</w:t>
      </w:r>
      <w:r w:rsidR="00E967B0">
        <w:t xml:space="preserve">, and a digital interface with the Mars 2020 </w:t>
      </w:r>
      <w:r w:rsidR="00435569" w:rsidRPr="00435569">
        <w:t>Descent Stage Power and Analog Module</w:t>
      </w:r>
      <w:r w:rsidR="00435569">
        <w:t xml:space="preserve"> (DPAM)</w:t>
      </w:r>
      <w:r w:rsidR="00EE2B52">
        <w:t xml:space="preserve">. </w:t>
      </w:r>
      <w:r w:rsidR="00B11FB6">
        <w:t>The MEDLI2 SSE also performed on-board averaging of the pressure transducers to reduce signal noise.</w:t>
      </w:r>
    </w:p>
    <w:p w14:paraId="0A438CB6" w14:textId="77777777" w:rsidR="00161C32" w:rsidRDefault="00161C32" w:rsidP="00E967B0">
      <w:pPr>
        <w:ind w:firstLine="288"/>
      </w:pPr>
    </w:p>
    <w:p w14:paraId="5C79EB8C" w14:textId="52285823" w:rsidR="00161C32" w:rsidRDefault="000D19D5" w:rsidP="00161C32">
      <w:pPr>
        <w:keepNext/>
        <w:ind w:firstLine="288"/>
        <w:jc w:val="center"/>
      </w:pPr>
      <w:r w:rsidRPr="000D19D5">
        <w:rPr>
          <w:noProof/>
        </w:rPr>
        <w:t xml:space="preserve"> </w:t>
      </w:r>
      <w:r w:rsidRPr="000D19D5">
        <w:rPr>
          <w:noProof/>
        </w:rPr>
        <w:drawing>
          <wp:inline distT="0" distB="0" distL="0" distR="0" wp14:anchorId="6F8BFA58" wp14:editId="680FE4CC">
            <wp:extent cx="2049978" cy="1422126"/>
            <wp:effectExtent l="19050" t="19050" r="26670" b="26035"/>
            <wp:docPr id="6" name="Picture 6" descr="P1040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descr="P1040419"/>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2049978" cy="1422126"/>
                    </a:xfrm>
                    <a:prstGeom prst="rect">
                      <a:avLst/>
                    </a:prstGeom>
                    <a:noFill/>
                    <a:ln w="12700">
                      <a:solidFill>
                        <a:schemeClr val="tx1"/>
                      </a:solidFill>
                      <a:miter lim="800000"/>
                      <a:headEnd/>
                      <a:tailEnd/>
                    </a:ln>
                    <a:extLst>
                      <a:ext uri="{909E8E84-426E-40DD-AFC4-6F175D3DCCD1}">
                        <a14:hiddenFill xmlns:a14="http://schemas.microsoft.com/office/drawing/2010/main">
                          <a:solidFill>
                            <a:srgbClr val="FFFFFF"/>
                          </a:solidFill>
                        </a14:hiddenFill>
                      </a:ext>
                    </a:extLst>
                  </pic:spPr>
                </pic:pic>
              </a:graphicData>
            </a:graphic>
          </wp:inline>
        </w:drawing>
      </w:r>
    </w:p>
    <w:p w14:paraId="4C4E33FF" w14:textId="644A41C6" w:rsidR="00161C32" w:rsidRDefault="00161C32" w:rsidP="00FA1D8C">
      <w:pPr>
        <w:pStyle w:val="Caption"/>
      </w:pPr>
      <w:r>
        <w:t xml:space="preserve">Figure </w:t>
      </w:r>
      <w:r w:rsidR="00496F19">
        <w:fldChar w:fldCharType="begin"/>
      </w:r>
      <w:r w:rsidR="00496F19">
        <w:instrText xml:space="preserve"> SEQ Fig</w:instrText>
      </w:r>
      <w:r w:rsidR="00496F19">
        <w:instrText xml:space="preserve">ure \* ARABIC </w:instrText>
      </w:r>
      <w:r w:rsidR="00496F19">
        <w:fldChar w:fldCharType="separate"/>
      </w:r>
      <w:r w:rsidR="00C85550">
        <w:rPr>
          <w:noProof/>
        </w:rPr>
        <w:t>5</w:t>
      </w:r>
      <w:r w:rsidR="00496F19">
        <w:rPr>
          <w:noProof/>
        </w:rPr>
        <w:fldChar w:fldCharType="end"/>
      </w:r>
      <w:r>
        <w:t xml:space="preserve"> MEDLI2 Sensor Support Electronics</w:t>
      </w:r>
    </w:p>
    <w:p w14:paraId="6F2DAB2E" w14:textId="640B066B" w:rsidR="00E967B0" w:rsidRDefault="003B56E2" w:rsidP="00E967B0">
      <w:pPr>
        <w:ind w:firstLine="180"/>
      </w:pPr>
      <w:r>
        <w:t xml:space="preserve">The </w:t>
      </w:r>
      <w:r w:rsidR="00FA35E7">
        <w:t xml:space="preserve">SSE </w:t>
      </w:r>
      <w:r w:rsidR="00982E9B">
        <w:t xml:space="preserve">was </w:t>
      </w:r>
      <w:r>
        <w:t>housed on the inside of the Mars 2020 heatshield, and all readings from MEDLI2 sensors ceased at heatshield ejection soon after main chute deployment</w:t>
      </w:r>
      <w:r w:rsidR="00EE2B52">
        <w:t xml:space="preserve">. </w:t>
      </w:r>
      <w:r w:rsidR="00E967B0">
        <w:t xml:space="preserve">The MEDLI2 </w:t>
      </w:r>
      <w:r w:rsidR="000C6A87">
        <w:t xml:space="preserve">SSE was powered on </w:t>
      </w:r>
      <w:proofErr w:type="spellStart"/>
      <w:r w:rsidR="00E967B0">
        <w:t>exo</w:t>
      </w:r>
      <w:proofErr w:type="spellEnd"/>
      <w:r w:rsidR="00E967B0">
        <w:t>-atmospheric</w:t>
      </w:r>
      <w:r w:rsidR="005A3C35">
        <w:t>ally</w:t>
      </w:r>
      <w:r w:rsidR="000C6A87">
        <w:t xml:space="preserve">, </w:t>
      </w:r>
      <w:r w:rsidR="002039E2">
        <w:t>five</w:t>
      </w:r>
      <w:r w:rsidR="000C6A87">
        <w:t xml:space="preserve"> hours prior to entry, and it continually polled all MEDLI2 sensor channels until it was powered off just before heatshield separation</w:t>
      </w:r>
      <w:r w:rsidR="00EE2B52">
        <w:t xml:space="preserve">. </w:t>
      </w:r>
      <w:r w:rsidR="000C6A87">
        <w:t>The Mars 2020 rover recorded MEDLI2 data from the SSE in a ring buffer, saving the final 20 minutes of sensor data</w:t>
      </w:r>
      <w:r w:rsidR="00EE2B52">
        <w:t xml:space="preserve">. </w:t>
      </w:r>
      <w:r w:rsidR="00982E9B">
        <w:t xml:space="preserve">These </w:t>
      </w:r>
      <w:r w:rsidR="000C6A87">
        <w:t>20 minute</w:t>
      </w:r>
      <w:r w:rsidR="00FA35E7">
        <w:t>s</w:t>
      </w:r>
      <w:r>
        <w:t xml:space="preserve"> of data</w:t>
      </w:r>
      <w:r w:rsidR="000C6A87">
        <w:t xml:space="preserve"> included </w:t>
      </w:r>
      <w:r>
        <w:t xml:space="preserve">events such as </w:t>
      </w:r>
      <w:r w:rsidR="000C6A87">
        <w:t xml:space="preserve">cruise stage separation, entry, peak heating, deceleration, and </w:t>
      </w:r>
      <w:r w:rsidR="00E967B0">
        <w:t>parachute deployment</w:t>
      </w:r>
      <w:r w:rsidR="00195030">
        <w:t>, as shown in Figure 6</w:t>
      </w:r>
      <w:r w:rsidR="00084623">
        <w:t xml:space="preserve">. </w:t>
      </w:r>
    </w:p>
    <w:p w14:paraId="460CF2FB" w14:textId="77777777" w:rsidR="00E967B0" w:rsidRDefault="00E967B0" w:rsidP="00E967B0">
      <w:pPr>
        <w:ind w:firstLine="180"/>
      </w:pPr>
    </w:p>
    <w:p w14:paraId="79D256FB" w14:textId="77777777" w:rsidR="00E967B0" w:rsidRDefault="00E967B0" w:rsidP="00E967B0">
      <w:pPr>
        <w:keepNext/>
        <w:tabs>
          <w:tab w:val="left" w:pos="288"/>
        </w:tabs>
        <w:ind w:firstLine="288"/>
        <w:jc w:val="center"/>
      </w:pPr>
      <w:r>
        <w:rPr>
          <w:noProof/>
        </w:rPr>
        <w:lastRenderedPageBreak/>
        <w:drawing>
          <wp:inline distT="0" distB="0" distL="0" distR="0" wp14:anchorId="6E95E959" wp14:editId="041C8DC0">
            <wp:extent cx="5814204" cy="342893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62811" cy="3457598"/>
                    </a:xfrm>
                    <a:prstGeom prst="rect">
                      <a:avLst/>
                    </a:prstGeom>
                    <a:noFill/>
                  </pic:spPr>
                </pic:pic>
              </a:graphicData>
            </a:graphic>
          </wp:inline>
        </w:drawing>
      </w:r>
    </w:p>
    <w:p w14:paraId="155FC62F" w14:textId="74A8D172" w:rsidR="00E967B0" w:rsidRDefault="00E967B0" w:rsidP="00FA1D8C">
      <w:pPr>
        <w:pStyle w:val="Caption"/>
        <w:rPr>
          <w:u w:val="single"/>
        </w:rPr>
      </w:pPr>
      <w:r>
        <w:t xml:space="preserve">Figure </w:t>
      </w:r>
      <w:r w:rsidR="00496F19">
        <w:fldChar w:fldCharType="begin"/>
      </w:r>
      <w:r w:rsidR="00496F19">
        <w:instrText xml:space="preserve"> SEQ Figure \* ARABIC </w:instrText>
      </w:r>
      <w:r w:rsidR="00496F19">
        <w:fldChar w:fldCharType="separate"/>
      </w:r>
      <w:r w:rsidR="00C85550">
        <w:rPr>
          <w:noProof/>
        </w:rPr>
        <w:t>6</w:t>
      </w:r>
      <w:r w:rsidR="00496F19">
        <w:rPr>
          <w:noProof/>
        </w:rPr>
        <w:fldChar w:fldCharType="end"/>
      </w:r>
      <w:r>
        <w:t xml:space="preserve"> Mars 2020 Entry, Descent, and Landing Timeline</w:t>
      </w:r>
    </w:p>
    <w:p w14:paraId="683AD02B" w14:textId="77777777" w:rsidR="009A5227" w:rsidRDefault="009A5227" w:rsidP="00A50084"/>
    <w:p w14:paraId="08659B57" w14:textId="7E4A3558" w:rsidR="00F565BA" w:rsidRDefault="00435569" w:rsidP="00F565BA">
      <w:pPr>
        <w:keepNext/>
        <w:numPr>
          <w:ilvl w:val="0"/>
          <w:numId w:val="2"/>
        </w:numPr>
        <w:tabs>
          <w:tab w:val="clear" w:pos="360"/>
          <w:tab w:val="num" w:pos="180"/>
        </w:tabs>
        <w:spacing w:before="240" w:after="60"/>
        <w:ind w:left="180" w:hanging="180"/>
        <w:jc w:val="center"/>
        <w:outlineLvl w:val="0"/>
        <w:rPr>
          <w:b/>
          <w:kern w:val="32"/>
          <w:sz w:val="22"/>
        </w:rPr>
      </w:pPr>
      <w:r>
        <w:rPr>
          <w:b/>
          <w:kern w:val="32"/>
          <w:sz w:val="22"/>
        </w:rPr>
        <w:t>MEDLI2 Flight Data</w:t>
      </w:r>
    </w:p>
    <w:p w14:paraId="65C7799C" w14:textId="740D7DB7" w:rsidR="009A5227" w:rsidRDefault="009A5227" w:rsidP="009A5227">
      <w:pPr>
        <w:tabs>
          <w:tab w:val="left" w:pos="288"/>
        </w:tabs>
        <w:ind w:firstLine="288"/>
      </w:pPr>
      <w:r w:rsidRPr="00600A70">
        <w:t xml:space="preserve">A subset of the MEDLI2 data channels were </w:t>
      </w:r>
      <w:r>
        <w:t xml:space="preserve">returned </w:t>
      </w:r>
      <w:r w:rsidRPr="00600A70">
        <w:t xml:space="preserve">as part of a Real-Time Data Product (RTDP), with all channels </w:t>
      </w:r>
      <w:proofErr w:type="gramStart"/>
      <w:r w:rsidRPr="00600A70">
        <w:t>down-sampled</w:t>
      </w:r>
      <w:proofErr w:type="gramEnd"/>
      <w:r w:rsidRPr="00600A70">
        <w:t xml:space="preserve"> to 1 Hz</w:t>
      </w:r>
      <w:r w:rsidR="00EE2B52">
        <w:t xml:space="preserve">. </w:t>
      </w:r>
      <w:r w:rsidRPr="00600A70">
        <w:t xml:space="preserve">These channels were selected in case the full dataset could not be </w:t>
      </w:r>
      <w:r>
        <w:t>retrieved</w:t>
      </w:r>
      <w:r w:rsidRPr="00600A70">
        <w:t>, and to provide insight into the performance of the Mars 2020 entry vehicle in the unlikely event of a problem during or after EDL</w:t>
      </w:r>
      <w:r w:rsidR="00EE2B52">
        <w:t xml:space="preserve">. </w:t>
      </w:r>
      <w:r w:rsidRPr="00600A70">
        <w:t xml:space="preserve">The channels </w:t>
      </w:r>
      <w:r w:rsidR="002039E2">
        <w:t xml:space="preserve">and the reason for selection </w:t>
      </w:r>
      <w:r w:rsidRPr="00600A70">
        <w:t xml:space="preserve">are summarized in Table </w:t>
      </w:r>
      <w:r w:rsidR="00C85550">
        <w:t>1</w:t>
      </w:r>
      <w:r w:rsidRPr="00600A70">
        <w:t>.</w:t>
      </w:r>
    </w:p>
    <w:p w14:paraId="64088BD2" w14:textId="64063C74" w:rsidR="009A5227" w:rsidRDefault="009A5227" w:rsidP="009A5227">
      <w:pPr>
        <w:pStyle w:val="Caption"/>
        <w:keepNext/>
      </w:pPr>
      <w:r>
        <w:t xml:space="preserve">Table </w:t>
      </w:r>
      <w:r w:rsidR="00496F19">
        <w:fldChar w:fldCharType="begin"/>
      </w:r>
      <w:r w:rsidR="00496F19">
        <w:instrText xml:space="preserve"> SEQ Table \* ARABIC </w:instrText>
      </w:r>
      <w:r w:rsidR="00496F19">
        <w:fldChar w:fldCharType="separate"/>
      </w:r>
      <w:r w:rsidR="00C85550">
        <w:rPr>
          <w:noProof/>
        </w:rPr>
        <w:t>1</w:t>
      </w:r>
      <w:r w:rsidR="00496F19">
        <w:rPr>
          <w:noProof/>
        </w:rPr>
        <w:fldChar w:fldCharType="end"/>
      </w:r>
      <w:r>
        <w:t xml:space="preserve"> MEDLI2 RTDP Channels</w:t>
      </w:r>
    </w:p>
    <w:tbl>
      <w:tblPr>
        <w:tblW w:w="4080" w:type="dxa"/>
        <w:jc w:val="center"/>
        <w:tblLook w:val="04A0" w:firstRow="1" w:lastRow="0" w:firstColumn="1" w:lastColumn="0" w:noHBand="0" w:noVBand="1"/>
      </w:tblPr>
      <w:tblGrid>
        <w:gridCol w:w="3100"/>
        <w:gridCol w:w="980"/>
      </w:tblGrid>
      <w:tr w:rsidR="00ED5E7B" w:rsidRPr="009A5227" w14:paraId="650BB296" w14:textId="77777777" w:rsidTr="00ED5E7B">
        <w:trPr>
          <w:trHeight w:val="315"/>
          <w:jc w:val="center"/>
        </w:trPr>
        <w:tc>
          <w:tcPr>
            <w:tcW w:w="3100" w:type="dxa"/>
            <w:tcBorders>
              <w:top w:val="double" w:sz="6" w:space="0" w:color="auto"/>
              <w:left w:val="nil"/>
              <w:bottom w:val="single" w:sz="4" w:space="0" w:color="auto"/>
              <w:right w:val="nil"/>
            </w:tcBorders>
            <w:shd w:val="clear" w:color="auto" w:fill="auto"/>
            <w:noWrap/>
            <w:vAlign w:val="bottom"/>
            <w:hideMark/>
          </w:tcPr>
          <w:p w14:paraId="423F9EED" w14:textId="77777777" w:rsidR="00ED5E7B" w:rsidRPr="009A5227" w:rsidRDefault="00ED5E7B" w:rsidP="009A5227">
            <w:pPr>
              <w:contextualSpacing w:val="0"/>
              <w:jc w:val="center"/>
              <w:rPr>
                <w:b/>
                <w:bCs/>
                <w:color w:val="000000"/>
                <w:sz w:val="17"/>
                <w:szCs w:val="17"/>
              </w:rPr>
            </w:pPr>
            <w:r w:rsidRPr="009A5227">
              <w:rPr>
                <w:b/>
                <w:bCs/>
                <w:color w:val="000000"/>
                <w:sz w:val="17"/>
                <w:szCs w:val="17"/>
              </w:rPr>
              <w:t>RTDP Priority</w:t>
            </w:r>
          </w:p>
        </w:tc>
        <w:tc>
          <w:tcPr>
            <w:tcW w:w="980" w:type="dxa"/>
            <w:tcBorders>
              <w:top w:val="double" w:sz="6" w:space="0" w:color="auto"/>
              <w:left w:val="nil"/>
              <w:bottom w:val="single" w:sz="4" w:space="0" w:color="auto"/>
              <w:right w:val="nil"/>
            </w:tcBorders>
            <w:shd w:val="clear" w:color="auto" w:fill="auto"/>
            <w:noWrap/>
            <w:vAlign w:val="bottom"/>
            <w:hideMark/>
          </w:tcPr>
          <w:p w14:paraId="1DC0BCE5" w14:textId="77777777" w:rsidR="00ED5E7B" w:rsidRPr="009A5227" w:rsidRDefault="00ED5E7B" w:rsidP="009A5227">
            <w:pPr>
              <w:contextualSpacing w:val="0"/>
              <w:jc w:val="center"/>
              <w:rPr>
                <w:b/>
                <w:bCs/>
                <w:color w:val="000000"/>
                <w:sz w:val="17"/>
                <w:szCs w:val="17"/>
              </w:rPr>
            </w:pPr>
            <w:r w:rsidRPr="009A5227">
              <w:rPr>
                <w:b/>
                <w:bCs/>
                <w:color w:val="000000"/>
                <w:sz w:val="17"/>
                <w:szCs w:val="17"/>
              </w:rPr>
              <w:t>Name</w:t>
            </w:r>
          </w:p>
        </w:tc>
      </w:tr>
      <w:tr w:rsidR="00ED5E7B" w:rsidRPr="009A5227" w14:paraId="0CEA9C2B" w14:textId="77777777" w:rsidTr="00ED5E7B">
        <w:trPr>
          <w:trHeight w:val="300"/>
          <w:jc w:val="center"/>
        </w:trPr>
        <w:tc>
          <w:tcPr>
            <w:tcW w:w="3100" w:type="dxa"/>
            <w:tcBorders>
              <w:top w:val="nil"/>
              <w:left w:val="nil"/>
              <w:bottom w:val="nil"/>
              <w:right w:val="nil"/>
            </w:tcBorders>
            <w:shd w:val="clear" w:color="auto" w:fill="auto"/>
            <w:noWrap/>
            <w:vAlign w:val="bottom"/>
            <w:hideMark/>
          </w:tcPr>
          <w:p w14:paraId="0CCF1C3B" w14:textId="77777777" w:rsidR="00ED5E7B" w:rsidRPr="009A5227" w:rsidRDefault="00ED5E7B" w:rsidP="009A5227">
            <w:pPr>
              <w:contextualSpacing w:val="0"/>
              <w:jc w:val="center"/>
              <w:rPr>
                <w:color w:val="000000"/>
                <w:sz w:val="17"/>
                <w:szCs w:val="17"/>
              </w:rPr>
            </w:pPr>
            <w:r w:rsidRPr="009A5227">
              <w:rPr>
                <w:color w:val="000000"/>
                <w:sz w:val="17"/>
                <w:szCs w:val="17"/>
              </w:rPr>
              <w:t>Hypersonic Stagnation Pressure</w:t>
            </w:r>
          </w:p>
        </w:tc>
        <w:tc>
          <w:tcPr>
            <w:tcW w:w="980" w:type="dxa"/>
            <w:tcBorders>
              <w:top w:val="nil"/>
              <w:left w:val="nil"/>
              <w:bottom w:val="nil"/>
              <w:right w:val="nil"/>
            </w:tcBorders>
            <w:shd w:val="clear" w:color="auto" w:fill="auto"/>
            <w:noWrap/>
            <w:vAlign w:val="bottom"/>
            <w:hideMark/>
          </w:tcPr>
          <w:p w14:paraId="007AC0F4" w14:textId="77777777" w:rsidR="00ED5E7B" w:rsidRPr="009A5227" w:rsidRDefault="00ED5E7B" w:rsidP="009A5227">
            <w:pPr>
              <w:contextualSpacing w:val="0"/>
              <w:jc w:val="center"/>
              <w:rPr>
                <w:color w:val="000000"/>
                <w:sz w:val="17"/>
                <w:szCs w:val="17"/>
              </w:rPr>
            </w:pPr>
            <w:r w:rsidRPr="009A5227">
              <w:rPr>
                <w:color w:val="000000"/>
                <w:sz w:val="17"/>
                <w:szCs w:val="17"/>
              </w:rPr>
              <w:t>MPH01</w:t>
            </w:r>
          </w:p>
        </w:tc>
      </w:tr>
      <w:tr w:rsidR="00ED5E7B" w:rsidRPr="009A5227" w14:paraId="1DBDD12E" w14:textId="77777777" w:rsidTr="00ED5E7B">
        <w:trPr>
          <w:trHeight w:val="300"/>
          <w:jc w:val="center"/>
        </w:trPr>
        <w:tc>
          <w:tcPr>
            <w:tcW w:w="3100" w:type="dxa"/>
            <w:tcBorders>
              <w:top w:val="nil"/>
              <w:left w:val="nil"/>
              <w:bottom w:val="nil"/>
              <w:right w:val="nil"/>
            </w:tcBorders>
            <w:shd w:val="clear" w:color="auto" w:fill="auto"/>
            <w:noWrap/>
            <w:vAlign w:val="bottom"/>
            <w:hideMark/>
          </w:tcPr>
          <w:p w14:paraId="1F75DCD3" w14:textId="77777777" w:rsidR="00ED5E7B" w:rsidRPr="009A5227" w:rsidRDefault="00ED5E7B" w:rsidP="009A5227">
            <w:pPr>
              <w:contextualSpacing w:val="0"/>
              <w:jc w:val="center"/>
              <w:rPr>
                <w:color w:val="000000"/>
                <w:sz w:val="17"/>
                <w:szCs w:val="17"/>
              </w:rPr>
            </w:pPr>
            <w:r w:rsidRPr="009A5227">
              <w:rPr>
                <w:color w:val="000000"/>
                <w:sz w:val="17"/>
                <w:szCs w:val="17"/>
              </w:rPr>
              <w:t>Supersonic Stagnation Pressure</w:t>
            </w:r>
          </w:p>
        </w:tc>
        <w:tc>
          <w:tcPr>
            <w:tcW w:w="980" w:type="dxa"/>
            <w:tcBorders>
              <w:top w:val="nil"/>
              <w:left w:val="nil"/>
              <w:bottom w:val="nil"/>
              <w:right w:val="nil"/>
            </w:tcBorders>
            <w:shd w:val="clear" w:color="auto" w:fill="auto"/>
            <w:noWrap/>
            <w:vAlign w:val="bottom"/>
            <w:hideMark/>
          </w:tcPr>
          <w:p w14:paraId="07A54566" w14:textId="77777777" w:rsidR="00ED5E7B" w:rsidRPr="009A5227" w:rsidRDefault="00ED5E7B" w:rsidP="009A5227">
            <w:pPr>
              <w:contextualSpacing w:val="0"/>
              <w:jc w:val="center"/>
              <w:rPr>
                <w:color w:val="000000"/>
                <w:sz w:val="17"/>
                <w:szCs w:val="17"/>
              </w:rPr>
            </w:pPr>
            <w:r w:rsidRPr="009A5227">
              <w:rPr>
                <w:color w:val="000000"/>
                <w:sz w:val="17"/>
                <w:szCs w:val="17"/>
              </w:rPr>
              <w:t>MPH02</w:t>
            </w:r>
          </w:p>
        </w:tc>
      </w:tr>
      <w:tr w:rsidR="00ED5E7B" w:rsidRPr="009A5227" w14:paraId="6372B873" w14:textId="77777777" w:rsidTr="00ED5E7B">
        <w:trPr>
          <w:trHeight w:val="300"/>
          <w:jc w:val="center"/>
        </w:trPr>
        <w:tc>
          <w:tcPr>
            <w:tcW w:w="3100" w:type="dxa"/>
            <w:tcBorders>
              <w:top w:val="nil"/>
              <w:left w:val="nil"/>
              <w:bottom w:val="nil"/>
              <w:right w:val="nil"/>
            </w:tcBorders>
            <w:shd w:val="clear" w:color="auto" w:fill="auto"/>
            <w:noWrap/>
            <w:vAlign w:val="bottom"/>
            <w:hideMark/>
          </w:tcPr>
          <w:p w14:paraId="160E9DEA" w14:textId="77777777" w:rsidR="00ED5E7B" w:rsidRPr="009A5227" w:rsidRDefault="00ED5E7B" w:rsidP="009A5227">
            <w:pPr>
              <w:contextualSpacing w:val="0"/>
              <w:jc w:val="center"/>
              <w:rPr>
                <w:color w:val="000000"/>
                <w:sz w:val="17"/>
                <w:szCs w:val="17"/>
              </w:rPr>
            </w:pPr>
            <w:r w:rsidRPr="009A5227">
              <w:rPr>
                <w:color w:val="000000"/>
                <w:sz w:val="17"/>
                <w:szCs w:val="17"/>
              </w:rPr>
              <w:t>Stagnation Point Heating</w:t>
            </w:r>
          </w:p>
        </w:tc>
        <w:tc>
          <w:tcPr>
            <w:tcW w:w="980" w:type="dxa"/>
            <w:tcBorders>
              <w:top w:val="nil"/>
              <w:left w:val="nil"/>
              <w:bottom w:val="nil"/>
              <w:right w:val="nil"/>
            </w:tcBorders>
            <w:shd w:val="clear" w:color="auto" w:fill="auto"/>
            <w:noWrap/>
            <w:vAlign w:val="bottom"/>
            <w:hideMark/>
          </w:tcPr>
          <w:p w14:paraId="49CCE96E" w14:textId="77777777" w:rsidR="00ED5E7B" w:rsidRPr="009A5227" w:rsidRDefault="00ED5E7B" w:rsidP="009A5227">
            <w:pPr>
              <w:contextualSpacing w:val="0"/>
              <w:jc w:val="center"/>
              <w:rPr>
                <w:color w:val="000000"/>
                <w:sz w:val="17"/>
                <w:szCs w:val="17"/>
              </w:rPr>
            </w:pPr>
            <w:r w:rsidRPr="009A5227">
              <w:rPr>
                <w:color w:val="000000"/>
                <w:sz w:val="17"/>
                <w:szCs w:val="17"/>
              </w:rPr>
              <w:t>MTH01-1</w:t>
            </w:r>
          </w:p>
        </w:tc>
      </w:tr>
      <w:tr w:rsidR="00ED5E7B" w:rsidRPr="009A5227" w14:paraId="2E6FD30B" w14:textId="77777777" w:rsidTr="00ED5E7B">
        <w:trPr>
          <w:trHeight w:val="300"/>
          <w:jc w:val="center"/>
        </w:trPr>
        <w:tc>
          <w:tcPr>
            <w:tcW w:w="3100" w:type="dxa"/>
            <w:vMerge w:val="restart"/>
            <w:tcBorders>
              <w:top w:val="nil"/>
              <w:left w:val="nil"/>
              <w:bottom w:val="nil"/>
              <w:right w:val="nil"/>
            </w:tcBorders>
            <w:shd w:val="clear" w:color="auto" w:fill="auto"/>
            <w:noWrap/>
            <w:vAlign w:val="bottom"/>
            <w:hideMark/>
          </w:tcPr>
          <w:p w14:paraId="431AFAA7" w14:textId="77777777" w:rsidR="00ED5E7B" w:rsidRPr="009A5227" w:rsidRDefault="00ED5E7B" w:rsidP="009A5227">
            <w:pPr>
              <w:contextualSpacing w:val="0"/>
              <w:jc w:val="center"/>
              <w:rPr>
                <w:color w:val="000000"/>
                <w:sz w:val="17"/>
                <w:szCs w:val="17"/>
              </w:rPr>
            </w:pPr>
            <w:r w:rsidRPr="009A5227">
              <w:rPr>
                <w:color w:val="000000"/>
                <w:sz w:val="17"/>
                <w:szCs w:val="17"/>
              </w:rPr>
              <w:t>Turbulent Heating</w:t>
            </w:r>
          </w:p>
        </w:tc>
        <w:tc>
          <w:tcPr>
            <w:tcW w:w="980" w:type="dxa"/>
            <w:tcBorders>
              <w:top w:val="nil"/>
              <w:left w:val="nil"/>
              <w:bottom w:val="nil"/>
              <w:right w:val="nil"/>
            </w:tcBorders>
            <w:shd w:val="clear" w:color="auto" w:fill="auto"/>
            <w:noWrap/>
            <w:vAlign w:val="bottom"/>
            <w:hideMark/>
          </w:tcPr>
          <w:p w14:paraId="7D0EC190" w14:textId="77777777" w:rsidR="00ED5E7B" w:rsidRPr="009A5227" w:rsidRDefault="00ED5E7B" w:rsidP="009A5227">
            <w:pPr>
              <w:contextualSpacing w:val="0"/>
              <w:jc w:val="center"/>
              <w:rPr>
                <w:color w:val="000000"/>
                <w:sz w:val="17"/>
                <w:szCs w:val="17"/>
              </w:rPr>
            </w:pPr>
            <w:r w:rsidRPr="009A5227">
              <w:rPr>
                <w:color w:val="000000"/>
                <w:sz w:val="17"/>
                <w:szCs w:val="17"/>
              </w:rPr>
              <w:t>MTH02-1</w:t>
            </w:r>
          </w:p>
        </w:tc>
      </w:tr>
      <w:tr w:rsidR="00ED5E7B" w:rsidRPr="009A5227" w14:paraId="52C1CD5B" w14:textId="77777777" w:rsidTr="00ED5E7B">
        <w:trPr>
          <w:trHeight w:val="300"/>
          <w:jc w:val="center"/>
        </w:trPr>
        <w:tc>
          <w:tcPr>
            <w:tcW w:w="3100" w:type="dxa"/>
            <w:vMerge/>
            <w:tcBorders>
              <w:top w:val="nil"/>
              <w:left w:val="nil"/>
              <w:bottom w:val="nil"/>
              <w:right w:val="nil"/>
            </w:tcBorders>
            <w:vAlign w:val="center"/>
            <w:hideMark/>
          </w:tcPr>
          <w:p w14:paraId="130020C5" w14:textId="77777777" w:rsidR="00ED5E7B" w:rsidRPr="009A5227" w:rsidRDefault="00ED5E7B" w:rsidP="009A5227">
            <w:pPr>
              <w:contextualSpacing w:val="0"/>
              <w:jc w:val="left"/>
              <w:rPr>
                <w:color w:val="000000"/>
                <w:sz w:val="17"/>
                <w:szCs w:val="17"/>
              </w:rPr>
            </w:pPr>
          </w:p>
        </w:tc>
        <w:tc>
          <w:tcPr>
            <w:tcW w:w="980" w:type="dxa"/>
            <w:tcBorders>
              <w:top w:val="nil"/>
              <w:left w:val="nil"/>
              <w:bottom w:val="nil"/>
              <w:right w:val="nil"/>
            </w:tcBorders>
            <w:shd w:val="clear" w:color="auto" w:fill="auto"/>
            <w:noWrap/>
            <w:vAlign w:val="bottom"/>
            <w:hideMark/>
          </w:tcPr>
          <w:p w14:paraId="06F5DBE5" w14:textId="77777777" w:rsidR="00ED5E7B" w:rsidRPr="009A5227" w:rsidRDefault="00ED5E7B" w:rsidP="009A5227">
            <w:pPr>
              <w:contextualSpacing w:val="0"/>
              <w:jc w:val="center"/>
              <w:rPr>
                <w:color w:val="000000"/>
                <w:sz w:val="17"/>
                <w:szCs w:val="17"/>
              </w:rPr>
            </w:pPr>
            <w:r w:rsidRPr="009A5227">
              <w:rPr>
                <w:color w:val="000000"/>
                <w:sz w:val="17"/>
                <w:szCs w:val="17"/>
              </w:rPr>
              <w:t>MTH03-1</w:t>
            </w:r>
          </w:p>
        </w:tc>
      </w:tr>
      <w:tr w:rsidR="00ED5E7B" w:rsidRPr="009A5227" w14:paraId="65FC900F" w14:textId="77777777" w:rsidTr="00ED5E7B">
        <w:trPr>
          <w:trHeight w:val="300"/>
          <w:jc w:val="center"/>
        </w:trPr>
        <w:tc>
          <w:tcPr>
            <w:tcW w:w="3100" w:type="dxa"/>
            <w:vMerge w:val="restart"/>
            <w:tcBorders>
              <w:top w:val="nil"/>
              <w:left w:val="nil"/>
              <w:bottom w:val="nil"/>
              <w:right w:val="nil"/>
            </w:tcBorders>
            <w:shd w:val="clear" w:color="auto" w:fill="auto"/>
            <w:noWrap/>
            <w:vAlign w:val="bottom"/>
            <w:hideMark/>
          </w:tcPr>
          <w:p w14:paraId="6FEFF884" w14:textId="77777777" w:rsidR="00ED5E7B" w:rsidRPr="009A5227" w:rsidRDefault="00ED5E7B" w:rsidP="009A5227">
            <w:pPr>
              <w:contextualSpacing w:val="0"/>
              <w:jc w:val="center"/>
              <w:rPr>
                <w:color w:val="000000"/>
                <w:sz w:val="17"/>
                <w:szCs w:val="17"/>
              </w:rPr>
            </w:pPr>
            <w:r w:rsidRPr="009A5227">
              <w:rPr>
                <w:color w:val="000000"/>
                <w:sz w:val="17"/>
                <w:szCs w:val="17"/>
              </w:rPr>
              <w:t>Turbulent Heating TPS response</w:t>
            </w:r>
          </w:p>
        </w:tc>
        <w:tc>
          <w:tcPr>
            <w:tcW w:w="980" w:type="dxa"/>
            <w:tcBorders>
              <w:top w:val="nil"/>
              <w:left w:val="nil"/>
              <w:bottom w:val="nil"/>
              <w:right w:val="nil"/>
            </w:tcBorders>
            <w:shd w:val="clear" w:color="auto" w:fill="auto"/>
            <w:noWrap/>
            <w:vAlign w:val="bottom"/>
            <w:hideMark/>
          </w:tcPr>
          <w:p w14:paraId="641DE5B3" w14:textId="77777777" w:rsidR="00ED5E7B" w:rsidRPr="009A5227" w:rsidRDefault="00ED5E7B" w:rsidP="009A5227">
            <w:pPr>
              <w:contextualSpacing w:val="0"/>
              <w:jc w:val="center"/>
              <w:rPr>
                <w:color w:val="000000"/>
                <w:sz w:val="17"/>
                <w:szCs w:val="17"/>
              </w:rPr>
            </w:pPr>
            <w:r w:rsidRPr="009A5227">
              <w:rPr>
                <w:color w:val="000000"/>
                <w:sz w:val="17"/>
                <w:szCs w:val="17"/>
              </w:rPr>
              <w:t>MTH02-3</w:t>
            </w:r>
          </w:p>
        </w:tc>
      </w:tr>
      <w:tr w:rsidR="00ED5E7B" w:rsidRPr="009A5227" w14:paraId="6A0C3A7C" w14:textId="77777777" w:rsidTr="00ED5E7B">
        <w:trPr>
          <w:trHeight w:val="300"/>
          <w:jc w:val="center"/>
        </w:trPr>
        <w:tc>
          <w:tcPr>
            <w:tcW w:w="3100" w:type="dxa"/>
            <w:vMerge/>
            <w:tcBorders>
              <w:top w:val="nil"/>
              <w:left w:val="nil"/>
              <w:bottom w:val="nil"/>
              <w:right w:val="nil"/>
            </w:tcBorders>
            <w:vAlign w:val="center"/>
            <w:hideMark/>
          </w:tcPr>
          <w:p w14:paraId="252F7547" w14:textId="77777777" w:rsidR="00ED5E7B" w:rsidRPr="009A5227" w:rsidRDefault="00ED5E7B" w:rsidP="009A5227">
            <w:pPr>
              <w:contextualSpacing w:val="0"/>
              <w:jc w:val="left"/>
              <w:rPr>
                <w:color w:val="000000"/>
                <w:sz w:val="17"/>
                <w:szCs w:val="17"/>
              </w:rPr>
            </w:pPr>
          </w:p>
        </w:tc>
        <w:tc>
          <w:tcPr>
            <w:tcW w:w="980" w:type="dxa"/>
            <w:tcBorders>
              <w:top w:val="nil"/>
              <w:left w:val="nil"/>
              <w:bottom w:val="nil"/>
              <w:right w:val="nil"/>
            </w:tcBorders>
            <w:shd w:val="clear" w:color="auto" w:fill="auto"/>
            <w:noWrap/>
            <w:vAlign w:val="bottom"/>
            <w:hideMark/>
          </w:tcPr>
          <w:p w14:paraId="28B2F8DD" w14:textId="77777777" w:rsidR="00ED5E7B" w:rsidRPr="009A5227" w:rsidRDefault="00ED5E7B" w:rsidP="009A5227">
            <w:pPr>
              <w:contextualSpacing w:val="0"/>
              <w:jc w:val="center"/>
              <w:rPr>
                <w:color w:val="000000"/>
                <w:sz w:val="17"/>
                <w:szCs w:val="17"/>
              </w:rPr>
            </w:pPr>
            <w:r w:rsidRPr="009A5227">
              <w:rPr>
                <w:color w:val="000000"/>
                <w:sz w:val="17"/>
                <w:szCs w:val="17"/>
              </w:rPr>
              <w:t>MTH03-3</w:t>
            </w:r>
          </w:p>
        </w:tc>
      </w:tr>
      <w:tr w:rsidR="00ED5E7B" w:rsidRPr="009A5227" w14:paraId="712379E9" w14:textId="77777777" w:rsidTr="00ED5E7B">
        <w:trPr>
          <w:trHeight w:val="300"/>
          <w:jc w:val="center"/>
        </w:trPr>
        <w:tc>
          <w:tcPr>
            <w:tcW w:w="3100" w:type="dxa"/>
            <w:vMerge w:val="restart"/>
            <w:tcBorders>
              <w:top w:val="nil"/>
              <w:left w:val="nil"/>
              <w:bottom w:val="nil"/>
              <w:right w:val="nil"/>
            </w:tcBorders>
            <w:shd w:val="clear" w:color="auto" w:fill="auto"/>
            <w:noWrap/>
            <w:vAlign w:val="bottom"/>
            <w:hideMark/>
          </w:tcPr>
          <w:p w14:paraId="722CA526" w14:textId="77777777" w:rsidR="00ED5E7B" w:rsidRPr="009A5227" w:rsidRDefault="00ED5E7B" w:rsidP="009A5227">
            <w:pPr>
              <w:contextualSpacing w:val="0"/>
              <w:jc w:val="center"/>
              <w:rPr>
                <w:color w:val="000000"/>
                <w:sz w:val="17"/>
                <w:szCs w:val="17"/>
              </w:rPr>
            </w:pPr>
            <w:r w:rsidRPr="009A5227">
              <w:rPr>
                <w:color w:val="000000"/>
                <w:sz w:val="17"/>
                <w:szCs w:val="17"/>
              </w:rPr>
              <w:t>Symmetric Acreage Heating</w:t>
            </w:r>
          </w:p>
        </w:tc>
        <w:tc>
          <w:tcPr>
            <w:tcW w:w="980" w:type="dxa"/>
            <w:tcBorders>
              <w:top w:val="nil"/>
              <w:left w:val="nil"/>
              <w:bottom w:val="nil"/>
              <w:right w:val="nil"/>
            </w:tcBorders>
            <w:shd w:val="clear" w:color="auto" w:fill="auto"/>
            <w:noWrap/>
            <w:vAlign w:val="bottom"/>
            <w:hideMark/>
          </w:tcPr>
          <w:p w14:paraId="35C8978B" w14:textId="77777777" w:rsidR="00ED5E7B" w:rsidRPr="009A5227" w:rsidRDefault="00ED5E7B" w:rsidP="009A5227">
            <w:pPr>
              <w:contextualSpacing w:val="0"/>
              <w:jc w:val="center"/>
              <w:rPr>
                <w:color w:val="000000"/>
                <w:sz w:val="17"/>
                <w:szCs w:val="17"/>
              </w:rPr>
            </w:pPr>
            <w:r w:rsidRPr="009A5227">
              <w:rPr>
                <w:color w:val="000000"/>
                <w:sz w:val="17"/>
                <w:szCs w:val="17"/>
              </w:rPr>
              <w:t>MTH05-1</w:t>
            </w:r>
          </w:p>
        </w:tc>
      </w:tr>
      <w:tr w:rsidR="00ED5E7B" w:rsidRPr="009A5227" w14:paraId="2F2E2BCA" w14:textId="77777777" w:rsidTr="00ED5E7B">
        <w:trPr>
          <w:trHeight w:val="300"/>
          <w:jc w:val="center"/>
        </w:trPr>
        <w:tc>
          <w:tcPr>
            <w:tcW w:w="3100" w:type="dxa"/>
            <w:vMerge/>
            <w:tcBorders>
              <w:top w:val="nil"/>
              <w:left w:val="nil"/>
              <w:bottom w:val="nil"/>
              <w:right w:val="nil"/>
            </w:tcBorders>
            <w:vAlign w:val="center"/>
            <w:hideMark/>
          </w:tcPr>
          <w:p w14:paraId="7908DF8B" w14:textId="77777777" w:rsidR="00ED5E7B" w:rsidRPr="009A5227" w:rsidRDefault="00ED5E7B" w:rsidP="009A5227">
            <w:pPr>
              <w:contextualSpacing w:val="0"/>
              <w:jc w:val="left"/>
              <w:rPr>
                <w:color w:val="000000"/>
                <w:sz w:val="17"/>
                <w:szCs w:val="17"/>
              </w:rPr>
            </w:pPr>
          </w:p>
        </w:tc>
        <w:tc>
          <w:tcPr>
            <w:tcW w:w="980" w:type="dxa"/>
            <w:tcBorders>
              <w:top w:val="nil"/>
              <w:left w:val="nil"/>
              <w:bottom w:val="nil"/>
              <w:right w:val="nil"/>
            </w:tcBorders>
            <w:shd w:val="clear" w:color="auto" w:fill="auto"/>
            <w:noWrap/>
            <w:vAlign w:val="bottom"/>
            <w:hideMark/>
          </w:tcPr>
          <w:p w14:paraId="6474DA18" w14:textId="77777777" w:rsidR="00ED5E7B" w:rsidRPr="009A5227" w:rsidRDefault="00ED5E7B" w:rsidP="009A5227">
            <w:pPr>
              <w:contextualSpacing w:val="0"/>
              <w:jc w:val="center"/>
              <w:rPr>
                <w:color w:val="000000"/>
                <w:sz w:val="17"/>
                <w:szCs w:val="17"/>
              </w:rPr>
            </w:pPr>
            <w:r w:rsidRPr="009A5227">
              <w:rPr>
                <w:color w:val="000000"/>
                <w:sz w:val="17"/>
                <w:szCs w:val="17"/>
              </w:rPr>
              <w:t>MTH07-1</w:t>
            </w:r>
          </w:p>
        </w:tc>
      </w:tr>
      <w:tr w:rsidR="00ED5E7B" w:rsidRPr="009A5227" w14:paraId="501370FB" w14:textId="77777777" w:rsidTr="00ED5E7B">
        <w:trPr>
          <w:trHeight w:val="300"/>
          <w:jc w:val="center"/>
        </w:trPr>
        <w:tc>
          <w:tcPr>
            <w:tcW w:w="3100" w:type="dxa"/>
            <w:tcBorders>
              <w:top w:val="nil"/>
              <w:left w:val="nil"/>
              <w:bottom w:val="nil"/>
              <w:right w:val="nil"/>
            </w:tcBorders>
            <w:shd w:val="clear" w:color="auto" w:fill="auto"/>
            <w:noWrap/>
            <w:vAlign w:val="bottom"/>
            <w:hideMark/>
          </w:tcPr>
          <w:p w14:paraId="1952BAA1" w14:textId="77777777" w:rsidR="00ED5E7B" w:rsidRPr="009A5227" w:rsidRDefault="00ED5E7B" w:rsidP="009A5227">
            <w:pPr>
              <w:contextualSpacing w:val="0"/>
              <w:jc w:val="center"/>
              <w:rPr>
                <w:color w:val="000000"/>
                <w:sz w:val="17"/>
                <w:szCs w:val="17"/>
              </w:rPr>
            </w:pPr>
            <w:r w:rsidRPr="009A5227">
              <w:rPr>
                <w:color w:val="000000"/>
                <w:sz w:val="17"/>
                <w:szCs w:val="17"/>
              </w:rPr>
              <w:t>Backshell Pressure</w:t>
            </w:r>
          </w:p>
        </w:tc>
        <w:tc>
          <w:tcPr>
            <w:tcW w:w="980" w:type="dxa"/>
            <w:tcBorders>
              <w:top w:val="nil"/>
              <w:left w:val="nil"/>
              <w:bottom w:val="nil"/>
              <w:right w:val="nil"/>
            </w:tcBorders>
            <w:shd w:val="clear" w:color="auto" w:fill="auto"/>
            <w:noWrap/>
            <w:vAlign w:val="bottom"/>
            <w:hideMark/>
          </w:tcPr>
          <w:p w14:paraId="15CE6897" w14:textId="77777777" w:rsidR="00ED5E7B" w:rsidRPr="009A5227" w:rsidRDefault="00ED5E7B" w:rsidP="009A5227">
            <w:pPr>
              <w:contextualSpacing w:val="0"/>
              <w:jc w:val="center"/>
              <w:rPr>
                <w:color w:val="000000"/>
                <w:sz w:val="17"/>
                <w:szCs w:val="17"/>
              </w:rPr>
            </w:pPr>
            <w:r w:rsidRPr="009A5227">
              <w:rPr>
                <w:color w:val="000000"/>
                <w:sz w:val="17"/>
                <w:szCs w:val="17"/>
              </w:rPr>
              <w:t>MPB01</w:t>
            </w:r>
          </w:p>
        </w:tc>
      </w:tr>
      <w:tr w:rsidR="00ED5E7B" w:rsidRPr="009A5227" w14:paraId="20FCF2C6" w14:textId="77777777" w:rsidTr="00ED5E7B">
        <w:trPr>
          <w:trHeight w:val="300"/>
          <w:jc w:val="center"/>
        </w:trPr>
        <w:tc>
          <w:tcPr>
            <w:tcW w:w="3100" w:type="dxa"/>
            <w:vMerge w:val="restart"/>
            <w:tcBorders>
              <w:top w:val="nil"/>
              <w:left w:val="nil"/>
              <w:bottom w:val="nil"/>
              <w:right w:val="nil"/>
            </w:tcBorders>
            <w:shd w:val="clear" w:color="auto" w:fill="auto"/>
            <w:noWrap/>
            <w:vAlign w:val="bottom"/>
            <w:hideMark/>
          </w:tcPr>
          <w:p w14:paraId="14E22886" w14:textId="77777777" w:rsidR="00ED5E7B" w:rsidRPr="009A5227" w:rsidRDefault="00ED5E7B" w:rsidP="009A5227">
            <w:pPr>
              <w:contextualSpacing w:val="0"/>
              <w:jc w:val="center"/>
              <w:rPr>
                <w:color w:val="000000"/>
                <w:sz w:val="17"/>
                <w:szCs w:val="17"/>
              </w:rPr>
            </w:pPr>
            <w:r w:rsidRPr="009A5227">
              <w:rPr>
                <w:color w:val="000000"/>
                <w:sz w:val="17"/>
                <w:szCs w:val="17"/>
              </w:rPr>
              <w:t>Backshell TPS Response</w:t>
            </w:r>
          </w:p>
        </w:tc>
        <w:tc>
          <w:tcPr>
            <w:tcW w:w="980" w:type="dxa"/>
            <w:tcBorders>
              <w:top w:val="nil"/>
              <w:left w:val="nil"/>
              <w:bottom w:val="nil"/>
              <w:right w:val="nil"/>
            </w:tcBorders>
            <w:shd w:val="clear" w:color="auto" w:fill="auto"/>
            <w:noWrap/>
            <w:vAlign w:val="bottom"/>
            <w:hideMark/>
          </w:tcPr>
          <w:p w14:paraId="43396044" w14:textId="77777777" w:rsidR="00ED5E7B" w:rsidRPr="009A5227" w:rsidRDefault="00ED5E7B" w:rsidP="009A5227">
            <w:pPr>
              <w:contextualSpacing w:val="0"/>
              <w:jc w:val="center"/>
              <w:rPr>
                <w:color w:val="000000"/>
                <w:sz w:val="17"/>
                <w:szCs w:val="17"/>
              </w:rPr>
            </w:pPr>
            <w:r w:rsidRPr="009A5227">
              <w:rPr>
                <w:color w:val="000000"/>
                <w:sz w:val="17"/>
                <w:szCs w:val="17"/>
              </w:rPr>
              <w:t>MTB01-1</w:t>
            </w:r>
          </w:p>
        </w:tc>
      </w:tr>
      <w:tr w:rsidR="00ED5E7B" w:rsidRPr="009A5227" w14:paraId="30C1BD70" w14:textId="77777777" w:rsidTr="00ED5E7B">
        <w:trPr>
          <w:trHeight w:val="300"/>
          <w:jc w:val="center"/>
        </w:trPr>
        <w:tc>
          <w:tcPr>
            <w:tcW w:w="3100" w:type="dxa"/>
            <w:vMerge/>
            <w:tcBorders>
              <w:top w:val="nil"/>
              <w:left w:val="nil"/>
              <w:bottom w:val="nil"/>
              <w:right w:val="nil"/>
            </w:tcBorders>
            <w:vAlign w:val="center"/>
            <w:hideMark/>
          </w:tcPr>
          <w:p w14:paraId="22FA67FA" w14:textId="77777777" w:rsidR="00ED5E7B" w:rsidRPr="009A5227" w:rsidRDefault="00ED5E7B" w:rsidP="009A5227">
            <w:pPr>
              <w:contextualSpacing w:val="0"/>
              <w:jc w:val="left"/>
              <w:rPr>
                <w:color w:val="000000"/>
                <w:sz w:val="17"/>
                <w:szCs w:val="17"/>
              </w:rPr>
            </w:pPr>
          </w:p>
        </w:tc>
        <w:tc>
          <w:tcPr>
            <w:tcW w:w="980" w:type="dxa"/>
            <w:tcBorders>
              <w:top w:val="nil"/>
              <w:left w:val="nil"/>
              <w:bottom w:val="nil"/>
              <w:right w:val="nil"/>
            </w:tcBorders>
            <w:shd w:val="clear" w:color="auto" w:fill="auto"/>
            <w:noWrap/>
            <w:vAlign w:val="bottom"/>
            <w:hideMark/>
          </w:tcPr>
          <w:p w14:paraId="7B73B7AF" w14:textId="77777777" w:rsidR="00ED5E7B" w:rsidRPr="009A5227" w:rsidRDefault="00ED5E7B" w:rsidP="009A5227">
            <w:pPr>
              <w:contextualSpacing w:val="0"/>
              <w:jc w:val="center"/>
              <w:rPr>
                <w:color w:val="000000"/>
                <w:sz w:val="17"/>
                <w:szCs w:val="17"/>
              </w:rPr>
            </w:pPr>
            <w:r w:rsidRPr="009A5227">
              <w:rPr>
                <w:color w:val="000000"/>
                <w:sz w:val="17"/>
                <w:szCs w:val="17"/>
              </w:rPr>
              <w:t>MTB02-1</w:t>
            </w:r>
          </w:p>
        </w:tc>
      </w:tr>
      <w:tr w:rsidR="00ED5E7B" w:rsidRPr="009A5227" w14:paraId="78BBBAEE" w14:textId="77777777" w:rsidTr="00ED5E7B">
        <w:trPr>
          <w:trHeight w:val="300"/>
          <w:jc w:val="center"/>
        </w:trPr>
        <w:tc>
          <w:tcPr>
            <w:tcW w:w="3100" w:type="dxa"/>
            <w:vMerge w:val="restart"/>
            <w:tcBorders>
              <w:top w:val="nil"/>
              <w:left w:val="nil"/>
              <w:bottom w:val="double" w:sz="6" w:space="0" w:color="000000"/>
              <w:right w:val="nil"/>
            </w:tcBorders>
            <w:shd w:val="clear" w:color="auto" w:fill="auto"/>
            <w:noWrap/>
            <w:vAlign w:val="bottom"/>
            <w:hideMark/>
          </w:tcPr>
          <w:p w14:paraId="138D3307" w14:textId="77777777" w:rsidR="00ED5E7B" w:rsidRPr="009A5227" w:rsidRDefault="00ED5E7B" w:rsidP="009A5227">
            <w:pPr>
              <w:contextualSpacing w:val="0"/>
              <w:jc w:val="center"/>
              <w:rPr>
                <w:color w:val="000000"/>
                <w:sz w:val="17"/>
                <w:szCs w:val="17"/>
              </w:rPr>
            </w:pPr>
            <w:r w:rsidRPr="009A5227">
              <w:rPr>
                <w:color w:val="000000"/>
                <w:sz w:val="17"/>
                <w:szCs w:val="17"/>
              </w:rPr>
              <w:t>Backshell Heating</w:t>
            </w:r>
          </w:p>
        </w:tc>
        <w:tc>
          <w:tcPr>
            <w:tcW w:w="980" w:type="dxa"/>
            <w:tcBorders>
              <w:top w:val="nil"/>
              <w:left w:val="nil"/>
              <w:bottom w:val="nil"/>
              <w:right w:val="nil"/>
            </w:tcBorders>
            <w:shd w:val="clear" w:color="auto" w:fill="auto"/>
            <w:noWrap/>
            <w:vAlign w:val="bottom"/>
            <w:hideMark/>
          </w:tcPr>
          <w:p w14:paraId="2AEB5602" w14:textId="77777777" w:rsidR="00ED5E7B" w:rsidRPr="009A5227" w:rsidRDefault="00ED5E7B" w:rsidP="009A5227">
            <w:pPr>
              <w:contextualSpacing w:val="0"/>
              <w:jc w:val="center"/>
              <w:rPr>
                <w:color w:val="000000"/>
                <w:sz w:val="17"/>
                <w:szCs w:val="17"/>
              </w:rPr>
            </w:pPr>
            <w:r w:rsidRPr="009A5227">
              <w:rPr>
                <w:color w:val="000000"/>
                <w:sz w:val="17"/>
                <w:szCs w:val="17"/>
              </w:rPr>
              <w:t>MTB07</w:t>
            </w:r>
          </w:p>
        </w:tc>
      </w:tr>
      <w:tr w:rsidR="00ED5E7B" w:rsidRPr="009A5227" w14:paraId="105026A1" w14:textId="77777777" w:rsidTr="00ED5E7B">
        <w:trPr>
          <w:trHeight w:val="315"/>
          <w:jc w:val="center"/>
        </w:trPr>
        <w:tc>
          <w:tcPr>
            <w:tcW w:w="3100" w:type="dxa"/>
            <w:vMerge/>
            <w:tcBorders>
              <w:top w:val="nil"/>
              <w:left w:val="nil"/>
              <w:bottom w:val="double" w:sz="6" w:space="0" w:color="000000"/>
              <w:right w:val="nil"/>
            </w:tcBorders>
            <w:vAlign w:val="center"/>
            <w:hideMark/>
          </w:tcPr>
          <w:p w14:paraId="54FF2F40" w14:textId="77777777" w:rsidR="00ED5E7B" w:rsidRPr="009A5227" w:rsidRDefault="00ED5E7B" w:rsidP="009A5227">
            <w:pPr>
              <w:contextualSpacing w:val="0"/>
              <w:jc w:val="left"/>
              <w:rPr>
                <w:color w:val="000000"/>
                <w:sz w:val="17"/>
                <w:szCs w:val="17"/>
              </w:rPr>
            </w:pPr>
          </w:p>
        </w:tc>
        <w:tc>
          <w:tcPr>
            <w:tcW w:w="980" w:type="dxa"/>
            <w:tcBorders>
              <w:top w:val="nil"/>
              <w:left w:val="nil"/>
              <w:bottom w:val="double" w:sz="6" w:space="0" w:color="auto"/>
              <w:right w:val="nil"/>
            </w:tcBorders>
            <w:shd w:val="clear" w:color="auto" w:fill="auto"/>
            <w:noWrap/>
            <w:vAlign w:val="bottom"/>
            <w:hideMark/>
          </w:tcPr>
          <w:p w14:paraId="5CC48E94" w14:textId="77777777" w:rsidR="00ED5E7B" w:rsidRPr="009A5227" w:rsidRDefault="00ED5E7B" w:rsidP="009A5227">
            <w:pPr>
              <w:contextualSpacing w:val="0"/>
              <w:jc w:val="center"/>
              <w:rPr>
                <w:color w:val="000000"/>
                <w:sz w:val="17"/>
                <w:szCs w:val="17"/>
              </w:rPr>
            </w:pPr>
            <w:r w:rsidRPr="009A5227">
              <w:rPr>
                <w:color w:val="000000"/>
                <w:sz w:val="17"/>
                <w:szCs w:val="17"/>
              </w:rPr>
              <w:t>MTB09</w:t>
            </w:r>
          </w:p>
        </w:tc>
      </w:tr>
    </w:tbl>
    <w:p w14:paraId="7501B623" w14:textId="77777777" w:rsidR="00C5260D" w:rsidRDefault="00C5260D" w:rsidP="009A5227">
      <w:pPr>
        <w:tabs>
          <w:tab w:val="left" w:pos="288"/>
        </w:tabs>
        <w:ind w:firstLine="288"/>
      </w:pPr>
    </w:p>
    <w:p w14:paraId="23DE9D37" w14:textId="4E8DBA07" w:rsidR="009A5227" w:rsidRDefault="009A5227" w:rsidP="009A5227">
      <w:pPr>
        <w:tabs>
          <w:tab w:val="left" w:pos="288"/>
        </w:tabs>
        <w:ind w:firstLine="288"/>
      </w:pPr>
      <w:r w:rsidRPr="00600A70">
        <w:lastRenderedPageBreak/>
        <w:t xml:space="preserve">The full MEDLI2 flight data was telemetered to earth </w:t>
      </w:r>
      <w:r w:rsidR="0074138E">
        <w:t>three</w:t>
      </w:r>
      <w:r>
        <w:t xml:space="preserve"> days after landing. Upon </w:t>
      </w:r>
      <w:r w:rsidR="00FA35E7">
        <w:t>receipt</w:t>
      </w:r>
      <w:r>
        <w:t xml:space="preserve">, the flight data was converted from raw signal counts into mV signals, and cross checked several times, before being converted to engineering units (e.g. Kelvin, Pascal) via calibration. The full set of science channels are described in Table </w:t>
      </w:r>
      <w:r w:rsidR="002039E2">
        <w:t>2</w:t>
      </w:r>
      <w:r>
        <w:t>, and the EDL-relevant portion of this data extends from Entry Interface Point (EI) through MEDLI2 shutdown</w:t>
      </w:r>
      <w:r w:rsidR="00EE2B52">
        <w:t xml:space="preserve">. </w:t>
      </w:r>
      <w:r w:rsidR="00564371">
        <w:t>Table 2 lists the heatshield channels first, followed by backshell channels.</w:t>
      </w:r>
    </w:p>
    <w:p w14:paraId="0BFB13ED" w14:textId="77777777" w:rsidR="009A5227" w:rsidRPr="009A5227" w:rsidRDefault="009A5227" w:rsidP="009A5227"/>
    <w:p w14:paraId="4F7B4804" w14:textId="4F75392E" w:rsidR="009A5227" w:rsidRDefault="009A5227" w:rsidP="0085165A">
      <w:pPr>
        <w:pStyle w:val="Caption"/>
      </w:pPr>
      <w:r>
        <w:t xml:space="preserve">Table </w:t>
      </w:r>
      <w:r w:rsidR="00496F19">
        <w:fldChar w:fldCharType="begin"/>
      </w:r>
      <w:r w:rsidR="00496F19">
        <w:instrText xml:space="preserve"> SEQ Table \* ARABIC </w:instrText>
      </w:r>
      <w:r w:rsidR="00496F19">
        <w:fldChar w:fldCharType="separate"/>
      </w:r>
      <w:r w:rsidR="00C85550">
        <w:rPr>
          <w:noProof/>
        </w:rPr>
        <w:t>2</w:t>
      </w:r>
      <w:r w:rsidR="00496F19">
        <w:rPr>
          <w:noProof/>
        </w:rPr>
        <w:fldChar w:fldCharType="end"/>
      </w:r>
      <w:r>
        <w:t xml:space="preserve"> </w:t>
      </w:r>
      <w:r w:rsidRPr="009E705C">
        <w:t>MEDLI2 Science Channels</w:t>
      </w:r>
    </w:p>
    <w:p w14:paraId="2D200C2E" w14:textId="153E8836" w:rsidR="0085165A" w:rsidRDefault="0085165A" w:rsidP="009A5227">
      <w:pPr>
        <w:tabs>
          <w:tab w:val="left" w:pos="288"/>
        </w:tabs>
      </w:pPr>
      <w:r>
        <w:rPr>
          <w:noProof/>
        </w:rPr>
        <w:drawing>
          <wp:inline distT="0" distB="0" distL="0" distR="0" wp14:anchorId="1AFC3006" wp14:editId="2D1CBF42">
            <wp:extent cx="5943600" cy="4531995"/>
            <wp:effectExtent l="0" t="0" r="0"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4531995"/>
                    </a:xfrm>
                    <a:prstGeom prst="rect">
                      <a:avLst/>
                    </a:prstGeom>
                  </pic:spPr>
                </pic:pic>
              </a:graphicData>
            </a:graphic>
          </wp:inline>
        </w:drawing>
      </w:r>
    </w:p>
    <w:p w14:paraId="3DFF61D4" w14:textId="77777777" w:rsidR="0085165A" w:rsidRDefault="0085165A" w:rsidP="009A5227">
      <w:pPr>
        <w:tabs>
          <w:tab w:val="left" w:pos="288"/>
        </w:tabs>
      </w:pPr>
    </w:p>
    <w:p w14:paraId="2A68F4DE" w14:textId="6ADBC2AB" w:rsidR="004D4E66" w:rsidRDefault="004D4E66" w:rsidP="004D4E66">
      <w:pPr>
        <w:numPr>
          <w:ilvl w:val="0"/>
          <w:numId w:val="3"/>
        </w:numPr>
        <w:tabs>
          <w:tab w:val="left" w:pos="288"/>
        </w:tabs>
        <w:spacing w:before="240"/>
        <w:outlineLvl w:val="1"/>
        <w:rPr>
          <w:b/>
        </w:rPr>
      </w:pPr>
      <w:r>
        <w:rPr>
          <w:b/>
        </w:rPr>
        <w:t>Overall MEDLI2 performance during Entry</w:t>
      </w:r>
    </w:p>
    <w:p w14:paraId="0BC81AA0" w14:textId="3596A2F4" w:rsidR="004D4E66" w:rsidRPr="004D4E66" w:rsidRDefault="004D4E66" w:rsidP="004D4E66">
      <w:pPr>
        <w:tabs>
          <w:tab w:val="left" w:pos="288"/>
        </w:tabs>
        <w:spacing w:before="240"/>
        <w:outlineLvl w:val="1"/>
      </w:pPr>
      <w:r>
        <w:tab/>
      </w:r>
      <w:r w:rsidR="00394877">
        <w:t xml:space="preserve">MEDLI2 sensors and electronics </w:t>
      </w:r>
      <w:r w:rsidR="00564371">
        <w:t xml:space="preserve">operated with </w:t>
      </w:r>
      <w:r w:rsidR="00394877">
        <w:t xml:space="preserve">no </w:t>
      </w:r>
      <w:r w:rsidR="00FA35E7">
        <w:t>dropouts</w:t>
      </w:r>
      <w:r w:rsidR="00394877">
        <w:t xml:space="preserve"> or un-expected signal noise</w:t>
      </w:r>
      <w:r w:rsidR="00EE2B52">
        <w:t xml:space="preserve">. </w:t>
      </w:r>
      <w:r w:rsidR="002A05C0">
        <w:t xml:space="preserve">The MEDLI2 team </w:t>
      </w:r>
      <w:r>
        <w:t>conducted</w:t>
      </w:r>
      <w:r w:rsidR="002A05C0">
        <w:t xml:space="preserve"> two cruise checkouts</w:t>
      </w:r>
      <w:r w:rsidR="00564371">
        <w:t xml:space="preserve">, in the months before entry, </w:t>
      </w:r>
      <w:r>
        <w:t>which showed</w:t>
      </w:r>
      <w:r w:rsidR="00FA35E7">
        <w:t xml:space="preserve"> the</w:t>
      </w:r>
      <w:r>
        <w:t xml:space="preserve"> MEDLI2 SSE operated as expected</w:t>
      </w:r>
      <w:r w:rsidR="00EE2B52">
        <w:t xml:space="preserve">. </w:t>
      </w:r>
      <w:r w:rsidR="00394877">
        <w:t xml:space="preserve">During these checkouts, the </w:t>
      </w:r>
      <w:r w:rsidR="002A05C0">
        <w:t xml:space="preserve">team measured </w:t>
      </w:r>
      <w:r>
        <w:t>pressure transducer in-flight zeros</w:t>
      </w:r>
      <w:r w:rsidR="002A05C0">
        <w:t>, and assessed temperature stability of the SSE and sensors</w:t>
      </w:r>
      <w:r w:rsidR="00EE2B52">
        <w:t xml:space="preserve">. </w:t>
      </w:r>
      <w:r w:rsidR="002A05C0">
        <w:t xml:space="preserve">A similar process was conducted in the hours leading up to atmospheric </w:t>
      </w:r>
      <w:r w:rsidR="00394877">
        <w:t>entry</w:t>
      </w:r>
      <w:r w:rsidR="00EE2B52">
        <w:t xml:space="preserve">. </w:t>
      </w:r>
      <w:r w:rsidR="00FA35E7">
        <w:t>A</w:t>
      </w:r>
      <w:r>
        <w:t xml:space="preserve">ll indications </w:t>
      </w:r>
      <w:r w:rsidR="00FA35E7">
        <w:t xml:space="preserve">were that the SSE </w:t>
      </w:r>
      <w:r>
        <w:t>remained within the designed and expected environments</w:t>
      </w:r>
      <w:r w:rsidR="00FA35E7">
        <w:t xml:space="preserve"> during </w:t>
      </w:r>
      <w:proofErr w:type="gramStart"/>
      <w:r w:rsidR="00FA35E7">
        <w:t>entry, and</w:t>
      </w:r>
      <w:proofErr w:type="gramEnd"/>
      <w:r w:rsidR="00FA35E7">
        <w:t xml:space="preserve"> performed as expected.</w:t>
      </w:r>
      <w:r w:rsidR="00A76FC6">
        <w:t xml:space="preserve"> The paper turns now to the pressure measurements.</w:t>
      </w:r>
    </w:p>
    <w:p w14:paraId="052ED8FF" w14:textId="0AF201E2" w:rsidR="00F565BA" w:rsidRDefault="00435569" w:rsidP="00F565BA">
      <w:pPr>
        <w:numPr>
          <w:ilvl w:val="0"/>
          <w:numId w:val="3"/>
        </w:numPr>
        <w:tabs>
          <w:tab w:val="left" w:pos="288"/>
        </w:tabs>
        <w:spacing w:before="240"/>
        <w:outlineLvl w:val="1"/>
        <w:rPr>
          <w:b/>
        </w:rPr>
      </w:pPr>
      <w:r>
        <w:rPr>
          <w:b/>
        </w:rPr>
        <w:t xml:space="preserve">MEADS </w:t>
      </w:r>
      <w:r w:rsidR="004D4E66">
        <w:rPr>
          <w:b/>
        </w:rPr>
        <w:t>Surface Pressure Flight Data</w:t>
      </w:r>
    </w:p>
    <w:p w14:paraId="7A33E4EE" w14:textId="0A303301" w:rsidR="00A6317C" w:rsidRDefault="00435569" w:rsidP="00A50BFA">
      <w:pPr>
        <w:ind w:firstLine="288"/>
      </w:pPr>
      <w:r>
        <w:t>The in-flight pressure data from the hypersonic (MPH01)</w:t>
      </w:r>
      <w:r w:rsidR="004F4D9A">
        <w:t xml:space="preserve">, </w:t>
      </w:r>
      <w:r>
        <w:t>supersonic (MPH02-07)</w:t>
      </w:r>
      <w:r w:rsidR="004F4D9A">
        <w:t xml:space="preserve">, and backshell (MPB01) </w:t>
      </w:r>
      <w:r>
        <w:t xml:space="preserve">transducers are shown in Figure </w:t>
      </w:r>
      <w:r w:rsidR="00EE7BA6">
        <w:t>7</w:t>
      </w:r>
      <w:r w:rsidR="00EE2B52">
        <w:t xml:space="preserve">. </w:t>
      </w:r>
      <w:r w:rsidR="00A6317C">
        <w:t>These MEADS measurements, combined with data from the Mars Climate Sounder (MCS), onboard Inertial Measurement Unit (IMU), and Mars Environmental Dynamics Analyzer (MEDA) were used in a Kalman filter to reconstruct the atmosphere and entry vehicle attitude [</w:t>
      </w:r>
      <w:r w:rsidR="00C56BB8">
        <w:t>3</w:t>
      </w:r>
      <w:r w:rsidR="00A6317C">
        <w:t>].</w:t>
      </w:r>
    </w:p>
    <w:p w14:paraId="51CCF816" w14:textId="16022E29" w:rsidR="00A6317C" w:rsidRDefault="00A6317C" w:rsidP="00A50BFA">
      <w:pPr>
        <w:ind w:firstLine="288"/>
      </w:pPr>
      <w:r>
        <w:t>The pressure histories are the result of p</w:t>
      </w:r>
      <w:r w:rsidR="004F4D9A" w:rsidRPr="004F4D9A">
        <w:t xml:space="preserve">rocessing </w:t>
      </w:r>
      <w:r>
        <w:t xml:space="preserve">the raw sensor </w:t>
      </w:r>
      <w:r w:rsidR="004F4D9A" w:rsidRPr="004F4D9A">
        <w:t>mV to kPa</w:t>
      </w:r>
      <w:r w:rsidR="00564371">
        <w:t>;</w:t>
      </w:r>
      <w:r>
        <w:t xml:space="preserve"> </w:t>
      </w:r>
      <w:r w:rsidR="00564371">
        <w:t xml:space="preserve">this </w:t>
      </w:r>
      <w:r>
        <w:t>include</w:t>
      </w:r>
      <w:r w:rsidR="00564371">
        <w:t>d</w:t>
      </w:r>
      <w:r>
        <w:t xml:space="preserve"> </w:t>
      </w:r>
      <w:r w:rsidR="004F4D9A" w:rsidRPr="004F4D9A">
        <w:t>removal of spikes due to pyro-shock events</w:t>
      </w:r>
      <w:r>
        <w:t xml:space="preserve">, </w:t>
      </w:r>
      <w:r w:rsidR="00564371">
        <w:t xml:space="preserve">incorporating </w:t>
      </w:r>
      <w:r w:rsidR="004F4D9A" w:rsidRPr="004F4D9A">
        <w:t>temperature</w:t>
      </w:r>
      <w:r>
        <w:t xml:space="preserve">-dependent sensor calibration, and </w:t>
      </w:r>
      <w:r w:rsidR="00564371">
        <w:t xml:space="preserve">applying additional </w:t>
      </w:r>
      <w:r>
        <w:t xml:space="preserve">corrections for </w:t>
      </w:r>
      <w:r w:rsidR="004F4D9A" w:rsidRPr="004F4D9A">
        <w:t>transducer hysteresis</w:t>
      </w:r>
      <w:r>
        <w:t xml:space="preserve"> during the dynamic pressure pulse</w:t>
      </w:r>
      <w:r w:rsidR="00EE2B52">
        <w:t xml:space="preserve">. </w:t>
      </w:r>
      <w:r>
        <w:t xml:space="preserve">Due to schedule constraints, the dynamic </w:t>
      </w:r>
      <w:r w:rsidR="004F4D9A" w:rsidRPr="004F4D9A">
        <w:t>pressure pulse</w:t>
      </w:r>
      <w:r>
        <w:t xml:space="preserve"> tests </w:t>
      </w:r>
      <w:r>
        <w:lastRenderedPageBreak/>
        <w:t xml:space="preserve">were conducted </w:t>
      </w:r>
      <w:r w:rsidR="004F4D9A" w:rsidRPr="004F4D9A">
        <w:t xml:space="preserve">after entry </w:t>
      </w:r>
      <w:r>
        <w:t xml:space="preserve">and </w:t>
      </w:r>
      <w:r w:rsidR="004F4D9A" w:rsidRPr="004F4D9A">
        <w:t>on flight spares</w:t>
      </w:r>
      <w:r w:rsidR="00EE2B52">
        <w:t xml:space="preserve">. </w:t>
      </w:r>
      <w:r>
        <w:t>These hysteresis effects were incorporated for each sensor in the Kalman filtering</w:t>
      </w:r>
      <w:r w:rsidR="002039E2">
        <w:t>, which provided the final processing of the pressure transducer data shown in this paper.</w:t>
      </w:r>
    </w:p>
    <w:p w14:paraId="58E81716" w14:textId="6CB194F6" w:rsidR="00435569" w:rsidRDefault="004F4D9A" w:rsidP="00E173F6">
      <w:pPr>
        <w:ind w:firstLine="288"/>
      </w:pPr>
      <w:r>
        <w:t>The heatshield and backshell pressure signals had high signal to noise, with the hypersonic and backshell pressure transducers staying within the full measurement range at all times</w:t>
      </w:r>
      <w:r w:rsidR="00EE2B52">
        <w:t xml:space="preserve">. </w:t>
      </w:r>
      <w:r>
        <w:t>Th</w:t>
      </w:r>
      <w:r w:rsidR="00435569">
        <w:t xml:space="preserve">e supersonic pressure transducers </w:t>
      </w:r>
      <w:r>
        <w:t>satur</w:t>
      </w:r>
      <w:r w:rsidR="00A6317C">
        <w:t>at</w:t>
      </w:r>
      <w:r>
        <w:t xml:space="preserve">ed during the </w:t>
      </w:r>
      <w:r w:rsidR="00435569">
        <w:t>hypersonic pressure pulse as expected</w:t>
      </w:r>
      <w:r w:rsidR="00EE2B52">
        <w:t xml:space="preserve">. </w:t>
      </w:r>
      <w:r w:rsidR="00E173F6">
        <w:t xml:space="preserve">The backshell pressure picked up events such as </w:t>
      </w:r>
      <w:r w:rsidR="00982E9B">
        <w:t xml:space="preserve">reaction control system </w:t>
      </w:r>
      <w:r w:rsidR="00E173F6">
        <w:t>thruster firings (130-150s), and events leading up to and including parachute deployment</w:t>
      </w:r>
      <w:r w:rsidR="00EE2B52">
        <w:t xml:space="preserve">. </w:t>
      </w:r>
      <w:r w:rsidR="00E173F6">
        <w:t>The MEDLI2 team developed a polynomial fit for base drag</w:t>
      </w:r>
      <w:r w:rsidR="00B11FB6">
        <w:t xml:space="preserve"> for use in flight mechanics simulations; the form of the fit is similar to</w:t>
      </w:r>
      <w:r w:rsidR="00E173F6">
        <w:t xml:space="preserve"> the Pathfinder-based </w:t>
      </w:r>
      <w:proofErr w:type="spellStart"/>
      <w:r w:rsidR="00E173F6">
        <w:t>Mitcheltree</w:t>
      </w:r>
      <w:proofErr w:type="spellEnd"/>
      <w:r w:rsidR="00E173F6">
        <w:t xml:space="preserve"> correlation [</w:t>
      </w:r>
      <w:r w:rsidR="00C56BB8">
        <w:t>10</w:t>
      </w:r>
      <w:r w:rsidR="00E173F6">
        <w:t>]</w:t>
      </w:r>
      <w:r w:rsidR="00B11FB6">
        <w:t>.</w:t>
      </w:r>
    </w:p>
    <w:p w14:paraId="5ACA9A9B" w14:textId="053A394E" w:rsidR="00435569" w:rsidRDefault="00435569" w:rsidP="009C4C35">
      <w:r w:rsidRPr="000A06A9">
        <w:rPr>
          <w:noProof/>
        </w:rPr>
        <w:drawing>
          <wp:inline distT="0" distB="0" distL="0" distR="0" wp14:anchorId="336371A0" wp14:editId="5F7BF65B">
            <wp:extent cx="2464130" cy="1848098"/>
            <wp:effectExtent l="0" t="0" r="0" b="0"/>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84519" cy="1863390"/>
                    </a:xfrm>
                    <a:prstGeom prst="rect">
                      <a:avLst/>
                    </a:prstGeom>
                  </pic:spPr>
                </pic:pic>
              </a:graphicData>
            </a:graphic>
          </wp:inline>
        </w:drawing>
      </w:r>
      <w:r w:rsidR="00B152C8">
        <w:rPr>
          <w:noProof/>
        </w:rPr>
        <w:drawing>
          <wp:inline distT="0" distB="0" distL="0" distR="0" wp14:anchorId="026C1B1D" wp14:editId="3907562C">
            <wp:extent cx="961901" cy="1807598"/>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5754" cy="1871214"/>
                    </a:xfrm>
                    <a:prstGeom prst="rect">
                      <a:avLst/>
                    </a:prstGeom>
                    <a:noFill/>
                  </pic:spPr>
                </pic:pic>
              </a:graphicData>
            </a:graphic>
          </wp:inline>
        </w:drawing>
      </w:r>
      <w:r w:rsidRPr="000A06A9">
        <w:rPr>
          <w:noProof/>
        </w:rPr>
        <w:drawing>
          <wp:inline distT="0" distB="0" distL="0" distR="0" wp14:anchorId="7F2EEEE0" wp14:editId="70755509">
            <wp:extent cx="2458005" cy="1843504"/>
            <wp:effectExtent l="0" t="0" r="0" b="4445"/>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81824" cy="1861369"/>
                    </a:xfrm>
                    <a:prstGeom prst="rect">
                      <a:avLst/>
                    </a:prstGeom>
                  </pic:spPr>
                </pic:pic>
              </a:graphicData>
            </a:graphic>
          </wp:inline>
        </w:drawing>
      </w:r>
    </w:p>
    <w:p w14:paraId="299A1090" w14:textId="15435C79" w:rsidR="00435569" w:rsidRDefault="00435569" w:rsidP="00FA1D8C">
      <w:pPr>
        <w:pStyle w:val="Caption"/>
      </w:pPr>
      <w:r>
        <w:t xml:space="preserve">Figure </w:t>
      </w:r>
      <w:r w:rsidR="00496F19">
        <w:fldChar w:fldCharType="begin"/>
      </w:r>
      <w:r w:rsidR="00496F19">
        <w:instrText xml:space="preserve"> SEQ Figure \* ARABIC </w:instrText>
      </w:r>
      <w:r w:rsidR="00496F19">
        <w:fldChar w:fldCharType="separate"/>
      </w:r>
      <w:r w:rsidR="00C85550">
        <w:rPr>
          <w:noProof/>
        </w:rPr>
        <w:t>7</w:t>
      </w:r>
      <w:r w:rsidR="00496F19">
        <w:rPr>
          <w:noProof/>
        </w:rPr>
        <w:fldChar w:fldCharType="end"/>
      </w:r>
      <w:r w:rsidRPr="00E16A8D">
        <w:t xml:space="preserve"> Heatshield and Backshell Pressure as measured during </w:t>
      </w:r>
      <w:r>
        <w:t>e</w:t>
      </w:r>
      <w:r w:rsidRPr="00E16A8D">
        <w:t>ntry</w:t>
      </w:r>
    </w:p>
    <w:p w14:paraId="2EA4BC6F" w14:textId="00DDAFF7" w:rsidR="00E22AD6" w:rsidRDefault="00E22AD6" w:rsidP="00E22AD6"/>
    <w:p w14:paraId="68DCCA5C" w14:textId="77777777" w:rsidR="00E22AD6" w:rsidRDefault="00E22AD6" w:rsidP="00E22AD6">
      <w:pPr>
        <w:keepNext/>
        <w:jc w:val="center"/>
      </w:pPr>
      <w:r w:rsidRPr="000A06A9">
        <w:rPr>
          <w:noProof/>
        </w:rPr>
        <w:drawing>
          <wp:inline distT="0" distB="0" distL="0" distR="0" wp14:anchorId="4EEB22D3" wp14:editId="6E5B6FAB">
            <wp:extent cx="3060192" cy="2295144"/>
            <wp:effectExtent l="0" t="0" r="6985" b="0"/>
            <wp:docPr id="2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4"/>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60192" cy="2295144"/>
                    </a:xfrm>
                    <a:prstGeom prst="rect">
                      <a:avLst/>
                    </a:prstGeom>
                  </pic:spPr>
                </pic:pic>
              </a:graphicData>
            </a:graphic>
          </wp:inline>
        </w:drawing>
      </w:r>
    </w:p>
    <w:p w14:paraId="53B44EB3" w14:textId="24A82C35" w:rsidR="00E22AD6" w:rsidRDefault="00E22AD6" w:rsidP="00E22AD6">
      <w:pPr>
        <w:pStyle w:val="Caption"/>
      </w:pPr>
      <w:r>
        <w:t xml:space="preserve">Figure </w:t>
      </w:r>
      <w:r w:rsidR="00496F19">
        <w:fldChar w:fldCharType="begin"/>
      </w:r>
      <w:r w:rsidR="00496F19">
        <w:instrText xml:space="preserve"> SEQ Figure \* ARABI</w:instrText>
      </w:r>
      <w:r w:rsidR="00496F19">
        <w:instrText xml:space="preserve">C </w:instrText>
      </w:r>
      <w:r w:rsidR="00496F19">
        <w:fldChar w:fldCharType="separate"/>
      </w:r>
      <w:r w:rsidR="00C85550">
        <w:rPr>
          <w:noProof/>
        </w:rPr>
        <w:t>8</w:t>
      </w:r>
      <w:r w:rsidR="00496F19">
        <w:rPr>
          <w:noProof/>
        </w:rPr>
        <w:fldChar w:fldCharType="end"/>
      </w:r>
      <w:r>
        <w:t xml:space="preserve"> Supersonic Transducers: Pressure Deltas from Stagnation</w:t>
      </w:r>
    </w:p>
    <w:p w14:paraId="761D782C" w14:textId="73AC98CD" w:rsidR="00A6317C" w:rsidRDefault="00A6317C" w:rsidP="00E173F6">
      <w:pPr>
        <w:ind w:firstLine="288"/>
      </w:pPr>
      <w:r>
        <w:t xml:space="preserve">The </w:t>
      </w:r>
      <w:r w:rsidR="00B11FB6">
        <w:t>p</w:t>
      </w:r>
      <w:r w:rsidR="004F4D9A" w:rsidRPr="004F4D9A">
        <w:t xml:space="preserve">ressure transducer magnitudes and relative values </w:t>
      </w:r>
      <w:r w:rsidR="00564371">
        <w:t>were</w:t>
      </w:r>
      <w:r>
        <w:t xml:space="preserve"> </w:t>
      </w:r>
      <w:r w:rsidR="004F4D9A" w:rsidRPr="004F4D9A">
        <w:t>consistent with pre-entry</w:t>
      </w:r>
      <w:r w:rsidR="00564371">
        <w:t xml:space="preserve"> CFD</w:t>
      </w:r>
      <w:r w:rsidR="004F4D9A" w:rsidRPr="004F4D9A">
        <w:t xml:space="preserve"> predictions</w:t>
      </w:r>
      <w:r w:rsidR="00EE2B52">
        <w:t xml:space="preserve">. </w:t>
      </w:r>
      <w:r w:rsidR="00E173F6">
        <w:t>Figure 8 shows the difference between the supersonic pressure transducer (MPH02) and the other supersonic transducers</w:t>
      </w:r>
      <w:r w:rsidR="00EE2B52">
        <w:t xml:space="preserve">. </w:t>
      </w:r>
      <w:r w:rsidR="00E173F6">
        <w:t xml:space="preserve">Each pair of symmetric sensors (MPH03-MPH04 and MPH06-MPH07) </w:t>
      </w:r>
      <w:r w:rsidR="00B11FB6">
        <w:t>recorded similar pressure magnitudes</w:t>
      </w:r>
      <w:r w:rsidR="00E173F6">
        <w:t xml:space="preserve">, and in-phase oscillations </w:t>
      </w:r>
      <w:r w:rsidR="00B11FB6">
        <w:t xml:space="preserve">that corresponded with </w:t>
      </w:r>
      <w:r w:rsidR="00E173F6">
        <w:t>vehicle banking</w:t>
      </w:r>
      <w:r w:rsidR="00B11FB6">
        <w:t xml:space="preserve"> maneuvers</w:t>
      </w:r>
      <w:r w:rsidR="00E173F6">
        <w:t>.</w:t>
      </w:r>
      <w:r w:rsidR="00B11FB6">
        <w:t xml:space="preserve"> </w:t>
      </w:r>
      <w:r>
        <w:t xml:space="preserve">The </w:t>
      </w:r>
      <w:r w:rsidR="00E173F6">
        <w:t xml:space="preserve">more </w:t>
      </w:r>
      <w:r>
        <w:t>windward pair (MPH03</w:t>
      </w:r>
      <w:r w:rsidR="00E173F6">
        <w:t>-</w:t>
      </w:r>
      <w:r>
        <w:t xml:space="preserve">MPH04) </w:t>
      </w:r>
      <w:r w:rsidR="00B11FB6">
        <w:t xml:space="preserve">saw </w:t>
      </w:r>
      <w:r>
        <w:t>higher pressures than the more leeward pair (MPH06</w:t>
      </w:r>
      <w:r w:rsidR="00E173F6">
        <w:t>-</w:t>
      </w:r>
      <w:r>
        <w:t>MPH07) or that of the geometric apex (MPH05)</w:t>
      </w:r>
      <w:r w:rsidR="00EE2B52">
        <w:t xml:space="preserve">. </w:t>
      </w:r>
      <w:r w:rsidR="00E173F6">
        <w:t xml:space="preserve">More detail on </w:t>
      </w:r>
      <w:r w:rsidR="00334B05">
        <w:t xml:space="preserve">treatment of flight pressure data and the resulting </w:t>
      </w:r>
      <w:r>
        <w:t>reconstructed trajectory</w:t>
      </w:r>
      <w:r w:rsidR="00334B05">
        <w:t xml:space="preserve"> and atmosphere</w:t>
      </w:r>
      <w:r w:rsidR="00E173F6">
        <w:t xml:space="preserve"> can be found </w:t>
      </w:r>
      <w:r w:rsidR="00EF028F">
        <w:t>in Reference 3</w:t>
      </w:r>
      <w:r w:rsidR="00E173F6">
        <w:t>.</w:t>
      </w:r>
    </w:p>
    <w:p w14:paraId="2FE23DAB" w14:textId="77777777" w:rsidR="00A6317C" w:rsidRDefault="00A6317C" w:rsidP="00A6317C">
      <w:pPr>
        <w:ind w:firstLine="288"/>
      </w:pPr>
    </w:p>
    <w:p w14:paraId="121ABCB1" w14:textId="614EFF84" w:rsidR="004D4E66" w:rsidRDefault="004D4E66" w:rsidP="004D4E66">
      <w:pPr>
        <w:numPr>
          <w:ilvl w:val="0"/>
          <w:numId w:val="3"/>
        </w:numPr>
        <w:tabs>
          <w:tab w:val="left" w:pos="288"/>
        </w:tabs>
        <w:spacing w:before="240"/>
        <w:outlineLvl w:val="1"/>
        <w:rPr>
          <w:b/>
        </w:rPr>
      </w:pPr>
      <w:r>
        <w:rPr>
          <w:b/>
        </w:rPr>
        <w:t>MISP Forebody Temperature Flight Data</w:t>
      </w:r>
      <w:r w:rsidR="009F50DA">
        <w:rPr>
          <w:b/>
        </w:rPr>
        <w:t xml:space="preserve"> and Observations</w:t>
      </w:r>
    </w:p>
    <w:p w14:paraId="459845A0" w14:textId="53A0E9AF" w:rsidR="003C77F7" w:rsidRDefault="00A76FC6" w:rsidP="003C77F7">
      <w:pPr>
        <w:ind w:firstLine="288"/>
      </w:pPr>
      <w:r>
        <w:t xml:space="preserve">The focus now shifts from pressure measurements to heatshield temperature measurements. </w:t>
      </w:r>
      <w:r w:rsidR="00435569">
        <w:t xml:space="preserve">The heatshield temperature measurements from MISP (MTH01-MTH11) thermocouples are shown in Figure </w:t>
      </w:r>
      <w:r w:rsidR="008A185A">
        <w:t>9</w:t>
      </w:r>
      <w:r w:rsidR="00084623">
        <w:t xml:space="preserve">. </w:t>
      </w:r>
      <w:r w:rsidR="00435569">
        <w:t xml:space="preserve">Thermocouples are labelled as either </w:t>
      </w:r>
      <w:proofErr w:type="gramStart"/>
      <w:r w:rsidR="00435569">
        <w:t>near-surface</w:t>
      </w:r>
      <w:proofErr w:type="gramEnd"/>
      <w:r w:rsidR="00435569">
        <w:t xml:space="preserve"> (</w:t>
      </w:r>
      <w:r w:rsidR="00982E9B">
        <w:t>-</w:t>
      </w:r>
      <w:r w:rsidR="00435569">
        <w:t>1), or in-depth (</w:t>
      </w:r>
      <w:r w:rsidR="00982E9B">
        <w:t>-</w:t>
      </w:r>
      <w:r w:rsidR="00435569">
        <w:t xml:space="preserve">2 and </w:t>
      </w:r>
      <w:r w:rsidR="00982E9B">
        <w:t>-</w:t>
      </w:r>
      <w:r w:rsidR="00435569">
        <w:t>3)</w:t>
      </w:r>
      <w:r w:rsidR="00EE2B52">
        <w:t xml:space="preserve">. </w:t>
      </w:r>
      <w:r w:rsidR="003C77F7">
        <w:t>Three of the</w:t>
      </w:r>
      <w:r w:rsidR="003B076D">
        <w:t xml:space="preserve"> near-surface</w:t>
      </w:r>
      <w:r w:rsidR="003C77F7">
        <w:t xml:space="preserve"> thermocouples in the heatshield MISP plugs were slightly closer to the outer mold line (OML), specifically MTH01-1, MTH02-1, and MTH03-1, </w:t>
      </w:r>
      <w:r w:rsidR="00564371">
        <w:t xml:space="preserve">thus </w:t>
      </w:r>
      <w:r w:rsidR="003C77F7">
        <w:lastRenderedPageBreak/>
        <w:t xml:space="preserve">MTH02-1, and MTH03-1 temperatures </w:t>
      </w:r>
      <w:r w:rsidR="00564371">
        <w:t xml:space="preserve">are higher, and </w:t>
      </w:r>
      <w:r w:rsidR="003C77F7">
        <w:t>out-of-family with the other near-surface</w:t>
      </w:r>
      <w:r w:rsidR="00564371">
        <w:t xml:space="preserve"> (-1)</w:t>
      </w:r>
      <w:r w:rsidR="003C77F7">
        <w:t xml:space="preserve"> temperature measurements in Figure </w:t>
      </w:r>
      <w:r w:rsidR="008A185A">
        <w:t>9</w:t>
      </w:r>
      <w:r w:rsidR="003C77F7">
        <w:t>.</w:t>
      </w:r>
    </w:p>
    <w:p w14:paraId="7AFE699C" w14:textId="1564CB66" w:rsidR="00EA4D09" w:rsidRDefault="00EA4D09" w:rsidP="003C77F7">
      <w:pPr>
        <w:ind w:firstLine="288"/>
      </w:pPr>
    </w:p>
    <w:p w14:paraId="48C70A48" w14:textId="1378A7B0" w:rsidR="00EA4D09" w:rsidRDefault="00547FDE" w:rsidP="00EA4D09">
      <w:pPr>
        <w:jc w:val="center"/>
      </w:pPr>
      <w:r>
        <w:rPr>
          <w:noProof/>
        </w:rPr>
        <w:drawing>
          <wp:inline distT="0" distB="0" distL="0" distR="0" wp14:anchorId="16C5D9D7" wp14:editId="3F42D659">
            <wp:extent cx="2368464" cy="223002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30315" cy="2288260"/>
                    </a:xfrm>
                    <a:prstGeom prst="rect">
                      <a:avLst/>
                    </a:prstGeom>
                    <a:noFill/>
                  </pic:spPr>
                </pic:pic>
              </a:graphicData>
            </a:graphic>
          </wp:inline>
        </w:drawing>
      </w:r>
      <w:r w:rsidR="00EA4D09" w:rsidRPr="000A06A9">
        <w:rPr>
          <w:noProof/>
        </w:rPr>
        <w:drawing>
          <wp:inline distT="0" distB="0" distL="0" distR="0" wp14:anchorId="02EBCA92" wp14:editId="3FCCB974">
            <wp:extent cx="3057896" cy="2293421"/>
            <wp:effectExtent l="0" t="0" r="0" b="0"/>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00192" cy="2325143"/>
                    </a:xfrm>
                    <a:prstGeom prst="rect">
                      <a:avLst/>
                    </a:prstGeom>
                  </pic:spPr>
                </pic:pic>
              </a:graphicData>
            </a:graphic>
          </wp:inline>
        </w:drawing>
      </w:r>
    </w:p>
    <w:p w14:paraId="16E24E8A" w14:textId="7E15E3E5" w:rsidR="00EA4D09" w:rsidRDefault="00EA4D09" w:rsidP="00FA1D8C">
      <w:pPr>
        <w:pStyle w:val="Caption"/>
      </w:pPr>
      <w:r>
        <w:t xml:space="preserve">Figure </w:t>
      </w:r>
      <w:r w:rsidR="00496F19">
        <w:fldChar w:fldCharType="begin"/>
      </w:r>
      <w:r w:rsidR="00496F19">
        <w:instrText xml:space="preserve"> SEQ Figure \* ARABIC </w:instrText>
      </w:r>
      <w:r w:rsidR="00496F19">
        <w:fldChar w:fldCharType="separate"/>
      </w:r>
      <w:r w:rsidR="00C85550">
        <w:rPr>
          <w:noProof/>
        </w:rPr>
        <w:t>9</w:t>
      </w:r>
      <w:r w:rsidR="00496F19">
        <w:rPr>
          <w:noProof/>
        </w:rPr>
        <w:fldChar w:fldCharType="end"/>
      </w:r>
      <w:r>
        <w:t xml:space="preserve"> Heatshield Temperatures measured during entry measured by MISP</w:t>
      </w:r>
    </w:p>
    <w:p w14:paraId="08D6F388" w14:textId="1DE5FBF6" w:rsidR="003C77F7" w:rsidRPr="003C77F7" w:rsidRDefault="00C705BC" w:rsidP="003C77F7">
      <w:pPr>
        <w:ind w:firstLine="288"/>
      </w:pPr>
      <w:r>
        <w:t xml:space="preserve">The heatshield TC signals </w:t>
      </w:r>
      <w:r w:rsidR="00A35AF3">
        <w:t>all had high signal to noise</w:t>
      </w:r>
      <w:r>
        <w:t>, with peak temperatures remaining just under 1000</w:t>
      </w:r>
      <w:r w:rsidR="0032574C" w:rsidRPr="0032574C">
        <w:t>°</w:t>
      </w:r>
      <w:r w:rsidR="0032574C">
        <w:t xml:space="preserve"> </w:t>
      </w:r>
      <w:r>
        <w:t>C</w:t>
      </w:r>
      <w:r w:rsidR="003C77F7">
        <w:t>, and all TCs remained within their measurement ranges, with no burn-out or melting that is characteristic of TPS recession past the TC wiring depth</w:t>
      </w:r>
      <w:r w:rsidR="00EE2B52">
        <w:t xml:space="preserve">. </w:t>
      </w:r>
      <w:r w:rsidR="003C77F7">
        <w:t xml:space="preserve">This indicates there </w:t>
      </w:r>
      <w:r w:rsidR="0065238C">
        <w:t xml:space="preserve">was little to no </w:t>
      </w:r>
      <w:r w:rsidRPr="00C705BC">
        <w:rPr>
          <w:bCs/>
        </w:rPr>
        <w:t xml:space="preserve">recession </w:t>
      </w:r>
      <w:r w:rsidR="0065238C">
        <w:rPr>
          <w:bCs/>
        </w:rPr>
        <w:t>(&lt; 1.9</w:t>
      </w:r>
      <w:r w:rsidR="00A35AF3">
        <w:rPr>
          <w:bCs/>
        </w:rPr>
        <w:t>m</w:t>
      </w:r>
      <w:r w:rsidR="0065238C">
        <w:rPr>
          <w:bCs/>
        </w:rPr>
        <w:t xml:space="preserve">m) </w:t>
      </w:r>
      <w:r w:rsidRPr="00C705BC">
        <w:rPr>
          <w:bCs/>
        </w:rPr>
        <w:t>on the heatshield</w:t>
      </w:r>
      <w:r w:rsidR="00EE2B52">
        <w:rPr>
          <w:bCs/>
        </w:rPr>
        <w:t xml:space="preserve">. </w:t>
      </w:r>
      <w:r w:rsidR="003C77F7">
        <w:t xml:space="preserve">The slope change in </w:t>
      </w:r>
      <w:r w:rsidR="0065238C">
        <w:t xml:space="preserve">nine of the eleven </w:t>
      </w:r>
      <w:r w:rsidR="003C77F7">
        <w:t xml:space="preserve">near-surface thermocouples </w:t>
      </w:r>
      <w:r w:rsidR="0065238C">
        <w:t xml:space="preserve">starting at </w:t>
      </w:r>
      <w:r w:rsidR="003C77F7">
        <w:t xml:space="preserve">70 seconds </w:t>
      </w:r>
      <w:r w:rsidR="00C07544">
        <w:t xml:space="preserve">was </w:t>
      </w:r>
      <w:r w:rsidR="003C77F7">
        <w:t>attributed to transition from laminar to turbulent flow [</w:t>
      </w:r>
      <w:r w:rsidR="000E4DA1">
        <w:t>5</w:t>
      </w:r>
      <w:r w:rsidR="003C77F7">
        <w:t xml:space="preserve">, </w:t>
      </w:r>
      <w:r w:rsidR="000E4DA1">
        <w:t>8</w:t>
      </w:r>
      <w:r w:rsidR="003C77F7">
        <w:t>]</w:t>
      </w:r>
      <w:r w:rsidR="00C07544">
        <w:t>, similar to what MSL/MEDLI observed [</w:t>
      </w:r>
      <w:r w:rsidR="000E4DA1">
        <w:t>1</w:t>
      </w:r>
      <w:r w:rsidR="00C07544">
        <w:t>].</w:t>
      </w:r>
    </w:p>
    <w:p w14:paraId="5902CB8B" w14:textId="60A9108D" w:rsidR="00E57EFF" w:rsidRDefault="00EA4D09" w:rsidP="00A50BFA">
      <w:pPr>
        <w:ind w:firstLine="288"/>
      </w:pPr>
      <w:r>
        <w:t xml:space="preserve">Heating across the heatshield appeared to be </w:t>
      </w:r>
      <w:r w:rsidR="00FA1D8C">
        <w:t>symmetric</w:t>
      </w:r>
      <w:r>
        <w:t xml:space="preserve"> as well</w:t>
      </w:r>
      <w:r w:rsidR="00EE2B52">
        <w:t xml:space="preserve">. </w:t>
      </w:r>
      <w:r>
        <w:t xml:space="preserve">Examining the symmetric MISP </w:t>
      </w:r>
      <w:r w:rsidR="00643083">
        <w:t xml:space="preserve">pairs </w:t>
      </w:r>
      <w:r>
        <w:t>MTH08 and MTH06, as well as MTH07 and MTH10</w:t>
      </w:r>
      <w:r w:rsidR="00643083">
        <w:t>, reveal</w:t>
      </w:r>
      <w:r w:rsidR="00BB3099">
        <w:t>ed</w:t>
      </w:r>
      <w:r w:rsidR="00643083">
        <w:t xml:space="preserve"> the near-surface temperatures </w:t>
      </w:r>
      <w:r w:rsidR="00BB3099">
        <w:t xml:space="preserve">were </w:t>
      </w:r>
      <w:r w:rsidR="00643083">
        <w:t>within 5</w:t>
      </w:r>
      <w:r w:rsidR="0032574C" w:rsidRPr="0032574C">
        <w:t>°</w:t>
      </w:r>
      <w:r w:rsidR="0032574C">
        <w:t xml:space="preserve"> </w:t>
      </w:r>
      <w:r w:rsidR="00643083">
        <w:t xml:space="preserve">C of each other prior to </w:t>
      </w:r>
      <w:proofErr w:type="spellStart"/>
      <w:r w:rsidR="00643083">
        <w:t>flowfield</w:t>
      </w:r>
      <w:proofErr w:type="spellEnd"/>
      <w:r w:rsidR="00643083">
        <w:t xml:space="preserve"> transition, and within 20</w:t>
      </w:r>
      <w:r w:rsidR="00EA3541" w:rsidRPr="00EA3541">
        <w:t>°</w:t>
      </w:r>
      <w:r w:rsidR="00EA3541">
        <w:t xml:space="preserve"> </w:t>
      </w:r>
      <w:r w:rsidR="00643083">
        <w:t>C of each other through the rest of the entry pulse</w:t>
      </w:r>
      <w:r w:rsidR="00EA3541">
        <w:t>, as shown in Figure 10</w:t>
      </w:r>
      <w:r w:rsidR="00A35AF3">
        <w:t>.</w:t>
      </w:r>
    </w:p>
    <w:p w14:paraId="371FA52A" w14:textId="54101ABE" w:rsidR="00EA4D09" w:rsidRDefault="00EA4D09" w:rsidP="00A50BFA">
      <w:pPr>
        <w:ind w:firstLine="288"/>
      </w:pPr>
    </w:p>
    <w:p w14:paraId="7B85ADD5" w14:textId="77777777" w:rsidR="00FA1D8C" w:rsidRDefault="00643083" w:rsidP="00FA1D8C">
      <w:pPr>
        <w:keepNext/>
        <w:ind w:firstLine="288"/>
      </w:pPr>
      <w:r>
        <w:rPr>
          <w:noProof/>
        </w:rPr>
        <w:drawing>
          <wp:inline distT="0" distB="0" distL="0" distR="0" wp14:anchorId="78B107B4" wp14:editId="03B04662">
            <wp:extent cx="2846630" cy="213497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46630" cy="2134972"/>
                    </a:xfrm>
                    <a:prstGeom prst="rect">
                      <a:avLst/>
                    </a:prstGeom>
                  </pic:spPr>
                </pic:pic>
              </a:graphicData>
            </a:graphic>
          </wp:inline>
        </w:drawing>
      </w:r>
      <w:r w:rsidR="00FA1D8C">
        <w:rPr>
          <w:noProof/>
        </w:rPr>
        <w:drawing>
          <wp:inline distT="0" distB="0" distL="0" distR="0" wp14:anchorId="14640AF0" wp14:editId="46E98806">
            <wp:extent cx="2824231" cy="211817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24231" cy="2118173"/>
                    </a:xfrm>
                    <a:prstGeom prst="rect">
                      <a:avLst/>
                    </a:prstGeom>
                  </pic:spPr>
                </pic:pic>
              </a:graphicData>
            </a:graphic>
          </wp:inline>
        </w:drawing>
      </w:r>
    </w:p>
    <w:p w14:paraId="08DEC6BD" w14:textId="4446D092" w:rsidR="00EA4D09" w:rsidRPr="00FA1D8C" w:rsidRDefault="00FA1D8C" w:rsidP="00FA1D8C">
      <w:pPr>
        <w:pStyle w:val="Caption"/>
      </w:pPr>
      <w:r w:rsidRPr="00FA1D8C">
        <w:t xml:space="preserve">Figure </w:t>
      </w:r>
      <w:r w:rsidR="00496F19">
        <w:fldChar w:fldCharType="begin"/>
      </w:r>
      <w:r w:rsidR="00496F19">
        <w:instrText xml:space="preserve"> SEQ Figure \* ARABIC </w:instrText>
      </w:r>
      <w:r w:rsidR="00496F19">
        <w:fldChar w:fldCharType="separate"/>
      </w:r>
      <w:r w:rsidR="00C85550">
        <w:rPr>
          <w:noProof/>
        </w:rPr>
        <w:t>10</w:t>
      </w:r>
      <w:r w:rsidR="00496F19">
        <w:rPr>
          <w:noProof/>
        </w:rPr>
        <w:fldChar w:fldCharType="end"/>
      </w:r>
      <w:r w:rsidRPr="00FA1D8C">
        <w:t xml:space="preserve"> Comparison of </w:t>
      </w:r>
      <w:r>
        <w:t xml:space="preserve">near-surface temperature in </w:t>
      </w:r>
      <w:r w:rsidRPr="00FA1D8C">
        <w:t xml:space="preserve">symmetric heatshield </w:t>
      </w:r>
      <w:r>
        <w:t>TCs</w:t>
      </w:r>
    </w:p>
    <w:p w14:paraId="2F654B5C" w14:textId="2C0AFEE0" w:rsidR="00E57EFF" w:rsidRDefault="00E57EFF" w:rsidP="004D4E66">
      <w:pPr>
        <w:tabs>
          <w:tab w:val="left" w:pos="288"/>
        </w:tabs>
        <w:spacing w:before="240"/>
        <w:outlineLvl w:val="1"/>
        <w:rPr>
          <w:bCs/>
        </w:rPr>
      </w:pPr>
      <w:r>
        <w:rPr>
          <w:bCs/>
        </w:rPr>
        <w:tab/>
        <w:t xml:space="preserve">The follow-on detailed interpretation </w:t>
      </w:r>
      <w:r w:rsidR="0065238C">
        <w:rPr>
          <w:bCs/>
        </w:rPr>
        <w:t xml:space="preserve">of flight data </w:t>
      </w:r>
      <w:r>
        <w:rPr>
          <w:bCs/>
        </w:rPr>
        <w:t xml:space="preserve">and model comparison </w:t>
      </w:r>
      <w:r w:rsidR="0065238C">
        <w:rPr>
          <w:bCs/>
        </w:rPr>
        <w:t xml:space="preserve">for </w:t>
      </w:r>
      <w:r>
        <w:rPr>
          <w:bCs/>
        </w:rPr>
        <w:t>the heatshield TC data is described in</w:t>
      </w:r>
      <w:r w:rsidR="0065238C">
        <w:rPr>
          <w:bCs/>
        </w:rPr>
        <w:t xml:space="preserve"> </w:t>
      </w:r>
      <w:r>
        <w:rPr>
          <w:bCs/>
        </w:rPr>
        <w:t xml:space="preserve">greater detail </w:t>
      </w:r>
      <w:r w:rsidR="00C56BB8">
        <w:rPr>
          <w:bCs/>
        </w:rPr>
        <w:t>by</w:t>
      </w:r>
      <w:r>
        <w:rPr>
          <w:bCs/>
        </w:rPr>
        <w:t xml:space="preserve"> </w:t>
      </w:r>
      <w:r w:rsidR="00C56BB8">
        <w:rPr>
          <w:bCs/>
        </w:rPr>
        <w:t xml:space="preserve">Monk </w:t>
      </w:r>
      <w:r>
        <w:rPr>
          <w:bCs/>
        </w:rPr>
        <w:t>[</w:t>
      </w:r>
      <w:r w:rsidR="00C56BB8">
        <w:rPr>
          <w:bCs/>
        </w:rPr>
        <w:t>7</w:t>
      </w:r>
      <w:r>
        <w:rPr>
          <w:bCs/>
        </w:rPr>
        <w:t>]</w:t>
      </w:r>
      <w:r w:rsidR="0065238C">
        <w:rPr>
          <w:bCs/>
        </w:rPr>
        <w:t xml:space="preserve">, </w:t>
      </w:r>
      <w:r w:rsidR="00C56BB8">
        <w:rPr>
          <w:bCs/>
        </w:rPr>
        <w:t xml:space="preserve">Alpert </w:t>
      </w:r>
      <w:r>
        <w:rPr>
          <w:bCs/>
        </w:rPr>
        <w:t>[</w:t>
      </w:r>
      <w:r w:rsidR="00C56BB8">
        <w:rPr>
          <w:bCs/>
        </w:rPr>
        <w:t>8</w:t>
      </w:r>
      <w:r>
        <w:rPr>
          <w:bCs/>
        </w:rPr>
        <w:t>]</w:t>
      </w:r>
      <w:r w:rsidR="0065238C">
        <w:rPr>
          <w:bCs/>
        </w:rPr>
        <w:t xml:space="preserve">, </w:t>
      </w:r>
      <w:r w:rsidR="00C56BB8">
        <w:rPr>
          <w:bCs/>
        </w:rPr>
        <w:t xml:space="preserve">Tang </w:t>
      </w:r>
      <w:r w:rsidR="0065238C">
        <w:rPr>
          <w:bCs/>
        </w:rPr>
        <w:t>[</w:t>
      </w:r>
      <w:r w:rsidR="00C56BB8">
        <w:rPr>
          <w:bCs/>
        </w:rPr>
        <w:t>5</w:t>
      </w:r>
      <w:r w:rsidR="0065238C">
        <w:rPr>
          <w:bCs/>
        </w:rPr>
        <w:t xml:space="preserve">], and </w:t>
      </w:r>
      <w:r w:rsidR="00C56BB8">
        <w:rPr>
          <w:bCs/>
        </w:rPr>
        <w:t xml:space="preserve">Edquist </w:t>
      </w:r>
      <w:r w:rsidR="0065238C">
        <w:rPr>
          <w:bCs/>
        </w:rPr>
        <w:t>[</w:t>
      </w:r>
      <w:r w:rsidR="00C56BB8">
        <w:rPr>
          <w:bCs/>
        </w:rPr>
        <w:t>4</w:t>
      </w:r>
      <w:r w:rsidR="0065238C">
        <w:rPr>
          <w:bCs/>
        </w:rPr>
        <w:t>]</w:t>
      </w:r>
      <w:r w:rsidR="00EE2B52">
        <w:rPr>
          <w:bCs/>
        </w:rPr>
        <w:t xml:space="preserve">. </w:t>
      </w:r>
      <w:r w:rsidR="0065238C">
        <w:rPr>
          <w:bCs/>
        </w:rPr>
        <w:t>This paper will address some of the important aspects of that work here</w:t>
      </w:r>
      <w:r w:rsidR="00EA3541">
        <w:rPr>
          <w:bCs/>
        </w:rPr>
        <w:t xml:space="preserve">, in particular the results of two different </w:t>
      </w:r>
      <w:r>
        <w:rPr>
          <w:bCs/>
        </w:rPr>
        <w:t xml:space="preserve">approaches for interpreting and using </w:t>
      </w:r>
      <w:r w:rsidR="00EA3541">
        <w:rPr>
          <w:bCs/>
        </w:rPr>
        <w:t xml:space="preserve">TPS </w:t>
      </w:r>
      <w:r w:rsidR="0065238C">
        <w:rPr>
          <w:bCs/>
        </w:rPr>
        <w:t xml:space="preserve">temperature </w:t>
      </w:r>
      <w:r w:rsidR="00EA3541">
        <w:rPr>
          <w:bCs/>
        </w:rPr>
        <w:t>measurements</w:t>
      </w:r>
      <w:r>
        <w:rPr>
          <w:bCs/>
        </w:rPr>
        <w:t>.</w:t>
      </w:r>
    </w:p>
    <w:p w14:paraId="07AAB1F6" w14:textId="5B1103C3" w:rsidR="00871B1E" w:rsidRDefault="00E57EFF" w:rsidP="003F173A">
      <w:pPr>
        <w:tabs>
          <w:tab w:val="left" w:pos="288"/>
        </w:tabs>
        <w:spacing w:before="240"/>
        <w:outlineLvl w:val="1"/>
        <w:rPr>
          <w:bCs/>
        </w:rPr>
      </w:pPr>
      <w:r>
        <w:rPr>
          <w:bCs/>
        </w:rPr>
        <w:tab/>
        <w:t xml:space="preserve">The first </w:t>
      </w:r>
      <w:r w:rsidR="00B24EAF">
        <w:rPr>
          <w:bCs/>
        </w:rPr>
        <w:t xml:space="preserve">approach </w:t>
      </w:r>
      <w:r w:rsidR="00BB3099">
        <w:rPr>
          <w:bCs/>
        </w:rPr>
        <w:t>was</w:t>
      </w:r>
      <w:r>
        <w:rPr>
          <w:bCs/>
        </w:rPr>
        <w:t xml:space="preserve"> </w:t>
      </w:r>
      <w:r>
        <w:rPr>
          <w:bCs/>
          <w:i/>
          <w:iCs/>
        </w:rPr>
        <w:t>direct analysis</w:t>
      </w:r>
      <w:r>
        <w:rPr>
          <w:bCs/>
        </w:rPr>
        <w:t>, wherein the</w:t>
      </w:r>
      <w:r w:rsidR="00596A21">
        <w:rPr>
          <w:bCs/>
        </w:rPr>
        <w:t xml:space="preserve"> flight </w:t>
      </w:r>
      <w:r>
        <w:rPr>
          <w:bCs/>
        </w:rPr>
        <w:t xml:space="preserve">temperatures </w:t>
      </w:r>
      <w:r w:rsidR="00BB3099">
        <w:rPr>
          <w:bCs/>
        </w:rPr>
        <w:t>were</w:t>
      </w:r>
      <w:r>
        <w:rPr>
          <w:bCs/>
        </w:rPr>
        <w:t xml:space="preserve"> directly compared to predicted temperatures, typically from 1-D ablator model</w:t>
      </w:r>
      <w:r w:rsidR="00EE2B52">
        <w:rPr>
          <w:bCs/>
        </w:rPr>
        <w:t xml:space="preserve">. </w:t>
      </w:r>
      <w:r>
        <w:rPr>
          <w:bCs/>
        </w:rPr>
        <w:t xml:space="preserve">For direct analysis, the simulation boundary conditions </w:t>
      </w:r>
      <w:r w:rsidR="00BB3099">
        <w:rPr>
          <w:bCs/>
        </w:rPr>
        <w:t xml:space="preserve">can come from </w:t>
      </w:r>
      <w:r>
        <w:rPr>
          <w:bCs/>
        </w:rPr>
        <w:t>either from computational fluid dynamics [</w:t>
      </w:r>
      <w:r w:rsidR="00C56BB8">
        <w:rPr>
          <w:bCs/>
        </w:rPr>
        <w:t>4, 5</w:t>
      </w:r>
      <w:r>
        <w:rPr>
          <w:bCs/>
        </w:rPr>
        <w:t>], or they may be from the actual flight data itself, a so-called “TC driver” analysis</w:t>
      </w:r>
      <w:r w:rsidR="00EE2B52">
        <w:rPr>
          <w:bCs/>
        </w:rPr>
        <w:t xml:space="preserve">. </w:t>
      </w:r>
      <w:r>
        <w:rPr>
          <w:bCs/>
        </w:rPr>
        <w:t>For this direct analysis, an ablator model is required</w:t>
      </w:r>
      <w:r w:rsidR="000E4DA1">
        <w:rPr>
          <w:bCs/>
        </w:rPr>
        <w:t xml:space="preserve"> [7] and </w:t>
      </w:r>
      <w:r>
        <w:rPr>
          <w:bCs/>
        </w:rPr>
        <w:t xml:space="preserve">the MEDLI2 project invested in pre-flight </w:t>
      </w:r>
      <w:r w:rsidR="00BB3099">
        <w:rPr>
          <w:bCs/>
        </w:rPr>
        <w:t xml:space="preserve">experimental </w:t>
      </w:r>
      <w:r>
        <w:rPr>
          <w:bCs/>
        </w:rPr>
        <w:t xml:space="preserve">characterizations of the specific </w:t>
      </w:r>
      <w:r w:rsidR="00BB3099">
        <w:rPr>
          <w:bCs/>
        </w:rPr>
        <w:t xml:space="preserve">plug </w:t>
      </w:r>
      <w:r>
        <w:rPr>
          <w:bCs/>
        </w:rPr>
        <w:t>TPS</w:t>
      </w:r>
      <w:r w:rsidR="00BB3099">
        <w:rPr>
          <w:bCs/>
        </w:rPr>
        <w:t xml:space="preserve">. </w:t>
      </w:r>
      <w:r w:rsidR="0055797E">
        <w:rPr>
          <w:bCs/>
        </w:rPr>
        <w:t xml:space="preserve">The </w:t>
      </w:r>
      <w:r>
        <w:rPr>
          <w:bCs/>
        </w:rPr>
        <w:t xml:space="preserve">MEDLI2 </w:t>
      </w:r>
      <w:r w:rsidR="0055797E">
        <w:rPr>
          <w:bCs/>
        </w:rPr>
        <w:t xml:space="preserve">team </w:t>
      </w:r>
      <w:r>
        <w:rPr>
          <w:bCs/>
        </w:rPr>
        <w:t xml:space="preserve">then used these characterizations to </w:t>
      </w:r>
      <w:r>
        <w:rPr>
          <w:bCs/>
        </w:rPr>
        <w:lastRenderedPageBreak/>
        <w:t>refine the ablator models</w:t>
      </w:r>
      <w:r w:rsidR="00EA3541">
        <w:rPr>
          <w:bCs/>
        </w:rPr>
        <w:t xml:space="preserve">, starting from the model used </w:t>
      </w:r>
      <w:r>
        <w:rPr>
          <w:bCs/>
        </w:rPr>
        <w:t xml:space="preserve">for TPS </w:t>
      </w:r>
      <w:r w:rsidR="00EA3541">
        <w:rPr>
          <w:bCs/>
        </w:rPr>
        <w:t xml:space="preserve">sizing and design </w:t>
      </w:r>
      <w:r>
        <w:rPr>
          <w:bCs/>
        </w:rPr>
        <w:t>by the Mars 2020 project</w:t>
      </w:r>
      <w:r w:rsidR="00EE2B52">
        <w:rPr>
          <w:bCs/>
        </w:rPr>
        <w:t xml:space="preserve">. </w:t>
      </w:r>
      <w:r w:rsidR="00EA3541">
        <w:rPr>
          <w:bCs/>
        </w:rPr>
        <w:t xml:space="preserve">This refined model </w:t>
      </w:r>
      <w:r w:rsidR="000225B7">
        <w:rPr>
          <w:bCs/>
        </w:rPr>
        <w:t xml:space="preserve">was </w:t>
      </w:r>
      <w:r w:rsidR="00BB3099">
        <w:rPr>
          <w:bCs/>
        </w:rPr>
        <w:t>necessary</w:t>
      </w:r>
      <w:r w:rsidR="000225B7">
        <w:rPr>
          <w:bCs/>
        </w:rPr>
        <w:t xml:space="preserve">, </w:t>
      </w:r>
      <w:r w:rsidR="00EA3541">
        <w:rPr>
          <w:bCs/>
        </w:rPr>
        <w:t xml:space="preserve">because </w:t>
      </w:r>
      <w:r w:rsidR="00BB3099">
        <w:rPr>
          <w:bCs/>
        </w:rPr>
        <w:t xml:space="preserve">while </w:t>
      </w:r>
      <w:r w:rsidR="008B21BF">
        <w:rPr>
          <w:bCs/>
        </w:rPr>
        <w:t xml:space="preserve">MEDLI2 TPS plug </w:t>
      </w:r>
      <w:r w:rsidR="00BB3099">
        <w:rPr>
          <w:bCs/>
        </w:rPr>
        <w:t xml:space="preserve">materials were </w:t>
      </w:r>
      <w:r w:rsidR="00EA3541">
        <w:rPr>
          <w:bCs/>
        </w:rPr>
        <w:t xml:space="preserve">within the </w:t>
      </w:r>
      <w:r w:rsidR="00BB3099">
        <w:rPr>
          <w:bCs/>
        </w:rPr>
        <w:t xml:space="preserve">performance </w:t>
      </w:r>
      <w:r w:rsidR="00EA3541">
        <w:rPr>
          <w:bCs/>
        </w:rPr>
        <w:t xml:space="preserve">specification for PICA, </w:t>
      </w:r>
      <w:r w:rsidR="00BB3099">
        <w:rPr>
          <w:bCs/>
        </w:rPr>
        <w:t xml:space="preserve">they were </w:t>
      </w:r>
      <w:r w:rsidR="008B21BF">
        <w:rPr>
          <w:bCs/>
        </w:rPr>
        <w:t xml:space="preserve">different enough </w:t>
      </w:r>
      <w:r w:rsidR="00BB3099">
        <w:rPr>
          <w:bCs/>
        </w:rPr>
        <w:t xml:space="preserve">that using the standard design model would </w:t>
      </w:r>
      <w:r w:rsidR="00EA3541" w:rsidRPr="00EA3541">
        <w:rPr>
          <w:bCs/>
        </w:rPr>
        <w:t xml:space="preserve">lead </w:t>
      </w:r>
      <w:r w:rsidR="00BB3099">
        <w:rPr>
          <w:bCs/>
        </w:rPr>
        <w:t xml:space="preserve">to additional </w:t>
      </w:r>
      <w:r w:rsidR="00EA3541" w:rsidRPr="00EA3541">
        <w:rPr>
          <w:bCs/>
        </w:rPr>
        <w:t>errors</w:t>
      </w:r>
      <w:r w:rsidR="00EE2B52">
        <w:rPr>
          <w:bCs/>
        </w:rPr>
        <w:t xml:space="preserve">. </w:t>
      </w:r>
      <w:r w:rsidR="005B228A" w:rsidRPr="00EA3541">
        <w:rPr>
          <w:bCs/>
        </w:rPr>
        <w:t>Specifically, the design ablator model</w:t>
      </w:r>
      <w:r w:rsidR="00113002" w:rsidRPr="00EA3541">
        <w:rPr>
          <w:bCs/>
        </w:rPr>
        <w:t xml:space="preserve"> </w:t>
      </w:r>
      <w:r w:rsidR="005B228A" w:rsidRPr="00EA3541">
        <w:rPr>
          <w:bCs/>
        </w:rPr>
        <w:t xml:space="preserve">for PICA </w:t>
      </w:r>
      <w:r w:rsidR="00EA3541" w:rsidRPr="00EA3541">
        <w:rPr>
          <w:bCs/>
        </w:rPr>
        <w:t xml:space="preserve">included </w:t>
      </w:r>
      <w:r w:rsidR="005B228A" w:rsidRPr="00EA3541">
        <w:rPr>
          <w:bCs/>
        </w:rPr>
        <w:t>higher virgin and char conductivity</w:t>
      </w:r>
      <w:r w:rsidR="00EA3541" w:rsidRPr="00EA3541">
        <w:rPr>
          <w:bCs/>
        </w:rPr>
        <w:t xml:space="preserve"> than the </w:t>
      </w:r>
      <w:r w:rsidR="005B228A" w:rsidRPr="00EA3541">
        <w:rPr>
          <w:bCs/>
        </w:rPr>
        <w:t>MEDLI2 measure</w:t>
      </w:r>
      <w:r w:rsidR="00EA3541" w:rsidRPr="00EA3541">
        <w:rPr>
          <w:bCs/>
        </w:rPr>
        <w:t>ments</w:t>
      </w:r>
      <w:r w:rsidR="00EA3541">
        <w:rPr>
          <w:bCs/>
        </w:rPr>
        <w:t xml:space="preserve"> on witness coupons</w:t>
      </w:r>
      <w:r w:rsidR="00EE2B52">
        <w:rPr>
          <w:bCs/>
        </w:rPr>
        <w:t xml:space="preserve">. </w:t>
      </w:r>
      <w:r w:rsidR="005B228A">
        <w:rPr>
          <w:bCs/>
        </w:rPr>
        <w:t xml:space="preserve">To validate the MEDLI2 models, the team made numerous comparisons with </w:t>
      </w:r>
      <w:r w:rsidR="00BB3099">
        <w:rPr>
          <w:bCs/>
        </w:rPr>
        <w:t>a</w:t>
      </w:r>
      <w:r w:rsidR="005B228A" w:rsidRPr="005B228A">
        <w:rPr>
          <w:bCs/>
        </w:rPr>
        <w:t xml:space="preserve">rc jet </w:t>
      </w:r>
      <w:r w:rsidR="005B228A">
        <w:rPr>
          <w:bCs/>
        </w:rPr>
        <w:t>test TC measurements, where the refined MEDLI2 ablator models were compared to the TC measurements</w:t>
      </w:r>
      <w:r w:rsidR="00EE2B52">
        <w:rPr>
          <w:bCs/>
        </w:rPr>
        <w:t xml:space="preserve">. </w:t>
      </w:r>
      <w:r w:rsidR="005B228A">
        <w:rPr>
          <w:bCs/>
        </w:rPr>
        <w:t xml:space="preserve">The MEDLI2 refined ablator models improved </w:t>
      </w:r>
      <w:r w:rsidR="005B228A" w:rsidRPr="005B228A">
        <w:rPr>
          <w:bCs/>
        </w:rPr>
        <w:t>agreement</w:t>
      </w:r>
      <w:r w:rsidR="005B228A">
        <w:rPr>
          <w:bCs/>
        </w:rPr>
        <w:t xml:space="preserve">, particularly when performing “TC driver” analysis across </w:t>
      </w:r>
      <w:r w:rsidR="005B228A" w:rsidRPr="005B228A">
        <w:rPr>
          <w:bCs/>
        </w:rPr>
        <w:t>multiple TCs (</w:t>
      </w:r>
      <w:r w:rsidR="005B228A">
        <w:rPr>
          <w:bCs/>
        </w:rPr>
        <w:t>e.g. top, or TC</w:t>
      </w:r>
      <w:r w:rsidR="005B228A" w:rsidRPr="005B228A">
        <w:rPr>
          <w:bCs/>
        </w:rPr>
        <w:t xml:space="preserve">1 </w:t>
      </w:r>
      <w:r w:rsidR="005B228A">
        <w:rPr>
          <w:bCs/>
        </w:rPr>
        <w:t>driving bottom, or TC</w:t>
      </w:r>
      <w:r w:rsidR="005B228A" w:rsidRPr="005B228A">
        <w:rPr>
          <w:bCs/>
        </w:rPr>
        <w:t>3) for all rounds of arc jet testing</w:t>
      </w:r>
      <w:r w:rsidR="00EE2B52">
        <w:rPr>
          <w:bCs/>
        </w:rPr>
        <w:t xml:space="preserve">. </w:t>
      </w:r>
      <w:r w:rsidR="00BB3099">
        <w:rPr>
          <w:bCs/>
        </w:rPr>
        <w:t>U</w:t>
      </w:r>
      <w:r w:rsidR="005B228A" w:rsidRPr="005B228A">
        <w:rPr>
          <w:bCs/>
        </w:rPr>
        <w:t>sing the MEDLI2 specific model significantly reduce</w:t>
      </w:r>
      <w:r w:rsidR="00BB3099">
        <w:rPr>
          <w:bCs/>
        </w:rPr>
        <w:t>d</w:t>
      </w:r>
      <w:r w:rsidR="005B228A" w:rsidRPr="005B228A">
        <w:rPr>
          <w:bCs/>
        </w:rPr>
        <w:t xml:space="preserve"> the over-prediction of in-d</w:t>
      </w:r>
      <w:r w:rsidR="005B228A">
        <w:rPr>
          <w:bCs/>
        </w:rPr>
        <w:t>e</w:t>
      </w:r>
      <w:r w:rsidR="005B228A" w:rsidRPr="005B228A">
        <w:rPr>
          <w:bCs/>
        </w:rPr>
        <w:t>p</w:t>
      </w:r>
      <w:r w:rsidR="005B228A">
        <w:rPr>
          <w:bCs/>
        </w:rPr>
        <w:t>t</w:t>
      </w:r>
      <w:r w:rsidR="005B228A" w:rsidRPr="005B228A">
        <w:rPr>
          <w:bCs/>
        </w:rPr>
        <w:t>h tempe</w:t>
      </w:r>
      <w:r w:rsidR="005B228A">
        <w:rPr>
          <w:bCs/>
        </w:rPr>
        <w:t>r</w:t>
      </w:r>
      <w:r w:rsidR="005B228A" w:rsidRPr="005B228A">
        <w:rPr>
          <w:bCs/>
        </w:rPr>
        <w:t>atures from TC1 to TC3, by as much as 45</w:t>
      </w:r>
      <w:r w:rsidR="00EA3541">
        <w:rPr>
          <w:rFonts w:ascii="Arial" w:hAnsi="Arial" w:cs="Arial"/>
          <w:color w:val="4D5156"/>
          <w:sz w:val="21"/>
          <w:szCs w:val="21"/>
          <w:shd w:val="clear" w:color="auto" w:fill="FFFFFF"/>
        </w:rPr>
        <w:t xml:space="preserve">° </w:t>
      </w:r>
      <w:r w:rsidR="00BB3099">
        <w:rPr>
          <w:bCs/>
        </w:rPr>
        <w:t>C [7].</w:t>
      </w:r>
    </w:p>
    <w:p w14:paraId="491A93B5" w14:textId="000F3713" w:rsidR="00811E92" w:rsidRDefault="00871B1E" w:rsidP="003F173A">
      <w:pPr>
        <w:tabs>
          <w:tab w:val="left" w:pos="288"/>
        </w:tabs>
        <w:spacing w:before="240"/>
        <w:outlineLvl w:val="1"/>
        <w:rPr>
          <w:bCs/>
        </w:rPr>
      </w:pPr>
      <w:r>
        <w:rPr>
          <w:bCs/>
        </w:rPr>
        <w:tab/>
      </w:r>
      <w:r w:rsidR="00B24EAF">
        <w:rPr>
          <w:bCs/>
        </w:rPr>
        <w:t xml:space="preserve">The second approach for interpreting the internal TC measurements of TPS temperature </w:t>
      </w:r>
      <w:r w:rsidR="00BB3099">
        <w:rPr>
          <w:bCs/>
        </w:rPr>
        <w:t>was</w:t>
      </w:r>
      <w:r w:rsidR="00B24EAF">
        <w:rPr>
          <w:bCs/>
        </w:rPr>
        <w:t xml:space="preserve"> </w:t>
      </w:r>
      <w:r w:rsidR="00B24EAF">
        <w:rPr>
          <w:bCs/>
          <w:i/>
          <w:iCs/>
        </w:rPr>
        <w:t xml:space="preserve">inverse </w:t>
      </w:r>
      <w:r w:rsidR="0065238C">
        <w:rPr>
          <w:bCs/>
          <w:i/>
          <w:iCs/>
        </w:rPr>
        <w:t>estimation</w:t>
      </w:r>
      <w:r w:rsidR="00C705BC">
        <w:rPr>
          <w:bCs/>
        </w:rPr>
        <w:t>, [</w:t>
      </w:r>
      <w:r w:rsidR="00C56BB8">
        <w:rPr>
          <w:bCs/>
        </w:rPr>
        <w:t xml:space="preserve">8, </w:t>
      </w:r>
      <w:r w:rsidR="000E4DA1">
        <w:rPr>
          <w:bCs/>
        </w:rPr>
        <w:t>11</w:t>
      </w:r>
      <w:r w:rsidR="00EA3541">
        <w:rPr>
          <w:bCs/>
        </w:rPr>
        <w:t>]</w:t>
      </w:r>
      <w:r w:rsidR="00EE2B52">
        <w:rPr>
          <w:bCs/>
        </w:rPr>
        <w:t xml:space="preserve">. </w:t>
      </w:r>
      <w:r w:rsidR="00C705BC">
        <w:rPr>
          <w:bCs/>
        </w:rPr>
        <w:t xml:space="preserve">Here, instead of comparing </w:t>
      </w:r>
      <w:r w:rsidR="0055797E">
        <w:rPr>
          <w:bCs/>
        </w:rPr>
        <w:t xml:space="preserve">measured and predicted internal </w:t>
      </w:r>
      <w:r w:rsidR="00C705BC">
        <w:rPr>
          <w:bCs/>
        </w:rPr>
        <w:t xml:space="preserve">temperatures, the temperature history at one location (just below the surface) </w:t>
      </w:r>
      <w:r w:rsidR="00BB3099">
        <w:rPr>
          <w:bCs/>
        </w:rPr>
        <w:t>was</w:t>
      </w:r>
      <w:r w:rsidR="00113002">
        <w:rPr>
          <w:bCs/>
        </w:rPr>
        <w:t xml:space="preserve"> </w:t>
      </w:r>
      <w:r w:rsidR="00C705BC">
        <w:rPr>
          <w:bCs/>
        </w:rPr>
        <w:t xml:space="preserve">used to estimate the heating and temperature history </w:t>
      </w:r>
      <w:r w:rsidR="00C705BC">
        <w:rPr>
          <w:bCs/>
          <w:i/>
          <w:iCs/>
        </w:rPr>
        <w:t>at the surface</w:t>
      </w:r>
      <w:r w:rsidR="00EE2B52">
        <w:rPr>
          <w:bCs/>
          <w:i/>
          <w:iCs/>
        </w:rPr>
        <w:t xml:space="preserve">. </w:t>
      </w:r>
      <w:r w:rsidR="00B24EAF" w:rsidRPr="00C705BC">
        <w:rPr>
          <w:bCs/>
        </w:rPr>
        <w:t>Much</w:t>
      </w:r>
      <w:r w:rsidR="00B24EAF">
        <w:rPr>
          <w:bCs/>
        </w:rPr>
        <w:t xml:space="preserve"> like the direct analysis described previously, inverse </w:t>
      </w:r>
      <w:r w:rsidR="0065238C">
        <w:rPr>
          <w:bCs/>
        </w:rPr>
        <w:t>estimation</w:t>
      </w:r>
      <w:r w:rsidR="00B24EAF">
        <w:rPr>
          <w:bCs/>
        </w:rPr>
        <w:t xml:space="preserve"> also require</w:t>
      </w:r>
      <w:r w:rsidR="00BB3099">
        <w:rPr>
          <w:bCs/>
        </w:rPr>
        <w:t>d</w:t>
      </w:r>
      <w:r w:rsidR="00B24EAF">
        <w:rPr>
          <w:bCs/>
        </w:rPr>
        <w:t xml:space="preserve"> an ablator response model</w:t>
      </w:r>
      <w:r w:rsidR="00EE2B52">
        <w:rPr>
          <w:bCs/>
        </w:rPr>
        <w:t xml:space="preserve">. </w:t>
      </w:r>
      <w:r w:rsidR="0055797E">
        <w:rPr>
          <w:bCs/>
        </w:rPr>
        <w:t>This analysis</w:t>
      </w:r>
      <w:r w:rsidR="00C705BC">
        <w:rPr>
          <w:bCs/>
        </w:rPr>
        <w:t xml:space="preserve"> relied on the refined response model developed for direct analysis, as well as the uncertainties in the main parameters of this model</w:t>
      </w:r>
      <w:r w:rsidR="00EE2B52">
        <w:rPr>
          <w:bCs/>
        </w:rPr>
        <w:t xml:space="preserve">. </w:t>
      </w:r>
      <w:r w:rsidR="00C705BC">
        <w:rPr>
          <w:bCs/>
        </w:rPr>
        <w:t>For MEDLI2, the ablator experimental characterizations and their uncertainties allowed uncertainties to be defined around important parameters</w:t>
      </w:r>
      <w:r w:rsidR="00BB3099">
        <w:rPr>
          <w:bCs/>
        </w:rPr>
        <w:t xml:space="preserve"> such as density </w:t>
      </w:r>
      <w:r w:rsidR="00C705BC">
        <w:rPr>
          <w:bCs/>
        </w:rPr>
        <w:t xml:space="preserve">and thermal </w:t>
      </w:r>
      <w:r w:rsidR="00C705BC" w:rsidRPr="00C705BC">
        <w:rPr>
          <w:bCs/>
        </w:rPr>
        <w:t>conductivity</w:t>
      </w:r>
      <w:r w:rsidR="00811E92">
        <w:rPr>
          <w:bCs/>
        </w:rPr>
        <w:t>.</w:t>
      </w:r>
    </w:p>
    <w:p w14:paraId="5D92B297" w14:textId="7E69348C" w:rsidR="00434611" w:rsidRDefault="00434611" w:rsidP="003F173A">
      <w:pPr>
        <w:tabs>
          <w:tab w:val="left" w:pos="288"/>
        </w:tabs>
        <w:spacing w:before="240"/>
        <w:outlineLvl w:val="1"/>
        <w:rPr>
          <w:bCs/>
        </w:rPr>
      </w:pPr>
      <w:r>
        <w:rPr>
          <w:bCs/>
        </w:rPr>
        <w:tab/>
        <w:t xml:space="preserve">One major difficulty in the MEDLI2 direct and inverse analysis </w:t>
      </w:r>
      <w:r w:rsidR="00770507">
        <w:rPr>
          <w:bCs/>
        </w:rPr>
        <w:t xml:space="preserve">was </w:t>
      </w:r>
      <w:r>
        <w:rPr>
          <w:bCs/>
        </w:rPr>
        <w:t xml:space="preserve">the thin layer of </w:t>
      </w:r>
      <w:proofErr w:type="spellStart"/>
      <w:r>
        <w:rPr>
          <w:bCs/>
        </w:rPr>
        <w:t>NuSil</w:t>
      </w:r>
      <w:proofErr w:type="spellEnd"/>
      <w:r>
        <w:rPr>
          <w:bCs/>
        </w:rPr>
        <w:t xml:space="preserve"> coating on top of each of the heatshield MISP plugs</w:t>
      </w:r>
      <w:r w:rsidR="00EE2B52">
        <w:rPr>
          <w:bCs/>
        </w:rPr>
        <w:t xml:space="preserve">. </w:t>
      </w:r>
      <w:r>
        <w:rPr>
          <w:bCs/>
        </w:rPr>
        <w:t>As of late 2021</w:t>
      </w:r>
      <w:r w:rsidR="00770507">
        <w:rPr>
          <w:bCs/>
        </w:rPr>
        <w:t xml:space="preserve">, </w:t>
      </w:r>
      <w:r>
        <w:rPr>
          <w:bCs/>
        </w:rPr>
        <w:t>a validated model is</w:t>
      </w:r>
      <w:r w:rsidR="00770507">
        <w:rPr>
          <w:bCs/>
        </w:rPr>
        <w:t xml:space="preserve"> in development, but is not sufficiently mature for inclusion in flight analysis</w:t>
      </w:r>
      <w:r w:rsidR="00EE2B52">
        <w:rPr>
          <w:bCs/>
        </w:rPr>
        <w:t xml:space="preserve">. </w:t>
      </w:r>
      <w:r>
        <w:rPr>
          <w:bCs/>
        </w:rPr>
        <w:t>For the MEDLI2 reconstruction efforts to date, analysis proceeded using the PICA model for un-coated PICA</w:t>
      </w:r>
      <w:r w:rsidR="00770507">
        <w:rPr>
          <w:bCs/>
        </w:rPr>
        <w:t xml:space="preserve"> with no </w:t>
      </w:r>
      <w:r>
        <w:rPr>
          <w:bCs/>
        </w:rPr>
        <w:t>recession</w:t>
      </w:r>
      <w:r w:rsidR="00770507">
        <w:rPr>
          <w:bCs/>
        </w:rPr>
        <w:t xml:space="preserve">, </w:t>
      </w:r>
      <w:r>
        <w:rPr>
          <w:bCs/>
        </w:rPr>
        <w:t xml:space="preserve">to mimic the </w:t>
      </w:r>
      <w:r w:rsidR="00770507">
        <w:rPr>
          <w:bCs/>
        </w:rPr>
        <w:t xml:space="preserve">primary effect of </w:t>
      </w:r>
      <w:proofErr w:type="spellStart"/>
      <w:r>
        <w:rPr>
          <w:bCs/>
        </w:rPr>
        <w:t>NuSil</w:t>
      </w:r>
      <w:proofErr w:type="spellEnd"/>
      <w:r w:rsidR="00770507">
        <w:rPr>
          <w:bCs/>
        </w:rPr>
        <w:t xml:space="preserve"> on PICA behavior.</w:t>
      </w:r>
    </w:p>
    <w:p w14:paraId="7CC14385" w14:textId="3AB84E59" w:rsidR="00C5260D" w:rsidRDefault="00811E92" w:rsidP="003F173A">
      <w:pPr>
        <w:tabs>
          <w:tab w:val="left" w:pos="288"/>
        </w:tabs>
        <w:spacing w:before="240"/>
        <w:outlineLvl w:val="1"/>
        <w:rPr>
          <w:bCs/>
        </w:rPr>
      </w:pPr>
      <w:r>
        <w:rPr>
          <w:bCs/>
        </w:rPr>
        <w:tab/>
      </w:r>
      <w:r w:rsidR="00C705BC">
        <w:rPr>
          <w:bCs/>
        </w:rPr>
        <w:t>Using these inverse</w:t>
      </w:r>
      <w:r w:rsidR="0065238C">
        <w:rPr>
          <w:bCs/>
        </w:rPr>
        <w:t xml:space="preserve"> estimation</w:t>
      </w:r>
      <w:r w:rsidR="00C705BC">
        <w:rPr>
          <w:bCs/>
        </w:rPr>
        <w:t xml:space="preserve"> results</w:t>
      </w:r>
      <w:r w:rsidR="007B5481">
        <w:rPr>
          <w:bCs/>
        </w:rPr>
        <w:t xml:space="preserve"> and assumptions</w:t>
      </w:r>
      <w:r w:rsidR="00C705BC">
        <w:rPr>
          <w:bCs/>
        </w:rPr>
        <w:t xml:space="preserve">, </w:t>
      </w:r>
      <w:r w:rsidR="00113002">
        <w:rPr>
          <w:bCs/>
        </w:rPr>
        <w:t xml:space="preserve">the </w:t>
      </w:r>
      <w:r w:rsidR="00C705BC">
        <w:rPr>
          <w:bCs/>
        </w:rPr>
        <w:t xml:space="preserve">MEDLI2 </w:t>
      </w:r>
      <w:r w:rsidR="00113002">
        <w:rPr>
          <w:bCs/>
        </w:rPr>
        <w:t xml:space="preserve">team </w:t>
      </w:r>
      <w:r w:rsidR="00C705BC">
        <w:rPr>
          <w:bCs/>
        </w:rPr>
        <w:t>estimated that h</w:t>
      </w:r>
      <w:r w:rsidR="00C705BC" w:rsidRPr="00C705BC">
        <w:rPr>
          <w:bCs/>
        </w:rPr>
        <w:t xml:space="preserve">eatshield external surface </w:t>
      </w:r>
      <w:r w:rsidR="00C705BC">
        <w:rPr>
          <w:bCs/>
        </w:rPr>
        <w:t xml:space="preserve">temperatures </w:t>
      </w:r>
      <w:r w:rsidR="00C705BC" w:rsidRPr="00C705BC">
        <w:rPr>
          <w:bCs/>
        </w:rPr>
        <w:t xml:space="preserve">peaked </w:t>
      </w:r>
      <w:r w:rsidR="009445EB">
        <w:rPr>
          <w:bCs/>
        </w:rPr>
        <w:t>at</w:t>
      </w:r>
      <w:r w:rsidR="003F173A">
        <w:rPr>
          <w:bCs/>
        </w:rPr>
        <w:t xml:space="preserve"> </w:t>
      </w:r>
      <w:r w:rsidR="00C705BC" w:rsidRPr="00C705BC">
        <w:rPr>
          <w:bCs/>
        </w:rPr>
        <w:t>1</w:t>
      </w:r>
      <w:r w:rsidR="00FC3917">
        <w:rPr>
          <w:bCs/>
        </w:rPr>
        <w:t>427</w:t>
      </w:r>
      <w:r w:rsidR="0032574C" w:rsidRPr="0032574C">
        <w:t>°</w:t>
      </w:r>
      <w:r w:rsidR="0032574C">
        <w:t xml:space="preserve"> </w:t>
      </w:r>
      <w:r w:rsidR="00C705BC" w:rsidRPr="00C705BC">
        <w:rPr>
          <w:bCs/>
        </w:rPr>
        <w:t>C</w:t>
      </w:r>
      <w:r w:rsidR="007B5481">
        <w:rPr>
          <w:bCs/>
        </w:rPr>
        <w:t xml:space="preserve">, with peak heating (at MISP locations) </w:t>
      </w:r>
      <w:r w:rsidR="0055797E">
        <w:rPr>
          <w:bCs/>
        </w:rPr>
        <w:t>of</w:t>
      </w:r>
      <w:r w:rsidR="007B5481">
        <w:rPr>
          <w:bCs/>
        </w:rPr>
        <w:t xml:space="preserve"> 79 W/cm</w:t>
      </w:r>
      <w:r w:rsidR="007B5481" w:rsidRPr="007B5481">
        <w:rPr>
          <w:bCs/>
          <w:vertAlign w:val="superscript"/>
        </w:rPr>
        <w:t>2</w:t>
      </w:r>
      <w:r w:rsidR="00EE2B52">
        <w:rPr>
          <w:bCs/>
        </w:rPr>
        <w:t xml:space="preserve">. </w:t>
      </w:r>
      <w:r w:rsidR="00113002">
        <w:rPr>
          <w:bCs/>
        </w:rPr>
        <w:t xml:space="preserve">Inverse estimation also </w:t>
      </w:r>
      <w:r w:rsidR="00770507">
        <w:rPr>
          <w:bCs/>
        </w:rPr>
        <w:t xml:space="preserve">confirmed </w:t>
      </w:r>
      <w:r w:rsidR="00113002">
        <w:rPr>
          <w:bCs/>
        </w:rPr>
        <w:t>timing of transition; h</w:t>
      </w:r>
      <w:r w:rsidR="003F173A" w:rsidRPr="00C705BC">
        <w:rPr>
          <w:bCs/>
        </w:rPr>
        <w:t xml:space="preserve">eatshield </w:t>
      </w:r>
      <w:r w:rsidR="003F173A">
        <w:rPr>
          <w:bCs/>
        </w:rPr>
        <w:t xml:space="preserve">laminar to turbulent </w:t>
      </w:r>
      <w:proofErr w:type="spellStart"/>
      <w:r w:rsidR="003F173A">
        <w:rPr>
          <w:bCs/>
        </w:rPr>
        <w:t>flowfield</w:t>
      </w:r>
      <w:proofErr w:type="spellEnd"/>
      <w:r w:rsidR="003F173A">
        <w:rPr>
          <w:bCs/>
        </w:rPr>
        <w:t xml:space="preserve"> </w:t>
      </w:r>
      <w:r w:rsidR="003F173A" w:rsidRPr="00C705BC">
        <w:rPr>
          <w:bCs/>
        </w:rPr>
        <w:t xml:space="preserve">transition occurred generally as expected, starting </w:t>
      </w:r>
      <w:r w:rsidR="003F173A">
        <w:rPr>
          <w:bCs/>
        </w:rPr>
        <w:t xml:space="preserve">at 70 seconds from EI at </w:t>
      </w:r>
      <w:r w:rsidR="003F173A" w:rsidRPr="00C705BC">
        <w:rPr>
          <w:bCs/>
        </w:rPr>
        <w:t xml:space="preserve">the leeside shoulder </w:t>
      </w:r>
      <w:r w:rsidR="003F173A">
        <w:rPr>
          <w:bCs/>
        </w:rPr>
        <w:t xml:space="preserve">MTH02 </w:t>
      </w:r>
      <w:r w:rsidR="003F173A" w:rsidRPr="00C705BC">
        <w:rPr>
          <w:bCs/>
        </w:rPr>
        <w:t xml:space="preserve">and </w:t>
      </w:r>
      <w:r w:rsidR="003F173A">
        <w:rPr>
          <w:bCs/>
        </w:rPr>
        <w:t>to the most outboard forward locations (MT</w:t>
      </w:r>
      <w:r w:rsidR="00EA3541">
        <w:rPr>
          <w:bCs/>
        </w:rPr>
        <w:t>H</w:t>
      </w:r>
      <w:r w:rsidR="003F173A">
        <w:rPr>
          <w:bCs/>
        </w:rPr>
        <w:t>06 and MT</w:t>
      </w:r>
      <w:r w:rsidR="00EA3541">
        <w:rPr>
          <w:bCs/>
        </w:rPr>
        <w:t>H</w:t>
      </w:r>
      <w:r w:rsidR="003F173A">
        <w:rPr>
          <w:bCs/>
        </w:rPr>
        <w:t>08) 8-11 seconds later.</w:t>
      </w:r>
    </w:p>
    <w:p w14:paraId="1790BC7C" w14:textId="513AF598" w:rsidR="000D20AC" w:rsidRDefault="00586413" w:rsidP="003F173A">
      <w:pPr>
        <w:tabs>
          <w:tab w:val="left" w:pos="288"/>
        </w:tabs>
        <w:spacing w:before="240"/>
        <w:outlineLvl w:val="1"/>
        <w:rPr>
          <w:bCs/>
        </w:rPr>
      </w:pPr>
      <w:r>
        <w:rPr>
          <w:bCs/>
        </w:rPr>
        <w:tab/>
        <w:t xml:space="preserve">Figure </w:t>
      </w:r>
      <w:r w:rsidR="00EA3541">
        <w:rPr>
          <w:bCs/>
        </w:rPr>
        <w:t>11</w:t>
      </w:r>
      <w:r>
        <w:rPr>
          <w:bCs/>
        </w:rPr>
        <w:t xml:space="preserve"> shows the combination of the actual flight TC data, </w:t>
      </w:r>
      <w:r w:rsidR="00A764C3">
        <w:rPr>
          <w:bCs/>
        </w:rPr>
        <w:t>alongside</w:t>
      </w:r>
      <w:r>
        <w:rPr>
          <w:bCs/>
        </w:rPr>
        <w:t xml:space="preserve"> the inverse estimated surface temperature</w:t>
      </w:r>
      <w:r w:rsidR="00A764C3">
        <w:rPr>
          <w:bCs/>
        </w:rPr>
        <w:t xml:space="preserve"> estimates</w:t>
      </w:r>
      <w:r w:rsidR="00EE2B52">
        <w:rPr>
          <w:bCs/>
        </w:rPr>
        <w:t xml:space="preserve">. </w:t>
      </w:r>
      <w:r w:rsidR="000D20AC">
        <w:rPr>
          <w:bCs/>
        </w:rPr>
        <w:t>Surface temperature estimates begin at entry interface and terminate at 150 seconds,</w:t>
      </w:r>
      <w:r w:rsidR="005A21DE">
        <w:rPr>
          <w:bCs/>
        </w:rPr>
        <w:t xml:space="preserve"> after which inverse solutions become less accurate due to the low heating</w:t>
      </w:r>
      <w:r w:rsidR="00EE2B52">
        <w:rPr>
          <w:bCs/>
        </w:rPr>
        <w:t xml:space="preserve">. </w:t>
      </w:r>
      <w:r w:rsidR="00A764C3">
        <w:rPr>
          <w:bCs/>
        </w:rPr>
        <w:t>The inverse estimation technique sometimes amplif</w:t>
      </w:r>
      <w:r w:rsidR="00770507">
        <w:rPr>
          <w:bCs/>
        </w:rPr>
        <w:t>ied</w:t>
      </w:r>
      <w:r w:rsidR="00A764C3">
        <w:rPr>
          <w:bCs/>
        </w:rPr>
        <w:t xml:space="preserve"> small changes in internal temperatures, </w:t>
      </w:r>
      <w:r w:rsidR="00770507">
        <w:rPr>
          <w:bCs/>
        </w:rPr>
        <w:t xml:space="preserve">which leads to </w:t>
      </w:r>
      <w:r w:rsidR="000D20AC">
        <w:rPr>
          <w:bCs/>
        </w:rPr>
        <w:t>oscillations</w:t>
      </w:r>
      <w:r w:rsidR="00A764C3">
        <w:rPr>
          <w:bCs/>
        </w:rPr>
        <w:t xml:space="preserve"> in reconstructed surface temperatures</w:t>
      </w:r>
      <w:r w:rsidR="000D20AC">
        <w:rPr>
          <w:bCs/>
        </w:rPr>
        <w:t>, particularly around 50-55 seconds in MTH04, MTH06, and MTH07</w:t>
      </w:r>
      <w:r w:rsidR="00EE2B52">
        <w:rPr>
          <w:bCs/>
        </w:rPr>
        <w:t xml:space="preserve">. </w:t>
      </w:r>
    </w:p>
    <w:p w14:paraId="6AD2B257" w14:textId="3F6EDEFE" w:rsidR="00586413" w:rsidRDefault="000D20AC" w:rsidP="003F173A">
      <w:pPr>
        <w:tabs>
          <w:tab w:val="left" w:pos="288"/>
        </w:tabs>
        <w:spacing w:before="240"/>
        <w:outlineLvl w:val="1"/>
        <w:rPr>
          <w:bCs/>
        </w:rPr>
      </w:pPr>
      <w:r>
        <w:rPr>
          <w:bCs/>
        </w:rPr>
        <w:tab/>
        <w:t xml:space="preserve">Finally, the </w:t>
      </w:r>
      <w:r w:rsidR="00A764C3">
        <w:rPr>
          <w:bCs/>
        </w:rPr>
        <w:t xml:space="preserve">results of the direct analysis for </w:t>
      </w:r>
      <w:proofErr w:type="spellStart"/>
      <w:r w:rsidR="00A764C3">
        <w:rPr>
          <w:bCs/>
        </w:rPr>
        <w:t>bondline</w:t>
      </w:r>
      <w:proofErr w:type="spellEnd"/>
      <w:r w:rsidR="00A764C3">
        <w:rPr>
          <w:bCs/>
        </w:rPr>
        <w:t xml:space="preserve"> temperature histories are shown in Figure 12 </w:t>
      </w:r>
      <w:r>
        <w:rPr>
          <w:bCs/>
        </w:rPr>
        <w:t xml:space="preserve">and </w:t>
      </w:r>
      <w:r w:rsidR="00A764C3">
        <w:rPr>
          <w:bCs/>
        </w:rPr>
        <w:t>summarized in Table 3</w:t>
      </w:r>
      <w:r w:rsidR="00EE2B52">
        <w:rPr>
          <w:bCs/>
        </w:rPr>
        <w:t xml:space="preserve">. </w:t>
      </w:r>
      <w:r w:rsidR="004C5373">
        <w:rPr>
          <w:bCs/>
        </w:rPr>
        <w:t>Table 3</w:t>
      </w:r>
      <w:r>
        <w:rPr>
          <w:bCs/>
        </w:rPr>
        <w:t xml:space="preserve"> also describes the thermal mass of the substructure below the PICA plugs</w:t>
      </w:r>
      <w:r w:rsidR="00EE2B52">
        <w:rPr>
          <w:bCs/>
        </w:rPr>
        <w:t xml:space="preserve">. </w:t>
      </w:r>
      <w:r w:rsidR="004C5373">
        <w:rPr>
          <w:bCs/>
        </w:rPr>
        <w:t xml:space="preserve">MEDLI2 sensors were installed over </w:t>
      </w:r>
      <w:r>
        <w:rPr>
          <w:bCs/>
        </w:rPr>
        <w:t xml:space="preserve">several different </w:t>
      </w:r>
      <w:r w:rsidR="004C5373">
        <w:rPr>
          <w:bCs/>
        </w:rPr>
        <w:t xml:space="preserve">substructure </w:t>
      </w:r>
      <w:r>
        <w:rPr>
          <w:bCs/>
        </w:rPr>
        <w:t>layouts, and locations with greater thermal mass were predicted to have smaller temperature increases</w:t>
      </w:r>
      <w:r w:rsidR="00EE2B52">
        <w:rPr>
          <w:bCs/>
        </w:rPr>
        <w:t xml:space="preserve">. </w:t>
      </w:r>
      <w:r>
        <w:rPr>
          <w:bCs/>
        </w:rPr>
        <w:t xml:space="preserve">Across all </w:t>
      </w:r>
      <w:r w:rsidR="004C5373">
        <w:rPr>
          <w:bCs/>
        </w:rPr>
        <w:t xml:space="preserve">MEDLI2 </w:t>
      </w:r>
      <w:r>
        <w:rPr>
          <w:bCs/>
        </w:rPr>
        <w:t xml:space="preserve">heatshield sensor locations, </w:t>
      </w:r>
      <w:r w:rsidR="004C5373">
        <w:rPr>
          <w:bCs/>
        </w:rPr>
        <w:t xml:space="preserve">the </w:t>
      </w:r>
      <w:proofErr w:type="spellStart"/>
      <w:r w:rsidR="004C5373">
        <w:rPr>
          <w:bCs/>
        </w:rPr>
        <w:t>bondline</w:t>
      </w:r>
      <w:proofErr w:type="spellEnd"/>
      <w:r w:rsidR="004C5373">
        <w:rPr>
          <w:bCs/>
        </w:rPr>
        <w:t xml:space="preserve"> </w:t>
      </w:r>
      <w:r>
        <w:rPr>
          <w:bCs/>
        </w:rPr>
        <w:t xml:space="preserve">temperature increased by </w:t>
      </w:r>
      <w:r w:rsidR="004C5373">
        <w:rPr>
          <w:bCs/>
        </w:rPr>
        <w:t>less than 45</w:t>
      </w:r>
      <w:r w:rsidR="004C5373" w:rsidRPr="004C5373">
        <w:t>°</w:t>
      </w:r>
      <w:r w:rsidR="004C5373">
        <w:t xml:space="preserve"> </w:t>
      </w:r>
      <w:r>
        <w:t>C</w:t>
      </w:r>
      <w:r w:rsidR="004C5373">
        <w:rPr>
          <w:bCs/>
        </w:rPr>
        <w:t>.</w:t>
      </w:r>
    </w:p>
    <w:p w14:paraId="6F37B606" w14:textId="474EF2A0" w:rsidR="00586413" w:rsidRDefault="00586413" w:rsidP="003F173A">
      <w:pPr>
        <w:tabs>
          <w:tab w:val="left" w:pos="288"/>
        </w:tabs>
        <w:spacing w:before="240"/>
        <w:outlineLvl w:val="1"/>
        <w:rPr>
          <w:bCs/>
        </w:rPr>
      </w:pPr>
    </w:p>
    <w:p w14:paraId="4EDB7035" w14:textId="3C411339" w:rsidR="00982E9B" w:rsidRDefault="00982E9B" w:rsidP="008144F1">
      <w:pPr>
        <w:pStyle w:val="Caption"/>
      </w:pPr>
      <w:r w:rsidRPr="00982E9B">
        <w:rPr>
          <w:noProof/>
        </w:rPr>
        <w:lastRenderedPageBreak/>
        <w:drawing>
          <wp:inline distT="0" distB="0" distL="0" distR="0" wp14:anchorId="4613C5E9" wp14:editId="7B19AEFB">
            <wp:extent cx="5901373" cy="5925312"/>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01373" cy="5925312"/>
                    </a:xfrm>
                    <a:prstGeom prst="rect">
                      <a:avLst/>
                    </a:prstGeom>
                    <a:noFill/>
                    <a:ln>
                      <a:noFill/>
                    </a:ln>
                  </pic:spPr>
                </pic:pic>
              </a:graphicData>
            </a:graphic>
          </wp:inline>
        </w:drawing>
      </w:r>
    </w:p>
    <w:p w14:paraId="79D1753D" w14:textId="7DDE2918" w:rsidR="00586413" w:rsidRDefault="008144F1" w:rsidP="008144F1">
      <w:pPr>
        <w:pStyle w:val="Caption"/>
      </w:pPr>
      <w:r>
        <w:t xml:space="preserve">Figure </w:t>
      </w:r>
      <w:r w:rsidR="00496F19">
        <w:fldChar w:fldCharType="begin"/>
      </w:r>
      <w:r w:rsidR="00496F19">
        <w:instrText xml:space="preserve"> SEQ Figure \* ARABIC </w:instrText>
      </w:r>
      <w:r w:rsidR="00496F19">
        <w:fldChar w:fldCharType="separate"/>
      </w:r>
      <w:r w:rsidR="00C85550">
        <w:rPr>
          <w:noProof/>
        </w:rPr>
        <w:t>11</w:t>
      </w:r>
      <w:r w:rsidR="00496F19">
        <w:rPr>
          <w:noProof/>
        </w:rPr>
        <w:fldChar w:fldCharType="end"/>
      </w:r>
      <w:r>
        <w:t xml:space="preserve"> All MISP Heatshield Measured Temperatures and</w:t>
      </w:r>
      <w:r w:rsidR="00481570">
        <w:t xml:space="preserve"> *</w:t>
      </w:r>
      <w:r>
        <w:t>Estimated Surface Temperatures</w:t>
      </w:r>
    </w:p>
    <w:p w14:paraId="183ABA29" w14:textId="07078F4B" w:rsidR="008144F1" w:rsidRDefault="008144F1" w:rsidP="008144F1"/>
    <w:p w14:paraId="66EAFD0D" w14:textId="77777777" w:rsidR="00901EA6" w:rsidRDefault="00513860" w:rsidP="00901EA6">
      <w:pPr>
        <w:keepNext/>
        <w:jc w:val="center"/>
      </w:pPr>
      <w:r>
        <w:rPr>
          <w:noProof/>
        </w:rPr>
        <w:lastRenderedPageBreak/>
        <w:drawing>
          <wp:inline distT="0" distB="0" distL="0" distR="0" wp14:anchorId="0FC73D7E" wp14:editId="6AF5C7A2">
            <wp:extent cx="2846629" cy="2134972"/>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46629" cy="2134972"/>
                    </a:xfrm>
                    <a:prstGeom prst="rect">
                      <a:avLst/>
                    </a:prstGeom>
                  </pic:spPr>
                </pic:pic>
              </a:graphicData>
            </a:graphic>
          </wp:inline>
        </w:drawing>
      </w:r>
    </w:p>
    <w:p w14:paraId="4810E2BF" w14:textId="12FB4814" w:rsidR="00513860" w:rsidRDefault="00901EA6" w:rsidP="00901EA6">
      <w:pPr>
        <w:pStyle w:val="Caption"/>
      </w:pPr>
      <w:r>
        <w:t xml:space="preserve">Figure </w:t>
      </w:r>
      <w:r w:rsidR="00496F19">
        <w:fldChar w:fldCharType="begin"/>
      </w:r>
      <w:r w:rsidR="00496F19">
        <w:instrText xml:space="preserve"> SEQ Figure \* ARABIC </w:instrText>
      </w:r>
      <w:r w:rsidR="00496F19">
        <w:fldChar w:fldCharType="separate"/>
      </w:r>
      <w:r w:rsidR="00C85550">
        <w:rPr>
          <w:noProof/>
        </w:rPr>
        <w:t>12</w:t>
      </w:r>
      <w:r w:rsidR="00496F19">
        <w:rPr>
          <w:noProof/>
        </w:rPr>
        <w:fldChar w:fldCharType="end"/>
      </w:r>
      <w:r>
        <w:t xml:space="preserve"> </w:t>
      </w:r>
      <w:r w:rsidR="00481570">
        <w:t xml:space="preserve">*Estimated </w:t>
      </w:r>
      <w:proofErr w:type="spellStart"/>
      <w:r>
        <w:t>Bondline</w:t>
      </w:r>
      <w:proofErr w:type="spellEnd"/>
      <w:r>
        <w:t xml:space="preserve"> Temperatures at Heatshield MISP locations </w:t>
      </w:r>
      <w:r w:rsidR="00481570">
        <w:t>from</w:t>
      </w:r>
      <w:r>
        <w:t xml:space="preserve"> Direct Analysis</w:t>
      </w:r>
    </w:p>
    <w:p w14:paraId="6523C82A" w14:textId="6BDFA2ED" w:rsidR="008144F1" w:rsidRDefault="008144F1" w:rsidP="008144F1"/>
    <w:p w14:paraId="7D7A52E8" w14:textId="3C2665F5" w:rsidR="00281B7E" w:rsidRDefault="00A41254" w:rsidP="00A41254">
      <w:pPr>
        <w:pStyle w:val="Caption"/>
        <w:keepNext/>
      </w:pPr>
      <w:r>
        <w:t xml:space="preserve">Table </w:t>
      </w:r>
      <w:r w:rsidR="00496F19">
        <w:fldChar w:fldCharType="begin"/>
      </w:r>
      <w:r w:rsidR="00496F19">
        <w:instrText xml:space="preserve"> SEQ Table \* ARABIC </w:instrText>
      </w:r>
      <w:r w:rsidR="00496F19">
        <w:fldChar w:fldCharType="separate"/>
      </w:r>
      <w:r w:rsidR="00C85550">
        <w:rPr>
          <w:noProof/>
        </w:rPr>
        <w:t>3</w:t>
      </w:r>
      <w:r w:rsidR="00496F19">
        <w:rPr>
          <w:noProof/>
        </w:rPr>
        <w:fldChar w:fldCharType="end"/>
      </w:r>
      <w:r>
        <w:t xml:space="preserve"> Heatshield </w:t>
      </w:r>
      <w:proofErr w:type="spellStart"/>
      <w:r>
        <w:t>Bondline</w:t>
      </w:r>
      <w:proofErr w:type="spellEnd"/>
      <w:r>
        <w:t xml:space="preserve"> Temperature Summary</w:t>
      </w:r>
    </w:p>
    <w:tbl>
      <w:tblPr>
        <w:tblW w:w="9840" w:type="dxa"/>
        <w:tblLook w:val="04A0" w:firstRow="1" w:lastRow="0" w:firstColumn="1" w:lastColumn="0" w:noHBand="0" w:noVBand="1"/>
      </w:tblPr>
      <w:tblGrid>
        <w:gridCol w:w="980"/>
        <w:gridCol w:w="1720"/>
        <w:gridCol w:w="1480"/>
        <w:gridCol w:w="1420"/>
        <w:gridCol w:w="1320"/>
        <w:gridCol w:w="1320"/>
        <w:gridCol w:w="1600"/>
      </w:tblGrid>
      <w:tr w:rsidR="00A41254" w:rsidRPr="00A41254" w14:paraId="03EBB252" w14:textId="77777777" w:rsidTr="00A41254">
        <w:trPr>
          <w:trHeight w:val="549"/>
        </w:trPr>
        <w:tc>
          <w:tcPr>
            <w:tcW w:w="980" w:type="dxa"/>
            <w:tcBorders>
              <w:top w:val="double" w:sz="6" w:space="0" w:color="auto"/>
              <w:left w:val="nil"/>
              <w:bottom w:val="single" w:sz="8" w:space="0" w:color="auto"/>
              <w:right w:val="nil"/>
            </w:tcBorders>
            <w:shd w:val="clear" w:color="000000" w:fill="FFFFFF"/>
            <w:noWrap/>
            <w:vAlign w:val="bottom"/>
            <w:hideMark/>
          </w:tcPr>
          <w:p w14:paraId="5D72D462" w14:textId="014385ED" w:rsidR="00A41254" w:rsidRPr="00A41254" w:rsidRDefault="00A41254" w:rsidP="00A41254">
            <w:pPr>
              <w:contextualSpacing w:val="0"/>
              <w:jc w:val="left"/>
              <w:rPr>
                <w:b/>
                <w:bCs/>
                <w:color w:val="000000"/>
                <w:sz w:val="17"/>
                <w:szCs w:val="17"/>
              </w:rPr>
            </w:pPr>
            <w:r w:rsidRPr="00A41254">
              <w:rPr>
                <w:b/>
                <w:bCs/>
                <w:color w:val="000000"/>
                <w:sz w:val="17"/>
                <w:szCs w:val="17"/>
              </w:rPr>
              <w:t>Location</w:t>
            </w:r>
          </w:p>
        </w:tc>
        <w:tc>
          <w:tcPr>
            <w:tcW w:w="1720" w:type="dxa"/>
            <w:tcBorders>
              <w:top w:val="double" w:sz="6" w:space="0" w:color="auto"/>
              <w:left w:val="nil"/>
              <w:bottom w:val="single" w:sz="8" w:space="0" w:color="auto"/>
              <w:right w:val="nil"/>
            </w:tcBorders>
            <w:shd w:val="clear" w:color="000000" w:fill="FFFFFF"/>
            <w:vAlign w:val="bottom"/>
            <w:hideMark/>
          </w:tcPr>
          <w:p w14:paraId="194A923D" w14:textId="77777777" w:rsidR="00A41254" w:rsidRPr="00A41254" w:rsidRDefault="00A41254" w:rsidP="00A41254">
            <w:pPr>
              <w:contextualSpacing w:val="0"/>
              <w:jc w:val="center"/>
              <w:rPr>
                <w:b/>
                <w:bCs/>
                <w:color w:val="000000"/>
                <w:sz w:val="17"/>
                <w:szCs w:val="17"/>
              </w:rPr>
            </w:pPr>
            <w:r w:rsidRPr="00A41254">
              <w:rPr>
                <w:b/>
                <w:bCs/>
                <w:color w:val="000000"/>
                <w:sz w:val="17"/>
                <w:szCs w:val="17"/>
              </w:rPr>
              <w:t xml:space="preserve">Substructure Areal </w:t>
            </w:r>
            <w:r w:rsidRPr="00A41254">
              <w:rPr>
                <w:b/>
                <w:bCs/>
                <w:color w:val="000000"/>
                <w:sz w:val="17"/>
                <w:szCs w:val="17"/>
              </w:rPr>
              <w:br/>
              <w:t>Thermal Mass (J/m</w:t>
            </w:r>
            <w:r w:rsidRPr="00A41254">
              <w:rPr>
                <w:b/>
                <w:bCs/>
                <w:color w:val="000000"/>
                <w:sz w:val="17"/>
                <w:szCs w:val="17"/>
                <w:vertAlign w:val="superscript"/>
              </w:rPr>
              <w:t>2</w:t>
            </w:r>
            <w:r w:rsidRPr="00A41254">
              <w:rPr>
                <w:b/>
                <w:bCs/>
                <w:color w:val="000000"/>
                <w:sz w:val="17"/>
                <w:szCs w:val="17"/>
              </w:rPr>
              <w:t>-K)</w:t>
            </w:r>
          </w:p>
        </w:tc>
        <w:tc>
          <w:tcPr>
            <w:tcW w:w="1480" w:type="dxa"/>
            <w:tcBorders>
              <w:top w:val="double" w:sz="6" w:space="0" w:color="auto"/>
              <w:left w:val="nil"/>
              <w:bottom w:val="single" w:sz="8" w:space="0" w:color="auto"/>
              <w:right w:val="nil"/>
            </w:tcBorders>
            <w:shd w:val="clear" w:color="000000" w:fill="FFFFFF"/>
            <w:vAlign w:val="bottom"/>
            <w:hideMark/>
          </w:tcPr>
          <w:p w14:paraId="5CD8F172" w14:textId="77777777" w:rsidR="00A41254" w:rsidRPr="00A41254" w:rsidRDefault="00A41254" w:rsidP="00A41254">
            <w:pPr>
              <w:contextualSpacing w:val="0"/>
              <w:jc w:val="center"/>
              <w:rPr>
                <w:b/>
                <w:bCs/>
                <w:color w:val="000000"/>
                <w:sz w:val="17"/>
                <w:szCs w:val="17"/>
              </w:rPr>
            </w:pPr>
            <w:proofErr w:type="spellStart"/>
            <w:r w:rsidRPr="00A41254">
              <w:rPr>
                <w:b/>
                <w:bCs/>
                <w:color w:val="000000"/>
                <w:sz w:val="17"/>
                <w:szCs w:val="17"/>
              </w:rPr>
              <w:t>Heatload</w:t>
            </w:r>
            <w:proofErr w:type="spellEnd"/>
            <w:r w:rsidRPr="00A41254">
              <w:rPr>
                <w:b/>
                <w:bCs/>
                <w:color w:val="000000"/>
                <w:sz w:val="17"/>
                <w:szCs w:val="17"/>
              </w:rPr>
              <w:br/>
              <w:t>(J/cm</w:t>
            </w:r>
            <w:r w:rsidRPr="00A41254">
              <w:rPr>
                <w:b/>
                <w:bCs/>
                <w:color w:val="000000"/>
                <w:sz w:val="17"/>
                <w:szCs w:val="17"/>
                <w:vertAlign w:val="superscript"/>
              </w:rPr>
              <w:t>2</w:t>
            </w:r>
            <w:r w:rsidRPr="00A41254">
              <w:rPr>
                <w:b/>
                <w:bCs/>
                <w:color w:val="000000"/>
                <w:sz w:val="17"/>
                <w:szCs w:val="17"/>
              </w:rPr>
              <w:t>)</w:t>
            </w:r>
          </w:p>
        </w:tc>
        <w:tc>
          <w:tcPr>
            <w:tcW w:w="1420" w:type="dxa"/>
            <w:tcBorders>
              <w:top w:val="double" w:sz="6" w:space="0" w:color="auto"/>
              <w:left w:val="nil"/>
              <w:bottom w:val="single" w:sz="8" w:space="0" w:color="auto"/>
              <w:right w:val="nil"/>
            </w:tcBorders>
            <w:shd w:val="clear" w:color="000000" w:fill="FFFFFF"/>
            <w:vAlign w:val="bottom"/>
            <w:hideMark/>
          </w:tcPr>
          <w:p w14:paraId="09B3809A" w14:textId="77777777" w:rsidR="00A41254" w:rsidRPr="00A41254" w:rsidRDefault="00A41254" w:rsidP="00A41254">
            <w:pPr>
              <w:contextualSpacing w:val="0"/>
              <w:jc w:val="center"/>
              <w:rPr>
                <w:b/>
                <w:bCs/>
                <w:color w:val="000000"/>
                <w:sz w:val="17"/>
                <w:szCs w:val="17"/>
              </w:rPr>
            </w:pPr>
            <w:r w:rsidRPr="00A41254">
              <w:rPr>
                <w:b/>
                <w:bCs/>
                <w:color w:val="000000"/>
                <w:sz w:val="17"/>
                <w:szCs w:val="17"/>
              </w:rPr>
              <w:t xml:space="preserve">Peak </w:t>
            </w:r>
            <w:proofErr w:type="spellStart"/>
            <w:r w:rsidRPr="00A41254">
              <w:rPr>
                <w:b/>
                <w:bCs/>
                <w:color w:val="000000"/>
                <w:sz w:val="17"/>
                <w:szCs w:val="17"/>
              </w:rPr>
              <w:t>Heatrate</w:t>
            </w:r>
            <w:proofErr w:type="spellEnd"/>
            <w:r w:rsidRPr="00A41254">
              <w:rPr>
                <w:b/>
                <w:bCs/>
                <w:color w:val="000000"/>
                <w:sz w:val="17"/>
                <w:szCs w:val="17"/>
              </w:rPr>
              <w:t xml:space="preserve"> </w:t>
            </w:r>
            <w:r w:rsidRPr="00A41254">
              <w:rPr>
                <w:b/>
                <w:bCs/>
                <w:color w:val="000000"/>
                <w:sz w:val="17"/>
                <w:szCs w:val="17"/>
              </w:rPr>
              <w:br/>
              <w:t xml:space="preserve"> (W/cm</w:t>
            </w:r>
            <w:r w:rsidRPr="00A41254">
              <w:rPr>
                <w:b/>
                <w:bCs/>
                <w:color w:val="000000"/>
                <w:sz w:val="17"/>
                <w:szCs w:val="17"/>
                <w:vertAlign w:val="superscript"/>
              </w:rPr>
              <w:t>2</w:t>
            </w:r>
            <w:r w:rsidRPr="00A41254">
              <w:rPr>
                <w:b/>
                <w:bCs/>
                <w:color w:val="000000"/>
                <w:sz w:val="17"/>
                <w:szCs w:val="17"/>
              </w:rPr>
              <w:t>)</w:t>
            </w:r>
          </w:p>
        </w:tc>
        <w:tc>
          <w:tcPr>
            <w:tcW w:w="1320" w:type="dxa"/>
            <w:tcBorders>
              <w:top w:val="double" w:sz="6" w:space="0" w:color="auto"/>
              <w:left w:val="nil"/>
              <w:bottom w:val="single" w:sz="8" w:space="0" w:color="auto"/>
              <w:right w:val="nil"/>
            </w:tcBorders>
            <w:shd w:val="clear" w:color="000000" w:fill="FFFFFF"/>
            <w:vAlign w:val="bottom"/>
            <w:hideMark/>
          </w:tcPr>
          <w:p w14:paraId="465953C9" w14:textId="77777777" w:rsidR="00A41254" w:rsidRPr="00A41254" w:rsidRDefault="00A41254" w:rsidP="00A41254">
            <w:pPr>
              <w:contextualSpacing w:val="0"/>
              <w:jc w:val="center"/>
              <w:rPr>
                <w:b/>
                <w:bCs/>
                <w:color w:val="000000"/>
                <w:sz w:val="17"/>
                <w:szCs w:val="17"/>
              </w:rPr>
            </w:pPr>
            <w:r w:rsidRPr="00A41254">
              <w:rPr>
                <w:b/>
                <w:bCs/>
                <w:color w:val="000000"/>
                <w:sz w:val="17"/>
                <w:szCs w:val="17"/>
              </w:rPr>
              <w:t xml:space="preserve">Initial </w:t>
            </w:r>
            <w:r w:rsidRPr="00A41254">
              <w:rPr>
                <w:b/>
                <w:bCs/>
                <w:color w:val="000000"/>
                <w:sz w:val="17"/>
                <w:szCs w:val="17"/>
              </w:rPr>
              <w:br/>
              <w:t xml:space="preserve">Temperature </w:t>
            </w:r>
            <w:r w:rsidRPr="00A41254">
              <w:rPr>
                <w:b/>
                <w:bCs/>
                <w:color w:val="000000"/>
                <w:sz w:val="17"/>
                <w:szCs w:val="17"/>
              </w:rPr>
              <w:br/>
              <w:t>(deg C)</w:t>
            </w:r>
          </w:p>
        </w:tc>
        <w:tc>
          <w:tcPr>
            <w:tcW w:w="1320" w:type="dxa"/>
            <w:tcBorders>
              <w:top w:val="double" w:sz="6" w:space="0" w:color="auto"/>
              <w:left w:val="nil"/>
              <w:bottom w:val="single" w:sz="8" w:space="0" w:color="auto"/>
              <w:right w:val="nil"/>
            </w:tcBorders>
            <w:shd w:val="clear" w:color="000000" w:fill="FFFFFF"/>
            <w:vAlign w:val="bottom"/>
            <w:hideMark/>
          </w:tcPr>
          <w:p w14:paraId="6BF01691" w14:textId="77777777" w:rsidR="00A41254" w:rsidRPr="00A41254" w:rsidRDefault="00A41254" w:rsidP="00A41254">
            <w:pPr>
              <w:contextualSpacing w:val="0"/>
              <w:jc w:val="center"/>
              <w:rPr>
                <w:b/>
                <w:bCs/>
                <w:color w:val="000000"/>
                <w:sz w:val="17"/>
                <w:szCs w:val="17"/>
              </w:rPr>
            </w:pPr>
            <w:r w:rsidRPr="00A41254">
              <w:rPr>
                <w:b/>
                <w:bCs/>
                <w:color w:val="000000"/>
                <w:sz w:val="17"/>
                <w:szCs w:val="17"/>
              </w:rPr>
              <w:t xml:space="preserve">Final Temperature </w:t>
            </w:r>
            <w:r w:rsidRPr="00A41254">
              <w:rPr>
                <w:b/>
                <w:bCs/>
                <w:color w:val="000000"/>
                <w:sz w:val="17"/>
                <w:szCs w:val="17"/>
              </w:rPr>
              <w:br/>
              <w:t>(deg C)</w:t>
            </w:r>
          </w:p>
        </w:tc>
        <w:tc>
          <w:tcPr>
            <w:tcW w:w="1600" w:type="dxa"/>
            <w:tcBorders>
              <w:top w:val="double" w:sz="6" w:space="0" w:color="auto"/>
              <w:left w:val="nil"/>
              <w:bottom w:val="single" w:sz="8" w:space="0" w:color="auto"/>
              <w:right w:val="nil"/>
            </w:tcBorders>
            <w:shd w:val="clear" w:color="000000" w:fill="FFFFFF"/>
            <w:vAlign w:val="bottom"/>
            <w:hideMark/>
          </w:tcPr>
          <w:p w14:paraId="749E9CA1" w14:textId="77777777" w:rsidR="00A41254" w:rsidRPr="00A41254" w:rsidRDefault="00A41254" w:rsidP="00A41254">
            <w:pPr>
              <w:contextualSpacing w:val="0"/>
              <w:jc w:val="center"/>
              <w:rPr>
                <w:b/>
                <w:bCs/>
                <w:color w:val="000000"/>
                <w:sz w:val="17"/>
                <w:szCs w:val="17"/>
              </w:rPr>
            </w:pPr>
            <w:r w:rsidRPr="00A41254">
              <w:rPr>
                <w:b/>
                <w:bCs/>
                <w:color w:val="000000"/>
                <w:sz w:val="17"/>
                <w:szCs w:val="17"/>
              </w:rPr>
              <w:t xml:space="preserve">EI to HS Sep </w:t>
            </w:r>
            <w:r w:rsidRPr="00A41254">
              <w:rPr>
                <w:b/>
                <w:bCs/>
                <w:color w:val="000000"/>
                <w:sz w:val="17"/>
                <w:szCs w:val="17"/>
              </w:rPr>
              <w:br/>
              <w:t xml:space="preserve">Increase </w:t>
            </w:r>
            <w:r w:rsidRPr="00A41254">
              <w:rPr>
                <w:b/>
                <w:bCs/>
                <w:color w:val="000000"/>
                <w:sz w:val="17"/>
                <w:szCs w:val="17"/>
              </w:rPr>
              <w:br/>
              <w:t>(deg C)</w:t>
            </w:r>
          </w:p>
        </w:tc>
      </w:tr>
      <w:tr w:rsidR="00A41254" w:rsidRPr="00A41254" w14:paraId="3DE88BD4" w14:textId="77777777" w:rsidTr="00A41254">
        <w:trPr>
          <w:trHeight w:val="270"/>
        </w:trPr>
        <w:tc>
          <w:tcPr>
            <w:tcW w:w="980" w:type="dxa"/>
            <w:tcBorders>
              <w:top w:val="nil"/>
              <w:left w:val="nil"/>
              <w:bottom w:val="nil"/>
              <w:right w:val="nil"/>
            </w:tcBorders>
            <w:shd w:val="clear" w:color="000000" w:fill="FFFFFF"/>
            <w:noWrap/>
            <w:vAlign w:val="bottom"/>
            <w:hideMark/>
          </w:tcPr>
          <w:p w14:paraId="0424A193" w14:textId="77777777" w:rsidR="00A41254" w:rsidRPr="00A41254" w:rsidRDefault="00A41254" w:rsidP="00A41254">
            <w:pPr>
              <w:contextualSpacing w:val="0"/>
              <w:jc w:val="left"/>
              <w:rPr>
                <w:color w:val="000000"/>
                <w:sz w:val="17"/>
                <w:szCs w:val="17"/>
              </w:rPr>
            </w:pPr>
            <w:r w:rsidRPr="00A41254">
              <w:rPr>
                <w:color w:val="000000"/>
                <w:sz w:val="17"/>
                <w:szCs w:val="17"/>
              </w:rPr>
              <w:t>MTH01</w:t>
            </w:r>
          </w:p>
        </w:tc>
        <w:tc>
          <w:tcPr>
            <w:tcW w:w="1720" w:type="dxa"/>
            <w:tcBorders>
              <w:top w:val="nil"/>
              <w:left w:val="nil"/>
              <w:bottom w:val="nil"/>
              <w:right w:val="nil"/>
            </w:tcBorders>
            <w:shd w:val="clear" w:color="000000" w:fill="FFFFFF"/>
            <w:noWrap/>
            <w:vAlign w:val="bottom"/>
            <w:hideMark/>
          </w:tcPr>
          <w:p w14:paraId="0C573735" w14:textId="77777777" w:rsidR="00A41254" w:rsidRPr="00A41254" w:rsidRDefault="00A41254" w:rsidP="00A41254">
            <w:pPr>
              <w:contextualSpacing w:val="0"/>
              <w:jc w:val="center"/>
              <w:rPr>
                <w:color w:val="000000"/>
                <w:sz w:val="17"/>
                <w:szCs w:val="17"/>
              </w:rPr>
            </w:pPr>
            <w:r w:rsidRPr="00A41254">
              <w:rPr>
                <w:color w:val="000000"/>
                <w:sz w:val="17"/>
                <w:szCs w:val="17"/>
              </w:rPr>
              <w:t>3048</w:t>
            </w:r>
          </w:p>
        </w:tc>
        <w:tc>
          <w:tcPr>
            <w:tcW w:w="1480" w:type="dxa"/>
            <w:tcBorders>
              <w:top w:val="nil"/>
              <w:left w:val="nil"/>
              <w:bottom w:val="nil"/>
              <w:right w:val="nil"/>
            </w:tcBorders>
            <w:shd w:val="clear" w:color="000000" w:fill="FFFFFF"/>
            <w:noWrap/>
            <w:vAlign w:val="bottom"/>
            <w:hideMark/>
          </w:tcPr>
          <w:p w14:paraId="08EDA594" w14:textId="77777777" w:rsidR="00A41254" w:rsidRPr="00A41254" w:rsidRDefault="00A41254" w:rsidP="00A41254">
            <w:pPr>
              <w:contextualSpacing w:val="0"/>
              <w:jc w:val="center"/>
              <w:rPr>
                <w:color w:val="000000"/>
                <w:sz w:val="17"/>
                <w:szCs w:val="17"/>
              </w:rPr>
            </w:pPr>
            <w:r w:rsidRPr="00A41254">
              <w:rPr>
                <w:color w:val="000000"/>
                <w:sz w:val="17"/>
                <w:szCs w:val="17"/>
              </w:rPr>
              <w:t>1296.5</w:t>
            </w:r>
          </w:p>
        </w:tc>
        <w:tc>
          <w:tcPr>
            <w:tcW w:w="1420" w:type="dxa"/>
            <w:tcBorders>
              <w:top w:val="nil"/>
              <w:left w:val="nil"/>
              <w:bottom w:val="nil"/>
              <w:right w:val="nil"/>
            </w:tcBorders>
            <w:shd w:val="clear" w:color="000000" w:fill="FFFFFF"/>
            <w:noWrap/>
            <w:vAlign w:val="bottom"/>
            <w:hideMark/>
          </w:tcPr>
          <w:p w14:paraId="1FF5D085" w14:textId="77777777" w:rsidR="00A41254" w:rsidRPr="00A41254" w:rsidRDefault="00A41254" w:rsidP="00A41254">
            <w:pPr>
              <w:contextualSpacing w:val="0"/>
              <w:jc w:val="center"/>
              <w:rPr>
                <w:color w:val="000000"/>
                <w:sz w:val="17"/>
                <w:szCs w:val="17"/>
              </w:rPr>
            </w:pPr>
            <w:r w:rsidRPr="00A41254">
              <w:rPr>
                <w:color w:val="000000"/>
                <w:sz w:val="17"/>
                <w:szCs w:val="17"/>
              </w:rPr>
              <w:t>30.4</w:t>
            </w:r>
          </w:p>
        </w:tc>
        <w:tc>
          <w:tcPr>
            <w:tcW w:w="1320" w:type="dxa"/>
            <w:tcBorders>
              <w:top w:val="nil"/>
              <w:left w:val="nil"/>
              <w:bottom w:val="nil"/>
              <w:right w:val="nil"/>
            </w:tcBorders>
            <w:shd w:val="clear" w:color="000000" w:fill="FFFFFF"/>
            <w:noWrap/>
            <w:vAlign w:val="bottom"/>
            <w:hideMark/>
          </w:tcPr>
          <w:p w14:paraId="344D492C" w14:textId="77777777" w:rsidR="00A41254" w:rsidRPr="00A41254" w:rsidRDefault="00A41254" w:rsidP="00A41254">
            <w:pPr>
              <w:contextualSpacing w:val="0"/>
              <w:jc w:val="center"/>
              <w:rPr>
                <w:color w:val="000000"/>
                <w:sz w:val="17"/>
                <w:szCs w:val="17"/>
              </w:rPr>
            </w:pPr>
            <w:r w:rsidRPr="00A41254">
              <w:rPr>
                <w:color w:val="000000"/>
                <w:sz w:val="17"/>
                <w:szCs w:val="17"/>
              </w:rPr>
              <w:t>-91.5</w:t>
            </w:r>
          </w:p>
        </w:tc>
        <w:tc>
          <w:tcPr>
            <w:tcW w:w="1320" w:type="dxa"/>
            <w:tcBorders>
              <w:top w:val="nil"/>
              <w:left w:val="nil"/>
              <w:bottom w:val="nil"/>
              <w:right w:val="nil"/>
            </w:tcBorders>
            <w:shd w:val="clear" w:color="000000" w:fill="FFFFFF"/>
            <w:noWrap/>
            <w:vAlign w:val="bottom"/>
            <w:hideMark/>
          </w:tcPr>
          <w:p w14:paraId="13FCE212" w14:textId="77777777" w:rsidR="00A41254" w:rsidRPr="00A41254" w:rsidRDefault="00A41254" w:rsidP="00A41254">
            <w:pPr>
              <w:contextualSpacing w:val="0"/>
              <w:jc w:val="center"/>
              <w:rPr>
                <w:color w:val="000000"/>
                <w:sz w:val="17"/>
                <w:szCs w:val="17"/>
              </w:rPr>
            </w:pPr>
            <w:r w:rsidRPr="00A41254">
              <w:rPr>
                <w:color w:val="000000"/>
                <w:sz w:val="17"/>
                <w:szCs w:val="17"/>
              </w:rPr>
              <w:t>-47.1</w:t>
            </w:r>
          </w:p>
        </w:tc>
        <w:tc>
          <w:tcPr>
            <w:tcW w:w="1600" w:type="dxa"/>
            <w:tcBorders>
              <w:top w:val="nil"/>
              <w:left w:val="nil"/>
              <w:bottom w:val="nil"/>
              <w:right w:val="nil"/>
            </w:tcBorders>
            <w:shd w:val="clear" w:color="000000" w:fill="FFFFFF"/>
            <w:noWrap/>
            <w:vAlign w:val="bottom"/>
            <w:hideMark/>
          </w:tcPr>
          <w:p w14:paraId="67799225" w14:textId="77777777" w:rsidR="00A41254" w:rsidRPr="00A41254" w:rsidRDefault="00A41254" w:rsidP="00A41254">
            <w:pPr>
              <w:contextualSpacing w:val="0"/>
              <w:jc w:val="center"/>
              <w:rPr>
                <w:color w:val="000000"/>
                <w:sz w:val="17"/>
                <w:szCs w:val="17"/>
              </w:rPr>
            </w:pPr>
            <w:r w:rsidRPr="00A41254">
              <w:rPr>
                <w:color w:val="000000"/>
                <w:sz w:val="17"/>
                <w:szCs w:val="17"/>
              </w:rPr>
              <w:t>44.4</w:t>
            </w:r>
          </w:p>
        </w:tc>
      </w:tr>
      <w:tr w:rsidR="00A41254" w:rsidRPr="00A41254" w14:paraId="256781C1" w14:textId="77777777" w:rsidTr="00A41254">
        <w:trPr>
          <w:trHeight w:val="270"/>
        </w:trPr>
        <w:tc>
          <w:tcPr>
            <w:tcW w:w="980" w:type="dxa"/>
            <w:tcBorders>
              <w:top w:val="nil"/>
              <w:left w:val="nil"/>
              <w:bottom w:val="nil"/>
              <w:right w:val="nil"/>
            </w:tcBorders>
            <w:shd w:val="clear" w:color="000000" w:fill="FFFFFF"/>
            <w:noWrap/>
            <w:vAlign w:val="bottom"/>
            <w:hideMark/>
          </w:tcPr>
          <w:p w14:paraId="1D491D8F" w14:textId="77777777" w:rsidR="00A41254" w:rsidRPr="00A41254" w:rsidRDefault="00A41254" w:rsidP="00A41254">
            <w:pPr>
              <w:contextualSpacing w:val="0"/>
              <w:jc w:val="left"/>
              <w:rPr>
                <w:color w:val="000000"/>
                <w:sz w:val="17"/>
                <w:szCs w:val="17"/>
              </w:rPr>
            </w:pPr>
            <w:r w:rsidRPr="00A41254">
              <w:rPr>
                <w:color w:val="000000"/>
                <w:sz w:val="17"/>
                <w:szCs w:val="17"/>
              </w:rPr>
              <w:t>MTH02</w:t>
            </w:r>
          </w:p>
        </w:tc>
        <w:tc>
          <w:tcPr>
            <w:tcW w:w="1720" w:type="dxa"/>
            <w:tcBorders>
              <w:top w:val="nil"/>
              <w:left w:val="nil"/>
              <w:bottom w:val="nil"/>
              <w:right w:val="nil"/>
            </w:tcBorders>
            <w:shd w:val="clear" w:color="000000" w:fill="FFFFFF"/>
            <w:noWrap/>
            <w:vAlign w:val="bottom"/>
            <w:hideMark/>
          </w:tcPr>
          <w:p w14:paraId="18FFACC0" w14:textId="77777777" w:rsidR="00A41254" w:rsidRPr="00A41254" w:rsidRDefault="00A41254" w:rsidP="00A41254">
            <w:pPr>
              <w:contextualSpacing w:val="0"/>
              <w:jc w:val="center"/>
              <w:rPr>
                <w:color w:val="000000"/>
                <w:sz w:val="17"/>
                <w:szCs w:val="17"/>
              </w:rPr>
            </w:pPr>
            <w:r w:rsidRPr="00A41254">
              <w:rPr>
                <w:color w:val="000000"/>
                <w:sz w:val="17"/>
                <w:szCs w:val="17"/>
              </w:rPr>
              <w:t>5860</w:t>
            </w:r>
          </w:p>
        </w:tc>
        <w:tc>
          <w:tcPr>
            <w:tcW w:w="1480" w:type="dxa"/>
            <w:tcBorders>
              <w:top w:val="nil"/>
              <w:left w:val="nil"/>
              <w:bottom w:val="nil"/>
              <w:right w:val="nil"/>
            </w:tcBorders>
            <w:shd w:val="clear" w:color="000000" w:fill="FFFFFF"/>
            <w:noWrap/>
            <w:vAlign w:val="bottom"/>
            <w:hideMark/>
          </w:tcPr>
          <w:p w14:paraId="23930543" w14:textId="77777777" w:rsidR="00A41254" w:rsidRPr="00A41254" w:rsidRDefault="00A41254" w:rsidP="00A41254">
            <w:pPr>
              <w:contextualSpacing w:val="0"/>
              <w:jc w:val="center"/>
              <w:rPr>
                <w:color w:val="000000"/>
                <w:sz w:val="17"/>
                <w:szCs w:val="17"/>
              </w:rPr>
            </w:pPr>
            <w:r w:rsidRPr="00A41254">
              <w:rPr>
                <w:color w:val="000000"/>
                <w:sz w:val="17"/>
                <w:szCs w:val="17"/>
              </w:rPr>
              <w:t>1672.5</w:t>
            </w:r>
          </w:p>
        </w:tc>
        <w:tc>
          <w:tcPr>
            <w:tcW w:w="1420" w:type="dxa"/>
            <w:tcBorders>
              <w:top w:val="nil"/>
              <w:left w:val="nil"/>
              <w:bottom w:val="nil"/>
              <w:right w:val="nil"/>
            </w:tcBorders>
            <w:shd w:val="clear" w:color="000000" w:fill="FFFFFF"/>
            <w:noWrap/>
            <w:vAlign w:val="bottom"/>
            <w:hideMark/>
          </w:tcPr>
          <w:p w14:paraId="5A3DA811" w14:textId="77777777" w:rsidR="00A41254" w:rsidRPr="00A41254" w:rsidRDefault="00A41254" w:rsidP="00A41254">
            <w:pPr>
              <w:contextualSpacing w:val="0"/>
              <w:jc w:val="center"/>
              <w:rPr>
                <w:color w:val="000000"/>
                <w:sz w:val="17"/>
                <w:szCs w:val="17"/>
              </w:rPr>
            </w:pPr>
            <w:r w:rsidRPr="00A41254">
              <w:rPr>
                <w:color w:val="000000"/>
                <w:sz w:val="17"/>
                <w:szCs w:val="17"/>
              </w:rPr>
              <w:t>68.4</w:t>
            </w:r>
          </w:p>
        </w:tc>
        <w:tc>
          <w:tcPr>
            <w:tcW w:w="1320" w:type="dxa"/>
            <w:tcBorders>
              <w:top w:val="nil"/>
              <w:left w:val="nil"/>
              <w:bottom w:val="nil"/>
              <w:right w:val="nil"/>
            </w:tcBorders>
            <w:shd w:val="clear" w:color="000000" w:fill="FFFFFF"/>
            <w:noWrap/>
            <w:vAlign w:val="bottom"/>
            <w:hideMark/>
          </w:tcPr>
          <w:p w14:paraId="0A656E05" w14:textId="77777777" w:rsidR="00A41254" w:rsidRPr="00A41254" w:rsidRDefault="00A41254" w:rsidP="00A41254">
            <w:pPr>
              <w:contextualSpacing w:val="0"/>
              <w:jc w:val="center"/>
              <w:rPr>
                <w:color w:val="000000"/>
                <w:sz w:val="17"/>
                <w:szCs w:val="17"/>
              </w:rPr>
            </w:pPr>
            <w:r w:rsidRPr="00A41254">
              <w:rPr>
                <w:color w:val="000000"/>
                <w:sz w:val="17"/>
                <w:szCs w:val="17"/>
              </w:rPr>
              <w:t>-72.0</w:t>
            </w:r>
          </w:p>
        </w:tc>
        <w:tc>
          <w:tcPr>
            <w:tcW w:w="1320" w:type="dxa"/>
            <w:tcBorders>
              <w:top w:val="nil"/>
              <w:left w:val="nil"/>
              <w:bottom w:val="nil"/>
              <w:right w:val="nil"/>
            </w:tcBorders>
            <w:shd w:val="clear" w:color="000000" w:fill="FFFFFF"/>
            <w:noWrap/>
            <w:vAlign w:val="bottom"/>
            <w:hideMark/>
          </w:tcPr>
          <w:p w14:paraId="703A611F" w14:textId="77777777" w:rsidR="00A41254" w:rsidRPr="00A41254" w:rsidRDefault="00A41254" w:rsidP="00A41254">
            <w:pPr>
              <w:contextualSpacing w:val="0"/>
              <w:jc w:val="center"/>
              <w:rPr>
                <w:color w:val="000000"/>
                <w:sz w:val="17"/>
                <w:szCs w:val="17"/>
              </w:rPr>
            </w:pPr>
            <w:r w:rsidRPr="00A41254">
              <w:rPr>
                <w:color w:val="000000"/>
                <w:sz w:val="17"/>
                <w:szCs w:val="17"/>
              </w:rPr>
              <w:t>-42.6</w:t>
            </w:r>
          </w:p>
        </w:tc>
        <w:tc>
          <w:tcPr>
            <w:tcW w:w="1600" w:type="dxa"/>
            <w:tcBorders>
              <w:top w:val="nil"/>
              <w:left w:val="nil"/>
              <w:bottom w:val="nil"/>
              <w:right w:val="nil"/>
            </w:tcBorders>
            <w:shd w:val="clear" w:color="000000" w:fill="FFFFFF"/>
            <w:noWrap/>
            <w:vAlign w:val="bottom"/>
            <w:hideMark/>
          </w:tcPr>
          <w:p w14:paraId="0AACE205" w14:textId="77777777" w:rsidR="00A41254" w:rsidRPr="00A41254" w:rsidRDefault="00A41254" w:rsidP="00A41254">
            <w:pPr>
              <w:contextualSpacing w:val="0"/>
              <w:jc w:val="center"/>
              <w:rPr>
                <w:color w:val="000000"/>
                <w:sz w:val="17"/>
                <w:szCs w:val="17"/>
              </w:rPr>
            </w:pPr>
            <w:r w:rsidRPr="00A41254">
              <w:rPr>
                <w:color w:val="000000"/>
                <w:sz w:val="17"/>
                <w:szCs w:val="17"/>
              </w:rPr>
              <w:t>29.4</w:t>
            </w:r>
          </w:p>
        </w:tc>
      </w:tr>
      <w:tr w:rsidR="00A41254" w:rsidRPr="00A41254" w14:paraId="62DEFBED" w14:textId="77777777" w:rsidTr="00A41254">
        <w:trPr>
          <w:trHeight w:val="270"/>
        </w:trPr>
        <w:tc>
          <w:tcPr>
            <w:tcW w:w="980" w:type="dxa"/>
            <w:tcBorders>
              <w:top w:val="nil"/>
              <w:left w:val="nil"/>
              <w:bottom w:val="nil"/>
              <w:right w:val="nil"/>
            </w:tcBorders>
            <w:shd w:val="clear" w:color="000000" w:fill="FFFFFF"/>
            <w:noWrap/>
            <w:vAlign w:val="bottom"/>
            <w:hideMark/>
          </w:tcPr>
          <w:p w14:paraId="0EE99BD6" w14:textId="77777777" w:rsidR="00A41254" w:rsidRPr="00A41254" w:rsidRDefault="00A41254" w:rsidP="00A41254">
            <w:pPr>
              <w:contextualSpacing w:val="0"/>
              <w:jc w:val="left"/>
              <w:rPr>
                <w:color w:val="000000"/>
                <w:sz w:val="17"/>
                <w:szCs w:val="17"/>
              </w:rPr>
            </w:pPr>
            <w:r w:rsidRPr="00A41254">
              <w:rPr>
                <w:color w:val="000000"/>
                <w:sz w:val="17"/>
                <w:szCs w:val="17"/>
              </w:rPr>
              <w:t>MTH03</w:t>
            </w:r>
          </w:p>
        </w:tc>
        <w:tc>
          <w:tcPr>
            <w:tcW w:w="1720" w:type="dxa"/>
            <w:tcBorders>
              <w:top w:val="nil"/>
              <w:left w:val="nil"/>
              <w:bottom w:val="nil"/>
              <w:right w:val="nil"/>
            </w:tcBorders>
            <w:shd w:val="clear" w:color="000000" w:fill="FFFFFF"/>
            <w:noWrap/>
            <w:vAlign w:val="bottom"/>
            <w:hideMark/>
          </w:tcPr>
          <w:p w14:paraId="330C2899" w14:textId="77777777" w:rsidR="00A41254" w:rsidRPr="00A41254" w:rsidRDefault="00A41254" w:rsidP="00A41254">
            <w:pPr>
              <w:contextualSpacing w:val="0"/>
              <w:jc w:val="center"/>
              <w:rPr>
                <w:color w:val="000000"/>
                <w:sz w:val="17"/>
                <w:szCs w:val="17"/>
              </w:rPr>
            </w:pPr>
            <w:r w:rsidRPr="00A41254">
              <w:rPr>
                <w:color w:val="000000"/>
                <w:sz w:val="17"/>
                <w:szCs w:val="17"/>
              </w:rPr>
              <w:t>3048</w:t>
            </w:r>
          </w:p>
        </w:tc>
        <w:tc>
          <w:tcPr>
            <w:tcW w:w="1480" w:type="dxa"/>
            <w:tcBorders>
              <w:top w:val="nil"/>
              <w:left w:val="nil"/>
              <w:bottom w:val="nil"/>
              <w:right w:val="nil"/>
            </w:tcBorders>
            <w:shd w:val="clear" w:color="000000" w:fill="FFFFFF"/>
            <w:noWrap/>
            <w:vAlign w:val="bottom"/>
            <w:hideMark/>
          </w:tcPr>
          <w:p w14:paraId="747E56D6" w14:textId="77777777" w:rsidR="00A41254" w:rsidRPr="00A41254" w:rsidRDefault="00A41254" w:rsidP="00A41254">
            <w:pPr>
              <w:contextualSpacing w:val="0"/>
              <w:jc w:val="center"/>
              <w:rPr>
                <w:color w:val="000000"/>
                <w:sz w:val="17"/>
                <w:szCs w:val="17"/>
              </w:rPr>
            </w:pPr>
            <w:r w:rsidRPr="00A41254">
              <w:rPr>
                <w:color w:val="000000"/>
                <w:sz w:val="17"/>
                <w:szCs w:val="17"/>
              </w:rPr>
              <w:t>1584.7</w:t>
            </w:r>
          </w:p>
        </w:tc>
        <w:tc>
          <w:tcPr>
            <w:tcW w:w="1420" w:type="dxa"/>
            <w:tcBorders>
              <w:top w:val="nil"/>
              <w:left w:val="nil"/>
              <w:bottom w:val="nil"/>
              <w:right w:val="nil"/>
            </w:tcBorders>
            <w:shd w:val="clear" w:color="000000" w:fill="FFFFFF"/>
            <w:noWrap/>
            <w:vAlign w:val="bottom"/>
            <w:hideMark/>
          </w:tcPr>
          <w:p w14:paraId="2DD6471B" w14:textId="77777777" w:rsidR="00A41254" w:rsidRPr="00A41254" w:rsidRDefault="00A41254" w:rsidP="00A41254">
            <w:pPr>
              <w:contextualSpacing w:val="0"/>
              <w:jc w:val="center"/>
              <w:rPr>
                <w:color w:val="000000"/>
                <w:sz w:val="17"/>
                <w:szCs w:val="17"/>
              </w:rPr>
            </w:pPr>
            <w:r w:rsidRPr="00A41254">
              <w:rPr>
                <w:color w:val="000000"/>
                <w:sz w:val="17"/>
                <w:szCs w:val="17"/>
              </w:rPr>
              <w:t>54.5</w:t>
            </w:r>
          </w:p>
        </w:tc>
        <w:tc>
          <w:tcPr>
            <w:tcW w:w="1320" w:type="dxa"/>
            <w:tcBorders>
              <w:top w:val="nil"/>
              <w:left w:val="nil"/>
              <w:bottom w:val="nil"/>
              <w:right w:val="nil"/>
            </w:tcBorders>
            <w:shd w:val="clear" w:color="000000" w:fill="FFFFFF"/>
            <w:noWrap/>
            <w:vAlign w:val="bottom"/>
            <w:hideMark/>
          </w:tcPr>
          <w:p w14:paraId="107297ED" w14:textId="77777777" w:rsidR="00A41254" w:rsidRPr="00A41254" w:rsidRDefault="00A41254" w:rsidP="00A41254">
            <w:pPr>
              <w:contextualSpacing w:val="0"/>
              <w:jc w:val="center"/>
              <w:rPr>
                <w:color w:val="000000"/>
                <w:sz w:val="17"/>
                <w:szCs w:val="17"/>
              </w:rPr>
            </w:pPr>
            <w:r w:rsidRPr="00A41254">
              <w:rPr>
                <w:color w:val="000000"/>
                <w:sz w:val="17"/>
                <w:szCs w:val="17"/>
              </w:rPr>
              <w:t>-93.2</w:t>
            </w:r>
          </w:p>
        </w:tc>
        <w:tc>
          <w:tcPr>
            <w:tcW w:w="1320" w:type="dxa"/>
            <w:tcBorders>
              <w:top w:val="nil"/>
              <w:left w:val="nil"/>
              <w:bottom w:val="nil"/>
              <w:right w:val="nil"/>
            </w:tcBorders>
            <w:shd w:val="clear" w:color="000000" w:fill="FFFFFF"/>
            <w:noWrap/>
            <w:vAlign w:val="bottom"/>
            <w:hideMark/>
          </w:tcPr>
          <w:p w14:paraId="173B0CA8" w14:textId="77777777" w:rsidR="00A41254" w:rsidRPr="00A41254" w:rsidRDefault="00A41254" w:rsidP="00A41254">
            <w:pPr>
              <w:contextualSpacing w:val="0"/>
              <w:jc w:val="center"/>
              <w:rPr>
                <w:color w:val="000000"/>
                <w:sz w:val="17"/>
                <w:szCs w:val="17"/>
              </w:rPr>
            </w:pPr>
            <w:r w:rsidRPr="00A41254">
              <w:rPr>
                <w:color w:val="000000"/>
                <w:sz w:val="17"/>
                <w:szCs w:val="17"/>
              </w:rPr>
              <w:t>-48.6</w:t>
            </w:r>
          </w:p>
        </w:tc>
        <w:tc>
          <w:tcPr>
            <w:tcW w:w="1600" w:type="dxa"/>
            <w:tcBorders>
              <w:top w:val="nil"/>
              <w:left w:val="nil"/>
              <w:bottom w:val="nil"/>
              <w:right w:val="nil"/>
            </w:tcBorders>
            <w:shd w:val="clear" w:color="000000" w:fill="FFFFFF"/>
            <w:noWrap/>
            <w:vAlign w:val="bottom"/>
            <w:hideMark/>
          </w:tcPr>
          <w:p w14:paraId="4F614D4A" w14:textId="77777777" w:rsidR="00A41254" w:rsidRPr="00A41254" w:rsidRDefault="00A41254" w:rsidP="00A41254">
            <w:pPr>
              <w:contextualSpacing w:val="0"/>
              <w:jc w:val="center"/>
              <w:rPr>
                <w:color w:val="000000"/>
                <w:sz w:val="17"/>
                <w:szCs w:val="17"/>
              </w:rPr>
            </w:pPr>
            <w:r w:rsidRPr="00A41254">
              <w:rPr>
                <w:color w:val="000000"/>
                <w:sz w:val="17"/>
                <w:szCs w:val="17"/>
              </w:rPr>
              <w:t>44.5</w:t>
            </w:r>
          </w:p>
        </w:tc>
      </w:tr>
      <w:tr w:rsidR="00A41254" w:rsidRPr="00A41254" w14:paraId="79EEFAA4" w14:textId="77777777" w:rsidTr="00A41254">
        <w:trPr>
          <w:trHeight w:val="270"/>
        </w:trPr>
        <w:tc>
          <w:tcPr>
            <w:tcW w:w="980" w:type="dxa"/>
            <w:tcBorders>
              <w:top w:val="nil"/>
              <w:left w:val="nil"/>
              <w:bottom w:val="nil"/>
              <w:right w:val="nil"/>
            </w:tcBorders>
            <w:shd w:val="clear" w:color="000000" w:fill="FFFFFF"/>
            <w:noWrap/>
            <w:vAlign w:val="bottom"/>
            <w:hideMark/>
          </w:tcPr>
          <w:p w14:paraId="1F73B074" w14:textId="77777777" w:rsidR="00A41254" w:rsidRPr="00A41254" w:rsidRDefault="00A41254" w:rsidP="00A41254">
            <w:pPr>
              <w:contextualSpacing w:val="0"/>
              <w:jc w:val="left"/>
              <w:rPr>
                <w:color w:val="000000"/>
                <w:sz w:val="17"/>
                <w:szCs w:val="17"/>
              </w:rPr>
            </w:pPr>
            <w:r w:rsidRPr="00A41254">
              <w:rPr>
                <w:color w:val="000000"/>
                <w:sz w:val="17"/>
                <w:szCs w:val="17"/>
              </w:rPr>
              <w:t>MTH04</w:t>
            </w:r>
          </w:p>
        </w:tc>
        <w:tc>
          <w:tcPr>
            <w:tcW w:w="1720" w:type="dxa"/>
            <w:tcBorders>
              <w:top w:val="nil"/>
              <w:left w:val="nil"/>
              <w:bottom w:val="nil"/>
              <w:right w:val="nil"/>
            </w:tcBorders>
            <w:shd w:val="clear" w:color="000000" w:fill="FFFFFF"/>
            <w:noWrap/>
            <w:vAlign w:val="bottom"/>
            <w:hideMark/>
          </w:tcPr>
          <w:p w14:paraId="3445278F" w14:textId="77777777" w:rsidR="00A41254" w:rsidRPr="00A41254" w:rsidRDefault="00A41254" w:rsidP="00A41254">
            <w:pPr>
              <w:contextualSpacing w:val="0"/>
              <w:jc w:val="center"/>
              <w:rPr>
                <w:color w:val="000000"/>
                <w:sz w:val="17"/>
                <w:szCs w:val="17"/>
              </w:rPr>
            </w:pPr>
            <w:r w:rsidRPr="00A41254">
              <w:rPr>
                <w:color w:val="000000"/>
                <w:sz w:val="17"/>
                <w:szCs w:val="17"/>
              </w:rPr>
              <w:t>3371</w:t>
            </w:r>
          </w:p>
        </w:tc>
        <w:tc>
          <w:tcPr>
            <w:tcW w:w="1480" w:type="dxa"/>
            <w:tcBorders>
              <w:top w:val="nil"/>
              <w:left w:val="nil"/>
              <w:bottom w:val="nil"/>
              <w:right w:val="nil"/>
            </w:tcBorders>
            <w:shd w:val="clear" w:color="000000" w:fill="FFFFFF"/>
            <w:noWrap/>
            <w:vAlign w:val="bottom"/>
            <w:hideMark/>
          </w:tcPr>
          <w:p w14:paraId="5C0B757C" w14:textId="77777777" w:rsidR="00A41254" w:rsidRPr="00A41254" w:rsidRDefault="00A41254" w:rsidP="00A41254">
            <w:pPr>
              <w:contextualSpacing w:val="0"/>
              <w:jc w:val="center"/>
              <w:rPr>
                <w:color w:val="000000"/>
                <w:sz w:val="17"/>
                <w:szCs w:val="17"/>
              </w:rPr>
            </w:pPr>
            <w:r w:rsidRPr="00A41254">
              <w:rPr>
                <w:color w:val="000000"/>
                <w:sz w:val="17"/>
                <w:szCs w:val="17"/>
              </w:rPr>
              <w:t>1593.1</w:t>
            </w:r>
          </w:p>
        </w:tc>
        <w:tc>
          <w:tcPr>
            <w:tcW w:w="1420" w:type="dxa"/>
            <w:tcBorders>
              <w:top w:val="nil"/>
              <w:left w:val="nil"/>
              <w:bottom w:val="nil"/>
              <w:right w:val="nil"/>
            </w:tcBorders>
            <w:shd w:val="clear" w:color="000000" w:fill="FFFFFF"/>
            <w:noWrap/>
            <w:vAlign w:val="bottom"/>
            <w:hideMark/>
          </w:tcPr>
          <w:p w14:paraId="3EA6FC66" w14:textId="77777777" w:rsidR="00A41254" w:rsidRPr="00A41254" w:rsidRDefault="00A41254" w:rsidP="00A41254">
            <w:pPr>
              <w:contextualSpacing w:val="0"/>
              <w:jc w:val="center"/>
              <w:rPr>
                <w:color w:val="000000"/>
                <w:sz w:val="17"/>
                <w:szCs w:val="17"/>
              </w:rPr>
            </w:pPr>
            <w:r w:rsidRPr="00A41254">
              <w:rPr>
                <w:color w:val="000000"/>
                <w:sz w:val="17"/>
                <w:szCs w:val="17"/>
              </w:rPr>
              <w:t>57.7</w:t>
            </w:r>
          </w:p>
        </w:tc>
        <w:tc>
          <w:tcPr>
            <w:tcW w:w="1320" w:type="dxa"/>
            <w:tcBorders>
              <w:top w:val="nil"/>
              <w:left w:val="nil"/>
              <w:bottom w:val="nil"/>
              <w:right w:val="nil"/>
            </w:tcBorders>
            <w:shd w:val="clear" w:color="000000" w:fill="FFFFFF"/>
            <w:noWrap/>
            <w:vAlign w:val="bottom"/>
            <w:hideMark/>
          </w:tcPr>
          <w:p w14:paraId="272DB38B" w14:textId="77777777" w:rsidR="00A41254" w:rsidRPr="00A41254" w:rsidRDefault="00A41254" w:rsidP="00A41254">
            <w:pPr>
              <w:contextualSpacing w:val="0"/>
              <w:jc w:val="center"/>
              <w:rPr>
                <w:color w:val="000000"/>
                <w:sz w:val="17"/>
                <w:szCs w:val="17"/>
              </w:rPr>
            </w:pPr>
            <w:r w:rsidRPr="00A41254">
              <w:rPr>
                <w:color w:val="000000"/>
                <w:sz w:val="17"/>
                <w:szCs w:val="17"/>
              </w:rPr>
              <w:t>-54.3</w:t>
            </w:r>
          </w:p>
        </w:tc>
        <w:tc>
          <w:tcPr>
            <w:tcW w:w="1320" w:type="dxa"/>
            <w:tcBorders>
              <w:top w:val="nil"/>
              <w:left w:val="nil"/>
              <w:bottom w:val="nil"/>
              <w:right w:val="nil"/>
            </w:tcBorders>
            <w:shd w:val="clear" w:color="000000" w:fill="FFFFFF"/>
            <w:noWrap/>
            <w:vAlign w:val="bottom"/>
            <w:hideMark/>
          </w:tcPr>
          <w:p w14:paraId="1F4D90D9" w14:textId="77777777" w:rsidR="00A41254" w:rsidRPr="00A41254" w:rsidRDefault="00A41254" w:rsidP="00A41254">
            <w:pPr>
              <w:contextualSpacing w:val="0"/>
              <w:jc w:val="center"/>
              <w:rPr>
                <w:color w:val="000000"/>
                <w:sz w:val="17"/>
                <w:szCs w:val="17"/>
              </w:rPr>
            </w:pPr>
            <w:r w:rsidRPr="00A41254">
              <w:rPr>
                <w:color w:val="000000"/>
                <w:sz w:val="17"/>
                <w:szCs w:val="17"/>
              </w:rPr>
              <w:t>-17.3</w:t>
            </w:r>
          </w:p>
        </w:tc>
        <w:tc>
          <w:tcPr>
            <w:tcW w:w="1600" w:type="dxa"/>
            <w:tcBorders>
              <w:top w:val="nil"/>
              <w:left w:val="nil"/>
              <w:bottom w:val="nil"/>
              <w:right w:val="nil"/>
            </w:tcBorders>
            <w:shd w:val="clear" w:color="000000" w:fill="FFFFFF"/>
            <w:noWrap/>
            <w:vAlign w:val="bottom"/>
            <w:hideMark/>
          </w:tcPr>
          <w:p w14:paraId="7DBA94E4" w14:textId="77777777" w:rsidR="00A41254" w:rsidRPr="00A41254" w:rsidRDefault="00A41254" w:rsidP="00A41254">
            <w:pPr>
              <w:contextualSpacing w:val="0"/>
              <w:jc w:val="center"/>
              <w:rPr>
                <w:color w:val="000000"/>
                <w:sz w:val="17"/>
                <w:szCs w:val="17"/>
              </w:rPr>
            </w:pPr>
            <w:r w:rsidRPr="00A41254">
              <w:rPr>
                <w:color w:val="000000"/>
                <w:sz w:val="17"/>
                <w:szCs w:val="17"/>
              </w:rPr>
              <w:t>37.0</w:t>
            </w:r>
          </w:p>
        </w:tc>
      </w:tr>
      <w:tr w:rsidR="00A41254" w:rsidRPr="00A41254" w14:paraId="1A39151F" w14:textId="77777777" w:rsidTr="00A41254">
        <w:trPr>
          <w:trHeight w:val="270"/>
        </w:trPr>
        <w:tc>
          <w:tcPr>
            <w:tcW w:w="980" w:type="dxa"/>
            <w:tcBorders>
              <w:top w:val="nil"/>
              <w:left w:val="nil"/>
              <w:bottom w:val="nil"/>
              <w:right w:val="nil"/>
            </w:tcBorders>
            <w:shd w:val="clear" w:color="000000" w:fill="FFFFFF"/>
            <w:noWrap/>
            <w:vAlign w:val="bottom"/>
            <w:hideMark/>
          </w:tcPr>
          <w:p w14:paraId="601263AE" w14:textId="77777777" w:rsidR="00A41254" w:rsidRPr="00A41254" w:rsidRDefault="00A41254" w:rsidP="00A41254">
            <w:pPr>
              <w:contextualSpacing w:val="0"/>
              <w:jc w:val="left"/>
              <w:rPr>
                <w:color w:val="000000"/>
                <w:sz w:val="17"/>
                <w:szCs w:val="17"/>
              </w:rPr>
            </w:pPr>
            <w:r w:rsidRPr="00A41254">
              <w:rPr>
                <w:color w:val="000000"/>
                <w:sz w:val="17"/>
                <w:szCs w:val="17"/>
              </w:rPr>
              <w:t>MTH05</w:t>
            </w:r>
          </w:p>
        </w:tc>
        <w:tc>
          <w:tcPr>
            <w:tcW w:w="1720" w:type="dxa"/>
            <w:tcBorders>
              <w:top w:val="nil"/>
              <w:left w:val="nil"/>
              <w:bottom w:val="nil"/>
              <w:right w:val="nil"/>
            </w:tcBorders>
            <w:shd w:val="clear" w:color="000000" w:fill="FFFFFF"/>
            <w:noWrap/>
            <w:vAlign w:val="bottom"/>
            <w:hideMark/>
          </w:tcPr>
          <w:p w14:paraId="3C86FF06" w14:textId="77777777" w:rsidR="00A41254" w:rsidRPr="00A41254" w:rsidRDefault="00A41254" w:rsidP="00A41254">
            <w:pPr>
              <w:contextualSpacing w:val="0"/>
              <w:jc w:val="center"/>
              <w:rPr>
                <w:color w:val="000000"/>
                <w:sz w:val="17"/>
                <w:szCs w:val="17"/>
              </w:rPr>
            </w:pPr>
            <w:r w:rsidRPr="00A41254">
              <w:rPr>
                <w:color w:val="000000"/>
                <w:sz w:val="17"/>
                <w:szCs w:val="17"/>
              </w:rPr>
              <w:t>3371</w:t>
            </w:r>
          </w:p>
        </w:tc>
        <w:tc>
          <w:tcPr>
            <w:tcW w:w="1480" w:type="dxa"/>
            <w:tcBorders>
              <w:top w:val="nil"/>
              <w:left w:val="nil"/>
              <w:bottom w:val="nil"/>
              <w:right w:val="nil"/>
            </w:tcBorders>
            <w:shd w:val="clear" w:color="000000" w:fill="FFFFFF"/>
            <w:noWrap/>
            <w:vAlign w:val="bottom"/>
            <w:hideMark/>
          </w:tcPr>
          <w:p w14:paraId="21F269D7" w14:textId="77777777" w:rsidR="00A41254" w:rsidRPr="00A41254" w:rsidRDefault="00A41254" w:rsidP="00A41254">
            <w:pPr>
              <w:contextualSpacing w:val="0"/>
              <w:jc w:val="center"/>
              <w:rPr>
                <w:color w:val="000000"/>
                <w:sz w:val="17"/>
                <w:szCs w:val="17"/>
              </w:rPr>
            </w:pPr>
            <w:r w:rsidRPr="00A41254">
              <w:rPr>
                <w:color w:val="000000"/>
                <w:sz w:val="17"/>
                <w:szCs w:val="17"/>
              </w:rPr>
              <w:t>1398</w:t>
            </w:r>
          </w:p>
        </w:tc>
        <w:tc>
          <w:tcPr>
            <w:tcW w:w="1420" w:type="dxa"/>
            <w:tcBorders>
              <w:top w:val="nil"/>
              <w:left w:val="nil"/>
              <w:bottom w:val="nil"/>
              <w:right w:val="nil"/>
            </w:tcBorders>
            <w:shd w:val="clear" w:color="000000" w:fill="FFFFFF"/>
            <w:noWrap/>
            <w:vAlign w:val="bottom"/>
            <w:hideMark/>
          </w:tcPr>
          <w:p w14:paraId="6BD31CB8" w14:textId="77777777" w:rsidR="00A41254" w:rsidRPr="00A41254" w:rsidRDefault="00A41254" w:rsidP="00A41254">
            <w:pPr>
              <w:contextualSpacing w:val="0"/>
              <w:jc w:val="center"/>
              <w:rPr>
                <w:color w:val="000000"/>
                <w:sz w:val="17"/>
                <w:szCs w:val="17"/>
              </w:rPr>
            </w:pPr>
            <w:r w:rsidRPr="00A41254">
              <w:rPr>
                <w:color w:val="000000"/>
                <w:sz w:val="17"/>
                <w:szCs w:val="17"/>
              </w:rPr>
              <w:t>52.8</w:t>
            </w:r>
          </w:p>
        </w:tc>
        <w:tc>
          <w:tcPr>
            <w:tcW w:w="1320" w:type="dxa"/>
            <w:tcBorders>
              <w:top w:val="nil"/>
              <w:left w:val="nil"/>
              <w:bottom w:val="nil"/>
              <w:right w:val="nil"/>
            </w:tcBorders>
            <w:shd w:val="clear" w:color="000000" w:fill="FFFFFF"/>
            <w:noWrap/>
            <w:vAlign w:val="bottom"/>
            <w:hideMark/>
          </w:tcPr>
          <w:p w14:paraId="1D01A0DA" w14:textId="77777777" w:rsidR="00A41254" w:rsidRPr="00A41254" w:rsidRDefault="00A41254" w:rsidP="00A41254">
            <w:pPr>
              <w:contextualSpacing w:val="0"/>
              <w:jc w:val="center"/>
              <w:rPr>
                <w:color w:val="000000"/>
                <w:sz w:val="17"/>
                <w:szCs w:val="17"/>
              </w:rPr>
            </w:pPr>
            <w:r w:rsidRPr="00A41254">
              <w:rPr>
                <w:color w:val="000000"/>
                <w:sz w:val="17"/>
                <w:szCs w:val="17"/>
              </w:rPr>
              <w:t>-79.3</w:t>
            </w:r>
          </w:p>
        </w:tc>
        <w:tc>
          <w:tcPr>
            <w:tcW w:w="1320" w:type="dxa"/>
            <w:tcBorders>
              <w:top w:val="nil"/>
              <w:left w:val="nil"/>
              <w:bottom w:val="nil"/>
              <w:right w:val="nil"/>
            </w:tcBorders>
            <w:shd w:val="clear" w:color="000000" w:fill="FFFFFF"/>
            <w:noWrap/>
            <w:vAlign w:val="bottom"/>
            <w:hideMark/>
          </w:tcPr>
          <w:p w14:paraId="62849526" w14:textId="77777777" w:rsidR="00A41254" w:rsidRPr="00A41254" w:rsidRDefault="00A41254" w:rsidP="00A41254">
            <w:pPr>
              <w:contextualSpacing w:val="0"/>
              <w:jc w:val="center"/>
              <w:rPr>
                <w:color w:val="000000"/>
                <w:sz w:val="17"/>
                <w:szCs w:val="17"/>
              </w:rPr>
            </w:pPr>
            <w:r w:rsidRPr="00A41254">
              <w:rPr>
                <w:color w:val="000000"/>
                <w:sz w:val="17"/>
                <w:szCs w:val="17"/>
              </w:rPr>
              <w:t>-41.7</w:t>
            </w:r>
          </w:p>
        </w:tc>
        <w:tc>
          <w:tcPr>
            <w:tcW w:w="1600" w:type="dxa"/>
            <w:tcBorders>
              <w:top w:val="nil"/>
              <w:left w:val="nil"/>
              <w:bottom w:val="nil"/>
              <w:right w:val="nil"/>
            </w:tcBorders>
            <w:shd w:val="clear" w:color="000000" w:fill="FFFFFF"/>
            <w:noWrap/>
            <w:vAlign w:val="bottom"/>
            <w:hideMark/>
          </w:tcPr>
          <w:p w14:paraId="135AB75D" w14:textId="77777777" w:rsidR="00A41254" w:rsidRPr="00A41254" w:rsidRDefault="00A41254" w:rsidP="00A41254">
            <w:pPr>
              <w:contextualSpacing w:val="0"/>
              <w:jc w:val="center"/>
              <w:rPr>
                <w:color w:val="000000"/>
                <w:sz w:val="17"/>
                <w:szCs w:val="17"/>
              </w:rPr>
            </w:pPr>
            <w:r w:rsidRPr="00A41254">
              <w:rPr>
                <w:color w:val="000000"/>
                <w:sz w:val="17"/>
                <w:szCs w:val="17"/>
              </w:rPr>
              <w:t>37.5</w:t>
            </w:r>
          </w:p>
        </w:tc>
      </w:tr>
      <w:tr w:rsidR="00A41254" w:rsidRPr="00A41254" w14:paraId="3412D03E" w14:textId="77777777" w:rsidTr="00A41254">
        <w:trPr>
          <w:trHeight w:val="270"/>
        </w:trPr>
        <w:tc>
          <w:tcPr>
            <w:tcW w:w="980" w:type="dxa"/>
            <w:tcBorders>
              <w:top w:val="nil"/>
              <w:left w:val="nil"/>
              <w:bottom w:val="nil"/>
              <w:right w:val="nil"/>
            </w:tcBorders>
            <w:shd w:val="clear" w:color="000000" w:fill="FFFFFF"/>
            <w:noWrap/>
            <w:vAlign w:val="bottom"/>
            <w:hideMark/>
          </w:tcPr>
          <w:p w14:paraId="1AEC11CB" w14:textId="77777777" w:rsidR="00A41254" w:rsidRPr="00A41254" w:rsidRDefault="00A41254" w:rsidP="00A41254">
            <w:pPr>
              <w:contextualSpacing w:val="0"/>
              <w:jc w:val="left"/>
              <w:rPr>
                <w:color w:val="000000"/>
                <w:sz w:val="17"/>
                <w:szCs w:val="17"/>
              </w:rPr>
            </w:pPr>
            <w:r w:rsidRPr="00A41254">
              <w:rPr>
                <w:color w:val="000000"/>
                <w:sz w:val="17"/>
                <w:szCs w:val="17"/>
              </w:rPr>
              <w:t>MTH06</w:t>
            </w:r>
          </w:p>
        </w:tc>
        <w:tc>
          <w:tcPr>
            <w:tcW w:w="1720" w:type="dxa"/>
            <w:tcBorders>
              <w:top w:val="nil"/>
              <w:left w:val="nil"/>
              <w:bottom w:val="nil"/>
              <w:right w:val="nil"/>
            </w:tcBorders>
            <w:shd w:val="clear" w:color="000000" w:fill="FFFFFF"/>
            <w:noWrap/>
            <w:vAlign w:val="bottom"/>
            <w:hideMark/>
          </w:tcPr>
          <w:p w14:paraId="6D734FD1" w14:textId="77777777" w:rsidR="00A41254" w:rsidRPr="00A41254" w:rsidRDefault="00A41254" w:rsidP="00A41254">
            <w:pPr>
              <w:contextualSpacing w:val="0"/>
              <w:jc w:val="center"/>
              <w:rPr>
                <w:color w:val="000000"/>
                <w:sz w:val="17"/>
                <w:szCs w:val="17"/>
              </w:rPr>
            </w:pPr>
            <w:r w:rsidRPr="00A41254">
              <w:rPr>
                <w:color w:val="000000"/>
                <w:sz w:val="17"/>
                <w:szCs w:val="17"/>
              </w:rPr>
              <w:t>3371</w:t>
            </w:r>
          </w:p>
        </w:tc>
        <w:tc>
          <w:tcPr>
            <w:tcW w:w="1480" w:type="dxa"/>
            <w:tcBorders>
              <w:top w:val="nil"/>
              <w:left w:val="nil"/>
              <w:bottom w:val="nil"/>
              <w:right w:val="nil"/>
            </w:tcBorders>
            <w:shd w:val="clear" w:color="000000" w:fill="FFFFFF"/>
            <w:noWrap/>
            <w:vAlign w:val="bottom"/>
            <w:hideMark/>
          </w:tcPr>
          <w:p w14:paraId="7BC9F22B" w14:textId="77777777" w:rsidR="00A41254" w:rsidRPr="00A41254" w:rsidRDefault="00A41254" w:rsidP="00A41254">
            <w:pPr>
              <w:contextualSpacing w:val="0"/>
              <w:jc w:val="center"/>
              <w:rPr>
                <w:color w:val="000000"/>
                <w:sz w:val="17"/>
                <w:szCs w:val="17"/>
              </w:rPr>
            </w:pPr>
            <w:r w:rsidRPr="00A41254">
              <w:rPr>
                <w:color w:val="000000"/>
                <w:sz w:val="17"/>
                <w:szCs w:val="17"/>
              </w:rPr>
              <w:t>1294.7</w:t>
            </w:r>
          </w:p>
        </w:tc>
        <w:tc>
          <w:tcPr>
            <w:tcW w:w="1420" w:type="dxa"/>
            <w:tcBorders>
              <w:top w:val="nil"/>
              <w:left w:val="nil"/>
              <w:bottom w:val="nil"/>
              <w:right w:val="nil"/>
            </w:tcBorders>
            <w:shd w:val="clear" w:color="000000" w:fill="FFFFFF"/>
            <w:noWrap/>
            <w:vAlign w:val="bottom"/>
            <w:hideMark/>
          </w:tcPr>
          <w:p w14:paraId="0D5C5588" w14:textId="77777777" w:rsidR="00A41254" w:rsidRPr="00A41254" w:rsidRDefault="00A41254" w:rsidP="00A41254">
            <w:pPr>
              <w:contextualSpacing w:val="0"/>
              <w:jc w:val="center"/>
              <w:rPr>
                <w:color w:val="000000"/>
                <w:sz w:val="17"/>
                <w:szCs w:val="17"/>
              </w:rPr>
            </w:pPr>
            <w:r w:rsidRPr="00A41254">
              <w:rPr>
                <w:color w:val="000000"/>
                <w:sz w:val="17"/>
                <w:szCs w:val="17"/>
              </w:rPr>
              <w:t>42.4</w:t>
            </w:r>
          </w:p>
        </w:tc>
        <w:tc>
          <w:tcPr>
            <w:tcW w:w="1320" w:type="dxa"/>
            <w:tcBorders>
              <w:top w:val="nil"/>
              <w:left w:val="nil"/>
              <w:bottom w:val="nil"/>
              <w:right w:val="nil"/>
            </w:tcBorders>
            <w:shd w:val="clear" w:color="000000" w:fill="FFFFFF"/>
            <w:noWrap/>
            <w:vAlign w:val="bottom"/>
            <w:hideMark/>
          </w:tcPr>
          <w:p w14:paraId="2A4A0A44" w14:textId="77777777" w:rsidR="00A41254" w:rsidRPr="00A41254" w:rsidRDefault="00A41254" w:rsidP="00A41254">
            <w:pPr>
              <w:contextualSpacing w:val="0"/>
              <w:jc w:val="center"/>
              <w:rPr>
                <w:color w:val="000000"/>
                <w:sz w:val="17"/>
                <w:szCs w:val="17"/>
              </w:rPr>
            </w:pPr>
            <w:r w:rsidRPr="00A41254">
              <w:rPr>
                <w:color w:val="000000"/>
                <w:sz w:val="17"/>
                <w:szCs w:val="17"/>
              </w:rPr>
              <w:t>-74.3</w:t>
            </w:r>
          </w:p>
        </w:tc>
        <w:tc>
          <w:tcPr>
            <w:tcW w:w="1320" w:type="dxa"/>
            <w:tcBorders>
              <w:top w:val="nil"/>
              <w:left w:val="nil"/>
              <w:bottom w:val="nil"/>
              <w:right w:val="nil"/>
            </w:tcBorders>
            <w:shd w:val="clear" w:color="000000" w:fill="FFFFFF"/>
            <w:noWrap/>
            <w:vAlign w:val="bottom"/>
            <w:hideMark/>
          </w:tcPr>
          <w:p w14:paraId="75788D98" w14:textId="77777777" w:rsidR="00A41254" w:rsidRPr="00A41254" w:rsidRDefault="00A41254" w:rsidP="00A41254">
            <w:pPr>
              <w:contextualSpacing w:val="0"/>
              <w:jc w:val="center"/>
              <w:rPr>
                <w:color w:val="000000"/>
                <w:sz w:val="17"/>
                <w:szCs w:val="17"/>
              </w:rPr>
            </w:pPr>
            <w:r w:rsidRPr="00A41254">
              <w:rPr>
                <w:color w:val="000000"/>
                <w:sz w:val="17"/>
                <w:szCs w:val="17"/>
              </w:rPr>
              <w:t>-37.3</w:t>
            </w:r>
          </w:p>
        </w:tc>
        <w:tc>
          <w:tcPr>
            <w:tcW w:w="1600" w:type="dxa"/>
            <w:tcBorders>
              <w:top w:val="nil"/>
              <w:left w:val="nil"/>
              <w:bottom w:val="nil"/>
              <w:right w:val="nil"/>
            </w:tcBorders>
            <w:shd w:val="clear" w:color="000000" w:fill="FFFFFF"/>
            <w:noWrap/>
            <w:vAlign w:val="bottom"/>
            <w:hideMark/>
          </w:tcPr>
          <w:p w14:paraId="2CDCF795" w14:textId="77777777" w:rsidR="00A41254" w:rsidRPr="00A41254" w:rsidRDefault="00A41254" w:rsidP="00A41254">
            <w:pPr>
              <w:contextualSpacing w:val="0"/>
              <w:jc w:val="center"/>
              <w:rPr>
                <w:color w:val="000000"/>
                <w:sz w:val="17"/>
                <w:szCs w:val="17"/>
              </w:rPr>
            </w:pPr>
            <w:r w:rsidRPr="00A41254">
              <w:rPr>
                <w:color w:val="000000"/>
                <w:sz w:val="17"/>
                <w:szCs w:val="17"/>
              </w:rPr>
              <w:t>37.0</w:t>
            </w:r>
          </w:p>
        </w:tc>
      </w:tr>
      <w:tr w:rsidR="00A41254" w:rsidRPr="00A41254" w14:paraId="40FB2EFB" w14:textId="77777777" w:rsidTr="00A41254">
        <w:trPr>
          <w:trHeight w:val="270"/>
        </w:trPr>
        <w:tc>
          <w:tcPr>
            <w:tcW w:w="980" w:type="dxa"/>
            <w:tcBorders>
              <w:top w:val="nil"/>
              <w:left w:val="nil"/>
              <w:bottom w:val="nil"/>
              <w:right w:val="nil"/>
            </w:tcBorders>
            <w:shd w:val="clear" w:color="000000" w:fill="FFFFFF"/>
            <w:noWrap/>
            <w:vAlign w:val="bottom"/>
            <w:hideMark/>
          </w:tcPr>
          <w:p w14:paraId="50CBAE71" w14:textId="77777777" w:rsidR="00A41254" w:rsidRPr="00A41254" w:rsidRDefault="00A41254" w:rsidP="00A41254">
            <w:pPr>
              <w:contextualSpacing w:val="0"/>
              <w:jc w:val="left"/>
              <w:rPr>
                <w:color w:val="000000"/>
                <w:sz w:val="17"/>
                <w:szCs w:val="17"/>
              </w:rPr>
            </w:pPr>
            <w:r w:rsidRPr="00A41254">
              <w:rPr>
                <w:color w:val="000000"/>
                <w:sz w:val="17"/>
                <w:szCs w:val="17"/>
              </w:rPr>
              <w:t>MTH07</w:t>
            </w:r>
          </w:p>
        </w:tc>
        <w:tc>
          <w:tcPr>
            <w:tcW w:w="1720" w:type="dxa"/>
            <w:tcBorders>
              <w:top w:val="nil"/>
              <w:left w:val="nil"/>
              <w:bottom w:val="nil"/>
              <w:right w:val="nil"/>
            </w:tcBorders>
            <w:shd w:val="clear" w:color="000000" w:fill="FFFFFF"/>
            <w:noWrap/>
            <w:vAlign w:val="bottom"/>
            <w:hideMark/>
          </w:tcPr>
          <w:p w14:paraId="30F00FAD" w14:textId="77777777" w:rsidR="00A41254" w:rsidRPr="00A41254" w:rsidRDefault="00A41254" w:rsidP="00A41254">
            <w:pPr>
              <w:contextualSpacing w:val="0"/>
              <w:jc w:val="center"/>
              <w:rPr>
                <w:color w:val="000000"/>
                <w:sz w:val="17"/>
                <w:szCs w:val="17"/>
              </w:rPr>
            </w:pPr>
            <w:r w:rsidRPr="00A41254">
              <w:rPr>
                <w:color w:val="000000"/>
                <w:sz w:val="17"/>
                <w:szCs w:val="17"/>
              </w:rPr>
              <w:t>3371</w:t>
            </w:r>
          </w:p>
        </w:tc>
        <w:tc>
          <w:tcPr>
            <w:tcW w:w="1480" w:type="dxa"/>
            <w:tcBorders>
              <w:top w:val="nil"/>
              <w:left w:val="nil"/>
              <w:bottom w:val="nil"/>
              <w:right w:val="nil"/>
            </w:tcBorders>
            <w:shd w:val="clear" w:color="000000" w:fill="FFFFFF"/>
            <w:noWrap/>
            <w:vAlign w:val="bottom"/>
            <w:hideMark/>
          </w:tcPr>
          <w:p w14:paraId="04962589" w14:textId="77777777" w:rsidR="00A41254" w:rsidRPr="00A41254" w:rsidRDefault="00A41254" w:rsidP="00A41254">
            <w:pPr>
              <w:contextualSpacing w:val="0"/>
              <w:jc w:val="center"/>
              <w:rPr>
                <w:color w:val="000000"/>
                <w:sz w:val="17"/>
                <w:szCs w:val="17"/>
              </w:rPr>
            </w:pPr>
            <w:r w:rsidRPr="00A41254">
              <w:rPr>
                <w:color w:val="000000"/>
                <w:sz w:val="17"/>
                <w:szCs w:val="17"/>
              </w:rPr>
              <w:t>1426.4</w:t>
            </w:r>
          </w:p>
        </w:tc>
        <w:tc>
          <w:tcPr>
            <w:tcW w:w="1420" w:type="dxa"/>
            <w:tcBorders>
              <w:top w:val="nil"/>
              <w:left w:val="nil"/>
              <w:bottom w:val="nil"/>
              <w:right w:val="nil"/>
            </w:tcBorders>
            <w:shd w:val="clear" w:color="000000" w:fill="FFFFFF"/>
            <w:noWrap/>
            <w:vAlign w:val="bottom"/>
            <w:hideMark/>
          </w:tcPr>
          <w:p w14:paraId="0F2AA967" w14:textId="77777777" w:rsidR="00A41254" w:rsidRPr="00A41254" w:rsidRDefault="00A41254" w:rsidP="00A41254">
            <w:pPr>
              <w:contextualSpacing w:val="0"/>
              <w:jc w:val="center"/>
              <w:rPr>
                <w:color w:val="000000"/>
                <w:sz w:val="17"/>
                <w:szCs w:val="17"/>
              </w:rPr>
            </w:pPr>
            <w:r w:rsidRPr="00A41254">
              <w:rPr>
                <w:color w:val="000000"/>
                <w:sz w:val="17"/>
                <w:szCs w:val="17"/>
              </w:rPr>
              <w:t>54.3</w:t>
            </w:r>
          </w:p>
        </w:tc>
        <w:tc>
          <w:tcPr>
            <w:tcW w:w="1320" w:type="dxa"/>
            <w:tcBorders>
              <w:top w:val="nil"/>
              <w:left w:val="nil"/>
              <w:bottom w:val="nil"/>
              <w:right w:val="nil"/>
            </w:tcBorders>
            <w:shd w:val="clear" w:color="000000" w:fill="FFFFFF"/>
            <w:noWrap/>
            <w:vAlign w:val="bottom"/>
            <w:hideMark/>
          </w:tcPr>
          <w:p w14:paraId="72B18378" w14:textId="77777777" w:rsidR="00A41254" w:rsidRPr="00A41254" w:rsidRDefault="00A41254" w:rsidP="00A41254">
            <w:pPr>
              <w:contextualSpacing w:val="0"/>
              <w:jc w:val="center"/>
              <w:rPr>
                <w:color w:val="000000"/>
                <w:sz w:val="17"/>
                <w:szCs w:val="17"/>
              </w:rPr>
            </w:pPr>
            <w:r w:rsidRPr="00A41254">
              <w:rPr>
                <w:color w:val="000000"/>
                <w:sz w:val="17"/>
                <w:szCs w:val="17"/>
              </w:rPr>
              <w:t>-84.3</w:t>
            </w:r>
          </w:p>
        </w:tc>
        <w:tc>
          <w:tcPr>
            <w:tcW w:w="1320" w:type="dxa"/>
            <w:tcBorders>
              <w:top w:val="nil"/>
              <w:left w:val="nil"/>
              <w:bottom w:val="nil"/>
              <w:right w:val="nil"/>
            </w:tcBorders>
            <w:shd w:val="clear" w:color="000000" w:fill="FFFFFF"/>
            <w:noWrap/>
            <w:vAlign w:val="bottom"/>
            <w:hideMark/>
          </w:tcPr>
          <w:p w14:paraId="1F0D957F" w14:textId="77777777" w:rsidR="00A41254" w:rsidRPr="00A41254" w:rsidRDefault="00A41254" w:rsidP="00A41254">
            <w:pPr>
              <w:contextualSpacing w:val="0"/>
              <w:jc w:val="center"/>
              <w:rPr>
                <w:color w:val="000000"/>
                <w:sz w:val="17"/>
                <w:szCs w:val="17"/>
              </w:rPr>
            </w:pPr>
            <w:r w:rsidRPr="00A41254">
              <w:rPr>
                <w:color w:val="000000"/>
                <w:sz w:val="17"/>
                <w:szCs w:val="17"/>
              </w:rPr>
              <w:t>-45.4</w:t>
            </w:r>
          </w:p>
        </w:tc>
        <w:tc>
          <w:tcPr>
            <w:tcW w:w="1600" w:type="dxa"/>
            <w:tcBorders>
              <w:top w:val="nil"/>
              <w:left w:val="nil"/>
              <w:bottom w:val="nil"/>
              <w:right w:val="nil"/>
            </w:tcBorders>
            <w:shd w:val="clear" w:color="000000" w:fill="FFFFFF"/>
            <w:noWrap/>
            <w:vAlign w:val="bottom"/>
            <w:hideMark/>
          </w:tcPr>
          <w:p w14:paraId="672CE933" w14:textId="77777777" w:rsidR="00A41254" w:rsidRPr="00A41254" w:rsidRDefault="00A41254" w:rsidP="00A41254">
            <w:pPr>
              <w:contextualSpacing w:val="0"/>
              <w:jc w:val="center"/>
              <w:rPr>
                <w:color w:val="000000"/>
                <w:sz w:val="17"/>
                <w:szCs w:val="17"/>
              </w:rPr>
            </w:pPr>
            <w:r w:rsidRPr="00A41254">
              <w:rPr>
                <w:color w:val="000000"/>
                <w:sz w:val="17"/>
                <w:szCs w:val="17"/>
              </w:rPr>
              <w:t>38.8</w:t>
            </w:r>
          </w:p>
        </w:tc>
      </w:tr>
      <w:tr w:rsidR="00A41254" w:rsidRPr="00A41254" w14:paraId="1FC07535" w14:textId="77777777" w:rsidTr="00A41254">
        <w:trPr>
          <w:trHeight w:val="270"/>
        </w:trPr>
        <w:tc>
          <w:tcPr>
            <w:tcW w:w="980" w:type="dxa"/>
            <w:tcBorders>
              <w:top w:val="nil"/>
              <w:left w:val="nil"/>
              <w:bottom w:val="nil"/>
              <w:right w:val="nil"/>
            </w:tcBorders>
            <w:shd w:val="clear" w:color="000000" w:fill="FFFFFF"/>
            <w:noWrap/>
            <w:vAlign w:val="bottom"/>
            <w:hideMark/>
          </w:tcPr>
          <w:p w14:paraId="7F462AC5" w14:textId="77777777" w:rsidR="00A41254" w:rsidRPr="00A41254" w:rsidRDefault="00A41254" w:rsidP="00A41254">
            <w:pPr>
              <w:contextualSpacing w:val="0"/>
              <w:jc w:val="left"/>
              <w:rPr>
                <w:color w:val="000000"/>
                <w:sz w:val="17"/>
                <w:szCs w:val="17"/>
              </w:rPr>
            </w:pPr>
            <w:r w:rsidRPr="00A41254">
              <w:rPr>
                <w:color w:val="000000"/>
                <w:sz w:val="17"/>
                <w:szCs w:val="17"/>
              </w:rPr>
              <w:t>MTH08</w:t>
            </w:r>
          </w:p>
        </w:tc>
        <w:tc>
          <w:tcPr>
            <w:tcW w:w="1720" w:type="dxa"/>
            <w:tcBorders>
              <w:top w:val="nil"/>
              <w:left w:val="nil"/>
              <w:bottom w:val="nil"/>
              <w:right w:val="nil"/>
            </w:tcBorders>
            <w:shd w:val="clear" w:color="000000" w:fill="FFFFFF"/>
            <w:noWrap/>
            <w:vAlign w:val="bottom"/>
            <w:hideMark/>
          </w:tcPr>
          <w:p w14:paraId="41E3D4BB" w14:textId="77777777" w:rsidR="00A41254" w:rsidRPr="00A41254" w:rsidRDefault="00A41254" w:rsidP="00A41254">
            <w:pPr>
              <w:contextualSpacing w:val="0"/>
              <w:jc w:val="center"/>
              <w:rPr>
                <w:color w:val="000000"/>
                <w:sz w:val="17"/>
                <w:szCs w:val="17"/>
              </w:rPr>
            </w:pPr>
            <w:r w:rsidRPr="00A41254">
              <w:rPr>
                <w:color w:val="000000"/>
                <w:sz w:val="17"/>
                <w:szCs w:val="17"/>
              </w:rPr>
              <w:t>3371</w:t>
            </w:r>
          </w:p>
        </w:tc>
        <w:tc>
          <w:tcPr>
            <w:tcW w:w="1480" w:type="dxa"/>
            <w:tcBorders>
              <w:top w:val="nil"/>
              <w:left w:val="nil"/>
              <w:bottom w:val="nil"/>
              <w:right w:val="nil"/>
            </w:tcBorders>
            <w:shd w:val="clear" w:color="000000" w:fill="FFFFFF"/>
            <w:noWrap/>
            <w:vAlign w:val="bottom"/>
            <w:hideMark/>
          </w:tcPr>
          <w:p w14:paraId="5C64EBDD" w14:textId="77777777" w:rsidR="00A41254" w:rsidRPr="00A41254" w:rsidRDefault="00A41254" w:rsidP="00A41254">
            <w:pPr>
              <w:contextualSpacing w:val="0"/>
              <w:jc w:val="center"/>
              <w:rPr>
                <w:color w:val="000000"/>
                <w:sz w:val="17"/>
                <w:szCs w:val="17"/>
              </w:rPr>
            </w:pPr>
            <w:r w:rsidRPr="00A41254">
              <w:rPr>
                <w:color w:val="000000"/>
                <w:sz w:val="17"/>
                <w:szCs w:val="17"/>
              </w:rPr>
              <w:t>1276.8</w:t>
            </w:r>
          </w:p>
        </w:tc>
        <w:tc>
          <w:tcPr>
            <w:tcW w:w="1420" w:type="dxa"/>
            <w:tcBorders>
              <w:top w:val="nil"/>
              <w:left w:val="nil"/>
              <w:bottom w:val="nil"/>
              <w:right w:val="nil"/>
            </w:tcBorders>
            <w:shd w:val="clear" w:color="000000" w:fill="FFFFFF"/>
            <w:noWrap/>
            <w:vAlign w:val="bottom"/>
            <w:hideMark/>
          </w:tcPr>
          <w:p w14:paraId="26B966A3" w14:textId="77777777" w:rsidR="00A41254" w:rsidRPr="00A41254" w:rsidRDefault="00A41254" w:rsidP="00A41254">
            <w:pPr>
              <w:contextualSpacing w:val="0"/>
              <w:jc w:val="center"/>
              <w:rPr>
                <w:color w:val="000000"/>
                <w:sz w:val="17"/>
                <w:szCs w:val="17"/>
              </w:rPr>
            </w:pPr>
            <w:r w:rsidRPr="00A41254">
              <w:rPr>
                <w:color w:val="000000"/>
                <w:sz w:val="17"/>
                <w:szCs w:val="17"/>
              </w:rPr>
              <w:t>41.9</w:t>
            </w:r>
          </w:p>
        </w:tc>
        <w:tc>
          <w:tcPr>
            <w:tcW w:w="1320" w:type="dxa"/>
            <w:tcBorders>
              <w:top w:val="nil"/>
              <w:left w:val="nil"/>
              <w:bottom w:val="nil"/>
              <w:right w:val="nil"/>
            </w:tcBorders>
            <w:shd w:val="clear" w:color="000000" w:fill="FFFFFF"/>
            <w:noWrap/>
            <w:vAlign w:val="bottom"/>
            <w:hideMark/>
          </w:tcPr>
          <w:p w14:paraId="31A33D87" w14:textId="77777777" w:rsidR="00A41254" w:rsidRPr="00A41254" w:rsidRDefault="00A41254" w:rsidP="00A41254">
            <w:pPr>
              <w:contextualSpacing w:val="0"/>
              <w:jc w:val="center"/>
              <w:rPr>
                <w:color w:val="000000"/>
                <w:sz w:val="17"/>
                <w:szCs w:val="17"/>
              </w:rPr>
            </w:pPr>
            <w:r w:rsidRPr="00A41254">
              <w:rPr>
                <w:color w:val="000000"/>
                <w:sz w:val="17"/>
                <w:szCs w:val="17"/>
              </w:rPr>
              <w:t>-83.7</w:t>
            </w:r>
          </w:p>
        </w:tc>
        <w:tc>
          <w:tcPr>
            <w:tcW w:w="1320" w:type="dxa"/>
            <w:tcBorders>
              <w:top w:val="nil"/>
              <w:left w:val="nil"/>
              <w:bottom w:val="nil"/>
              <w:right w:val="nil"/>
            </w:tcBorders>
            <w:shd w:val="clear" w:color="000000" w:fill="FFFFFF"/>
            <w:noWrap/>
            <w:vAlign w:val="bottom"/>
            <w:hideMark/>
          </w:tcPr>
          <w:p w14:paraId="5E7C345D" w14:textId="77777777" w:rsidR="00A41254" w:rsidRPr="00A41254" w:rsidRDefault="00A41254" w:rsidP="00A41254">
            <w:pPr>
              <w:contextualSpacing w:val="0"/>
              <w:jc w:val="center"/>
              <w:rPr>
                <w:color w:val="000000"/>
                <w:sz w:val="17"/>
                <w:szCs w:val="17"/>
              </w:rPr>
            </w:pPr>
            <w:r w:rsidRPr="00A41254">
              <w:rPr>
                <w:color w:val="000000"/>
                <w:sz w:val="17"/>
                <w:szCs w:val="17"/>
              </w:rPr>
              <w:t>-44.3</w:t>
            </w:r>
          </w:p>
        </w:tc>
        <w:tc>
          <w:tcPr>
            <w:tcW w:w="1600" w:type="dxa"/>
            <w:tcBorders>
              <w:top w:val="nil"/>
              <w:left w:val="nil"/>
              <w:bottom w:val="nil"/>
              <w:right w:val="nil"/>
            </w:tcBorders>
            <w:shd w:val="clear" w:color="000000" w:fill="FFFFFF"/>
            <w:noWrap/>
            <w:vAlign w:val="bottom"/>
            <w:hideMark/>
          </w:tcPr>
          <w:p w14:paraId="5DF1C932" w14:textId="77777777" w:rsidR="00A41254" w:rsidRPr="00A41254" w:rsidRDefault="00A41254" w:rsidP="00A41254">
            <w:pPr>
              <w:contextualSpacing w:val="0"/>
              <w:jc w:val="center"/>
              <w:rPr>
                <w:color w:val="000000"/>
                <w:sz w:val="17"/>
                <w:szCs w:val="17"/>
              </w:rPr>
            </w:pPr>
            <w:r w:rsidRPr="00A41254">
              <w:rPr>
                <w:color w:val="000000"/>
                <w:sz w:val="17"/>
                <w:szCs w:val="17"/>
              </w:rPr>
              <w:t>39.4</w:t>
            </w:r>
          </w:p>
        </w:tc>
      </w:tr>
      <w:tr w:rsidR="00A41254" w:rsidRPr="00A41254" w14:paraId="660D0AD3" w14:textId="77777777" w:rsidTr="00A41254">
        <w:trPr>
          <w:trHeight w:val="270"/>
        </w:trPr>
        <w:tc>
          <w:tcPr>
            <w:tcW w:w="980" w:type="dxa"/>
            <w:tcBorders>
              <w:top w:val="nil"/>
              <w:left w:val="nil"/>
              <w:bottom w:val="nil"/>
              <w:right w:val="nil"/>
            </w:tcBorders>
            <w:shd w:val="clear" w:color="000000" w:fill="FFFFFF"/>
            <w:noWrap/>
            <w:vAlign w:val="bottom"/>
            <w:hideMark/>
          </w:tcPr>
          <w:p w14:paraId="355D3744" w14:textId="77777777" w:rsidR="00A41254" w:rsidRPr="00A41254" w:rsidRDefault="00A41254" w:rsidP="00A41254">
            <w:pPr>
              <w:contextualSpacing w:val="0"/>
              <w:jc w:val="left"/>
              <w:rPr>
                <w:color w:val="000000"/>
                <w:sz w:val="17"/>
                <w:szCs w:val="17"/>
              </w:rPr>
            </w:pPr>
            <w:r w:rsidRPr="00A41254">
              <w:rPr>
                <w:color w:val="000000"/>
                <w:sz w:val="17"/>
                <w:szCs w:val="17"/>
              </w:rPr>
              <w:t>MTH09</w:t>
            </w:r>
          </w:p>
        </w:tc>
        <w:tc>
          <w:tcPr>
            <w:tcW w:w="1720" w:type="dxa"/>
            <w:tcBorders>
              <w:top w:val="nil"/>
              <w:left w:val="nil"/>
              <w:bottom w:val="nil"/>
              <w:right w:val="nil"/>
            </w:tcBorders>
            <w:shd w:val="clear" w:color="000000" w:fill="FFFFFF"/>
            <w:noWrap/>
            <w:vAlign w:val="bottom"/>
            <w:hideMark/>
          </w:tcPr>
          <w:p w14:paraId="541DEA58" w14:textId="77777777" w:rsidR="00A41254" w:rsidRPr="00A41254" w:rsidRDefault="00A41254" w:rsidP="00A41254">
            <w:pPr>
              <w:contextualSpacing w:val="0"/>
              <w:jc w:val="center"/>
              <w:rPr>
                <w:color w:val="000000"/>
                <w:sz w:val="17"/>
                <w:szCs w:val="17"/>
              </w:rPr>
            </w:pPr>
            <w:r w:rsidRPr="00A41254">
              <w:rPr>
                <w:color w:val="000000"/>
                <w:sz w:val="17"/>
                <w:szCs w:val="17"/>
              </w:rPr>
              <w:t>3048</w:t>
            </w:r>
          </w:p>
        </w:tc>
        <w:tc>
          <w:tcPr>
            <w:tcW w:w="1480" w:type="dxa"/>
            <w:tcBorders>
              <w:top w:val="nil"/>
              <w:left w:val="nil"/>
              <w:bottom w:val="nil"/>
              <w:right w:val="nil"/>
            </w:tcBorders>
            <w:shd w:val="clear" w:color="000000" w:fill="FFFFFF"/>
            <w:noWrap/>
            <w:vAlign w:val="bottom"/>
            <w:hideMark/>
          </w:tcPr>
          <w:p w14:paraId="1AB4061E" w14:textId="77777777" w:rsidR="00A41254" w:rsidRPr="00A41254" w:rsidRDefault="00A41254" w:rsidP="00A41254">
            <w:pPr>
              <w:contextualSpacing w:val="0"/>
              <w:jc w:val="center"/>
              <w:rPr>
                <w:color w:val="000000"/>
                <w:sz w:val="17"/>
                <w:szCs w:val="17"/>
              </w:rPr>
            </w:pPr>
            <w:r w:rsidRPr="00A41254">
              <w:rPr>
                <w:color w:val="000000"/>
                <w:sz w:val="17"/>
                <w:szCs w:val="17"/>
              </w:rPr>
              <w:t>1510.3</w:t>
            </w:r>
          </w:p>
        </w:tc>
        <w:tc>
          <w:tcPr>
            <w:tcW w:w="1420" w:type="dxa"/>
            <w:tcBorders>
              <w:top w:val="nil"/>
              <w:left w:val="nil"/>
              <w:bottom w:val="nil"/>
              <w:right w:val="nil"/>
            </w:tcBorders>
            <w:shd w:val="clear" w:color="000000" w:fill="FFFFFF"/>
            <w:noWrap/>
            <w:vAlign w:val="bottom"/>
            <w:hideMark/>
          </w:tcPr>
          <w:p w14:paraId="075B5FB4" w14:textId="77777777" w:rsidR="00A41254" w:rsidRPr="00A41254" w:rsidRDefault="00A41254" w:rsidP="00A41254">
            <w:pPr>
              <w:contextualSpacing w:val="0"/>
              <w:jc w:val="center"/>
              <w:rPr>
                <w:color w:val="000000"/>
                <w:sz w:val="17"/>
                <w:szCs w:val="17"/>
              </w:rPr>
            </w:pPr>
            <w:r w:rsidRPr="00A41254">
              <w:rPr>
                <w:color w:val="000000"/>
                <w:sz w:val="17"/>
                <w:szCs w:val="17"/>
              </w:rPr>
              <w:t>49.2</w:t>
            </w:r>
          </w:p>
        </w:tc>
        <w:tc>
          <w:tcPr>
            <w:tcW w:w="1320" w:type="dxa"/>
            <w:tcBorders>
              <w:top w:val="nil"/>
              <w:left w:val="nil"/>
              <w:bottom w:val="nil"/>
              <w:right w:val="nil"/>
            </w:tcBorders>
            <w:shd w:val="clear" w:color="000000" w:fill="FFFFFF"/>
            <w:noWrap/>
            <w:vAlign w:val="bottom"/>
            <w:hideMark/>
          </w:tcPr>
          <w:p w14:paraId="577335B6" w14:textId="77777777" w:rsidR="00A41254" w:rsidRPr="00A41254" w:rsidRDefault="00A41254" w:rsidP="00A41254">
            <w:pPr>
              <w:contextualSpacing w:val="0"/>
              <w:jc w:val="center"/>
              <w:rPr>
                <w:color w:val="000000"/>
                <w:sz w:val="17"/>
                <w:szCs w:val="17"/>
              </w:rPr>
            </w:pPr>
            <w:r w:rsidRPr="00A41254">
              <w:rPr>
                <w:color w:val="000000"/>
                <w:sz w:val="17"/>
                <w:szCs w:val="17"/>
              </w:rPr>
              <w:t>-84.8</w:t>
            </w:r>
          </w:p>
        </w:tc>
        <w:tc>
          <w:tcPr>
            <w:tcW w:w="1320" w:type="dxa"/>
            <w:tcBorders>
              <w:top w:val="nil"/>
              <w:left w:val="nil"/>
              <w:bottom w:val="nil"/>
              <w:right w:val="nil"/>
            </w:tcBorders>
            <w:shd w:val="clear" w:color="000000" w:fill="FFFFFF"/>
            <w:noWrap/>
            <w:vAlign w:val="bottom"/>
            <w:hideMark/>
          </w:tcPr>
          <w:p w14:paraId="79E05F3B" w14:textId="77777777" w:rsidR="00A41254" w:rsidRPr="00A41254" w:rsidRDefault="00A41254" w:rsidP="00A41254">
            <w:pPr>
              <w:contextualSpacing w:val="0"/>
              <w:jc w:val="center"/>
              <w:rPr>
                <w:color w:val="000000"/>
                <w:sz w:val="17"/>
                <w:szCs w:val="17"/>
              </w:rPr>
            </w:pPr>
            <w:r w:rsidRPr="00A41254">
              <w:rPr>
                <w:color w:val="000000"/>
                <w:sz w:val="17"/>
                <w:szCs w:val="17"/>
              </w:rPr>
              <w:t>-41.4</w:t>
            </w:r>
          </w:p>
        </w:tc>
        <w:tc>
          <w:tcPr>
            <w:tcW w:w="1600" w:type="dxa"/>
            <w:tcBorders>
              <w:top w:val="nil"/>
              <w:left w:val="nil"/>
              <w:bottom w:val="nil"/>
              <w:right w:val="nil"/>
            </w:tcBorders>
            <w:shd w:val="clear" w:color="000000" w:fill="FFFFFF"/>
            <w:noWrap/>
            <w:vAlign w:val="bottom"/>
            <w:hideMark/>
          </w:tcPr>
          <w:p w14:paraId="2FB24BA7" w14:textId="77777777" w:rsidR="00A41254" w:rsidRPr="00A41254" w:rsidRDefault="00A41254" w:rsidP="00A41254">
            <w:pPr>
              <w:contextualSpacing w:val="0"/>
              <w:jc w:val="center"/>
              <w:rPr>
                <w:color w:val="000000"/>
                <w:sz w:val="17"/>
                <w:szCs w:val="17"/>
              </w:rPr>
            </w:pPr>
            <w:r w:rsidRPr="00A41254">
              <w:rPr>
                <w:color w:val="000000"/>
                <w:sz w:val="17"/>
                <w:szCs w:val="17"/>
              </w:rPr>
              <w:t>43.4</w:t>
            </w:r>
          </w:p>
        </w:tc>
      </w:tr>
      <w:tr w:rsidR="00A41254" w:rsidRPr="00A41254" w14:paraId="797858C2" w14:textId="77777777" w:rsidTr="00A41254">
        <w:trPr>
          <w:trHeight w:val="270"/>
        </w:trPr>
        <w:tc>
          <w:tcPr>
            <w:tcW w:w="980" w:type="dxa"/>
            <w:tcBorders>
              <w:top w:val="nil"/>
              <w:left w:val="nil"/>
              <w:bottom w:val="nil"/>
              <w:right w:val="nil"/>
            </w:tcBorders>
            <w:shd w:val="clear" w:color="000000" w:fill="FFFFFF"/>
            <w:noWrap/>
            <w:vAlign w:val="bottom"/>
            <w:hideMark/>
          </w:tcPr>
          <w:p w14:paraId="1D653398" w14:textId="77777777" w:rsidR="00A41254" w:rsidRPr="00A41254" w:rsidRDefault="00A41254" w:rsidP="00A41254">
            <w:pPr>
              <w:contextualSpacing w:val="0"/>
              <w:jc w:val="left"/>
              <w:rPr>
                <w:color w:val="000000"/>
                <w:sz w:val="17"/>
                <w:szCs w:val="17"/>
              </w:rPr>
            </w:pPr>
            <w:r w:rsidRPr="00A41254">
              <w:rPr>
                <w:color w:val="000000"/>
                <w:sz w:val="17"/>
                <w:szCs w:val="17"/>
              </w:rPr>
              <w:t>MTH10</w:t>
            </w:r>
          </w:p>
        </w:tc>
        <w:tc>
          <w:tcPr>
            <w:tcW w:w="1720" w:type="dxa"/>
            <w:tcBorders>
              <w:top w:val="nil"/>
              <w:left w:val="nil"/>
              <w:bottom w:val="nil"/>
              <w:right w:val="nil"/>
            </w:tcBorders>
            <w:shd w:val="clear" w:color="000000" w:fill="FFFFFF"/>
            <w:noWrap/>
            <w:vAlign w:val="bottom"/>
            <w:hideMark/>
          </w:tcPr>
          <w:p w14:paraId="4E791A1F" w14:textId="77777777" w:rsidR="00A41254" w:rsidRPr="00A41254" w:rsidRDefault="00A41254" w:rsidP="00A41254">
            <w:pPr>
              <w:contextualSpacing w:val="0"/>
              <w:jc w:val="center"/>
              <w:rPr>
                <w:color w:val="000000"/>
                <w:sz w:val="17"/>
                <w:szCs w:val="17"/>
              </w:rPr>
            </w:pPr>
            <w:r w:rsidRPr="00A41254">
              <w:rPr>
                <w:color w:val="000000"/>
                <w:sz w:val="17"/>
                <w:szCs w:val="17"/>
              </w:rPr>
              <w:t>5860</w:t>
            </w:r>
          </w:p>
        </w:tc>
        <w:tc>
          <w:tcPr>
            <w:tcW w:w="1480" w:type="dxa"/>
            <w:tcBorders>
              <w:top w:val="nil"/>
              <w:left w:val="nil"/>
              <w:bottom w:val="nil"/>
              <w:right w:val="nil"/>
            </w:tcBorders>
            <w:shd w:val="clear" w:color="000000" w:fill="FFFFFF"/>
            <w:noWrap/>
            <w:vAlign w:val="bottom"/>
            <w:hideMark/>
          </w:tcPr>
          <w:p w14:paraId="16EBF12E" w14:textId="77777777" w:rsidR="00A41254" w:rsidRPr="00A41254" w:rsidRDefault="00A41254" w:rsidP="00A41254">
            <w:pPr>
              <w:contextualSpacing w:val="0"/>
              <w:jc w:val="center"/>
              <w:rPr>
                <w:color w:val="000000"/>
                <w:sz w:val="17"/>
                <w:szCs w:val="17"/>
              </w:rPr>
            </w:pPr>
            <w:r w:rsidRPr="00A41254">
              <w:rPr>
                <w:color w:val="000000"/>
                <w:sz w:val="17"/>
                <w:szCs w:val="17"/>
              </w:rPr>
              <w:t>1495.7</w:t>
            </w:r>
          </w:p>
        </w:tc>
        <w:tc>
          <w:tcPr>
            <w:tcW w:w="1420" w:type="dxa"/>
            <w:tcBorders>
              <w:top w:val="nil"/>
              <w:left w:val="nil"/>
              <w:bottom w:val="nil"/>
              <w:right w:val="nil"/>
            </w:tcBorders>
            <w:shd w:val="clear" w:color="000000" w:fill="FFFFFF"/>
            <w:noWrap/>
            <w:vAlign w:val="bottom"/>
            <w:hideMark/>
          </w:tcPr>
          <w:p w14:paraId="749023FC" w14:textId="77777777" w:rsidR="00A41254" w:rsidRPr="00A41254" w:rsidRDefault="00A41254" w:rsidP="00A41254">
            <w:pPr>
              <w:contextualSpacing w:val="0"/>
              <w:jc w:val="center"/>
              <w:rPr>
                <w:color w:val="000000"/>
                <w:sz w:val="17"/>
                <w:szCs w:val="17"/>
              </w:rPr>
            </w:pPr>
            <w:r w:rsidRPr="00A41254">
              <w:rPr>
                <w:color w:val="000000"/>
                <w:sz w:val="17"/>
                <w:szCs w:val="17"/>
              </w:rPr>
              <w:t>56.6</w:t>
            </w:r>
          </w:p>
        </w:tc>
        <w:tc>
          <w:tcPr>
            <w:tcW w:w="1320" w:type="dxa"/>
            <w:tcBorders>
              <w:top w:val="nil"/>
              <w:left w:val="nil"/>
              <w:bottom w:val="nil"/>
              <w:right w:val="nil"/>
            </w:tcBorders>
            <w:shd w:val="clear" w:color="000000" w:fill="FFFFFF"/>
            <w:noWrap/>
            <w:vAlign w:val="bottom"/>
            <w:hideMark/>
          </w:tcPr>
          <w:p w14:paraId="58C1762D" w14:textId="77777777" w:rsidR="00A41254" w:rsidRPr="00A41254" w:rsidRDefault="00A41254" w:rsidP="00A41254">
            <w:pPr>
              <w:contextualSpacing w:val="0"/>
              <w:jc w:val="center"/>
              <w:rPr>
                <w:color w:val="000000"/>
                <w:sz w:val="17"/>
                <w:szCs w:val="17"/>
              </w:rPr>
            </w:pPr>
            <w:r w:rsidRPr="00A41254">
              <w:rPr>
                <w:color w:val="000000"/>
                <w:sz w:val="17"/>
                <w:szCs w:val="17"/>
              </w:rPr>
              <w:t>-72.6</w:t>
            </w:r>
          </w:p>
        </w:tc>
        <w:tc>
          <w:tcPr>
            <w:tcW w:w="1320" w:type="dxa"/>
            <w:tcBorders>
              <w:top w:val="nil"/>
              <w:left w:val="nil"/>
              <w:bottom w:val="nil"/>
              <w:right w:val="nil"/>
            </w:tcBorders>
            <w:shd w:val="clear" w:color="000000" w:fill="FFFFFF"/>
            <w:noWrap/>
            <w:vAlign w:val="bottom"/>
            <w:hideMark/>
          </w:tcPr>
          <w:p w14:paraId="10DF9177" w14:textId="77777777" w:rsidR="00A41254" w:rsidRPr="00A41254" w:rsidRDefault="00A41254" w:rsidP="00A41254">
            <w:pPr>
              <w:contextualSpacing w:val="0"/>
              <w:jc w:val="center"/>
              <w:rPr>
                <w:color w:val="000000"/>
                <w:sz w:val="17"/>
                <w:szCs w:val="17"/>
              </w:rPr>
            </w:pPr>
            <w:r w:rsidRPr="00A41254">
              <w:rPr>
                <w:color w:val="000000"/>
                <w:sz w:val="17"/>
                <w:szCs w:val="17"/>
              </w:rPr>
              <w:t>-43.9</w:t>
            </w:r>
          </w:p>
        </w:tc>
        <w:tc>
          <w:tcPr>
            <w:tcW w:w="1600" w:type="dxa"/>
            <w:tcBorders>
              <w:top w:val="nil"/>
              <w:left w:val="nil"/>
              <w:bottom w:val="nil"/>
              <w:right w:val="nil"/>
            </w:tcBorders>
            <w:shd w:val="clear" w:color="000000" w:fill="FFFFFF"/>
            <w:noWrap/>
            <w:vAlign w:val="bottom"/>
            <w:hideMark/>
          </w:tcPr>
          <w:p w14:paraId="6BDC3208" w14:textId="77777777" w:rsidR="00A41254" w:rsidRPr="00A41254" w:rsidRDefault="00A41254" w:rsidP="00A41254">
            <w:pPr>
              <w:contextualSpacing w:val="0"/>
              <w:jc w:val="center"/>
              <w:rPr>
                <w:color w:val="000000"/>
                <w:sz w:val="17"/>
                <w:szCs w:val="17"/>
              </w:rPr>
            </w:pPr>
            <w:r w:rsidRPr="00A41254">
              <w:rPr>
                <w:color w:val="000000"/>
                <w:sz w:val="17"/>
                <w:szCs w:val="17"/>
              </w:rPr>
              <w:t>28.7</w:t>
            </w:r>
          </w:p>
        </w:tc>
      </w:tr>
      <w:tr w:rsidR="00A41254" w:rsidRPr="00A41254" w14:paraId="56B40A14" w14:textId="77777777" w:rsidTr="00A41254">
        <w:trPr>
          <w:trHeight w:val="270"/>
        </w:trPr>
        <w:tc>
          <w:tcPr>
            <w:tcW w:w="980" w:type="dxa"/>
            <w:tcBorders>
              <w:top w:val="nil"/>
              <w:left w:val="nil"/>
              <w:bottom w:val="double" w:sz="6" w:space="0" w:color="auto"/>
              <w:right w:val="nil"/>
            </w:tcBorders>
            <w:shd w:val="clear" w:color="000000" w:fill="FFFFFF"/>
            <w:noWrap/>
            <w:vAlign w:val="bottom"/>
            <w:hideMark/>
          </w:tcPr>
          <w:p w14:paraId="18F2146C" w14:textId="77777777" w:rsidR="00A41254" w:rsidRPr="00A41254" w:rsidRDefault="00A41254" w:rsidP="00A41254">
            <w:pPr>
              <w:contextualSpacing w:val="0"/>
              <w:jc w:val="left"/>
              <w:rPr>
                <w:color w:val="000000"/>
                <w:sz w:val="17"/>
                <w:szCs w:val="17"/>
              </w:rPr>
            </w:pPr>
            <w:r w:rsidRPr="00A41254">
              <w:rPr>
                <w:color w:val="000000"/>
                <w:sz w:val="17"/>
                <w:szCs w:val="17"/>
              </w:rPr>
              <w:t>MTH11</w:t>
            </w:r>
          </w:p>
        </w:tc>
        <w:tc>
          <w:tcPr>
            <w:tcW w:w="1720" w:type="dxa"/>
            <w:tcBorders>
              <w:top w:val="nil"/>
              <w:left w:val="nil"/>
              <w:bottom w:val="double" w:sz="6" w:space="0" w:color="auto"/>
              <w:right w:val="nil"/>
            </w:tcBorders>
            <w:shd w:val="clear" w:color="000000" w:fill="FFFFFF"/>
            <w:noWrap/>
            <w:vAlign w:val="bottom"/>
            <w:hideMark/>
          </w:tcPr>
          <w:p w14:paraId="1A063626" w14:textId="77777777" w:rsidR="00A41254" w:rsidRPr="00A41254" w:rsidRDefault="00A41254" w:rsidP="00A41254">
            <w:pPr>
              <w:contextualSpacing w:val="0"/>
              <w:jc w:val="center"/>
              <w:rPr>
                <w:color w:val="000000"/>
                <w:sz w:val="17"/>
                <w:szCs w:val="17"/>
              </w:rPr>
            </w:pPr>
            <w:r w:rsidRPr="00A41254">
              <w:rPr>
                <w:color w:val="000000"/>
                <w:sz w:val="17"/>
                <w:szCs w:val="17"/>
              </w:rPr>
              <w:t>3868</w:t>
            </w:r>
          </w:p>
        </w:tc>
        <w:tc>
          <w:tcPr>
            <w:tcW w:w="1480" w:type="dxa"/>
            <w:tcBorders>
              <w:top w:val="nil"/>
              <w:left w:val="nil"/>
              <w:bottom w:val="double" w:sz="6" w:space="0" w:color="auto"/>
              <w:right w:val="nil"/>
            </w:tcBorders>
            <w:shd w:val="clear" w:color="000000" w:fill="FFFFFF"/>
            <w:noWrap/>
            <w:vAlign w:val="bottom"/>
            <w:hideMark/>
          </w:tcPr>
          <w:p w14:paraId="7B580B25" w14:textId="77777777" w:rsidR="00A41254" w:rsidRPr="00A41254" w:rsidRDefault="00A41254" w:rsidP="00A41254">
            <w:pPr>
              <w:contextualSpacing w:val="0"/>
              <w:jc w:val="center"/>
              <w:rPr>
                <w:color w:val="000000"/>
                <w:sz w:val="17"/>
                <w:szCs w:val="17"/>
              </w:rPr>
            </w:pPr>
            <w:r w:rsidRPr="00A41254">
              <w:rPr>
                <w:color w:val="000000"/>
                <w:sz w:val="17"/>
                <w:szCs w:val="17"/>
              </w:rPr>
              <w:t>1276.9</w:t>
            </w:r>
          </w:p>
        </w:tc>
        <w:tc>
          <w:tcPr>
            <w:tcW w:w="1420" w:type="dxa"/>
            <w:tcBorders>
              <w:top w:val="nil"/>
              <w:left w:val="nil"/>
              <w:bottom w:val="double" w:sz="6" w:space="0" w:color="auto"/>
              <w:right w:val="nil"/>
            </w:tcBorders>
            <w:shd w:val="clear" w:color="000000" w:fill="FFFFFF"/>
            <w:noWrap/>
            <w:vAlign w:val="bottom"/>
            <w:hideMark/>
          </w:tcPr>
          <w:p w14:paraId="7BB0853F" w14:textId="77777777" w:rsidR="00A41254" w:rsidRPr="00A41254" w:rsidRDefault="00A41254" w:rsidP="00A41254">
            <w:pPr>
              <w:contextualSpacing w:val="0"/>
              <w:jc w:val="center"/>
              <w:rPr>
                <w:color w:val="000000"/>
                <w:sz w:val="17"/>
                <w:szCs w:val="17"/>
              </w:rPr>
            </w:pPr>
            <w:r w:rsidRPr="00A41254">
              <w:rPr>
                <w:color w:val="000000"/>
                <w:sz w:val="17"/>
                <w:szCs w:val="17"/>
              </w:rPr>
              <w:t>31.7</w:t>
            </w:r>
          </w:p>
        </w:tc>
        <w:tc>
          <w:tcPr>
            <w:tcW w:w="1320" w:type="dxa"/>
            <w:tcBorders>
              <w:top w:val="nil"/>
              <w:left w:val="nil"/>
              <w:bottom w:val="double" w:sz="6" w:space="0" w:color="auto"/>
              <w:right w:val="nil"/>
            </w:tcBorders>
            <w:shd w:val="clear" w:color="000000" w:fill="FFFFFF"/>
            <w:noWrap/>
            <w:vAlign w:val="bottom"/>
            <w:hideMark/>
          </w:tcPr>
          <w:p w14:paraId="3DF4B700" w14:textId="77777777" w:rsidR="00A41254" w:rsidRPr="00A41254" w:rsidRDefault="00A41254" w:rsidP="00A41254">
            <w:pPr>
              <w:contextualSpacing w:val="0"/>
              <w:jc w:val="center"/>
              <w:rPr>
                <w:color w:val="000000"/>
                <w:sz w:val="17"/>
                <w:szCs w:val="17"/>
              </w:rPr>
            </w:pPr>
            <w:r w:rsidRPr="00A41254">
              <w:rPr>
                <w:color w:val="000000"/>
                <w:sz w:val="17"/>
                <w:szCs w:val="17"/>
              </w:rPr>
              <w:t>-92.6</w:t>
            </w:r>
          </w:p>
        </w:tc>
        <w:tc>
          <w:tcPr>
            <w:tcW w:w="1320" w:type="dxa"/>
            <w:tcBorders>
              <w:top w:val="nil"/>
              <w:left w:val="nil"/>
              <w:bottom w:val="double" w:sz="6" w:space="0" w:color="auto"/>
              <w:right w:val="nil"/>
            </w:tcBorders>
            <w:shd w:val="clear" w:color="000000" w:fill="FFFFFF"/>
            <w:noWrap/>
            <w:vAlign w:val="bottom"/>
            <w:hideMark/>
          </w:tcPr>
          <w:p w14:paraId="701D513D" w14:textId="77777777" w:rsidR="00A41254" w:rsidRPr="00A41254" w:rsidRDefault="00A41254" w:rsidP="00A41254">
            <w:pPr>
              <w:contextualSpacing w:val="0"/>
              <w:jc w:val="center"/>
              <w:rPr>
                <w:color w:val="000000"/>
                <w:sz w:val="17"/>
                <w:szCs w:val="17"/>
              </w:rPr>
            </w:pPr>
            <w:r w:rsidRPr="00A41254">
              <w:rPr>
                <w:color w:val="000000"/>
                <w:sz w:val="17"/>
                <w:szCs w:val="17"/>
              </w:rPr>
              <w:t>-51.3</w:t>
            </w:r>
          </w:p>
        </w:tc>
        <w:tc>
          <w:tcPr>
            <w:tcW w:w="1600" w:type="dxa"/>
            <w:tcBorders>
              <w:top w:val="nil"/>
              <w:left w:val="nil"/>
              <w:bottom w:val="double" w:sz="6" w:space="0" w:color="auto"/>
              <w:right w:val="nil"/>
            </w:tcBorders>
            <w:shd w:val="clear" w:color="000000" w:fill="FFFFFF"/>
            <w:noWrap/>
            <w:vAlign w:val="bottom"/>
            <w:hideMark/>
          </w:tcPr>
          <w:p w14:paraId="2FC293FC" w14:textId="77777777" w:rsidR="00A41254" w:rsidRPr="00A41254" w:rsidRDefault="00A41254" w:rsidP="00A41254">
            <w:pPr>
              <w:contextualSpacing w:val="0"/>
              <w:jc w:val="center"/>
              <w:rPr>
                <w:color w:val="000000"/>
                <w:sz w:val="17"/>
                <w:szCs w:val="17"/>
              </w:rPr>
            </w:pPr>
            <w:r w:rsidRPr="00A41254">
              <w:rPr>
                <w:color w:val="000000"/>
                <w:sz w:val="17"/>
                <w:szCs w:val="17"/>
              </w:rPr>
              <w:t>41.3</w:t>
            </w:r>
          </w:p>
        </w:tc>
      </w:tr>
    </w:tbl>
    <w:p w14:paraId="295CB46F" w14:textId="77777777" w:rsidR="00A41254" w:rsidRPr="00A41254" w:rsidRDefault="00A41254" w:rsidP="00A41254"/>
    <w:p w14:paraId="7C8647B0" w14:textId="2776377A" w:rsidR="00C5260D" w:rsidRDefault="004D4E66" w:rsidP="00C5260D">
      <w:pPr>
        <w:numPr>
          <w:ilvl w:val="0"/>
          <w:numId w:val="3"/>
        </w:numPr>
        <w:tabs>
          <w:tab w:val="left" w:pos="288"/>
        </w:tabs>
        <w:spacing w:before="240"/>
        <w:outlineLvl w:val="1"/>
        <w:rPr>
          <w:b/>
        </w:rPr>
      </w:pPr>
      <w:r>
        <w:rPr>
          <w:b/>
        </w:rPr>
        <w:t xml:space="preserve">MISP </w:t>
      </w:r>
      <w:r w:rsidR="005E0B1F">
        <w:rPr>
          <w:b/>
        </w:rPr>
        <w:t>Backshell</w:t>
      </w:r>
      <w:r>
        <w:rPr>
          <w:b/>
        </w:rPr>
        <w:t xml:space="preserve"> Temperature Flight Data</w:t>
      </w:r>
      <w:r w:rsidR="009F50DA">
        <w:rPr>
          <w:b/>
        </w:rPr>
        <w:t xml:space="preserve"> and Observations</w:t>
      </w:r>
    </w:p>
    <w:p w14:paraId="5B45B454" w14:textId="61C6B473" w:rsidR="00C5260D" w:rsidRDefault="00A76FC6" w:rsidP="00C5260D">
      <w:pPr>
        <w:ind w:firstLine="288"/>
      </w:pPr>
      <w:r>
        <w:t xml:space="preserve">The focus now shifts to backshell temperature measurements.  </w:t>
      </w:r>
      <w:r w:rsidR="00C5260D">
        <w:t xml:space="preserve">The backshell temperature measurements are shown in Figure </w:t>
      </w:r>
      <w:r w:rsidR="0032574C">
        <w:t>13</w:t>
      </w:r>
      <w:r w:rsidR="00C5260D">
        <w:t>. One plug (MTB01) included an in-depth TC measurement (MTB01-2)</w:t>
      </w:r>
      <w:r w:rsidR="00EE2B52">
        <w:t xml:space="preserve">. </w:t>
      </w:r>
      <w:r w:rsidR="00C5260D">
        <w:t>The variation in initial temperature in the backshell</w:t>
      </w:r>
      <w:r w:rsidR="0055797E">
        <w:t xml:space="preserve"> was</w:t>
      </w:r>
      <w:r w:rsidR="00C5260D">
        <w:t xml:space="preserve"> noticeable, due to the much lower overall heating and orientation of the backshell relative to the sun prior to entry</w:t>
      </w:r>
      <w:r w:rsidR="00EE2B52">
        <w:t xml:space="preserve">. </w:t>
      </w:r>
      <w:r w:rsidR="00C5260D">
        <w:t xml:space="preserve">At MTB02, MTB03, and MTB04 the temperature at </w:t>
      </w:r>
      <w:r w:rsidR="009C7A43" w:rsidRPr="009C7A43">
        <w:t>2.54</w:t>
      </w:r>
      <w:r w:rsidR="009C7A43">
        <w:t>mm</w:t>
      </w:r>
      <w:r w:rsidR="00C5260D">
        <w:t xml:space="preserve"> </w:t>
      </w:r>
      <w:r w:rsidR="00D50DDD">
        <w:t>was</w:t>
      </w:r>
      <w:r w:rsidR="00C5260D">
        <w:t xml:space="preserve"> -46</w:t>
      </w:r>
      <w:r w:rsidR="0032574C" w:rsidRPr="0032574C">
        <w:t>°</w:t>
      </w:r>
      <w:r w:rsidR="0032574C">
        <w:t xml:space="preserve"> </w:t>
      </w:r>
      <w:r w:rsidR="00C5260D">
        <w:t xml:space="preserve">C, and at MTB05 and MTB06 there </w:t>
      </w:r>
      <w:r w:rsidR="0055797E">
        <w:t>wa</w:t>
      </w:r>
      <w:r w:rsidR="00C5260D">
        <w:t>s a warmer initial temperature of -29</w:t>
      </w:r>
      <w:r w:rsidR="0032574C" w:rsidRPr="0032574C">
        <w:t>°</w:t>
      </w:r>
      <w:r w:rsidR="0032574C">
        <w:t xml:space="preserve"> </w:t>
      </w:r>
      <w:r w:rsidR="00C5260D">
        <w:t>C</w:t>
      </w:r>
      <w:r w:rsidR="00EE2B52">
        <w:t xml:space="preserve">. </w:t>
      </w:r>
      <w:r w:rsidR="00C5260D">
        <w:t xml:space="preserve">MTB01 initial temperatures at </w:t>
      </w:r>
      <w:r w:rsidR="009C7A43" w:rsidRPr="009C7A43">
        <w:t>2.54</w:t>
      </w:r>
      <w:r w:rsidR="009C7A43">
        <w:t>mm</w:t>
      </w:r>
      <w:r w:rsidR="00C5260D">
        <w:t xml:space="preserve"> </w:t>
      </w:r>
      <w:r w:rsidR="00D50DDD">
        <w:t xml:space="preserve">fell in </w:t>
      </w:r>
      <w:r w:rsidR="00C5260D">
        <w:t>between, with a -38</w:t>
      </w:r>
      <w:r w:rsidR="0032574C" w:rsidRPr="0032574C">
        <w:t>°</w:t>
      </w:r>
      <w:r w:rsidR="0032574C">
        <w:t xml:space="preserve"> </w:t>
      </w:r>
      <w:r w:rsidR="00C5260D">
        <w:t>C initial temperature</w:t>
      </w:r>
      <w:r w:rsidR="00EE2B52">
        <w:t xml:space="preserve">. </w:t>
      </w:r>
      <w:r w:rsidR="00C5260D">
        <w:t xml:space="preserve">There </w:t>
      </w:r>
      <w:r w:rsidR="00D50DDD">
        <w:t>was</w:t>
      </w:r>
      <w:r w:rsidR="00C5260D">
        <w:t xml:space="preserve"> a mild thermal gradient in the TPS due to solar heating, at the second TC in MTB01 at </w:t>
      </w:r>
      <w:r w:rsidR="009C7A43" w:rsidRPr="009C7A43">
        <w:t>6.35</w:t>
      </w:r>
      <w:r w:rsidR="009C7A43">
        <w:t>mm</w:t>
      </w:r>
      <w:r w:rsidR="00C5260D">
        <w:t xml:space="preserve"> </w:t>
      </w:r>
      <w:r w:rsidR="00D50DDD">
        <w:t>was</w:t>
      </w:r>
      <w:r w:rsidR="00C5260D">
        <w:t xml:space="preserve"> 4</w:t>
      </w:r>
      <w:r w:rsidR="0032574C" w:rsidRPr="0032574C">
        <w:t>°</w:t>
      </w:r>
      <w:r w:rsidR="0032574C">
        <w:t xml:space="preserve"> </w:t>
      </w:r>
      <w:r w:rsidR="00C5260D">
        <w:t xml:space="preserve">cooler than at </w:t>
      </w:r>
      <w:r w:rsidR="00ED5704">
        <w:t>2</w:t>
      </w:r>
      <w:r w:rsidR="009C7A43" w:rsidRPr="009C7A43">
        <w:t>.</w:t>
      </w:r>
      <w:r w:rsidR="00ED5704">
        <w:t>54</w:t>
      </w:r>
      <w:r w:rsidR="009C7A43">
        <w:t>mm</w:t>
      </w:r>
      <w:r w:rsidR="00C5260D">
        <w:t>.</w:t>
      </w:r>
    </w:p>
    <w:p w14:paraId="7D3AFE96" w14:textId="77777777" w:rsidR="00C5260D" w:rsidRPr="00C5260D" w:rsidRDefault="00C5260D" w:rsidP="00C5260D">
      <w:pPr>
        <w:tabs>
          <w:tab w:val="left" w:pos="288"/>
        </w:tabs>
        <w:spacing w:before="240"/>
        <w:outlineLvl w:val="1"/>
        <w:rPr>
          <w:b/>
        </w:rPr>
      </w:pPr>
    </w:p>
    <w:p w14:paraId="1D9EC4AF" w14:textId="4204958B" w:rsidR="004D4E66" w:rsidRDefault="004D4E66" w:rsidP="00447A6B"/>
    <w:p w14:paraId="10915B76" w14:textId="5DA314F3" w:rsidR="007F0EAB" w:rsidRDefault="00624F8C" w:rsidP="007F0EAB">
      <w:pPr>
        <w:jc w:val="center"/>
      </w:pPr>
      <w:r>
        <w:rPr>
          <w:noProof/>
        </w:rPr>
        <w:lastRenderedPageBreak/>
        <w:drawing>
          <wp:inline distT="0" distB="0" distL="0" distR="0" wp14:anchorId="52A9AF0B" wp14:editId="6FB3CA3E">
            <wp:extent cx="2305731" cy="229514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05731" cy="2295144"/>
                    </a:xfrm>
                    <a:prstGeom prst="rect">
                      <a:avLst/>
                    </a:prstGeom>
                    <a:noFill/>
                  </pic:spPr>
                </pic:pic>
              </a:graphicData>
            </a:graphic>
          </wp:inline>
        </w:drawing>
      </w:r>
      <w:r w:rsidR="007F0EAB" w:rsidRPr="000A06A9">
        <w:rPr>
          <w:noProof/>
        </w:rPr>
        <w:drawing>
          <wp:inline distT="0" distB="0" distL="0" distR="0" wp14:anchorId="750E4DEE" wp14:editId="6C7F0DEB">
            <wp:extent cx="3060192" cy="2295144"/>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60192" cy="2295144"/>
                    </a:xfrm>
                    <a:prstGeom prst="rect">
                      <a:avLst/>
                    </a:prstGeom>
                  </pic:spPr>
                </pic:pic>
              </a:graphicData>
            </a:graphic>
          </wp:inline>
        </w:drawing>
      </w:r>
    </w:p>
    <w:p w14:paraId="558F8A3D" w14:textId="48BCED4C" w:rsidR="003C77F7" w:rsidRPr="00811E92" w:rsidRDefault="007F0EAB" w:rsidP="00811E92">
      <w:pPr>
        <w:pStyle w:val="Caption"/>
      </w:pPr>
      <w:r>
        <w:t xml:space="preserve">Figure </w:t>
      </w:r>
      <w:r w:rsidR="00496F19">
        <w:fldChar w:fldCharType="begin"/>
      </w:r>
      <w:r w:rsidR="00496F19">
        <w:instrText xml:space="preserve"> SEQ Figure \* ARABIC </w:instrText>
      </w:r>
      <w:r w:rsidR="00496F19">
        <w:fldChar w:fldCharType="separate"/>
      </w:r>
      <w:r w:rsidR="00C85550">
        <w:rPr>
          <w:noProof/>
        </w:rPr>
        <w:t>13</w:t>
      </w:r>
      <w:r w:rsidR="00496F19">
        <w:rPr>
          <w:noProof/>
        </w:rPr>
        <w:fldChar w:fldCharType="end"/>
      </w:r>
      <w:r>
        <w:t xml:space="preserve"> </w:t>
      </w:r>
      <w:r w:rsidR="005E0B1F">
        <w:t>Backshell</w:t>
      </w:r>
      <w:r>
        <w:t xml:space="preserve"> Temperatures measured during entry measured by MISP</w:t>
      </w:r>
    </w:p>
    <w:p w14:paraId="4492F670" w14:textId="5AC0FA9D" w:rsidR="009439C0" w:rsidRDefault="00D50DDD" w:rsidP="001C4FD9">
      <w:pPr>
        <w:ind w:firstLine="288"/>
      </w:pPr>
      <w:r>
        <w:t>During entry, t</w:t>
      </w:r>
      <w:r w:rsidR="009439C0">
        <w:t xml:space="preserve">he </w:t>
      </w:r>
      <w:r w:rsidR="005E0B1F">
        <w:t>backshell</w:t>
      </w:r>
      <w:r w:rsidR="009439C0">
        <w:t xml:space="preserve"> sensor with the greatest temperature rise </w:t>
      </w:r>
      <w:r w:rsidR="00BC54FD">
        <w:t xml:space="preserve">was near </w:t>
      </w:r>
      <w:r w:rsidR="009439C0">
        <w:t xml:space="preserve">leeside centerline (MTB02), and the lowest temperature rise was </w:t>
      </w:r>
      <w:r w:rsidR="00BC54FD">
        <w:t xml:space="preserve">at MTB05, on </w:t>
      </w:r>
      <w:r w:rsidR="0055797E">
        <w:t xml:space="preserve">windward on </w:t>
      </w:r>
      <w:r w:rsidR="00BC54FD">
        <w:t>centerline on the second cone</w:t>
      </w:r>
      <w:r w:rsidR="00EE2B52">
        <w:t xml:space="preserve">. </w:t>
      </w:r>
      <w:r w:rsidR="001C4FD9">
        <w:t xml:space="preserve">The leeside experienced higher heating than the </w:t>
      </w:r>
      <w:proofErr w:type="spellStart"/>
      <w:r w:rsidR="001C4FD9">
        <w:t>windside</w:t>
      </w:r>
      <w:proofErr w:type="spellEnd"/>
      <w:r w:rsidR="00925F4D">
        <w:t xml:space="preserve"> (Figure </w:t>
      </w:r>
      <w:r w:rsidR="008A185A">
        <w:t>14</w:t>
      </w:r>
      <w:r w:rsidR="00925F4D">
        <w:t>a)</w:t>
      </w:r>
      <w:r w:rsidR="00BC54FD">
        <w:t xml:space="preserve">, and there was a </w:t>
      </w:r>
      <w:r w:rsidR="009F50DA">
        <w:t xml:space="preserve">trend in sensors </w:t>
      </w:r>
      <w:r w:rsidR="00BC54FD">
        <w:t xml:space="preserve">from </w:t>
      </w:r>
      <w:proofErr w:type="spellStart"/>
      <w:r w:rsidR="00BC54FD">
        <w:t>windside</w:t>
      </w:r>
      <w:proofErr w:type="spellEnd"/>
      <w:r w:rsidR="00BC54FD">
        <w:t xml:space="preserve"> to the leeside</w:t>
      </w:r>
      <w:r w:rsidR="00925F4D">
        <w:t xml:space="preserve"> (Figure </w:t>
      </w:r>
      <w:r w:rsidR="008A185A">
        <w:t>14</w:t>
      </w:r>
      <w:r w:rsidR="00925F4D">
        <w:t>b)</w:t>
      </w:r>
      <w:r w:rsidR="00EE2B52">
        <w:t xml:space="preserve">. </w:t>
      </w:r>
      <w:r w:rsidR="008A185A">
        <w:t xml:space="preserve">Also, </w:t>
      </w:r>
      <w:r w:rsidR="00BC54FD">
        <w:t xml:space="preserve">peak </w:t>
      </w:r>
      <w:r w:rsidR="009F50DA">
        <w:t xml:space="preserve">temperatures </w:t>
      </w:r>
      <w:r w:rsidR="00BC54FD">
        <w:t xml:space="preserve">increase </w:t>
      </w:r>
      <w:r w:rsidR="008A185A">
        <w:t xml:space="preserve">moving </w:t>
      </w:r>
      <w:proofErr w:type="spellStart"/>
      <w:r w:rsidR="00BC54FD">
        <w:t>windside</w:t>
      </w:r>
      <w:proofErr w:type="spellEnd"/>
      <w:r w:rsidR="00BC54FD">
        <w:t xml:space="preserve"> to leeside</w:t>
      </w:r>
      <w:r w:rsidR="008A185A">
        <w:t xml:space="preserve"> (MTB03 to MTB04, and MTB02)</w:t>
      </w:r>
      <w:r w:rsidR="00EE2B52">
        <w:t xml:space="preserve">. </w:t>
      </w:r>
      <w:r w:rsidR="009F50DA">
        <w:t>Th</w:t>
      </w:r>
      <w:r w:rsidR="001C4FD9">
        <w:t xml:space="preserve">ese trends are </w:t>
      </w:r>
      <w:r w:rsidR="009F50DA">
        <w:t>consistent with estimates of increasing importance of radiative heating</w:t>
      </w:r>
      <w:r w:rsidR="001C4FD9">
        <w:t xml:space="preserve"> moving from </w:t>
      </w:r>
      <w:proofErr w:type="spellStart"/>
      <w:r w:rsidR="001C4FD9">
        <w:t>windside</w:t>
      </w:r>
      <w:proofErr w:type="spellEnd"/>
      <w:r w:rsidR="001C4FD9">
        <w:t xml:space="preserve"> to leeside</w:t>
      </w:r>
      <w:r w:rsidR="008A185A">
        <w:t xml:space="preserve"> [</w:t>
      </w:r>
      <w:r w:rsidR="00C56BB8">
        <w:t>12</w:t>
      </w:r>
      <w:r w:rsidR="008A185A">
        <w:t>].</w:t>
      </w:r>
    </w:p>
    <w:p w14:paraId="7BCEEF30" w14:textId="77635B19" w:rsidR="001C4FD9" w:rsidRDefault="001C4FD9" w:rsidP="001C4FD9">
      <w:pPr>
        <w:ind w:firstLine="288"/>
      </w:pPr>
      <w:r>
        <w:t xml:space="preserve">There </w:t>
      </w:r>
      <w:r w:rsidR="0055797E">
        <w:t xml:space="preserve">were </w:t>
      </w:r>
      <w:r>
        <w:t xml:space="preserve">no obvious signs of rapid changes in the </w:t>
      </w:r>
      <w:r w:rsidR="005E0B1F">
        <w:t>backshell</w:t>
      </w:r>
      <w:r>
        <w:t xml:space="preserve"> environments, on account of </w:t>
      </w:r>
      <w:r w:rsidR="0055797E">
        <w:t xml:space="preserve">laminar to turbulent </w:t>
      </w:r>
      <w:r>
        <w:t xml:space="preserve">flow transition at MTB01, MTB03, </w:t>
      </w:r>
      <w:r w:rsidR="0055797E">
        <w:t xml:space="preserve">or </w:t>
      </w:r>
      <w:r>
        <w:t>MTB06</w:t>
      </w:r>
      <w:r w:rsidR="0055797E">
        <w:t xml:space="preserve"> where the flow is likely attached</w:t>
      </w:r>
      <w:r w:rsidR="00FF377A">
        <w:t>; t</w:t>
      </w:r>
      <w:r>
        <w:t xml:space="preserve">here </w:t>
      </w:r>
      <w:r w:rsidR="0055797E">
        <w:t>was</w:t>
      </w:r>
      <w:r>
        <w:t xml:space="preserve"> also no discernable difference between MTB03 and MTB04 </w:t>
      </w:r>
      <w:r w:rsidR="00FF377A">
        <w:t>to indicate major convective heating differences due to separation line</w:t>
      </w:r>
      <w:r w:rsidR="0055797E">
        <w:t xml:space="preserve"> movement</w:t>
      </w:r>
      <w:r w:rsidR="00EE2B52">
        <w:t xml:space="preserve">. </w:t>
      </w:r>
      <w:r w:rsidR="00B11FB6">
        <w:t>Measured peak backshell temperatures occur later (100s) than forebody peak temperatures (~90s)</w:t>
      </w:r>
      <w:r w:rsidR="00D50DDD">
        <w:t>, which is consistent with expectations that heatshield heating peaks earlier than backshell heating.</w:t>
      </w:r>
    </w:p>
    <w:p w14:paraId="78C390EE" w14:textId="019BFCEA" w:rsidR="007D469C" w:rsidRDefault="007D469C" w:rsidP="003C77F7">
      <w:pPr>
        <w:ind w:firstLine="288"/>
      </w:pPr>
    </w:p>
    <w:p w14:paraId="171E6CA2" w14:textId="70CDDE13" w:rsidR="00925F4D" w:rsidRDefault="00624F8C" w:rsidP="00D50DDD">
      <w:pPr>
        <w:keepNext/>
        <w:ind w:firstLine="288"/>
        <w:jc w:val="center"/>
      </w:pPr>
      <w:r>
        <w:rPr>
          <w:noProof/>
        </w:rPr>
        <mc:AlternateContent>
          <mc:Choice Requires="wps">
            <w:drawing>
              <wp:anchor distT="0" distB="0" distL="114300" distR="114300" simplePos="0" relativeHeight="251663360" behindDoc="0" locked="0" layoutInCell="1" allowOverlap="1" wp14:anchorId="47A7BE1A" wp14:editId="4F73E33D">
                <wp:simplePos x="0" y="0"/>
                <wp:positionH relativeFrom="column">
                  <wp:posOffset>4259996</wp:posOffset>
                </wp:positionH>
                <wp:positionV relativeFrom="paragraph">
                  <wp:posOffset>1086988</wp:posOffset>
                </wp:positionV>
                <wp:extent cx="855023" cy="475013"/>
                <wp:effectExtent l="0" t="0" r="21590" b="20320"/>
                <wp:wrapNone/>
                <wp:docPr id="24" name="Text Box 24"/>
                <wp:cNvGraphicFramePr/>
                <a:graphic xmlns:a="http://schemas.openxmlformats.org/drawingml/2006/main">
                  <a:graphicData uri="http://schemas.microsoft.com/office/word/2010/wordprocessingShape">
                    <wps:wsp>
                      <wps:cNvSpPr txBox="1"/>
                      <wps:spPr>
                        <a:xfrm>
                          <a:off x="0" y="0"/>
                          <a:ext cx="855023" cy="475013"/>
                        </a:xfrm>
                        <a:prstGeom prst="rect">
                          <a:avLst/>
                        </a:prstGeom>
                        <a:solidFill>
                          <a:schemeClr val="lt1"/>
                        </a:solidFill>
                        <a:ln w="6350">
                          <a:solidFill>
                            <a:prstClr val="black"/>
                          </a:solidFill>
                        </a:ln>
                      </wps:spPr>
                      <wps:txbx>
                        <w:txbxContent>
                          <w:p w14:paraId="0128EC8A" w14:textId="780CCCB3" w:rsidR="00601526" w:rsidRPr="00BC54FD" w:rsidRDefault="00601526" w:rsidP="00BC54FD">
                            <w:pPr>
                              <w:jc w:val="center"/>
                              <w:rPr>
                                <w:rFonts w:ascii="Arial" w:hAnsi="Arial" w:cs="Arial"/>
                                <w:i/>
                                <w:iCs/>
                                <w:sz w:val="12"/>
                                <w:szCs w:val="12"/>
                              </w:rPr>
                            </w:pPr>
                            <w:r>
                              <w:rPr>
                                <w:rFonts w:ascii="Arial" w:hAnsi="Arial" w:cs="Arial"/>
                                <w:i/>
                                <w:iCs/>
                                <w:sz w:val="12"/>
                                <w:szCs w:val="12"/>
                              </w:rPr>
                              <w:t>b. Trend with increasing temperature from windside to leeside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A7BE1A" id="_x0000_t202" coordsize="21600,21600" o:spt="202" path="m,l,21600r21600,l21600,xe">
                <v:stroke joinstyle="miter"/>
                <v:path gradientshapeok="t" o:connecttype="rect"/>
              </v:shapetype>
              <v:shape id="Text Box 24" o:spid="_x0000_s1026" type="#_x0000_t202" style="position:absolute;left:0;text-align:left;margin-left:335.45pt;margin-top:85.6pt;width:67.3pt;height:3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bAdTQIAAKIEAAAOAAAAZHJzL2Uyb0RvYy54bWysVE1v2zAMvQ/YfxB0X+x8tZ0Rp8hSZBgQ&#10;tAWSoWdFlmJjsqhJSuzs14+SnTTtdhp2USjy+Yl8JDO7b2tFjsK6CnROh4OUEqE5FJXe5/T7dvXp&#10;jhLnmS6YAi1yehKO3s8/fpg1JhMjKEEVwhIk0S5rTE5L702WJI6XomZuAEZoDEqwNfN4tfuksKxB&#10;9lolozS9SRqwhbHAhXPofeiCdB75pRTcP0nphCcqp5ibj6eN5y6cyXzGsr1lpqx4nwb7hyxqVml8&#10;9EL1wDwjB1v9QVVX3IID6Qcc6gSkrLiINWA1w/RdNZuSGRFrQXGcucjk/h8tfzw+W1IVOR1NKNGs&#10;xh5tRevJF2gJulCfxrgMYRuDQN+iH/t89jt0hrJbaevwiwURjKPSp4u6gY2j8246TUdjSjiGJrfT&#10;dDgOLMnrx8Y6/1VATYKRU4vNi5qy49r5DnqGhLccqKpYVUrFSxgYsVSWHBm2WvmYIpK/QSlNmpze&#10;jKdpJH4TC9SX73eK8R99elco5FMacw6SdKUHy7e7ttdpB8UJZbLQDZozfFUh75o5/8wsThYqg9vi&#10;n/CQCjAZ6C1KSrC//uYPeGw4RilpcFJz6n4emBWUqG8aR+HzcDIJox0vk+ntCC/2OrK7juhDvQRU&#10;aIh7aXg0A96rsykt1C+4VIvwKoaY5vh2Tv3ZXPpuf3ApuVgsIgiH2TC/1hvDA3XoSNBz274wa/p+&#10;ehyERzjPNMvetbXDhi81LA4eZBV7HgTuVO11x0WIU9Mvbdi063tEvf61zH8DAAD//wMAUEsDBBQA&#10;BgAIAAAAIQCfZScI3gAAAAsBAAAPAAAAZHJzL2Rvd25yZXYueG1sTI/BTsMwEETvSPyDtUjcqN2I&#10;pmmIUwEqXDhREOdtvLUtYjuK3TT8PeZEj6t5mnnbbGfXs4nGaIOXsFwIYOS7oKzXEj4/Xu4qYDGh&#10;V9gHTxJ+KMK2vb5qsFbh7N9p2ifNcomPNUowKQ0157Ez5DAuwkA+Z8cwOkz5HDVXI55zuet5IUTJ&#10;HVqfFwwO9Gyo+96fnITdk97orsLR7Cpl7TR/Hd/0q5S3N/PjA7BEc/qH4U8/q0ObnQ7h5FVkvYRy&#10;LTYZzcF6WQDLRCVWK2AHCcV9KYC3Db/8of0FAAD//wMAUEsBAi0AFAAGAAgAAAAhALaDOJL+AAAA&#10;4QEAABMAAAAAAAAAAAAAAAAAAAAAAFtDb250ZW50X1R5cGVzXS54bWxQSwECLQAUAAYACAAAACEA&#10;OP0h/9YAAACUAQAACwAAAAAAAAAAAAAAAAAvAQAAX3JlbHMvLnJlbHNQSwECLQAUAAYACAAAACEA&#10;2DGwHU0CAACiBAAADgAAAAAAAAAAAAAAAAAuAgAAZHJzL2Uyb0RvYy54bWxQSwECLQAUAAYACAAA&#10;ACEAn2UnCN4AAAALAQAADwAAAAAAAAAAAAAAAACnBAAAZHJzL2Rvd25yZXYueG1sUEsFBgAAAAAE&#10;AAQA8wAAALIFAAAAAA==&#10;" fillcolor="white [3201]" strokeweight=".5pt">
                <v:textbox>
                  <w:txbxContent>
                    <w:p w14:paraId="0128EC8A" w14:textId="780CCCB3" w:rsidR="00601526" w:rsidRPr="00BC54FD" w:rsidRDefault="00601526" w:rsidP="00BC54FD">
                      <w:pPr>
                        <w:jc w:val="center"/>
                        <w:rPr>
                          <w:rFonts w:ascii="Arial" w:hAnsi="Arial" w:cs="Arial"/>
                          <w:i/>
                          <w:iCs/>
                          <w:sz w:val="12"/>
                          <w:szCs w:val="12"/>
                        </w:rPr>
                      </w:pPr>
                      <w:r>
                        <w:rPr>
                          <w:rFonts w:ascii="Arial" w:hAnsi="Arial" w:cs="Arial"/>
                          <w:i/>
                          <w:iCs/>
                          <w:sz w:val="12"/>
                          <w:szCs w:val="12"/>
                        </w:rPr>
                        <w:t xml:space="preserve">b. Trend with increasing temperature from </w:t>
                      </w:r>
                      <w:proofErr w:type="spellStart"/>
                      <w:r>
                        <w:rPr>
                          <w:rFonts w:ascii="Arial" w:hAnsi="Arial" w:cs="Arial"/>
                          <w:i/>
                          <w:iCs/>
                          <w:sz w:val="12"/>
                          <w:szCs w:val="12"/>
                        </w:rPr>
                        <w:t>windside</w:t>
                      </w:r>
                      <w:proofErr w:type="spellEnd"/>
                      <w:r>
                        <w:rPr>
                          <w:rFonts w:ascii="Arial" w:hAnsi="Arial" w:cs="Arial"/>
                          <w:i/>
                          <w:iCs/>
                          <w:sz w:val="12"/>
                          <w:szCs w:val="12"/>
                        </w:rPr>
                        <w:t xml:space="preserve"> to leeside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9B74CBB" wp14:editId="030B2890">
                <wp:simplePos x="0" y="0"/>
                <wp:positionH relativeFrom="column">
                  <wp:posOffset>1793450</wp:posOffset>
                </wp:positionH>
                <wp:positionV relativeFrom="paragraph">
                  <wp:posOffset>1092176</wp:posOffset>
                </wp:positionV>
                <wp:extent cx="760021" cy="475013"/>
                <wp:effectExtent l="0" t="0" r="21590" b="20320"/>
                <wp:wrapNone/>
                <wp:docPr id="22" name="Text Box 22"/>
                <wp:cNvGraphicFramePr/>
                <a:graphic xmlns:a="http://schemas.openxmlformats.org/drawingml/2006/main">
                  <a:graphicData uri="http://schemas.microsoft.com/office/word/2010/wordprocessingShape">
                    <wps:wsp>
                      <wps:cNvSpPr txBox="1"/>
                      <wps:spPr>
                        <a:xfrm>
                          <a:off x="0" y="0"/>
                          <a:ext cx="760021" cy="475013"/>
                        </a:xfrm>
                        <a:prstGeom prst="rect">
                          <a:avLst/>
                        </a:prstGeom>
                        <a:solidFill>
                          <a:schemeClr val="lt1"/>
                        </a:solidFill>
                        <a:ln w="6350">
                          <a:solidFill>
                            <a:prstClr val="black"/>
                          </a:solidFill>
                        </a:ln>
                      </wps:spPr>
                      <wps:txbx>
                        <w:txbxContent>
                          <w:p w14:paraId="34F97046" w14:textId="3BDF633A" w:rsidR="00601526" w:rsidRPr="00BC54FD" w:rsidRDefault="00601526" w:rsidP="00BC54FD">
                            <w:pPr>
                              <w:jc w:val="center"/>
                              <w:rPr>
                                <w:rFonts w:ascii="Arial" w:hAnsi="Arial" w:cs="Arial"/>
                                <w:i/>
                                <w:iCs/>
                                <w:sz w:val="12"/>
                                <w:szCs w:val="12"/>
                              </w:rPr>
                            </w:pPr>
                            <w:r>
                              <w:rPr>
                                <w:rFonts w:ascii="Arial" w:hAnsi="Arial" w:cs="Arial"/>
                                <w:i/>
                                <w:iCs/>
                                <w:sz w:val="12"/>
                                <w:szCs w:val="12"/>
                              </w:rPr>
                              <w:t xml:space="preserve">a. </w:t>
                            </w:r>
                            <w:r w:rsidRPr="00BC54FD">
                              <w:rPr>
                                <w:rFonts w:ascii="Arial" w:hAnsi="Arial" w:cs="Arial"/>
                                <w:i/>
                                <w:iCs/>
                                <w:sz w:val="12"/>
                                <w:szCs w:val="12"/>
                              </w:rPr>
                              <w:t xml:space="preserve">Leeside temperatures are higher than </w:t>
                            </w:r>
                            <w:r w:rsidRPr="00BC54FD">
                              <w:rPr>
                                <w:rFonts w:ascii="Arial" w:hAnsi="Arial" w:cs="Arial"/>
                                <w:i/>
                                <w:iCs/>
                                <w:sz w:val="12"/>
                                <w:szCs w:val="12"/>
                              </w:rPr>
                              <w:t>windside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74CBB" id="Text Box 22" o:spid="_x0000_s1027" type="#_x0000_t202" style="position:absolute;left:0;text-align:left;margin-left:141.2pt;margin-top:86pt;width:59.85pt;height:3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P8lTwIAAKkEAAAOAAAAZHJzL2Uyb0RvYy54bWysVMFuGjEQvVfqP1i+N7sQQlLEEtFEVJWi&#10;JBJUORuvN6zq9bi2YTf9+j57gZC0p6oXM555+zzzZobpdddotlPO12QKPjjLOVNGUlmb54J/Xy0+&#10;XXHmgzCl0GRUwV+U59ezjx+mrZ2oIW1Il8oxkBg/aW3BNyHYSZZ5uVGN8GdklUGwIteIgKt7zkon&#10;WrA3Ohvm+ThryZXWkVTew3vbB/ks8VeVkuGhqrwKTBccuYV0unSu45nNpmLy7ITd1HKfhviHLBpR&#10;Gzx6pLoVQbCtq/+gamrpyFMVziQ1GVVVLVWqAdUM8nfVLDfCqlQLxPH2KJP/f7TyfvfoWF0WfDjk&#10;zIgGPVqpLrAv1DG4oE9r/QSwpQUwdPCjzwe/hzOW3VWuib8oiCEOpV+O6kY2CeflOM+HA84kQqPL&#10;i3xwHlmy14+t8+GrooZFo+AOzUuait2dDz30AIlvedJ1uai1Tpc4MOpGO7YTaLUOKUWQv0Fpw9qC&#10;j88v8kT8Jhapj9+vtZA/9umdoMCnDXKOkvSlRyt06y5JeJRlTeUL1HLUz5u3clGD/k748CgcBgwC&#10;YWnCA45KE3KivcXZhtyvv/kjHn1HlLMWA1tw/3MrnOJMfzOYiM+D0ShOeLqMLi6HuLjTyPo0YrbN&#10;DUEo9APZJTPigz6YlaPmCbs1j68iJIzE2wUPB/Mm9GuE3ZRqPk8gzLQV4c4srYzUsTFR1lX3JJzd&#10;tzVgHu7pMNpi8q67PTZ+aWi+DVTVqfVR517VvfzYhzQ8+92NC3d6T6jXf5jZbwAAAP//AwBQSwME&#10;FAAGAAgAAAAhAHMtNDncAAAACwEAAA8AAABkcnMvZG93bnJldi54bWxMj8FOwzAQRO9I/IO1SNyo&#10;0ygqJsSpABUunCiIsxu7tkW8jmw3DX/PcoLjap5m33TbJYxsNin7iBLWqwqYwSFqj1bCx/vzjQCW&#10;i0KtxohGwrfJsO0vLzrV6njGNzPvi2VUgrlVElwpU8t5HpwJKq/iZJCyY0xBFTqT5TqpM5WHkddV&#10;teFBeaQPTk3myZnha38KEnaP9s4OQiW3E9r7efk8vtoXKa+vlod7YMUs5Q+GX31Sh56cDvGEOrNR&#10;Qi3qhlAKbmsaRURT1WtgB4qajQDed/z/hv4HAAD//wMAUEsBAi0AFAAGAAgAAAAhALaDOJL+AAAA&#10;4QEAABMAAAAAAAAAAAAAAAAAAAAAAFtDb250ZW50X1R5cGVzXS54bWxQSwECLQAUAAYACAAAACEA&#10;OP0h/9YAAACUAQAACwAAAAAAAAAAAAAAAAAvAQAAX3JlbHMvLnJlbHNQSwECLQAUAAYACAAAACEA&#10;VBj/JU8CAACpBAAADgAAAAAAAAAAAAAAAAAuAgAAZHJzL2Uyb0RvYy54bWxQSwECLQAUAAYACAAA&#10;ACEAcy00OdwAAAALAQAADwAAAAAAAAAAAAAAAACpBAAAZHJzL2Rvd25yZXYueG1sUEsFBgAAAAAE&#10;AAQA8wAAALIFAAAAAA==&#10;" fillcolor="white [3201]" strokeweight=".5pt">
                <v:textbox>
                  <w:txbxContent>
                    <w:p w14:paraId="34F97046" w14:textId="3BDF633A" w:rsidR="00601526" w:rsidRPr="00BC54FD" w:rsidRDefault="00601526" w:rsidP="00BC54FD">
                      <w:pPr>
                        <w:jc w:val="center"/>
                        <w:rPr>
                          <w:rFonts w:ascii="Arial" w:hAnsi="Arial" w:cs="Arial"/>
                          <w:i/>
                          <w:iCs/>
                          <w:sz w:val="12"/>
                          <w:szCs w:val="12"/>
                        </w:rPr>
                      </w:pPr>
                      <w:r>
                        <w:rPr>
                          <w:rFonts w:ascii="Arial" w:hAnsi="Arial" w:cs="Arial"/>
                          <w:i/>
                          <w:iCs/>
                          <w:sz w:val="12"/>
                          <w:szCs w:val="12"/>
                        </w:rPr>
                        <w:t xml:space="preserve">a. </w:t>
                      </w:r>
                      <w:r w:rsidRPr="00BC54FD">
                        <w:rPr>
                          <w:rFonts w:ascii="Arial" w:hAnsi="Arial" w:cs="Arial"/>
                          <w:i/>
                          <w:iCs/>
                          <w:sz w:val="12"/>
                          <w:szCs w:val="12"/>
                        </w:rPr>
                        <w:t xml:space="preserve">Leeside temperatures are higher than </w:t>
                      </w:r>
                      <w:proofErr w:type="spellStart"/>
                      <w:r w:rsidRPr="00BC54FD">
                        <w:rPr>
                          <w:rFonts w:ascii="Arial" w:hAnsi="Arial" w:cs="Arial"/>
                          <w:i/>
                          <w:iCs/>
                          <w:sz w:val="12"/>
                          <w:szCs w:val="12"/>
                        </w:rPr>
                        <w:t>windside</w:t>
                      </w:r>
                      <w:proofErr w:type="spellEnd"/>
                    </w:p>
                  </w:txbxContent>
                </v:textbox>
              </v:shape>
            </w:pict>
          </mc:Fallback>
        </mc:AlternateContent>
      </w:r>
      <w:r w:rsidR="009439C0">
        <w:rPr>
          <w:noProof/>
        </w:rPr>
        <w:drawing>
          <wp:inline distT="0" distB="0" distL="0" distR="0" wp14:anchorId="586DE2FD" wp14:editId="685B03CD">
            <wp:extent cx="2539270" cy="1904452"/>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39270" cy="1904452"/>
                    </a:xfrm>
                    <a:prstGeom prst="rect">
                      <a:avLst/>
                    </a:prstGeom>
                  </pic:spPr>
                </pic:pic>
              </a:graphicData>
            </a:graphic>
          </wp:inline>
        </w:drawing>
      </w:r>
      <w:r w:rsidR="001C4FD9">
        <w:rPr>
          <w:noProof/>
        </w:rPr>
        <w:drawing>
          <wp:inline distT="0" distB="0" distL="0" distR="0" wp14:anchorId="5C7CFD8E" wp14:editId="7B7F927C">
            <wp:extent cx="2540805" cy="190560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40805" cy="1905603"/>
                    </a:xfrm>
                    <a:prstGeom prst="rect">
                      <a:avLst/>
                    </a:prstGeom>
                  </pic:spPr>
                </pic:pic>
              </a:graphicData>
            </a:graphic>
          </wp:inline>
        </w:drawing>
      </w:r>
      <w:r>
        <w:t xml:space="preserve">          </w:t>
      </w:r>
    </w:p>
    <w:p w14:paraId="07AC5EB0" w14:textId="24CD7BA9" w:rsidR="00466517" w:rsidRPr="00466517" w:rsidRDefault="00925F4D" w:rsidP="00D50DDD">
      <w:pPr>
        <w:pStyle w:val="Caption"/>
      </w:pPr>
      <w:r>
        <w:t xml:space="preserve">Figure </w:t>
      </w:r>
      <w:r w:rsidR="00496F19">
        <w:fldChar w:fldCharType="begin"/>
      </w:r>
      <w:r w:rsidR="00496F19">
        <w:instrText xml:space="preserve"> SEQ Figure \* ARABIC </w:instrText>
      </w:r>
      <w:r w:rsidR="00496F19">
        <w:fldChar w:fldCharType="separate"/>
      </w:r>
      <w:r w:rsidR="00C85550">
        <w:rPr>
          <w:noProof/>
        </w:rPr>
        <w:t>14</w:t>
      </w:r>
      <w:r w:rsidR="00496F19">
        <w:rPr>
          <w:noProof/>
        </w:rPr>
        <w:fldChar w:fldCharType="end"/>
      </w:r>
      <w:r>
        <w:t xml:space="preserve"> Comparisons of temperature rise from individual aftbody MISP channels</w:t>
      </w:r>
    </w:p>
    <w:p w14:paraId="5BEAF611" w14:textId="4D75E581" w:rsidR="00925F4D" w:rsidRDefault="005C0FCD" w:rsidP="005C0FCD">
      <w:pPr>
        <w:ind w:firstLine="288"/>
        <w:rPr>
          <w:bCs/>
        </w:rPr>
      </w:pPr>
      <w:r>
        <w:rPr>
          <w:bCs/>
        </w:rPr>
        <w:t xml:space="preserve">As with the heatshield MISP, </w:t>
      </w:r>
      <w:r w:rsidR="00D50DDD">
        <w:rPr>
          <w:bCs/>
        </w:rPr>
        <w:t xml:space="preserve">MEDLI2 developed a refined SLA-561V ablator model to support </w:t>
      </w:r>
      <w:r>
        <w:rPr>
          <w:bCs/>
        </w:rPr>
        <w:t xml:space="preserve">direct </w:t>
      </w:r>
      <w:r w:rsidR="00D50DDD">
        <w:rPr>
          <w:bCs/>
        </w:rPr>
        <w:t xml:space="preserve">[7] </w:t>
      </w:r>
      <w:r>
        <w:rPr>
          <w:bCs/>
        </w:rPr>
        <w:t xml:space="preserve">and inverse </w:t>
      </w:r>
      <w:r w:rsidR="00D50DDD">
        <w:rPr>
          <w:bCs/>
        </w:rPr>
        <w:t xml:space="preserve">analysis [8] </w:t>
      </w:r>
      <w:r>
        <w:rPr>
          <w:bCs/>
        </w:rPr>
        <w:t xml:space="preserve">of the </w:t>
      </w:r>
      <w:r w:rsidR="005E0B1F">
        <w:rPr>
          <w:bCs/>
        </w:rPr>
        <w:t>backshell</w:t>
      </w:r>
      <w:r>
        <w:rPr>
          <w:bCs/>
        </w:rPr>
        <w:t xml:space="preserve"> TC data</w:t>
      </w:r>
      <w:r w:rsidR="00EE2B52">
        <w:rPr>
          <w:bCs/>
        </w:rPr>
        <w:t xml:space="preserve">. </w:t>
      </w:r>
      <w:r>
        <w:rPr>
          <w:bCs/>
        </w:rPr>
        <w:t xml:space="preserve">The main refinement </w:t>
      </w:r>
      <w:r w:rsidR="00925F4D">
        <w:rPr>
          <w:bCs/>
        </w:rPr>
        <w:t xml:space="preserve">for </w:t>
      </w:r>
      <w:r w:rsidR="00D50DDD">
        <w:rPr>
          <w:bCs/>
        </w:rPr>
        <w:t xml:space="preserve">the </w:t>
      </w:r>
      <w:r w:rsidR="00925F4D">
        <w:rPr>
          <w:bCs/>
        </w:rPr>
        <w:t xml:space="preserve">MEDLI2 </w:t>
      </w:r>
      <w:r w:rsidR="00D50DDD">
        <w:rPr>
          <w:bCs/>
        </w:rPr>
        <w:t xml:space="preserve">SLA-561V model </w:t>
      </w:r>
      <w:r>
        <w:rPr>
          <w:bCs/>
        </w:rPr>
        <w:t xml:space="preserve">was </w:t>
      </w:r>
      <w:r w:rsidR="00D50DDD">
        <w:rPr>
          <w:bCs/>
        </w:rPr>
        <w:t xml:space="preserve">removal of a </w:t>
      </w:r>
      <w:r w:rsidRPr="005C0FCD">
        <w:rPr>
          <w:bCs/>
        </w:rPr>
        <w:t>conservatism in the design SLA-561V mod</w:t>
      </w:r>
      <w:r>
        <w:rPr>
          <w:bCs/>
        </w:rPr>
        <w:t>el</w:t>
      </w:r>
      <w:r w:rsidR="00D50DDD">
        <w:rPr>
          <w:bCs/>
        </w:rPr>
        <w:t xml:space="preserve">—specifically the inclusion of </w:t>
      </w:r>
      <w:r w:rsidRPr="005C0FCD">
        <w:rPr>
          <w:bCs/>
        </w:rPr>
        <w:t>pressure-dependance in the</w:t>
      </w:r>
      <w:r>
        <w:rPr>
          <w:bCs/>
        </w:rPr>
        <w:t xml:space="preserve"> </w:t>
      </w:r>
      <w:r w:rsidR="00D50DDD">
        <w:rPr>
          <w:bCs/>
        </w:rPr>
        <w:t xml:space="preserve">material </w:t>
      </w:r>
      <w:r w:rsidRPr="005C0FCD">
        <w:rPr>
          <w:bCs/>
        </w:rPr>
        <w:t>conductivity.</w:t>
      </w:r>
      <w:r>
        <w:rPr>
          <w:bCs/>
        </w:rPr>
        <w:t xml:space="preserve"> </w:t>
      </w:r>
      <w:proofErr w:type="gramStart"/>
      <w:r>
        <w:rPr>
          <w:bCs/>
        </w:rPr>
        <w:t>This</w:t>
      </w:r>
      <w:r w:rsidR="00925F4D">
        <w:rPr>
          <w:bCs/>
        </w:rPr>
        <w:t xml:space="preserve"> refinement</w:t>
      </w:r>
      <w:r>
        <w:rPr>
          <w:bCs/>
        </w:rPr>
        <w:t>,</w:t>
      </w:r>
      <w:proofErr w:type="gramEnd"/>
      <w:r>
        <w:rPr>
          <w:bCs/>
        </w:rPr>
        <w:t xml:space="preserve"> combined with </w:t>
      </w:r>
      <w:r w:rsidRPr="005C0FCD">
        <w:rPr>
          <w:bCs/>
        </w:rPr>
        <w:t xml:space="preserve">MEDLI2-specific </w:t>
      </w:r>
      <w:r>
        <w:rPr>
          <w:bCs/>
        </w:rPr>
        <w:t xml:space="preserve">adjustments to temperature-varying </w:t>
      </w:r>
      <w:r w:rsidRPr="005C0FCD">
        <w:rPr>
          <w:bCs/>
        </w:rPr>
        <w:t>virgin and char conductivity</w:t>
      </w:r>
      <w:r>
        <w:rPr>
          <w:bCs/>
        </w:rPr>
        <w:t xml:space="preserve"> (reduced by </w:t>
      </w:r>
      <w:r w:rsidRPr="005C0FCD">
        <w:rPr>
          <w:bCs/>
        </w:rPr>
        <w:t>25-45%</w:t>
      </w:r>
      <w:r>
        <w:rPr>
          <w:bCs/>
        </w:rPr>
        <w:t xml:space="preserve">) </w:t>
      </w:r>
      <w:r w:rsidR="00925F4D">
        <w:rPr>
          <w:bCs/>
        </w:rPr>
        <w:t>g</w:t>
      </w:r>
      <w:r>
        <w:rPr>
          <w:bCs/>
        </w:rPr>
        <w:t>reatly improved ablator model comparisons to arc jet TC data</w:t>
      </w:r>
      <w:r w:rsidR="00EE2B52">
        <w:rPr>
          <w:bCs/>
        </w:rPr>
        <w:t xml:space="preserve">. </w:t>
      </w:r>
    </w:p>
    <w:p w14:paraId="44E9BC61" w14:textId="52890A8B" w:rsidR="004D4E66" w:rsidRDefault="00925F4D" w:rsidP="005C0FCD">
      <w:pPr>
        <w:ind w:firstLine="288"/>
        <w:rPr>
          <w:bCs/>
        </w:rPr>
      </w:pPr>
      <w:r>
        <w:rPr>
          <w:bCs/>
        </w:rPr>
        <w:t>On</w:t>
      </w:r>
      <w:r w:rsidR="005C0FCD">
        <w:rPr>
          <w:bCs/>
        </w:rPr>
        <w:t xml:space="preserve"> the </w:t>
      </w:r>
      <w:r w:rsidR="005E0B1F">
        <w:rPr>
          <w:bCs/>
        </w:rPr>
        <w:t>backshell</w:t>
      </w:r>
      <w:r w:rsidR="005C0FCD">
        <w:rPr>
          <w:bCs/>
        </w:rPr>
        <w:t xml:space="preserve">, there </w:t>
      </w:r>
      <w:r>
        <w:rPr>
          <w:bCs/>
        </w:rPr>
        <w:t>was</w:t>
      </w:r>
      <w:r w:rsidR="005C0FCD">
        <w:rPr>
          <w:bCs/>
        </w:rPr>
        <w:t xml:space="preserve"> a single location where direct analysis use</w:t>
      </w:r>
      <w:r>
        <w:rPr>
          <w:bCs/>
        </w:rPr>
        <w:t>d</w:t>
      </w:r>
      <w:r w:rsidR="005C0FCD">
        <w:rPr>
          <w:bCs/>
        </w:rPr>
        <w:t xml:space="preserve"> flight data for a “TC driver” analysis</w:t>
      </w:r>
      <w:r>
        <w:rPr>
          <w:bCs/>
        </w:rPr>
        <w:t xml:space="preserve"> (MTB01-2 and MTB01-2)</w:t>
      </w:r>
      <w:r w:rsidR="005C0FCD">
        <w:rPr>
          <w:bCs/>
        </w:rPr>
        <w:t>, and there the refined SLA-561V ablator model also compare</w:t>
      </w:r>
      <w:r>
        <w:rPr>
          <w:bCs/>
        </w:rPr>
        <w:t xml:space="preserve">d </w:t>
      </w:r>
      <w:r w:rsidR="005C0FCD">
        <w:rPr>
          <w:bCs/>
        </w:rPr>
        <w:t>well</w:t>
      </w:r>
      <w:r w:rsidR="00EE2B52">
        <w:rPr>
          <w:bCs/>
        </w:rPr>
        <w:t xml:space="preserve">. </w:t>
      </w:r>
      <w:r w:rsidR="005C0FCD">
        <w:rPr>
          <w:bCs/>
        </w:rPr>
        <w:t xml:space="preserve">The inverse </w:t>
      </w:r>
      <w:r w:rsidR="0065238C">
        <w:rPr>
          <w:bCs/>
        </w:rPr>
        <w:t>estimation</w:t>
      </w:r>
      <w:r w:rsidR="005C0FCD">
        <w:rPr>
          <w:bCs/>
        </w:rPr>
        <w:t xml:space="preserve"> in [</w:t>
      </w:r>
      <w:r w:rsidR="00576939">
        <w:rPr>
          <w:bCs/>
        </w:rPr>
        <w:t>8</w:t>
      </w:r>
      <w:r w:rsidR="005C0FCD">
        <w:rPr>
          <w:bCs/>
        </w:rPr>
        <w:t>] further refines much of the trends observed in the raw TC data above</w:t>
      </w:r>
      <w:r w:rsidR="00EE2B52">
        <w:rPr>
          <w:bCs/>
        </w:rPr>
        <w:t xml:space="preserve">. </w:t>
      </w:r>
      <w:r w:rsidR="007B5481">
        <w:rPr>
          <w:bCs/>
        </w:rPr>
        <w:t xml:space="preserve">The peak </w:t>
      </w:r>
      <w:r w:rsidR="005E0B1F">
        <w:rPr>
          <w:bCs/>
        </w:rPr>
        <w:t>backshell</w:t>
      </w:r>
      <w:r w:rsidR="00C705BC" w:rsidRPr="00C705BC">
        <w:rPr>
          <w:bCs/>
        </w:rPr>
        <w:t xml:space="preserve"> surface temperatures </w:t>
      </w:r>
      <w:r w:rsidR="007B5481">
        <w:rPr>
          <w:bCs/>
        </w:rPr>
        <w:t xml:space="preserve">stayed </w:t>
      </w:r>
      <w:r w:rsidR="00C705BC" w:rsidRPr="00C705BC">
        <w:rPr>
          <w:bCs/>
        </w:rPr>
        <w:t xml:space="preserve">below </w:t>
      </w:r>
      <w:r w:rsidR="00FC3917">
        <w:rPr>
          <w:bCs/>
        </w:rPr>
        <w:t>630</w:t>
      </w:r>
      <w:r w:rsidR="0032574C" w:rsidRPr="0032574C">
        <w:t>°</w:t>
      </w:r>
      <w:r w:rsidR="0032574C">
        <w:t xml:space="preserve"> </w:t>
      </w:r>
      <w:r w:rsidR="00C705BC" w:rsidRPr="00C705BC">
        <w:rPr>
          <w:bCs/>
        </w:rPr>
        <w:t>C</w:t>
      </w:r>
      <w:r w:rsidR="007B5481">
        <w:rPr>
          <w:bCs/>
        </w:rPr>
        <w:t xml:space="preserve">, with all </w:t>
      </w:r>
      <w:proofErr w:type="gramStart"/>
      <w:r w:rsidR="007B5481">
        <w:rPr>
          <w:bCs/>
        </w:rPr>
        <w:t>hot-wall</w:t>
      </w:r>
      <w:proofErr w:type="gramEnd"/>
      <w:r w:rsidR="007B5481">
        <w:rPr>
          <w:bCs/>
        </w:rPr>
        <w:t xml:space="preserve"> </w:t>
      </w:r>
      <w:proofErr w:type="spellStart"/>
      <w:r w:rsidR="007B5481">
        <w:rPr>
          <w:bCs/>
        </w:rPr>
        <w:t>heatrates</w:t>
      </w:r>
      <w:proofErr w:type="spellEnd"/>
      <w:r w:rsidR="007B5481">
        <w:rPr>
          <w:bCs/>
        </w:rPr>
        <w:t xml:space="preserve"> at or below </w:t>
      </w:r>
      <w:r w:rsidR="00C5260D">
        <w:rPr>
          <w:bCs/>
        </w:rPr>
        <w:t>4</w:t>
      </w:r>
      <w:r w:rsidR="007B5481">
        <w:rPr>
          <w:bCs/>
        </w:rPr>
        <w:t>.</w:t>
      </w:r>
      <w:r w:rsidR="00C5260D">
        <w:rPr>
          <w:bCs/>
        </w:rPr>
        <w:t>5</w:t>
      </w:r>
      <w:r w:rsidR="007B5481">
        <w:rPr>
          <w:bCs/>
        </w:rPr>
        <w:t xml:space="preserve"> W/cm</w:t>
      </w:r>
      <w:r w:rsidR="007B5481" w:rsidRPr="007B5481">
        <w:rPr>
          <w:bCs/>
          <w:vertAlign w:val="superscript"/>
        </w:rPr>
        <w:t>2</w:t>
      </w:r>
      <w:r w:rsidR="007B5481">
        <w:rPr>
          <w:bCs/>
        </w:rPr>
        <w:t>.</w:t>
      </w:r>
    </w:p>
    <w:p w14:paraId="034F321C" w14:textId="1D87B961" w:rsidR="000D20AC" w:rsidRDefault="000D20AC" w:rsidP="000D20AC">
      <w:pPr>
        <w:tabs>
          <w:tab w:val="left" w:pos="288"/>
        </w:tabs>
        <w:spacing w:before="240"/>
        <w:outlineLvl w:val="1"/>
        <w:rPr>
          <w:bCs/>
        </w:rPr>
      </w:pPr>
      <w:r>
        <w:rPr>
          <w:bCs/>
        </w:rPr>
        <w:tab/>
        <w:t>Figure 15 shows the combination of the backshell flight TC data next to the inverse estimated surface temperatures</w:t>
      </w:r>
      <w:r w:rsidR="00EE2B52">
        <w:rPr>
          <w:bCs/>
        </w:rPr>
        <w:t xml:space="preserve">. </w:t>
      </w:r>
      <w:r>
        <w:rPr>
          <w:bCs/>
        </w:rPr>
        <w:t xml:space="preserve">The results of direct analysis of </w:t>
      </w:r>
      <w:proofErr w:type="spellStart"/>
      <w:r>
        <w:rPr>
          <w:bCs/>
        </w:rPr>
        <w:t>bondline</w:t>
      </w:r>
      <w:proofErr w:type="spellEnd"/>
      <w:r>
        <w:rPr>
          <w:bCs/>
        </w:rPr>
        <w:t xml:space="preserve"> temperature histories are shown in Figure </w:t>
      </w:r>
      <w:proofErr w:type="gramStart"/>
      <w:r w:rsidR="00EF028F">
        <w:rPr>
          <w:bCs/>
        </w:rPr>
        <w:t>16</w:t>
      </w:r>
      <w:r>
        <w:rPr>
          <w:bCs/>
        </w:rPr>
        <w:t>, and</w:t>
      </w:r>
      <w:proofErr w:type="gramEnd"/>
      <w:r>
        <w:rPr>
          <w:bCs/>
        </w:rPr>
        <w:t xml:space="preserve"> summarized in Table </w:t>
      </w:r>
      <w:r w:rsidR="0032574C">
        <w:rPr>
          <w:bCs/>
        </w:rPr>
        <w:t>4</w:t>
      </w:r>
      <w:r w:rsidR="00EE2B52">
        <w:rPr>
          <w:bCs/>
        </w:rPr>
        <w:t xml:space="preserve">. </w:t>
      </w:r>
      <w:r>
        <w:rPr>
          <w:bCs/>
        </w:rPr>
        <w:t>MEDLI2 backshell sensors locations were predicted to have increased by less than 29</w:t>
      </w:r>
      <w:r w:rsidRPr="004C5373">
        <w:t>°</w:t>
      </w:r>
      <w:r>
        <w:t xml:space="preserve"> C</w:t>
      </w:r>
      <w:r>
        <w:rPr>
          <w:bCs/>
        </w:rPr>
        <w:t>.</w:t>
      </w:r>
    </w:p>
    <w:p w14:paraId="45C8C829" w14:textId="77777777" w:rsidR="000D20AC" w:rsidRDefault="000D20AC" w:rsidP="005C0FCD">
      <w:pPr>
        <w:ind w:firstLine="288"/>
        <w:rPr>
          <w:bCs/>
        </w:rPr>
      </w:pPr>
    </w:p>
    <w:p w14:paraId="21CA8452" w14:textId="77777777" w:rsidR="00901EA6" w:rsidRDefault="00901EA6" w:rsidP="00901EA6">
      <w:pPr>
        <w:keepNext/>
        <w:ind w:firstLine="288"/>
        <w:jc w:val="center"/>
      </w:pPr>
      <w:r w:rsidRPr="00901EA6">
        <w:rPr>
          <w:noProof/>
        </w:rPr>
        <w:drawing>
          <wp:inline distT="0" distB="0" distL="0" distR="0" wp14:anchorId="5471A82C" wp14:editId="4FE45ECE">
            <wp:extent cx="5793348" cy="2968831"/>
            <wp:effectExtent l="0" t="0" r="0" b="31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803810" cy="2974192"/>
                    </a:xfrm>
                    <a:prstGeom prst="rect">
                      <a:avLst/>
                    </a:prstGeom>
                    <a:noFill/>
                    <a:ln>
                      <a:noFill/>
                    </a:ln>
                  </pic:spPr>
                </pic:pic>
              </a:graphicData>
            </a:graphic>
          </wp:inline>
        </w:drawing>
      </w:r>
    </w:p>
    <w:p w14:paraId="5B136614" w14:textId="00EB2E58" w:rsidR="00901EA6" w:rsidRDefault="00901EA6" w:rsidP="00901EA6">
      <w:pPr>
        <w:pStyle w:val="Caption"/>
        <w:rPr>
          <w:bCs/>
        </w:rPr>
      </w:pPr>
      <w:r>
        <w:t xml:space="preserve">Figure </w:t>
      </w:r>
      <w:r w:rsidR="00496F19">
        <w:fldChar w:fldCharType="begin"/>
      </w:r>
      <w:r w:rsidR="00496F19">
        <w:instrText xml:space="preserve"> SEQ Figure \* ARA</w:instrText>
      </w:r>
      <w:r w:rsidR="00496F19">
        <w:instrText xml:space="preserve">BIC </w:instrText>
      </w:r>
      <w:r w:rsidR="00496F19">
        <w:fldChar w:fldCharType="separate"/>
      </w:r>
      <w:r w:rsidR="00C85550">
        <w:rPr>
          <w:noProof/>
        </w:rPr>
        <w:t>15</w:t>
      </w:r>
      <w:r w:rsidR="00496F19">
        <w:rPr>
          <w:noProof/>
        </w:rPr>
        <w:fldChar w:fldCharType="end"/>
      </w:r>
      <w:r>
        <w:t xml:space="preserve"> </w:t>
      </w:r>
      <w:r w:rsidRPr="00901EA6">
        <w:t xml:space="preserve">All MISP </w:t>
      </w:r>
      <w:r>
        <w:t>Backshell</w:t>
      </w:r>
      <w:r w:rsidRPr="00901EA6">
        <w:t xml:space="preserve"> Measured Temperatures and </w:t>
      </w:r>
      <w:r w:rsidR="00481570">
        <w:t>*</w:t>
      </w:r>
      <w:r w:rsidRPr="00901EA6">
        <w:t>Estimated Surface Temperatures</w:t>
      </w:r>
    </w:p>
    <w:p w14:paraId="3971FE65" w14:textId="77777777" w:rsidR="00901EA6" w:rsidRDefault="00901EA6" w:rsidP="005C0FCD">
      <w:pPr>
        <w:ind w:firstLine="288"/>
        <w:rPr>
          <w:bCs/>
        </w:rPr>
      </w:pPr>
    </w:p>
    <w:p w14:paraId="450F4229" w14:textId="27187489" w:rsidR="00901EA6" w:rsidRDefault="00901EA6" w:rsidP="005C0FCD">
      <w:pPr>
        <w:ind w:firstLine="288"/>
      </w:pPr>
    </w:p>
    <w:p w14:paraId="703B6649" w14:textId="31CFF967" w:rsidR="00901EA6" w:rsidRDefault="00901EA6" w:rsidP="005C0FCD">
      <w:pPr>
        <w:ind w:firstLine="288"/>
      </w:pPr>
    </w:p>
    <w:p w14:paraId="302D0581" w14:textId="24B8CFC7" w:rsidR="00901EA6" w:rsidRDefault="00901EA6" w:rsidP="00901EA6">
      <w:pPr>
        <w:keepNext/>
        <w:jc w:val="center"/>
      </w:pPr>
      <w:r>
        <w:rPr>
          <w:noProof/>
        </w:rPr>
        <w:drawing>
          <wp:inline distT="0" distB="0" distL="0" distR="0" wp14:anchorId="6107D58A" wp14:editId="0497FD95">
            <wp:extent cx="2305731" cy="2295144"/>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05731" cy="2295144"/>
                    </a:xfrm>
                    <a:prstGeom prst="rect">
                      <a:avLst/>
                    </a:prstGeom>
                    <a:noFill/>
                  </pic:spPr>
                </pic:pic>
              </a:graphicData>
            </a:graphic>
          </wp:inline>
        </w:drawing>
      </w:r>
      <w:r>
        <w:rPr>
          <w:noProof/>
        </w:rPr>
        <w:drawing>
          <wp:inline distT="0" distB="0" distL="0" distR="0" wp14:anchorId="2FA3F789" wp14:editId="052D5ECD">
            <wp:extent cx="3060193" cy="2295144"/>
            <wp:effectExtent l="0" t="0" r="698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60193" cy="2295144"/>
                    </a:xfrm>
                    <a:prstGeom prst="rect">
                      <a:avLst/>
                    </a:prstGeom>
                  </pic:spPr>
                </pic:pic>
              </a:graphicData>
            </a:graphic>
          </wp:inline>
        </w:drawing>
      </w:r>
    </w:p>
    <w:p w14:paraId="14B1C2E5" w14:textId="03CEC799" w:rsidR="00901EA6" w:rsidRDefault="00901EA6" w:rsidP="00901EA6">
      <w:pPr>
        <w:pStyle w:val="Caption"/>
      </w:pPr>
      <w:r>
        <w:t xml:space="preserve">Figure </w:t>
      </w:r>
      <w:r w:rsidR="00496F19">
        <w:fldChar w:fldCharType="begin"/>
      </w:r>
      <w:r w:rsidR="00496F19">
        <w:instrText xml:space="preserve"> SEQ Figure \* ARABIC </w:instrText>
      </w:r>
      <w:r w:rsidR="00496F19">
        <w:fldChar w:fldCharType="separate"/>
      </w:r>
      <w:r w:rsidR="00C85550">
        <w:rPr>
          <w:noProof/>
        </w:rPr>
        <w:t>16</w:t>
      </w:r>
      <w:r w:rsidR="00496F19">
        <w:rPr>
          <w:noProof/>
        </w:rPr>
        <w:fldChar w:fldCharType="end"/>
      </w:r>
      <w:r>
        <w:t xml:space="preserve"> </w:t>
      </w:r>
      <w:proofErr w:type="spellStart"/>
      <w:r w:rsidRPr="00901EA6">
        <w:t>Bondline</w:t>
      </w:r>
      <w:proofErr w:type="spellEnd"/>
      <w:r w:rsidRPr="00901EA6">
        <w:t xml:space="preserve"> Temperatures at </w:t>
      </w:r>
      <w:r>
        <w:t>Backshell</w:t>
      </w:r>
      <w:r w:rsidRPr="00901EA6">
        <w:t xml:space="preserve"> MISP locations </w:t>
      </w:r>
      <w:r w:rsidR="00481570">
        <w:t>as *estimated</w:t>
      </w:r>
      <w:r w:rsidRPr="00901EA6">
        <w:t xml:space="preserve"> </w:t>
      </w:r>
      <w:r w:rsidR="00481570">
        <w:t>from TC driver simulations</w:t>
      </w:r>
    </w:p>
    <w:p w14:paraId="7C13A600" w14:textId="1B3B811B" w:rsidR="00901EA6" w:rsidRDefault="00901EA6" w:rsidP="005C0FCD">
      <w:pPr>
        <w:ind w:firstLine="288"/>
        <w:rPr>
          <w:bCs/>
        </w:rPr>
      </w:pPr>
    </w:p>
    <w:p w14:paraId="54D4B53C" w14:textId="3C9EA95A" w:rsidR="00A41254" w:rsidRDefault="00A41254">
      <w:pPr>
        <w:contextualSpacing w:val="0"/>
        <w:jc w:val="left"/>
        <w:rPr>
          <w:bCs/>
        </w:rPr>
      </w:pPr>
      <w:r>
        <w:rPr>
          <w:bCs/>
        </w:rPr>
        <w:br w:type="page"/>
      </w:r>
    </w:p>
    <w:p w14:paraId="2DD3A462" w14:textId="77777777" w:rsidR="00A41254" w:rsidRDefault="00A41254" w:rsidP="005C0FCD">
      <w:pPr>
        <w:ind w:firstLine="288"/>
        <w:rPr>
          <w:bCs/>
        </w:rPr>
      </w:pPr>
    </w:p>
    <w:p w14:paraId="5FDCB924" w14:textId="26A8E3EE" w:rsidR="00A41254" w:rsidRDefault="00A41254" w:rsidP="00A41254">
      <w:pPr>
        <w:pStyle w:val="Caption"/>
        <w:keepNext/>
      </w:pPr>
      <w:r>
        <w:t xml:space="preserve">Table </w:t>
      </w:r>
      <w:r w:rsidR="000D20AC">
        <w:t>4</w:t>
      </w:r>
      <w:r>
        <w:t xml:space="preserve"> Backshell </w:t>
      </w:r>
      <w:proofErr w:type="spellStart"/>
      <w:r>
        <w:t>Bondline</w:t>
      </w:r>
      <w:proofErr w:type="spellEnd"/>
      <w:r>
        <w:t xml:space="preserve"> Temperature Summary</w:t>
      </w:r>
    </w:p>
    <w:tbl>
      <w:tblPr>
        <w:tblW w:w="9840" w:type="dxa"/>
        <w:tblLook w:val="04A0" w:firstRow="1" w:lastRow="0" w:firstColumn="1" w:lastColumn="0" w:noHBand="0" w:noVBand="1"/>
      </w:tblPr>
      <w:tblGrid>
        <w:gridCol w:w="980"/>
        <w:gridCol w:w="1720"/>
        <w:gridCol w:w="1480"/>
        <w:gridCol w:w="1420"/>
        <w:gridCol w:w="1320"/>
        <w:gridCol w:w="1320"/>
        <w:gridCol w:w="1600"/>
      </w:tblGrid>
      <w:tr w:rsidR="00A41254" w:rsidRPr="00A41254" w14:paraId="26599A5F" w14:textId="77777777" w:rsidTr="00A41254">
        <w:trPr>
          <w:trHeight w:val="423"/>
        </w:trPr>
        <w:tc>
          <w:tcPr>
            <w:tcW w:w="980" w:type="dxa"/>
            <w:tcBorders>
              <w:top w:val="double" w:sz="6" w:space="0" w:color="auto"/>
              <w:left w:val="nil"/>
              <w:bottom w:val="single" w:sz="8" w:space="0" w:color="auto"/>
              <w:right w:val="nil"/>
            </w:tcBorders>
            <w:shd w:val="clear" w:color="000000" w:fill="FFFFFF"/>
            <w:noWrap/>
            <w:vAlign w:val="bottom"/>
            <w:hideMark/>
          </w:tcPr>
          <w:p w14:paraId="7AD52323" w14:textId="630E74AB" w:rsidR="00A41254" w:rsidRPr="00A41254" w:rsidRDefault="00A41254" w:rsidP="00A41254">
            <w:pPr>
              <w:contextualSpacing w:val="0"/>
              <w:jc w:val="left"/>
              <w:rPr>
                <w:b/>
                <w:bCs/>
                <w:color w:val="000000"/>
                <w:sz w:val="17"/>
                <w:szCs w:val="17"/>
              </w:rPr>
            </w:pPr>
            <w:r w:rsidRPr="00A41254">
              <w:rPr>
                <w:b/>
                <w:bCs/>
                <w:color w:val="000000"/>
                <w:sz w:val="17"/>
                <w:szCs w:val="17"/>
              </w:rPr>
              <w:t>Location</w:t>
            </w:r>
          </w:p>
        </w:tc>
        <w:tc>
          <w:tcPr>
            <w:tcW w:w="1720" w:type="dxa"/>
            <w:tcBorders>
              <w:top w:val="double" w:sz="6" w:space="0" w:color="auto"/>
              <w:left w:val="nil"/>
              <w:bottom w:val="single" w:sz="8" w:space="0" w:color="auto"/>
              <w:right w:val="nil"/>
            </w:tcBorders>
            <w:shd w:val="clear" w:color="000000" w:fill="FFFFFF"/>
            <w:vAlign w:val="bottom"/>
            <w:hideMark/>
          </w:tcPr>
          <w:p w14:paraId="5DB1E582" w14:textId="77777777" w:rsidR="00A41254" w:rsidRPr="00A41254" w:rsidRDefault="00A41254" w:rsidP="00A41254">
            <w:pPr>
              <w:contextualSpacing w:val="0"/>
              <w:jc w:val="center"/>
              <w:rPr>
                <w:b/>
                <w:bCs/>
                <w:color w:val="000000"/>
                <w:sz w:val="17"/>
                <w:szCs w:val="17"/>
              </w:rPr>
            </w:pPr>
            <w:r w:rsidRPr="00A41254">
              <w:rPr>
                <w:b/>
                <w:bCs/>
                <w:color w:val="000000"/>
                <w:sz w:val="17"/>
                <w:szCs w:val="17"/>
              </w:rPr>
              <w:t xml:space="preserve">Substructure Areal </w:t>
            </w:r>
            <w:r w:rsidRPr="00A41254">
              <w:rPr>
                <w:b/>
                <w:bCs/>
                <w:color w:val="000000"/>
                <w:sz w:val="17"/>
                <w:szCs w:val="17"/>
              </w:rPr>
              <w:br/>
              <w:t>Thermal Mass (J/m</w:t>
            </w:r>
            <w:r w:rsidRPr="00A41254">
              <w:rPr>
                <w:b/>
                <w:bCs/>
                <w:color w:val="000000"/>
                <w:sz w:val="17"/>
                <w:szCs w:val="17"/>
                <w:vertAlign w:val="superscript"/>
              </w:rPr>
              <w:t>2</w:t>
            </w:r>
            <w:r w:rsidRPr="00A41254">
              <w:rPr>
                <w:b/>
                <w:bCs/>
                <w:color w:val="000000"/>
                <w:sz w:val="17"/>
                <w:szCs w:val="17"/>
              </w:rPr>
              <w:t>-K)</w:t>
            </w:r>
          </w:p>
        </w:tc>
        <w:tc>
          <w:tcPr>
            <w:tcW w:w="1480" w:type="dxa"/>
            <w:tcBorders>
              <w:top w:val="double" w:sz="6" w:space="0" w:color="auto"/>
              <w:left w:val="nil"/>
              <w:bottom w:val="single" w:sz="8" w:space="0" w:color="auto"/>
              <w:right w:val="nil"/>
            </w:tcBorders>
            <w:shd w:val="clear" w:color="000000" w:fill="FFFFFF"/>
            <w:vAlign w:val="bottom"/>
            <w:hideMark/>
          </w:tcPr>
          <w:p w14:paraId="0CBE865E" w14:textId="77777777" w:rsidR="00A41254" w:rsidRPr="00A41254" w:rsidRDefault="00A41254" w:rsidP="00A41254">
            <w:pPr>
              <w:contextualSpacing w:val="0"/>
              <w:jc w:val="center"/>
              <w:rPr>
                <w:b/>
                <w:bCs/>
                <w:color w:val="000000"/>
                <w:sz w:val="17"/>
                <w:szCs w:val="17"/>
              </w:rPr>
            </w:pPr>
            <w:proofErr w:type="spellStart"/>
            <w:r w:rsidRPr="00A41254">
              <w:rPr>
                <w:b/>
                <w:bCs/>
                <w:color w:val="000000"/>
                <w:sz w:val="17"/>
                <w:szCs w:val="17"/>
              </w:rPr>
              <w:t>Heatload</w:t>
            </w:r>
            <w:proofErr w:type="spellEnd"/>
            <w:r w:rsidRPr="00A41254">
              <w:rPr>
                <w:b/>
                <w:bCs/>
                <w:color w:val="000000"/>
                <w:sz w:val="17"/>
                <w:szCs w:val="17"/>
              </w:rPr>
              <w:br/>
              <w:t>(J/cm</w:t>
            </w:r>
            <w:r w:rsidRPr="00A41254">
              <w:rPr>
                <w:b/>
                <w:bCs/>
                <w:color w:val="000000"/>
                <w:sz w:val="17"/>
                <w:szCs w:val="17"/>
                <w:vertAlign w:val="superscript"/>
              </w:rPr>
              <w:t>2</w:t>
            </w:r>
            <w:r w:rsidRPr="00A41254">
              <w:rPr>
                <w:b/>
                <w:bCs/>
                <w:color w:val="000000"/>
                <w:sz w:val="17"/>
                <w:szCs w:val="17"/>
              </w:rPr>
              <w:t>)</w:t>
            </w:r>
          </w:p>
        </w:tc>
        <w:tc>
          <w:tcPr>
            <w:tcW w:w="1420" w:type="dxa"/>
            <w:tcBorders>
              <w:top w:val="double" w:sz="6" w:space="0" w:color="auto"/>
              <w:left w:val="nil"/>
              <w:bottom w:val="single" w:sz="8" w:space="0" w:color="auto"/>
              <w:right w:val="nil"/>
            </w:tcBorders>
            <w:shd w:val="clear" w:color="000000" w:fill="FFFFFF"/>
            <w:vAlign w:val="bottom"/>
            <w:hideMark/>
          </w:tcPr>
          <w:p w14:paraId="04358B56" w14:textId="77777777" w:rsidR="00A41254" w:rsidRPr="00A41254" w:rsidRDefault="00A41254" w:rsidP="00A41254">
            <w:pPr>
              <w:contextualSpacing w:val="0"/>
              <w:jc w:val="center"/>
              <w:rPr>
                <w:b/>
                <w:bCs/>
                <w:color w:val="000000"/>
                <w:sz w:val="17"/>
                <w:szCs w:val="17"/>
              </w:rPr>
            </w:pPr>
            <w:r w:rsidRPr="00A41254">
              <w:rPr>
                <w:b/>
                <w:bCs/>
                <w:color w:val="000000"/>
                <w:sz w:val="17"/>
                <w:szCs w:val="17"/>
              </w:rPr>
              <w:t xml:space="preserve">Peak </w:t>
            </w:r>
            <w:proofErr w:type="spellStart"/>
            <w:r w:rsidRPr="00A41254">
              <w:rPr>
                <w:b/>
                <w:bCs/>
                <w:color w:val="000000"/>
                <w:sz w:val="17"/>
                <w:szCs w:val="17"/>
              </w:rPr>
              <w:t>Heatrate</w:t>
            </w:r>
            <w:proofErr w:type="spellEnd"/>
            <w:r w:rsidRPr="00A41254">
              <w:rPr>
                <w:b/>
                <w:bCs/>
                <w:color w:val="000000"/>
                <w:sz w:val="17"/>
                <w:szCs w:val="17"/>
              </w:rPr>
              <w:t xml:space="preserve"> </w:t>
            </w:r>
            <w:r w:rsidRPr="00A41254">
              <w:rPr>
                <w:b/>
                <w:bCs/>
                <w:color w:val="000000"/>
                <w:sz w:val="17"/>
                <w:szCs w:val="17"/>
              </w:rPr>
              <w:br/>
              <w:t xml:space="preserve"> (W/cm</w:t>
            </w:r>
            <w:r w:rsidRPr="00A41254">
              <w:rPr>
                <w:b/>
                <w:bCs/>
                <w:color w:val="000000"/>
                <w:sz w:val="17"/>
                <w:szCs w:val="17"/>
                <w:vertAlign w:val="superscript"/>
              </w:rPr>
              <w:t>2</w:t>
            </w:r>
            <w:r w:rsidRPr="00A41254">
              <w:rPr>
                <w:b/>
                <w:bCs/>
                <w:color w:val="000000"/>
                <w:sz w:val="17"/>
                <w:szCs w:val="17"/>
              </w:rPr>
              <w:t>)</w:t>
            </w:r>
          </w:p>
        </w:tc>
        <w:tc>
          <w:tcPr>
            <w:tcW w:w="1320" w:type="dxa"/>
            <w:tcBorders>
              <w:top w:val="double" w:sz="6" w:space="0" w:color="auto"/>
              <w:left w:val="nil"/>
              <w:bottom w:val="single" w:sz="8" w:space="0" w:color="auto"/>
              <w:right w:val="nil"/>
            </w:tcBorders>
            <w:shd w:val="clear" w:color="000000" w:fill="FFFFFF"/>
            <w:vAlign w:val="bottom"/>
            <w:hideMark/>
          </w:tcPr>
          <w:p w14:paraId="152F04C9" w14:textId="77777777" w:rsidR="00A41254" w:rsidRPr="00A41254" w:rsidRDefault="00A41254" w:rsidP="00A41254">
            <w:pPr>
              <w:contextualSpacing w:val="0"/>
              <w:jc w:val="center"/>
              <w:rPr>
                <w:b/>
                <w:bCs/>
                <w:color w:val="000000"/>
                <w:sz w:val="17"/>
                <w:szCs w:val="17"/>
              </w:rPr>
            </w:pPr>
            <w:r w:rsidRPr="00A41254">
              <w:rPr>
                <w:b/>
                <w:bCs/>
                <w:color w:val="000000"/>
                <w:sz w:val="17"/>
                <w:szCs w:val="17"/>
              </w:rPr>
              <w:t xml:space="preserve">Initial </w:t>
            </w:r>
            <w:r w:rsidRPr="00A41254">
              <w:rPr>
                <w:b/>
                <w:bCs/>
                <w:color w:val="000000"/>
                <w:sz w:val="17"/>
                <w:szCs w:val="17"/>
              </w:rPr>
              <w:br/>
              <w:t xml:space="preserve">Temperature </w:t>
            </w:r>
            <w:r w:rsidRPr="00A41254">
              <w:rPr>
                <w:b/>
                <w:bCs/>
                <w:color w:val="000000"/>
                <w:sz w:val="17"/>
                <w:szCs w:val="17"/>
              </w:rPr>
              <w:br/>
              <w:t>(deg C)</w:t>
            </w:r>
          </w:p>
        </w:tc>
        <w:tc>
          <w:tcPr>
            <w:tcW w:w="1320" w:type="dxa"/>
            <w:tcBorders>
              <w:top w:val="double" w:sz="6" w:space="0" w:color="auto"/>
              <w:left w:val="nil"/>
              <w:bottom w:val="single" w:sz="8" w:space="0" w:color="auto"/>
              <w:right w:val="nil"/>
            </w:tcBorders>
            <w:shd w:val="clear" w:color="000000" w:fill="FFFFFF"/>
            <w:vAlign w:val="bottom"/>
            <w:hideMark/>
          </w:tcPr>
          <w:p w14:paraId="47D762BE" w14:textId="77777777" w:rsidR="00A41254" w:rsidRPr="00A41254" w:rsidRDefault="00A41254" w:rsidP="00A41254">
            <w:pPr>
              <w:contextualSpacing w:val="0"/>
              <w:jc w:val="center"/>
              <w:rPr>
                <w:b/>
                <w:bCs/>
                <w:color w:val="000000"/>
                <w:sz w:val="17"/>
                <w:szCs w:val="17"/>
              </w:rPr>
            </w:pPr>
            <w:r w:rsidRPr="00A41254">
              <w:rPr>
                <w:b/>
                <w:bCs/>
                <w:color w:val="000000"/>
                <w:sz w:val="17"/>
                <w:szCs w:val="17"/>
              </w:rPr>
              <w:t xml:space="preserve">Final Temperature </w:t>
            </w:r>
            <w:r w:rsidRPr="00A41254">
              <w:rPr>
                <w:b/>
                <w:bCs/>
                <w:color w:val="000000"/>
                <w:sz w:val="17"/>
                <w:szCs w:val="17"/>
              </w:rPr>
              <w:br/>
              <w:t>(deg C)</w:t>
            </w:r>
          </w:p>
        </w:tc>
        <w:tc>
          <w:tcPr>
            <w:tcW w:w="1600" w:type="dxa"/>
            <w:tcBorders>
              <w:top w:val="double" w:sz="6" w:space="0" w:color="auto"/>
              <w:left w:val="nil"/>
              <w:bottom w:val="single" w:sz="8" w:space="0" w:color="auto"/>
              <w:right w:val="nil"/>
            </w:tcBorders>
            <w:shd w:val="clear" w:color="000000" w:fill="FFFFFF"/>
            <w:vAlign w:val="bottom"/>
            <w:hideMark/>
          </w:tcPr>
          <w:p w14:paraId="2CF3F70E" w14:textId="77777777" w:rsidR="00A41254" w:rsidRPr="00A41254" w:rsidRDefault="00A41254" w:rsidP="00A41254">
            <w:pPr>
              <w:contextualSpacing w:val="0"/>
              <w:jc w:val="center"/>
              <w:rPr>
                <w:b/>
                <w:bCs/>
                <w:color w:val="000000"/>
                <w:sz w:val="17"/>
                <w:szCs w:val="17"/>
              </w:rPr>
            </w:pPr>
            <w:r w:rsidRPr="00A41254">
              <w:rPr>
                <w:b/>
                <w:bCs/>
                <w:color w:val="000000"/>
                <w:sz w:val="17"/>
                <w:szCs w:val="17"/>
              </w:rPr>
              <w:t xml:space="preserve">EI to HS Sep </w:t>
            </w:r>
            <w:r w:rsidRPr="00A41254">
              <w:rPr>
                <w:b/>
                <w:bCs/>
                <w:color w:val="000000"/>
                <w:sz w:val="17"/>
                <w:szCs w:val="17"/>
              </w:rPr>
              <w:br/>
              <w:t xml:space="preserve">Increase </w:t>
            </w:r>
            <w:r w:rsidRPr="00A41254">
              <w:rPr>
                <w:b/>
                <w:bCs/>
                <w:color w:val="000000"/>
                <w:sz w:val="17"/>
                <w:szCs w:val="17"/>
              </w:rPr>
              <w:br/>
              <w:t>(deg C)</w:t>
            </w:r>
          </w:p>
        </w:tc>
      </w:tr>
      <w:tr w:rsidR="00A41254" w:rsidRPr="00A41254" w14:paraId="0ADFD53F" w14:textId="77777777" w:rsidTr="00A41254">
        <w:trPr>
          <w:trHeight w:val="240"/>
        </w:trPr>
        <w:tc>
          <w:tcPr>
            <w:tcW w:w="980" w:type="dxa"/>
            <w:tcBorders>
              <w:top w:val="single" w:sz="8" w:space="0" w:color="auto"/>
              <w:left w:val="nil"/>
              <w:bottom w:val="nil"/>
              <w:right w:val="nil"/>
            </w:tcBorders>
            <w:shd w:val="clear" w:color="000000" w:fill="FFFFFF"/>
            <w:noWrap/>
            <w:vAlign w:val="bottom"/>
            <w:hideMark/>
          </w:tcPr>
          <w:p w14:paraId="5683F086" w14:textId="77777777" w:rsidR="00A41254" w:rsidRPr="00A41254" w:rsidRDefault="00A41254" w:rsidP="00A41254">
            <w:pPr>
              <w:contextualSpacing w:val="0"/>
              <w:jc w:val="left"/>
              <w:rPr>
                <w:color w:val="000000"/>
                <w:sz w:val="17"/>
                <w:szCs w:val="17"/>
              </w:rPr>
            </w:pPr>
            <w:r w:rsidRPr="00A41254">
              <w:rPr>
                <w:color w:val="000000"/>
                <w:sz w:val="17"/>
                <w:szCs w:val="17"/>
              </w:rPr>
              <w:t>MTB01</w:t>
            </w:r>
          </w:p>
        </w:tc>
        <w:tc>
          <w:tcPr>
            <w:tcW w:w="1720" w:type="dxa"/>
            <w:tcBorders>
              <w:top w:val="single" w:sz="8" w:space="0" w:color="auto"/>
              <w:left w:val="nil"/>
              <w:bottom w:val="nil"/>
              <w:right w:val="nil"/>
            </w:tcBorders>
            <w:shd w:val="clear" w:color="000000" w:fill="FFFFFF"/>
            <w:noWrap/>
            <w:vAlign w:val="bottom"/>
            <w:hideMark/>
          </w:tcPr>
          <w:p w14:paraId="1EAF1F7F" w14:textId="77777777" w:rsidR="00A41254" w:rsidRPr="00A41254" w:rsidRDefault="00A41254" w:rsidP="00A41254">
            <w:pPr>
              <w:contextualSpacing w:val="0"/>
              <w:jc w:val="center"/>
              <w:rPr>
                <w:color w:val="000000"/>
                <w:sz w:val="17"/>
                <w:szCs w:val="17"/>
              </w:rPr>
            </w:pPr>
            <w:r w:rsidRPr="00A41254">
              <w:rPr>
                <w:color w:val="000000"/>
                <w:sz w:val="17"/>
                <w:szCs w:val="17"/>
              </w:rPr>
              <w:t>5040</w:t>
            </w:r>
          </w:p>
        </w:tc>
        <w:tc>
          <w:tcPr>
            <w:tcW w:w="1480" w:type="dxa"/>
            <w:tcBorders>
              <w:top w:val="single" w:sz="8" w:space="0" w:color="auto"/>
              <w:left w:val="nil"/>
              <w:bottom w:val="nil"/>
              <w:right w:val="nil"/>
            </w:tcBorders>
            <w:shd w:val="clear" w:color="000000" w:fill="FFFFFF"/>
            <w:noWrap/>
            <w:vAlign w:val="bottom"/>
            <w:hideMark/>
          </w:tcPr>
          <w:p w14:paraId="3F58044F" w14:textId="77777777" w:rsidR="00A41254" w:rsidRPr="00A41254" w:rsidRDefault="00A41254" w:rsidP="00A41254">
            <w:pPr>
              <w:contextualSpacing w:val="0"/>
              <w:jc w:val="center"/>
              <w:rPr>
                <w:color w:val="000000"/>
                <w:sz w:val="17"/>
                <w:szCs w:val="17"/>
              </w:rPr>
            </w:pPr>
            <w:r w:rsidRPr="00A41254">
              <w:rPr>
                <w:color w:val="000000"/>
                <w:sz w:val="17"/>
                <w:szCs w:val="17"/>
              </w:rPr>
              <w:t>109</w:t>
            </w:r>
          </w:p>
        </w:tc>
        <w:tc>
          <w:tcPr>
            <w:tcW w:w="1420" w:type="dxa"/>
            <w:tcBorders>
              <w:top w:val="single" w:sz="8" w:space="0" w:color="auto"/>
              <w:left w:val="nil"/>
              <w:bottom w:val="nil"/>
              <w:right w:val="nil"/>
            </w:tcBorders>
            <w:shd w:val="clear" w:color="000000" w:fill="FFFFFF"/>
            <w:noWrap/>
            <w:vAlign w:val="bottom"/>
            <w:hideMark/>
          </w:tcPr>
          <w:p w14:paraId="2EAA14E1" w14:textId="77777777" w:rsidR="00A41254" w:rsidRPr="00A41254" w:rsidRDefault="00A41254" w:rsidP="00A41254">
            <w:pPr>
              <w:contextualSpacing w:val="0"/>
              <w:jc w:val="center"/>
              <w:rPr>
                <w:color w:val="000000"/>
                <w:sz w:val="17"/>
                <w:szCs w:val="17"/>
              </w:rPr>
            </w:pPr>
            <w:r w:rsidRPr="00A41254">
              <w:rPr>
                <w:color w:val="000000"/>
                <w:sz w:val="17"/>
                <w:szCs w:val="17"/>
              </w:rPr>
              <w:t>2.95</w:t>
            </w:r>
          </w:p>
        </w:tc>
        <w:tc>
          <w:tcPr>
            <w:tcW w:w="1320" w:type="dxa"/>
            <w:tcBorders>
              <w:top w:val="single" w:sz="8" w:space="0" w:color="auto"/>
              <w:left w:val="nil"/>
              <w:bottom w:val="nil"/>
              <w:right w:val="nil"/>
            </w:tcBorders>
            <w:shd w:val="clear" w:color="000000" w:fill="FFFFFF"/>
            <w:noWrap/>
            <w:vAlign w:val="bottom"/>
            <w:hideMark/>
          </w:tcPr>
          <w:p w14:paraId="4DEFCED5" w14:textId="77777777" w:rsidR="00A41254" w:rsidRPr="00A41254" w:rsidRDefault="00A41254" w:rsidP="00A41254">
            <w:pPr>
              <w:contextualSpacing w:val="0"/>
              <w:jc w:val="center"/>
              <w:rPr>
                <w:color w:val="000000"/>
                <w:sz w:val="17"/>
                <w:szCs w:val="17"/>
              </w:rPr>
            </w:pPr>
            <w:r w:rsidRPr="00A41254">
              <w:rPr>
                <w:color w:val="000000"/>
                <w:sz w:val="17"/>
                <w:szCs w:val="17"/>
              </w:rPr>
              <w:t>-42.6</w:t>
            </w:r>
          </w:p>
        </w:tc>
        <w:tc>
          <w:tcPr>
            <w:tcW w:w="1320" w:type="dxa"/>
            <w:tcBorders>
              <w:top w:val="single" w:sz="8" w:space="0" w:color="auto"/>
              <w:left w:val="nil"/>
              <w:bottom w:val="nil"/>
              <w:right w:val="nil"/>
            </w:tcBorders>
            <w:shd w:val="clear" w:color="000000" w:fill="FFFFFF"/>
            <w:noWrap/>
            <w:vAlign w:val="bottom"/>
            <w:hideMark/>
          </w:tcPr>
          <w:p w14:paraId="03DEAC15" w14:textId="77777777" w:rsidR="00A41254" w:rsidRPr="00A41254" w:rsidRDefault="00A41254" w:rsidP="00A41254">
            <w:pPr>
              <w:contextualSpacing w:val="0"/>
              <w:jc w:val="center"/>
              <w:rPr>
                <w:color w:val="000000"/>
                <w:sz w:val="17"/>
                <w:szCs w:val="17"/>
              </w:rPr>
            </w:pPr>
            <w:r w:rsidRPr="00A41254">
              <w:rPr>
                <w:color w:val="000000"/>
                <w:sz w:val="17"/>
                <w:szCs w:val="17"/>
              </w:rPr>
              <w:t>-16.3</w:t>
            </w:r>
          </w:p>
        </w:tc>
        <w:tc>
          <w:tcPr>
            <w:tcW w:w="1600" w:type="dxa"/>
            <w:tcBorders>
              <w:top w:val="single" w:sz="8" w:space="0" w:color="auto"/>
              <w:left w:val="nil"/>
              <w:bottom w:val="nil"/>
              <w:right w:val="nil"/>
            </w:tcBorders>
            <w:shd w:val="clear" w:color="000000" w:fill="FFFFFF"/>
            <w:noWrap/>
            <w:vAlign w:val="bottom"/>
            <w:hideMark/>
          </w:tcPr>
          <w:p w14:paraId="107C47EC" w14:textId="77777777" w:rsidR="00A41254" w:rsidRPr="00A41254" w:rsidRDefault="00A41254" w:rsidP="00A41254">
            <w:pPr>
              <w:contextualSpacing w:val="0"/>
              <w:jc w:val="center"/>
              <w:rPr>
                <w:color w:val="000000"/>
                <w:sz w:val="17"/>
                <w:szCs w:val="17"/>
              </w:rPr>
            </w:pPr>
            <w:r w:rsidRPr="00A41254">
              <w:rPr>
                <w:color w:val="000000"/>
                <w:sz w:val="17"/>
                <w:szCs w:val="17"/>
              </w:rPr>
              <w:t>26.3</w:t>
            </w:r>
          </w:p>
        </w:tc>
      </w:tr>
      <w:tr w:rsidR="00A41254" w:rsidRPr="00A41254" w14:paraId="6C492E8E" w14:textId="77777777" w:rsidTr="00A41254">
        <w:trPr>
          <w:trHeight w:val="240"/>
        </w:trPr>
        <w:tc>
          <w:tcPr>
            <w:tcW w:w="980" w:type="dxa"/>
            <w:tcBorders>
              <w:top w:val="nil"/>
              <w:left w:val="nil"/>
              <w:bottom w:val="nil"/>
              <w:right w:val="nil"/>
            </w:tcBorders>
            <w:shd w:val="clear" w:color="000000" w:fill="FFFFFF"/>
            <w:noWrap/>
            <w:vAlign w:val="bottom"/>
            <w:hideMark/>
          </w:tcPr>
          <w:p w14:paraId="48048151" w14:textId="77777777" w:rsidR="00A41254" w:rsidRPr="00A41254" w:rsidRDefault="00A41254" w:rsidP="00A41254">
            <w:pPr>
              <w:contextualSpacing w:val="0"/>
              <w:jc w:val="left"/>
              <w:rPr>
                <w:color w:val="000000"/>
                <w:sz w:val="17"/>
                <w:szCs w:val="17"/>
              </w:rPr>
            </w:pPr>
            <w:r w:rsidRPr="00A41254">
              <w:rPr>
                <w:color w:val="000000"/>
                <w:sz w:val="17"/>
                <w:szCs w:val="17"/>
              </w:rPr>
              <w:t>MTB02</w:t>
            </w:r>
          </w:p>
        </w:tc>
        <w:tc>
          <w:tcPr>
            <w:tcW w:w="1720" w:type="dxa"/>
            <w:tcBorders>
              <w:top w:val="nil"/>
              <w:left w:val="nil"/>
              <w:bottom w:val="nil"/>
              <w:right w:val="nil"/>
            </w:tcBorders>
            <w:shd w:val="clear" w:color="000000" w:fill="FFFFFF"/>
            <w:noWrap/>
            <w:vAlign w:val="bottom"/>
            <w:hideMark/>
          </w:tcPr>
          <w:p w14:paraId="6FE1D970" w14:textId="77777777" w:rsidR="00A41254" w:rsidRPr="00A41254" w:rsidRDefault="00A41254" w:rsidP="00A41254">
            <w:pPr>
              <w:contextualSpacing w:val="0"/>
              <w:jc w:val="center"/>
              <w:rPr>
                <w:color w:val="000000"/>
                <w:sz w:val="17"/>
                <w:szCs w:val="17"/>
              </w:rPr>
            </w:pPr>
            <w:r w:rsidRPr="00A41254">
              <w:rPr>
                <w:color w:val="000000"/>
                <w:sz w:val="17"/>
                <w:szCs w:val="17"/>
              </w:rPr>
              <w:t>5040</w:t>
            </w:r>
          </w:p>
        </w:tc>
        <w:tc>
          <w:tcPr>
            <w:tcW w:w="1480" w:type="dxa"/>
            <w:tcBorders>
              <w:top w:val="nil"/>
              <w:left w:val="nil"/>
              <w:bottom w:val="nil"/>
              <w:right w:val="nil"/>
            </w:tcBorders>
            <w:shd w:val="clear" w:color="000000" w:fill="FFFFFF"/>
            <w:noWrap/>
            <w:vAlign w:val="bottom"/>
            <w:hideMark/>
          </w:tcPr>
          <w:p w14:paraId="465F95CC" w14:textId="77777777" w:rsidR="00A41254" w:rsidRPr="00A41254" w:rsidRDefault="00A41254" w:rsidP="00A41254">
            <w:pPr>
              <w:contextualSpacing w:val="0"/>
              <w:jc w:val="center"/>
              <w:rPr>
                <w:color w:val="000000"/>
                <w:sz w:val="17"/>
                <w:szCs w:val="17"/>
              </w:rPr>
            </w:pPr>
            <w:r w:rsidRPr="00A41254">
              <w:rPr>
                <w:color w:val="000000"/>
                <w:sz w:val="17"/>
                <w:szCs w:val="17"/>
              </w:rPr>
              <w:t>138.3</w:t>
            </w:r>
          </w:p>
        </w:tc>
        <w:tc>
          <w:tcPr>
            <w:tcW w:w="1420" w:type="dxa"/>
            <w:tcBorders>
              <w:top w:val="nil"/>
              <w:left w:val="nil"/>
              <w:bottom w:val="nil"/>
              <w:right w:val="nil"/>
            </w:tcBorders>
            <w:shd w:val="clear" w:color="000000" w:fill="FFFFFF"/>
            <w:noWrap/>
            <w:vAlign w:val="bottom"/>
            <w:hideMark/>
          </w:tcPr>
          <w:p w14:paraId="5C02938A" w14:textId="77777777" w:rsidR="00A41254" w:rsidRPr="00A41254" w:rsidRDefault="00A41254" w:rsidP="00A41254">
            <w:pPr>
              <w:contextualSpacing w:val="0"/>
              <w:jc w:val="center"/>
              <w:rPr>
                <w:color w:val="000000"/>
                <w:sz w:val="17"/>
                <w:szCs w:val="17"/>
              </w:rPr>
            </w:pPr>
            <w:r w:rsidRPr="00A41254">
              <w:rPr>
                <w:color w:val="000000"/>
                <w:sz w:val="17"/>
                <w:szCs w:val="17"/>
              </w:rPr>
              <w:t>4.5</w:t>
            </w:r>
          </w:p>
        </w:tc>
        <w:tc>
          <w:tcPr>
            <w:tcW w:w="1320" w:type="dxa"/>
            <w:tcBorders>
              <w:top w:val="nil"/>
              <w:left w:val="nil"/>
              <w:bottom w:val="nil"/>
              <w:right w:val="nil"/>
            </w:tcBorders>
            <w:shd w:val="clear" w:color="000000" w:fill="FFFFFF"/>
            <w:noWrap/>
            <w:vAlign w:val="bottom"/>
            <w:hideMark/>
          </w:tcPr>
          <w:p w14:paraId="69E30C91" w14:textId="77777777" w:rsidR="00A41254" w:rsidRPr="00A41254" w:rsidRDefault="00A41254" w:rsidP="00A41254">
            <w:pPr>
              <w:contextualSpacing w:val="0"/>
              <w:jc w:val="center"/>
              <w:rPr>
                <w:color w:val="000000"/>
                <w:sz w:val="17"/>
                <w:szCs w:val="17"/>
              </w:rPr>
            </w:pPr>
            <w:r w:rsidRPr="00A41254">
              <w:rPr>
                <w:color w:val="000000"/>
                <w:sz w:val="17"/>
                <w:szCs w:val="17"/>
              </w:rPr>
              <w:t>-43.7</w:t>
            </w:r>
          </w:p>
        </w:tc>
        <w:tc>
          <w:tcPr>
            <w:tcW w:w="1320" w:type="dxa"/>
            <w:tcBorders>
              <w:top w:val="nil"/>
              <w:left w:val="nil"/>
              <w:bottom w:val="nil"/>
              <w:right w:val="nil"/>
            </w:tcBorders>
            <w:shd w:val="clear" w:color="000000" w:fill="FFFFFF"/>
            <w:noWrap/>
            <w:vAlign w:val="bottom"/>
            <w:hideMark/>
          </w:tcPr>
          <w:p w14:paraId="4666050C" w14:textId="77777777" w:rsidR="00A41254" w:rsidRPr="00A41254" w:rsidRDefault="00A41254" w:rsidP="00A41254">
            <w:pPr>
              <w:contextualSpacing w:val="0"/>
              <w:jc w:val="center"/>
              <w:rPr>
                <w:color w:val="000000"/>
                <w:sz w:val="17"/>
                <w:szCs w:val="17"/>
              </w:rPr>
            </w:pPr>
            <w:r w:rsidRPr="00A41254">
              <w:rPr>
                <w:color w:val="000000"/>
                <w:sz w:val="17"/>
                <w:szCs w:val="17"/>
              </w:rPr>
              <w:t>-14.8</w:t>
            </w:r>
          </w:p>
        </w:tc>
        <w:tc>
          <w:tcPr>
            <w:tcW w:w="1600" w:type="dxa"/>
            <w:tcBorders>
              <w:top w:val="nil"/>
              <w:left w:val="nil"/>
              <w:bottom w:val="nil"/>
              <w:right w:val="nil"/>
            </w:tcBorders>
            <w:shd w:val="clear" w:color="000000" w:fill="FFFFFF"/>
            <w:noWrap/>
            <w:vAlign w:val="bottom"/>
            <w:hideMark/>
          </w:tcPr>
          <w:p w14:paraId="52DC6630" w14:textId="77777777" w:rsidR="00A41254" w:rsidRPr="00A41254" w:rsidRDefault="00A41254" w:rsidP="00A41254">
            <w:pPr>
              <w:contextualSpacing w:val="0"/>
              <w:jc w:val="center"/>
              <w:rPr>
                <w:color w:val="000000"/>
                <w:sz w:val="17"/>
                <w:szCs w:val="17"/>
              </w:rPr>
            </w:pPr>
            <w:r w:rsidRPr="00A41254">
              <w:rPr>
                <w:color w:val="000000"/>
                <w:sz w:val="17"/>
                <w:szCs w:val="17"/>
              </w:rPr>
              <w:t>28.9</w:t>
            </w:r>
          </w:p>
        </w:tc>
      </w:tr>
      <w:tr w:rsidR="00A41254" w:rsidRPr="00A41254" w14:paraId="153F011F" w14:textId="77777777" w:rsidTr="00A41254">
        <w:trPr>
          <w:trHeight w:val="240"/>
        </w:trPr>
        <w:tc>
          <w:tcPr>
            <w:tcW w:w="980" w:type="dxa"/>
            <w:tcBorders>
              <w:top w:val="nil"/>
              <w:left w:val="nil"/>
              <w:bottom w:val="nil"/>
              <w:right w:val="nil"/>
            </w:tcBorders>
            <w:shd w:val="clear" w:color="000000" w:fill="FFFFFF"/>
            <w:noWrap/>
            <w:vAlign w:val="bottom"/>
            <w:hideMark/>
          </w:tcPr>
          <w:p w14:paraId="4E8BE5BC" w14:textId="77777777" w:rsidR="00A41254" w:rsidRPr="00A41254" w:rsidRDefault="00A41254" w:rsidP="00A41254">
            <w:pPr>
              <w:contextualSpacing w:val="0"/>
              <w:jc w:val="left"/>
              <w:rPr>
                <w:color w:val="000000"/>
                <w:sz w:val="17"/>
                <w:szCs w:val="17"/>
              </w:rPr>
            </w:pPr>
            <w:r w:rsidRPr="00A41254">
              <w:rPr>
                <w:color w:val="000000"/>
                <w:sz w:val="17"/>
                <w:szCs w:val="17"/>
              </w:rPr>
              <w:t>MTB03</w:t>
            </w:r>
          </w:p>
        </w:tc>
        <w:tc>
          <w:tcPr>
            <w:tcW w:w="1720" w:type="dxa"/>
            <w:tcBorders>
              <w:top w:val="nil"/>
              <w:left w:val="nil"/>
              <w:bottom w:val="nil"/>
              <w:right w:val="nil"/>
            </w:tcBorders>
            <w:shd w:val="clear" w:color="000000" w:fill="FFFFFF"/>
            <w:noWrap/>
            <w:vAlign w:val="bottom"/>
            <w:hideMark/>
          </w:tcPr>
          <w:p w14:paraId="67F949B7" w14:textId="77777777" w:rsidR="00A41254" w:rsidRPr="00A41254" w:rsidRDefault="00A41254" w:rsidP="00A41254">
            <w:pPr>
              <w:contextualSpacing w:val="0"/>
              <w:jc w:val="center"/>
              <w:rPr>
                <w:color w:val="000000"/>
                <w:sz w:val="17"/>
                <w:szCs w:val="17"/>
              </w:rPr>
            </w:pPr>
            <w:r w:rsidRPr="00A41254">
              <w:rPr>
                <w:color w:val="000000"/>
                <w:sz w:val="17"/>
                <w:szCs w:val="17"/>
              </w:rPr>
              <w:t>5040</w:t>
            </w:r>
          </w:p>
        </w:tc>
        <w:tc>
          <w:tcPr>
            <w:tcW w:w="1480" w:type="dxa"/>
            <w:tcBorders>
              <w:top w:val="nil"/>
              <w:left w:val="nil"/>
              <w:bottom w:val="nil"/>
              <w:right w:val="nil"/>
            </w:tcBorders>
            <w:shd w:val="clear" w:color="000000" w:fill="FFFFFF"/>
            <w:noWrap/>
            <w:vAlign w:val="bottom"/>
            <w:hideMark/>
          </w:tcPr>
          <w:p w14:paraId="618DEB50" w14:textId="77777777" w:rsidR="00A41254" w:rsidRPr="00A41254" w:rsidRDefault="00A41254" w:rsidP="00A41254">
            <w:pPr>
              <w:contextualSpacing w:val="0"/>
              <w:jc w:val="center"/>
              <w:rPr>
                <w:color w:val="000000"/>
                <w:sz w:val="17"/>
                <w:szCs w:val="17"/>
              </w:rPr>
            </w:pPr>
            <w:r w:rsidRPr="00A41254">
              <w:rPr>
                <w:color w:val="000000"/>
                <w:sz w:val="17"/>
                <w:szCs w:val="17"/>
              </w:rPr>
              <w:t>108.4</w:t>
            </w:r>
          </w:p>
        </w:tc>
        <w:tc>
          <w:tcPr>
            <w:tcW w:w="1420" w:type="dxa"/>
            <w:tcBorders>
              <w:top w:val="nil"/>
              <w:left w:val="nil"/>
              <w:bottom w:val="nil"/>
              <w:right w:val="nil"/>
            </w:tcBorders>
            <w:shd w:val="clear" w:color="000000" w:fill="FFFFFF"/>
            <w:noWrap/>
            <w:vAlign w:val="bottom"/>
            <w:hideMark/>
          </w:tcPr>
          <w:p w14:paraId="1C89433E" w14:textId="77777777" w:rsidR="00A41254" w:rsidRPr="00A41254" w:rsidRDefault="00A41254" w:rsidP="00A41254">
            <w:pPr>
              <w:contextualSpacing w:val="0"/>
              <w:jc w:val="center"/>
              <w:rPr>
                <w:color w:val="000000"/>
                <w:sz w:val="17"/>
                <w:szCs w:val="17"/>
              </w:rPr>
            </w:pPr>
            <w:r w:rsidRPr="00A41254">
              <w:rPr>
                <w:color w:val="000000"/>
                <w:sz w:val="17"/>
                <w:szCs w:val="17"/>
              </w:rPr>
              <w:t>3.31</w:t>
            </w:r>
          </w:p>
        </w:tc>
        <w:tc>
          <w:tcPr>
            <w:tcW w:w="1320" w:type="dxa"/>
            <w:tcBorders>
              <w:top w:val="nil"/>
              <w:left w:val="nil"/>
              <w:bottom w:val="nil"/>
              <w:right w:val="nil"/>
            </w:tcBorders>
            <w:shd w:val="clear" w:color="000000" w:fill="FFFFFF"/>
            <w:noWrap/>
            <w:vAlign w:val="bottom"/>
            <w:hideMark/>
          </w:tcPr>
          <w:p w14:paraId="58E55992" w14:textId="77777777" w:rsidR="00A41254" w:rsidRPr="00A41254" w:rsidRDefault="00A41254" w:rsidP="00A41254">
            <w:pPr>
              <w:contextualSpacing w:val="0"/>
              <w:jc w:val="center"/>
              <w:rPr>
                <w:color w:val="000000"/>
                <w:sz w:val="17"/>
                <w:szCs w:val="17"/>
              </w:rPr>
            </w:pPr>
            <w:r w:rsidRPr="00A41254">
              <w:rPr>
                <w:color w:val="000000"/>
                <w:sz w:val="17"/>
                <w:szCs w:val="17"/>
              </w:rPr>
              <w:t>-45.9</w:t>
            </w:r>
          </w:p>
        </w:tc>
        <w:tc>
          <w:tcPr>
            <w:tcW w:w="1320" w:type="dxa"/>
            <w:tcBorders>
              <w:top w:val="nil"/>
              <w:left w:val="nil"/>
              <w:bottom w:val="nil"/>
              <w:right w:val="nil"/>
            </w:tcBorders>
            <w:shd w:val="clear" w:color="000000" w:fill="FFFFFF"/>
            <w:noWrap/>
            <w:vAlign w:val="bottom"/>
            <w:hideMark/>
          </w:tcPr>
          <w:p w14:paraId="71AA0AC8" w14:textId="77777777" w:rsidR="00A41254" w:rsidRPr="00A41254" w:rsidRDefault="00A41254" w:rsidP="00A41254">
            <w:pPr>
              <w:contextualSpacing w:val="0"/>
              <w:jc w:val="center"/>
              <w:rPr>
                <w:color w:val="000000"/>
                <w:sz w:val="17"/>
                <w:szCs w:val="17"/>
              </w:rPr>
            </w:pPr>
            <w:r w:rsidRPr="00A41254">
              <w:rPr>
                <w:color w:val="000000"/>
                <w:sz w:val="17"/>
                <w:szCs w:val="17"/>
              </w:rPr>
              <w:t>-19.6</w:t>
            </w:r>
          </w:p>
        </w:tc>
        <w:tc>
          <w:tcPr>
            <w:tcW w:w="1600" w:type="dxa"/>
            <w:tcBorders>
              <w:top w:val="nil"/>
              <w:left w:val="nil"/>
              <w:bottom w:val="nil"/>
              <w:right w:val="nil"/>
            </w:tcBorders>
            <w:shd w:val="clear" w:color="000000" w:fill="FFFFFF"/>
            <w:noWrap/>
            <w:vAlign w:val="bottom"/>
            <w:hideMark/>
          </w:tcPr>
          <w:p w14:paraId="236C8535" w14:textId="77777777" w:rsidR="00A41254" w:rsidRPr="00A41254" w:rsidRDefault="00A41254" w:rsidP="00A41254">
            <w:pPr>
              <w:contextualSpacing w:val="0"/>
              <w:jc w:val="center"/>
              <w:rPr>
                <w:color w:val="000000"/>
                <w:sz w:val="17"/>
                <w:szCs w:val="17"/>
              </w:rPr>
            </w:pPr>
            <w:r w:rsidRPr="00A41254">
              <w:rPr>
                <w:color w:val="000000"/>
                <w:sz w:val="17"/>
                <w:szCs w:val="17"/>
              </w:rPr>
              <w:t>26.3</w:t>
            </w:r>
          </w:p>
        </w:tc>
      </w:tr>
      <w:tr w:rsidR="00A41254" w:rsidRPr="00A41254" w14:paraId="7424884C" w14:textId="77777777" w:rsidTr="00A41254">
        <w:trPr>
          <w:trHeight w:val="240"/>
        </w:trPr>
        <w:tc>
          <w:tcPr>
            <w:tcW w:w="980" w:type="dxa"/>
            <w:tcBorders>
              <w:top w:val="nil"/>
              <w:left w:val="nil"/>
              <w:bottom w:val="nil"/>
              <w:right w:val="nil"/>
            </w:tcBorders>
            <w:shd w:val="clear" w:color="000000" w:fill="FFFFFF"/>
            <w:noWrap/>
            <w:vAlign w:val="bottom"/>
            <w:hideMark/>
          </w:tcPr>
          <w:p w14:paraId="2D1AC4F3" w14:textId="77777777" w:rsidR="00A41254" w:rsidRPr="00A41254" w:rsidRDefault="00A41254" w:rsidP="00A41254">
            <w:pPr>
              <w:contextualSpacing w:val="0"/>
              <w:jc w:val="left"/>
              <w:rPr>
                <w:color w:val="000000"/>
                <w:sz w:val="17"/>
                <w:szCs w:val="17"/>
              </w:rPr>
            </w:pPr>
            <w:r w:rsidRPr="00A41254">
              <w:rPr>
                <w:color w:val="000000"/>
                <w:sz w:val="17"/>
                <w:szCs w:val="17"/>
              </w:rPr>
              <w:t>MTB04</w:t>
            </w:r>
          </w:p>
        </w:tc>
        <w:tc>
          <w:tcPr>
            <w:tcW w:w="1720" w:type="dxa"/>
            <w:tcBorders>
              <w:top w:val="nil"/>
              <w:left w:val="nil"/>
              <w:bottom w:val="nil"/>
              <w:right w:val="nil"/>
            </w:tcBorders>
            <w:shd w:val="clear" w:color="000000" w:fill="FFFFFF"/>
            <w:noWrap/>
            <w:vAlign w:val="bottom"/>
            <w:hideMark/>
          </w:tcPr>
          <w:p w14:paraId="77026B13" w14:textId="77777777" w:rsidR="00A41254" w:rsidRPr="00A41254" w:rsidRDefault="00A41254" w:rsidP="00A41254">
            <w:pPr>
              <w:contextualSpacing w:val="0"/>
              <w:jc w:val="center"/>
              <w:rPr>
                <w:color w:val="000000"/>
                <w:sz w:val="17"/>
                <w:szCs w:val="17"/>
              </w:rPr>
            </w:pPr>
            <w:r w:rsidRPr="00A41254">
              <w:rPr>
                <w:color w:val="000000"/>
                <w:sz w:val="17"/>
                <w:szCs w:val="17"/>
              </w:rPr>
              <w:t>5040</w:t>
            </w:r>
          </w:p>
        </w:tc>
        <w:tc>
          <w:tcPr>
            <w:tcW w:w="1480" w:type="dxa"/>
            <w:tcBorders>
              <w:top w:val="nil"/>
              <w:left w:val="nil"/>
              <w:bottom w:val="nil"/>
              <w:right w:val="nil"/>
            </w:tcBorders>
            <w:shd w:val="clear" w:color="000000" w:fill="FFFFFF"/>
            <w:noWrap/>
            <w:vAlign w:val="bottom"/>
            <w:hideMark/>
          </w:tcPr>
          <w:p w14:paraId="32D2BF13" w14:textId="77777777" w:rsidR="00A41254" w:rsidRPr="00A41254" w:rsidRDefault="00A41254" w:rsidP="00A41254">
            <w:pPr>
              <w:contextualSpacing w:val="0"/>
              <w:jc w:val="center"/>
              <w:rPr>
                <w:color w:val="000000"/>
                <w:sz w:val="17"/>
                <w:szCs w:val="17"/>
              </w:rPr>
            </w:pPr>
            <w:r w:rsidRPr="00A41254">
              <w:rPr>
                <w:color w:val="000000"/>
                <w:sz w:val="17"/>
                <w:szCs w:val="17"/>
              </w:rPr>
              <w:t>103.3</w:t>
            </w:r>
          </w:p>
        </w:tc>
        <w:tc>
          <w:tcPr>
            <w:tcW w:w="1420" w:type="dxa"/>
            <w:tcBorders>
              <w:top w:val="nil"/>
              <w:left w:val="nil"/>
              <w:bottom w:val="nil"/>
              <w:right w:val="nil"/>
            </w:tcBorders>
            <w:shd w:val="clear" w:color="000000" w:fill="FFFFFF"/>
            <w:noWrap/>
            <w:vAlign w:val="bottom"/>
            <w:hideMark/>
          </w:tcPr>
          <w:p w14:paraId="59F90974" w14:textId="77777777" w:rsidR="00A41254" w:rsidRPr="00A41254" w:rsidRDefault="00A41254" w:rsidP="00A41254">
            <w:pPr>
              <w:contextualSpacing w:val="0"/>
              <w:jc w:val="center"/>
              <w:rPr>
                <w:color w:val="000000"/>
                <w:sz w:val="17"/>
                <w:szCs w:val="17"/>
              </w:rPr>
            </w:pPr>
            <w:r w:rsidRPr="00A41254">
              <w:rPr>
                <w:color w:val="000000"/>
                <w:sz w:val="17"/>
                <w:szCs w:val="17"/>
              </w:rPr>
              <w:t>3.28</w:t>
            </w:r>
          </w:p>
        </w:tc>
        <w:tc>
          <w:tcPr>
            <w:tcW w:w="1320" w:type="dxa"/>
            <w:tcBorders>
              <w:top w:val="nil"/>
              <w:left w:val="nil"/>
              <w:bottom w:val="nil"/>
              <w:right w:val="nil"/>
            </w:tcBorders>
            <w:shd w:val="clear" w:color="000000" w:fill="FFFFFF"/>
            <w:noWrap/>
            <w:vAlign w:val="bottom"/>
            <w:hideMark/>
          </w:tcPr>
          <w:p w14:paraId="41EC80E8" w14:textId="77777777" w:rsidR="00A41254" w:rsidRPr="00A41254" w:rsidRDefault="00A41254" w:rsidP="00A41254">
            <w:pPr>
              <w:contextualSpacing w:val="0"/>
              <w:jc w:val="center"/>
              <w:rPr>
                <w:color w:val="000000"/>
                <w:sz w:val="17"/>
                <w:szCs w:val="17"/>
              </w:rPr>
            </w:pPr>
            <w:r w:rsidRPr="00A41254">
              <w:rPr>
                <w:color w:val="000000"/>
                <w:sz w:val="17"/>
                <w:szCs w:val="17"/>
              </w:rPr>
              <w:t>-47.6</w:t>
            </w:r>
          </w:p>
        </w:tc>
        <w:tc>
          <w:tcPr>
            <w:tcW w:w="1320" w:type="dxa"/>
            <w:tcBorders>
              <w:top w:val="nil"/>
              <w:left w:val="nil"/>
              <w:bottom w:val="nil"/>
              <w:right w:val="nil"/>
            </w:tcBorders>
            <w:shd w:val="clear" w:color="000000" w:fill="FFFFFF"/>
            <w:noWrap/>
            <w:vAlign w:val="bottom"/>
            <w:hideMark/>
          </w:tcPr>
          <w:p w14:paraId="291A0EFD" w14:textId="77777777" w:rsidR="00A41254" w:rsidRPr="00A41254" w:rsidRDefault="00A41254" w:rsidP="00A41254">
            <w:pPr>
              <w:contextualSpacing w:val="0"/>
              <w:jc w:val="center"/>
              <w:rPr>
                <w:color w:val="000000"/>
                <w:sz w:val="17"/>
                <w:szCs w:val="17"/>
              </w:rPr>
            </w:pPr>
            <w:r w:rsidRPr="00A41254">
              <w:rPr>
                <w:color w:val="000000"/>
                <w:sz w:val="17"/>
                <w:szCs w:val="17"/>
              </w:rPr>
              <w:t>-22.0</w:t>
            </w:r>
          </w:p>
        </w:tc>
        <w:tc>
          <w:tcPr>
            <w:tcW w:w="1600" w:type="dxa"/>
            <w:tcBorders>
              <w:top w:val="nil"/>
              <w:left w:val="nil"/>
              <w:bottom w:val="nil"/>
              <w:right w:val="nil"/>
            </w:tcBorders>
            <w:shd w:val="clear" w:color="000000" w:fill="FFFFFF"/>
            <w:noWrap/>
            <w:vAlign w:val="bottom"/>
            <w:hideMark/>
          </w:tcPr>
          <w:p w14:paraId="67BDB70E" w14:textId="77777777" w:rsidR="00A41254" w:rsidRPr="00A41254" w:rsidRDefault="00A41254" w:rsidP="00A41254">
            <w:pPr>
              <w:contextualSpacing w:val="0"/>
              <w:jc w:val="center"/>
              <w:rPr>
                <w:color w:val="000000"/>
                <w:sz w:val="17"/>
                <w:szCs w:val="17"/>
              </w:rPr>
            </w:pPr>
            <w:r w:rsidRPr="00A41254">
              <w:rPr>
                <w:color w:val="000000"/>
                <w:sz w:val="17"/>
                <w:szCs w:val="17"/>
              </w:rPr>
              <w:t>25.6</w:t>
            </w:r>
          </w:p>
        </w:tc>
      </w:tr>
      <w:tr w:rsidR="00A41254" w:rsidRPr="00A41254" w14:paraId="18263ECB" w14:textId="77777777" w:rsidTr="00A41254">
        <w:trPr>
          <w:trHeight w:val="240"/>
        </w:trPr>
        <w:tc>
          <w:tcPr>
            <w:tcW w:w="980" w:type="dxa"/>
            <w:tcBorders>
              <w:top w:val="nil"/>
              <w:left w:val="nil"/>
              <w:bottom w:val="nil"/>
              <w:right w:val="nil"/>
            </w:tcBorders>
            <w:shd w:val="clear" w:color="000000" w:fill="FFFFFF"/>
            <w:noWrap/>
            <w:vAlign w:val="bottom"/>
            <w:hideMark/>
          </w:tcPr>
          <w:p w14:paraId="388DC13F" w14:textId="77777777" w:rsidR="00A41254" w:rsidRPr="00A41254" w:rsidRDefault="00A41254" w:rsidP="00A41254">
            <w:pPr>
              <w:contextualSpacing w:val="0"/>
              <w:jc w:val="left"/>
              <w:rPr>
                <w:color w:val="000000"/>
                <w:sz w:val="17"/>
                <w:szCs w:val="17"/>
              </w:rPr>
            </w:pPr>
            <w:r w:rsidRPr="00A41254">
              <w:rPr>
                <w:color w:val="000000"/>
                <w:sz w:val="17"/>
                <w:szCs w:val="17"/>
              </w:rPr>
              <w:t>MTB05</w:t>
            </w:r>
          </w:p>
        </w:tc>
        <w:tc>
          <w:tcPr>
            <w:tcW w:w="1720" w:type="dxa"/>
            <w:tcBorders>
              <w:top w:val="nil"/>
              <w:left w:val="nil"/>
              <w:bottom w:val="nil"/>
              <w:right w:val="nil"/>
            </w:tcBorders>
            <w:shd w:val="clear" w:color="000000" w:fill="FFFFFF"/>
            <w:noWrap/>
            <w:vAlign w:val="bottom"/>
            <w:hideMark/>
          </w:tcPr>
          <w:p w14:paraId="313B6E9F" w14:textId="77777777" w:rsidR="00A41254" w:rsidRPr="00A41254" w:rsidRDefault="00A41254" w:rsidP="00A41254">
            <w:pPr>
              <w:contextualSpacing w:val="0"/>
              <w:jc w:val="center"/>
              <w:rPr>
                <w:color w:val="000000"/>
                <w:sz w:val="17"/>
                <w:szCs w:val="17"/>
              </w:rPr>
            </w:pPr>
            <w:r w:rsidRPr="00A41254">
              <w:rPr>
                <w:color w:val="000000"/>
                <w:sz w:val="17"/>
                <w:szCs w:val="17"/>
              </w:rPr>
              <w:t>5363</w:t>
            </w:r>
          </w:p>
        </w:tc>
        <w:tc>
          <w:tcPr>
            <w:tcW w:w="1480" w:type="dxa"/>
            <w:tcBorders>
              <w:top w:val="nil"/>
              <w:left w:val="nil"/>
              <w:bottom w:val="nil"/>
              <w:right w:val="nil"/>
            </w:tcBorders>
            <w:shd w:val="clear" w:color="000000" w:fill="FFFFFF"/>
            <w:noWrap/>
            <w:vAlign w:val="bottom"/>
            <w:hideMark/>
          </w:tcPr>
          <w:p w14:paraId="500F9058" w14:textId="77777777" w:rsidR="00A41254" w:rsidRPr="00A41254" w:rsidRDefault="00A41254" w:rsidP="00A41254">
            <w:pPr>
              <w:contextualSpacing w:val="0"/>
              <w:jc w:val="center"/>
              <w:rPr>
                <w:color w:val="000000"/>
                <w:sz w:val="17"/>
                <w:szCs w:val="17"/>
              </w:rPr>
            </w:pPr>
            <w:r w:rsidRPr="00A41254">
              <w:rPr>
                <w:color w:val="000000"/>
                <w:sz w:val="17"/>
                <w:szCs w:val="17"/>
              </w:rPr>
              <w:t>51.7</w:t>
            </w:r>
          </w:p>
        </w:tc>
        <w:tc>
          <w:tcPr>
            <w:tcW w:w="1420" w:type="dxa"/>
            <w:tcBorders>
              <w:top w:val="nil"/>
              <w:left w:val="nil"/>
              <w:bottom w:val="nil"/>
              <w:right w:val="nil"/>
            </w:tcBorders>
            <w:shd w:val="clear" w:color="000000" w:fill="FFFFFF"/>
            <w:noWrap/>
            <w:vAlign w:val="bottom"/>
            <w:hideMark/>
          </w:tcPr>
          <w:p w14:paraId="00215DDC" w14:textId="77777777" w:rsidR="00A41254" w:rsidRPr="00A41254" w:rsidRDefault="00A41254" w:rsidP="00A41254">
            <w:pPr>
              <w:contextualSpacing w:val="0"/>
              <w:jc w:val="center"/>
              <w:rPr>
                <w:color w:val="000000"/>
                <w:sz w:val="17"/>
                <w:szCs w:val="17"/>
              </w:rPr>
            </w:pPr>
            <w:r w:rsidRPr="00A41254">
              <w:rPr>
                <w:color w:val="000000"/>
                <w:sz w:val="17"/>
                <w:szCs w:val="17"/>
              </w:rPr>
              <w:t>1.38</w:t>
            </w:r>
          </w:p>
        </w:tc>
        <w:tc>
          <w:tcPr>
            <w:tcW w:w="1320" w:type="dxa"/>
            <w:tcBorders>
              <w:top w:val="nil"/>
              <w:left w:val="nil"/>
              <w:bottom w:val="nil"/>
              <w:right w:val="nil"/>
            </w:tcBorders>
            <w:shd w:val="clear" w:color="000000" w:fill="FFFFFF"/>
            <w:noWrap/>
            <w:vAlign w:val="bottom"/>
            <w:hideMark/>
          </w:tcPr>
          <w:p w14:paraId="1B1A64E4" w14:textId="77777777" w:rsidR="00A41254" w:rsidRPr="00A41254" w:rsidRDefault="00A41254" w:rsidP="00A41254">
            <w:pPr>
              <w:contextualSpacing w:val="0"/>
              <w:jc w:val="center"/>
              <w:rPr>
                <w:color w:val="000000"/>
                <w:sz w:val="17"/>
                <w:szCs w:val="17"/>
              </w:rPr>
            </w:pPr>
            <w:r w:rsidRPr="00A41254">
              <w:rPr>
                <w:color w:val="000000"/>
                <w:sz w:val="17"/>
                <w:szCs w:val="17"/>
              </w:rPr>
              <w:t>-29.3</w:t>
            </w:r>
          </w:p>
        </w:tc>
        <w:tc>
          <w:tcPr>
            <w:tcW w:w="1320" w:type="dxa"/>
            <w:tcBorders>
              <w:top w:val="nil"/>
              <w:left w:val="nil"/>
              <w:bottom w:val="nil"/>
              <w:right w:val="nil"/>
            </w:tcBorders>
            <w:shd w:val="clear" w:color="000000" w:fill="FFFFFF"/>
            <w:noWrap/>
            <w:vAlign w:val="bottom"/>
            <w:hideMark/>
          </w:tcPr>
          <w:p w14:paraId="5E9D397F" w14:textId="77777777" w:rsidR="00A41254" w:rsidRPr="00A41254" w:rsidRDefault="00A41254" w:rsidP="00A41254">
            <w:pPr>
              <w:contextualSpacing w:val="0"/>
              <w:jc w:val="center"/>
              <w:rPr>
                <w:color w:val="000000"/>
                <w:sz w:val="17"/>
                <w:szCs w:val="17"/>
              </w:rPr>
            </w:pPr>
            <w:r w:rsidRPr="00A41254">
              <w:rPr>
                <w:color w:val="000000"/>
                <w:sz w:val="17"/>
                <w:szCs w:val="17"/>
              </w:rPr>
              <w:t>-15.2</w:t>
            </w:r>
          </w:p>
        </w:tc>
        <w:tc>
          <w:tcPr>
            <w:tcW w:w="1600" w:type="dxa"/>
            <w:tcBorders>
              <w:top w:val="nil"/>
              <w:left w:val="nil"/>
              <w:bottom w:val="nil"/>
              <w:right w:val="nil"/>
            </w:tcBorders>
            <w:shd w:val="clear" w:color="000000" w:fill="FFFFFF"/>
            <w:noWrap/>
            <w:vAlign w:val="bottom"/>
            <w:hideMark/>
          </w:tcPr>
          <w:p w14:paraId="50B3ADFA" w14:textId="77777777" w:rsidR="00A41254" w:rsidRPr="00A41254" w:rsidRDefault="00A41254" w:rsidP="00A41254">
            <w:pPr>
              <w:contextualSpacing w:val="0"/>
              <w:jc w:val="center"/>
              <w:rPr>
                <w:color w:val="000000"/>
                <w:sz w:val="17"/>
                <w:szCs w:val="17"/>
              </w:rPr>
            </w:pPr>
            <w:r w:rsidRPr="00A41254">
              <w:rPr>
                <w:color w:val="000000"/>
                <w:sz w:val="17"/>
                <w:szCs w:val="17"/>
              </w:rPr>
              <w:t>14.1</w:t>
            </w:r>
          </w:p>
        </w:tc>
      </w:tr>
      <w:tr w:rsidR="00A41254" w:rsidRPr="00A41254" w14:paraId="1A47B2DA" w14:textId="77777777" w:rsidTr="00A41254">
        <w:trPr>
          <w:trHeight w:val="240"/>
        </w:trPr>
        <w:tc>
          <w:tcPr>
            <w:tcW w:w="980" w:type="dxa"/>
            <w:tcBorders>
              <w:top w:val="nil"/>
              <w:left w:val="nil"/>
              <w:bottom w:val="double" w:sz="6" w:space="0" w:color="auto"/>
              <w:right w:val="nil"/>
            </w:tcBorders>
            <w:shd w:val="clear" w:color="000000" w:fill="FFFFFF"/>
            <w:noWrap/>
            <w:vAlign w:val="bottom"/>
            <w:hideMark/>
          </w:tcPr>
          <w:p w14:paraId="0E43A59A" w14:textId="77777777" w:rsidR="00A41254" w:rsidRPr="00A41254" w:rsidRDefault="00A41254" w:rsidP="00A41254">
            <w:pPr>
              <w:contextualSpacing w:val="0"/>
              <w:jc w:val="left"/>
              <w:rPr>
                <w:color w:val="000000"/>
                <w:sz w:val="17"/>
                <w:szCs w:val="17"/>
              </w:rPr>
            </w:pPr>
            <w:r w:rsidRPr="00A41254">
              <w:rPr>
                <w:color w:val="000000"/>
                <w:sz w:val="17"/>
                <w:szCs w:val="17"/>
              </w:rPr>
              <w:t>MTB06</w:t>
            </w:r>
          </w:p>
        </w:tc>
        <w:tc>
          <w:tcPr>
            <w:tcW w:w="1720" w:type="dxa"/>
            <w:tcBorders>
              <w:top w:val="nil"/>
              <w:left w:val="nil"/>
              <w:bottom w:val="double" w:sz="6" w:space="0" w:color="auto"/>
              <w:right w:val="nil"/>
            </w:tcBorders>
            <w:shd w:val="clear" w:color="000000" w:fill="FFFFFF"/>
            <w:noWrap/>
            <w:vAlign w:val="bottom"/>
            <w:hideMark/>
          </w:tcPr>
          <w:p w14:paraId="5434ACBB" w14:textId="77777777" w:rsidR="00A41254" w:rsidRPr="00A41254" w:rsidRDefault="00A41254" w:rsidP="00A41254">
            <w:pPr>
              <w:contextualSpacing w:val="0"/>
              <w:jc w:val="center"/>
              <w:rPr>
                <w:color w:val="000000"/>
                <w:sz w:val="17"/>
                <w:szCs w:val="17"/>
              </w:rPr>
            </w:pPr>
            <w:r w:rsidRPr="00A41254">
              <w:rPr>
                <w:color w:val="000000"/>
                <w:sz w:val="17"/>
                <w:szCs w:val="17"/>
              </w:rPr>
              <w:t>5040</w:t>
            </w:r>
          </w:p>
        </w:tc>
        <w:tc>
          <w:tcPr>
            <w:tcW w:w="1480" w:type="dxa"/>
            <w:tcBorders>
              <w:top w:val="nil"/>
              <w:left w:val="nil"/>
              <w:bottom w:val="double" w:sz="6" w:space="0" w:color="auto"/>
              <w:right w:val="nil"/>
            </w:tcBorders>
            <w:shd w:val="clear" w:color="000000" w:fill="FFFFFF"/>
            <w:noWrap/>
            <w:vAlign w:val="bottom"/>
            <w:hideMark/>
          </w:tcPr>
          <w:p w14:paraId="03D36D16" w14:textId="77777777" w:rsidR="00A41254" w:rsidRPr="00A41254" w:rsidRDefault="00A41254" w:rsidP="00A41254">
            <w:pPr>
              <w:contextualSpacing w:val="0"/>
              <w:jc w:val="center"/>
              <w:rPr>
                <w:color w:val="000000"/>
                <w:sz w:val="17"/>
                <w:szCs w:val="17"/>
              </w:rPr>
            </w:pPr>
            <w:r w:rsidRPr="00A41254">
              <w:rPr>
                <w:color w:val="000000"/>
                <w:sz w:val="17"/>
                <w:szCs w:val="17"/>
              </w:rPr>
              <w:t>108.5</w:t>
            </w:r>
          </w:p>
        </w:tc>
        <w:tc>
          <w:tcPr>
            <w:tcW w:w="1420" w:type="dxa"/>
            <w:tcBorders>
              <w:top w:val="nil"/>
              <w:left w:val="nil"/>
              <w:bottom w:val="double" w:sz="6" w:space="0" w:color="auto"/>
              <w:right w:val="nil"/>
            </w:tcBorders>
            <w:shd w:val="clear" w:color="000000" w:fill="FFFFFF"/>
            <w:noWrap/>
            <w:vAlign w:val="bottom"/>
            <w:hideMark/>
          </w:tcPr>
          <w:p w14:paraId="610C8EBA" w14:textId="77777777" w:rsidR="00A41254" w:rsidRPr="00A41254" w:rsidRDefault="00A41254" w:rsidP="00A41254">
            <w:pPr>
              <w:contextualSpacing w:val="0"/>
              <w:jc w:val="center"/>
              <w:rPr>
                <w:color w:val="000000"/>
                <w:sz w:val="17"/>
                <w:szCs w:val="17"/>
              </w:rPr>
            </w:pPr>
            <w:r w:rsidRPr="00A41254">
              <w:rPr>
                <w:color w:val="000000"/>
                <w:sz w:val="17"/>
                <w:szCs w:val="17"/>
              </w:rPr>
              <w:t>3.35</w:t>
            </w:r>
          </w:p>
        </w:tc>
        <w:tc>
          <w:tcPr>
            <w:tcW w:w="1320" w:type="dxa"/>
            <w:tcBorders>
              <w:top w:val="nil"/>
              <w:left w:val="nil"/>
              <w:bottom w:val="double" w:sz="6" w:space="0" w:color="auto"/>
              <w:right w:val="nil"/>
            </w:tcBorders>
            <w:shd w:val="clear" w:color="000000" w:fill="FFFFFF"/>
            <w:noWrap/>
            <w:vAlign w:val="bottom"/>
            <w:hideMark/>
          </w:tcPr>
          <w:p w14:paraId="39CC5614" w14:textId="77777777" w:rsidR="00A41254" w:rsidRPr="00A41254" w:rsidRDefault="00A41254" w:rsidP="00A41254">
            <w:pPr>
              <w:contextualSpacing w:val="0"/>
              <w:jc w:val="center"/>
              <w:rPr>
                <w:color w:val="000000"/>
                <w:sz w:val="17"/>
                <w:szCs w:val="17"/>
              </w:rPr>
            </w:pPr>
            <w:r w:rsidRPr="00A41254">
              <w:rPr>
                <w:color w:val="000000"/>
                <w:sz w:val="17"/>
                <w:szCs w:val="17"/>
              </w:rPr>
              <w:t>-29.8</w:t>
            </w:r>
          </w:p>
        </w:tc>
        <w:tc>
          <w:tcPr>
            <w:tcW w:w="1320" w:type="dxa"/>
            <w:tcBorders>
              <w:top w:val="nil"/>
              <w:left w:val="nil"/>
              <w:bottom w:val="double" w:sz="6" w:space="0" w:color="auto"/>
              <w:right w:val="nil"/>
            </w:tcBorders>
            <w:shd w:val="clear" w:color="000000" w:fill="FFFFFF"/>
            <w:noWrap/>
            <w:vAlign w:val="bottom"/>
            <w:hideMark/>
          </w:tcPr>
          <w:p w14:paraId="6F0F154E" w14:textId="77777777" w:rsidR="00A41254" w:rsidRPr="00A41254" w:rsidRDefault="00A41254" w:rsidP="00A41254">
            <w:pPr>
              <w:contextualSpacing w:val="0"/>
              <w:jc w:val="center"/>
              <w:rPr>
                <w:color w:val="000000"/>
                <w:sz w:val="17"/>
                <w:szCs w:val="17"/>
              </w:rPr>
            </w:pPr>
            <w:r w:rsidRPr="00A41254">
              <w:rPr>
                <w:color w:val="000000"/>
                <w:sz w:val="17"/>
                <w:szCs w:val="17"/>
              </w:rPr>
              <w:t>-5.7</w:t>
            </w:r>
          </w:p>
        </w:tc>
        <w:tc>
          <w:tcPr>
            <w:tcW w:w="1600" w:type="dxa"/>
            <w:tcBorders>
              <w:top w:val="nil"/>
              <w:left w:val="nil"/>
              <w:bottom w:val="double" w:sz="6" w:space="0" w:color="auto"/>
              <w:right w:val="nil"/>
            </w:tcBorders>
            <w:shd w:val="clear" w:color="000000" w:fill="FFFFFF"/>
            <w:noWrap/>
            <w:vAlign w:val="bottom"/>
            <w:hideMark/>
          </w:tcPr>
          <w:p w14:paraId="30B13B96" w14:textId="77777777" w:rsidR="00A41254" w:rsidRPr="00A41254" w:rsidRDefault="00A41254" w:rsidP="00A41254">
            <w:pPr>
              <w:contextualSpacing w:val="0"/>
              <w:jc w:val="center"/>
              <w:rPr>
                <w:color w:val="000000"/>
                <w:sz w:val="17"/>
                <w:szCs w:val="17"/>
              </w:rPr>
            </w:pPr>
            <w:r w:rsidRPr="00A41254">
              <w:rPr>
                <w:color w:val="000000"/>
                <w:sz w:val="17"/>
                <w:szCs w:val="17"/>
              </w:rPr>
              <w:t>24.2</w:t>
            </w:r>
          </w:p>
        </w:tc>
      </w:tr>
    </w:tbl>
    <w:p w14:paraId="0B142225" w14:textId="77777777" w:rsidR="00901EA6" w:rsidRDefault="00901EA6" w:rsidP="005C0FCD">
      <w:pPr>
        <w:ind w:firstLine="288"/>
      </w:pPr>
    </w:p>
    <w:p w14:paraId="6B0E9894" w14:textId="00A0B175" w:rsidR="004D4E66" w:rsidRDefault="004D4E66" w:rsidP="004D4E66">
      <w:pPr>
        <w:numPr>
          <w:ilvl w:val="0"/>
          <w:numId w:val="3"/>
        </w:numPr>
        <w:tabs>
          <w:tab w:val="left" w:pos="288"/>
        </w:tabs>
        <w:spacing w:before="240"/>
        <w:outlineLvl w:val="1"/>
        <w:rPr>
          <w:b/>
        </w:rPr>
      </w:pPr>
      <w:r>
        <w:rPr>
          <w:b/>
        </w:rPr>
        <w:t xml:space="preserve">MISP </w:t>
      </w:r>
      <w:r w:rsidR="005E0B1F">
        <w:rPr>
          <w:b/>
        </w:rPr>
        <w:t>Backshell</w:t>
      </w:r>
      <w:r>
        <w:rPr>
          <w:b/>
        </w:rPr>
        <w:t xml:space="preserve"> Direct Heatflux Flight Data </w:t>
      </w:r>
    </w:p>
    <w:p w14:paraId="5A3EA17A" w14:textId="1E70A4E7" w:rsidR="00394877" w:rsidRDefault="00A76FC6" w:rsidP="00394877">
      <w:pPr>
        <w:ind w:firstLine="288"/>
      </w:pPr>
      <w:r>
        <w:t xml:space="preserve">The paper turns to the other backshell thermal sensors. </w:t>
      </w:r>
      <w:r w:rsidR="003C77F7">
        <w:t xml:space="preserve">The heatflux gage and radiometer sensor measurements are shown in Figure </w:t>
      </w:r>
      <w:r w:rsidR="0032574C">
        <w:t>17(a)</w:t>
      </w:r>
      <w:r w:rsidR="00394877">
        <w:t xml:space="preserve">, in mV (Schmidt-Boelter readings) and </w:t>
      </w:r>
      <w:r w:rsidR="00982E9B">
        <w:t xml:space="preserve">degrees Celsius </w:t>
      </w:r>
      <w:r w:rsidR="00394877">
        <w:t>(surface temperatures)</w:t>
      </w:r>
      <w:r w:rsidR="00EE2B52">
        <w:t xml:space="preserve">. </w:t>
      </w:r>
      <w:r w:rsidR="00394877">
        <w:t xml:space="preserve">The entry pulse </w:t>
      </w:r>
      <w:r w:rsidR="0032574C">
        <w:t xml:space="preserve">was detected by all </w:t>
      </w:r>
      <w:r w:rsidR="00394877">
        <w:t>three sensor</w:t>
      </w:r>
      <w:r w:rsidR="0032574C">
        <w:t>s</w:t>
      </w:r>
      <w:r w:rsidR="00394877">
        <w:t xml:space="preserve">, </w:t>
      </w:r>
      <w:r w:rsidR="0032574C">
        <w:t>both in the sensor mV output increases and surface temperature increases</w:t>
      </w:r>
      <w:r w:rsidR="00EE2B52">
        <w:t xml:space="preserve">. </w:t>
      </w:r>
      <w:r w:rsidR="00394877">
        <w:t xml:space="preserve">Initial temperatures for the two leeside sensors (MTB08 and MTB09) </w:t>
      </w:r>
      <w:r w:rsidR="00982E9B">
        <w:t xml:space="preserve">were </w:t>
      </w:r>
      <w:r w:rsidR="00394877">
        <w:t>around -37</w:t>
      </w:r>
      <w:r w:rsidR="0032574C" w:rsidRPr="0032574C">
        <w:t>°</w:t>
      </w:r>
      <w:r w:rsidR="0032574C">
        <w:t xml:space="preserve"> </w:t>
      </w:r>
      <w:r w:rsidR="00394877">
        <w:t xml:space="preserve">C, with the </w:t>
      </w:r>
      <w:proofErr w:type="spellStart"/>
      <w:r w:rsidR="00394877">
        <w:t>windside</w:t>
      </w:r>
      <w:proofErr w:type="spellEnd"/>
      <w:r w:rsidR="00394877">
        <w:t xml:space="preserve"> sensor cooler at -46</w:t>
      </w:r>
      <w:r w:rsidR="0032574C" w:rsidRPr="0032574C">
        <w:t>°</w:t>
      </w:r>
      <w:r w:rsidR="0032574C">
        <w:t xml:space="preserve"> </w:t>
      </w:r>
      <w:r w:rsidR="00811E92">
        <w:t>C</w:t>
      </w:r>
      <w:r w:rsidR="00EE2B52">
        <w:t xml:space="preserve">. </w:t>
      </w:r>
      <w:r w:rsidR="00394877">
        <w:t xml:space="preserve">The overall sensor tips remained </w:t>
      </w:r>
      <w:r w:rsidR="00F61B19">
        <w:t>cold</w:t>
      </w:r>
      <w:r w:rsidR="00394877">
        <w:t>, despite the nearby TPS reaching much higher temperatures</w:t>
      </w:r>
      <w:r w:rsidR="00F61B19">
        <w:t xml:space="preserve"> at adjacent instrumented plugs (MTB01 and MTB02)</w:t>
      </w:r>
      <w:r w:rsidR="00394877">
        <w:t>.</w:t>
      </w:r>
    </w:p>
    <w:p w14:paraId="29761E93" w14:textId="6272EDDC" w:rsidR="00394877" w:rsidRDefault="00982E9B" w:rsidP="00C642B5">
      <w:pPr>
        <w:ind w:firstLine="288"/>
      </w:pPr>
      <w:r>
        <w:t xml:space="preserve">Converting </w:t>
      </w:r>
      <w:r w:rsidR="00394877">
        <w:t>from mV output to the engineering units of interest</w:t>
      </w:r>
      <w:r w:rsidR="00F61B19">
        <w:t xml:space="preserve"> (</w:t>
      </w:r>
      <w:r w:rsidR="00394877">
        <w:t>W/cm</w:t>
      </w:r>
      <w:r w:rsidR="00394877" w:rsidRPr="00811E92">
        <w:rPr>
          <w:vertAlign w:val="superscript"/>
        </w:rPr>
        <w:t>2</w:t>
      </w:r>
      <w:r w:rsidR="00F61B19">
        <w:t>)</w:t>
      </w:r>
      <w:r w:rsidR="00394877">
        <w:t xml:space="preserve"> </w:t>
      </w:r>
      <w:r w:rsidR="0032574C">
        <w:t>required</w:t>
      </w:r>
      <w:r w:rsidR="00394877">
        <w:t xml:space="preserve"> calibration curves, and corrections for view angle and surface coatings as described in </w:t>
      </w:r>
      <w:r w:rsidR="00C56BB8">
        <w:t xml:space="preserve">Miller </w:t>
      </w:r>
      <w:r w:rsidR="003C77F7">
        <w:t>[</w:t>
      </w:r>
      <w:r w:rsidR="00C56BB8">
        <w:t>6</w:t>
      </w:r>
      <w:r w:rsidR="003C77F7">
        <w:t>]</w:t>
      </w:r>
      <w:r w:rsidR="00EE2B52">
        <w:t xml:space="preserve">. </w:t>
      </w:r>
      <w:r w:rsidR="00811E92">
        <w:t xml:space="preserve">The resulting heatflux, after calibration and view factor, and other corrections </w:t>
      </w:r>
      <w:r w:rsidR="00FC3917">
        <w:t xml:space="preserve">are shown in Figure </w:t>
      </w:r>
      <w:r w:rsidR="0032574C">
        <w:t>17</w:t>
      </w:r>
      <w:r w:rsidR="00FC3917">
        <w:t>(b).</w:t>
      </w:r>
    </w:p>
    <w:p w14:paraId="24C25FA2" w14:textId="50DF6A72" w:rsidR="007F0EAB" w:rsidRDefault="00143EDB" w:rsidP="007F0EAB">
      <w:pPr>
        <w:keepNext/>
        <w:jc w:val="center"/>
      </w:pPr>
      <w:r>
        <w:rPr>
          <w:noProof/>
        </w:rPr>
        <w:drawing>
          <wp:anchor distT="0" distB="0" distL="114300" distR="114300" simplePos="0" relativeHeight="251664384" behindDoc="0" locked="0" layoutInCell="1" allowOverlap="1" wp14:anchorId="423B1B9E" wp14:editId="6272D276">
            <wp:simplePos x="0" y="0"/>
            <wp:positionH relativeFrom="column">
              <wp:posOffset>3584162</wp:posOffset>
            </wp:positionH>
            <wp:positionV relativeFrom="paragraph">
              <wp:posOffset>246232</wp:posOffset>
            </wp:positionV>
            <wp:extent cx="774065" cy="779145"/>
            <wp:effectExtent l="0" t="0" r="6985" b="190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74065" cy="779145"/>
                    </a:xfrm>
                    <a:prstGeom prst="rect">
                      <a:avLst/>
                    </a:prstGeom>
                    <a:noFill/>
                  </pic:spPr>
                </pic:pic>
              </a:graphicData>
            </a:graphic>
            <wp14:sizeRelH relativeFrom="page">
              <wp14:pctWidth>0</wp14:pctWidth>
            </wp14:sizeRelH>
            <wp14:sizeRelV relativeFrom="page">
              <wp14:pctHeight>0</wp14:pctHeight>
            </wp14:sizeRelV>
          </wp:anchor>
        </w:drawing>
      </w:r>
      <w:r w:rsidR="007F0EAB" w:rsidRPr="000A06A9">
        <w:rPr>
          <w:noProof/>
        </w:rPr>
        <w:drawing>
          <wp:inline distT="0" distB="0" distL="0" distR="0" wp14:anchorId="332188A7" wp14:editId="2884449D">
            <wp:extent cx="3147486" cy="2436190"/>
            <wp:effectExtent l="0" t="0" r="0" b="2540"/>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147486" cy="2436190"/>
                    </a:xfrm>
                    <a:prstGeom prst="rect">
                      <a:avLst/>
                    </a:prstGeom>
                  </pic:spPr>
                </pic:pic>
              </a:graphicData>
            </a:graphic>
          </wp:inline>
        </w:drawing>
      </w:r>
      <w:r w:rsidR="00FC3917">
        <w:rPr>
          <w:noProof/>
        </w:rPr>
        <w:drawing>
          <wp:inline distT="0" distB="0" distL="0" distR="0" wp14:anchorId="4D355145" wp14:editId="3F9C674C">
            <wp:extent cx="2620548" cy="2354927"/>
            <wp:effectExtent l="0" t="0" r="889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51284" cy="2382548"/>
                    </a:xfrm>
                    <a:prstGeom prst="rect">
                      <a:avLst/>
                    </a:prstGeom>
                    <a:noFill/>
                  </pic:spPr>
                </pic:pic>
              </a:graphicData>
            </a:graphic>
          </wp:inline>
        </w:drawing>
      </w:r>
    </w:p>
    <w:p w14:paraId="4FDB8246" w14:textId="34C1DE70" w:rsidR="007F0EAB" w:rsidRPr="00435569" w:rsidRDefault="007F0EAB" w:rsidP="00FA1D8C">
      <w:pPr>
        <w:pStyle w:val="Caption"/>
        <w:rPr>
          <w:noProof/>
        </w:rPr>
      </w:pPr>
      <w:r>
        <w:t xml:space="preserve">Figure </w:t>
      </w:r>
      <w:r w:rsidR="00496F19">
        <w:fldChar w:fldCharType="begin"/>
      </w:r>
      <w:r w:rsidR="00496F19">
        <w:instrText xml:space="preserve"> SEQ Figure \* ARABIC </w:instrText>
      </w:r>
      <w:r w:rsidR="00496F19">
        <w:fldChar w:fldCharType="separate"/>
      </w:r>
      <w:r w:rsidR="00C85550">
        <w:rPr>
          <w:noProof/>
        </w:rPr>
        <w:t>17</w:t>
      </w:r>
      <w:r w:rsidR="00496F19">
        <w:rPr>
          <w:noProof/>
        </w:rPr>
        <w:fldChar w:fldCharType="end"/>
      </w:r>
      <w:r>
        <w:t xml:space="preserve"> </w:t>
      </w:r>
      <w:r w:rsidR="00FC3917">
        <w:t xml:space="preserve">a. </w:t>
      </w:r>
      <w:r>
        <w:t xml:space="preserve">Heatflux and radiometer </w:t>
      </w:r>
      <w:r w:rsidR="00FC3917">
        <w:t xml:space="preserve">raw signals, tip </w:t>
      </w:r>
      <w:r>
        <w:t>temperatures</w:t>
      </w:r>
      <w:r>
        <w:rPr>
          <w:noProof/>
        </w:rPr>
        <w:t xml:space="preserve"> measured during entry</w:t>
      </w:r>
      <w:r w:rsidR="00FC3917">
        <w:rPr>
          <w:noProof/>
        </w:rPr>
        <w:t>, and b. Heatflux values</w:t>
      </w:r>
    </w:p>
    <w:p w14:paraId="6476830B" w14:textId="6E2D50FC" w:rsidR="00A8252B" w:rsidRDefault="00A8252B" w:rsidP="00A8252B">
      <w:pPr>
        <w:ind w:firstLine="288"/>
      </w:pPr>
      <w:r w:rsidRPr="00A8252B">
        <w:t xml:space="preserve">Like the backshell TCs, the heatflux sensor measurements confirm the leeside of the backshell experienced higher peak heating than the </w:t>
      </w:r>
      <w:proofErr w:type="spellStart"/>
      <w:r w:rsidRPr="00A8252B">
        <w:t>windside</w:t>
      </w:r>
      <w:proofErr w:type="spellEnd"/>
      <w:r w:rsidR="00EE2B52">
        <w:t xml:space="preserve">. </w:t>
      </w:r>
      <w:r w:rsidR="0042549F">
        <w:t xml:space="preserve">Miller also describes how the </w:t>
      </w:r>
      <w:r w:rsidRPr="00A8252B">
        <w:t xml:space="preserve">measured peak total heating on the </w:t>
      </w:r>
      <w:proofErr w:type="spellStart"/>
      <w:r w:rsidRPr="00A8252B">
        <w:t>windside</w:t>
      </w:r>
      <w:proofErr w:type="spellEnd"/>
      <w:r w:rsidRPr="00A8252B">
        <w:t xml:space="preserve"> and leeside of the M2020 heatshield are well predicted by current state of the art models (DPLR/NEQAIR) when tip and surrounding TPS temperatures are included in the simulations</w:t>
      </w:r>
      <w:r w:rsidR="00F22F05">
        <w:t xml:space="preserve"> [</w:t>
      </w:r>
      <w:r w:rsidR="00C56BB8">
        <w:t>6</w:t>
      </w:r>
      <w:r w:rsidR="00F22F05">
        <w:t>].</w:t>
      </w:r>
    </w:p>
    <w:p w14:paraId="2D509356" w14:textId="41D5F7D2" w:rsidR="00DC665C" w:rsidRDefault="00394877" w:rsidP="00DC665C">
      <w:pPr>
        <w:ind w:firstLine="288"/>
      </w:pPr>
      <w:r>
        <w:t xml:space="preserve">The radiometer measured </w:t>
      </w:r>
      <w:r w:rsidR="005E0B1F">
        <w:t>backshell</w:t>
      </w:r>
      <w:r>
        <w:t xml:space="preserve"> radiation of 3</w:t>
      </w:r>
      <w:r w:rsidR="00E47C85">
        <w:t xml:space="preserve">.3 </w:t>
      </w:r>
      <w:r>
        <w:t>W/cm</w:t>
      </w:r>
      <w:r w:rsidRPr="00F61B19">
        <w:rPr>
          <w:vertAlign w:val="superscript"/>
        </w:rPr>
        <w:t>2</w:t>
      </w:r>
      <w:r>
        <w:t>, confirming the</w:t>
      </w:r>
      <w:r w:rsidR="00E47C85">
        <w:t xml:space="preserve"> effect and considerable magnitude </w:t>
      </w:r>
      <w:r>
        <w:t>of CO</w:t>
      </w:r>
      <w:r w:rsidRPr="00F61B19">
        <w:rPr>
          <w:vertAlign w:val="subscript"/>
        </w:rPr>
        <w:t>2</w:t>
      </w:r>
      <w:r>
        <w:t xml:space="preserve"> Mid-Wave infrared </w:t>
      </w:r>
      <w:r w:rsidR="00E47C85">
        <w:t>radiation</w:t>
      </w:r>
      <w:r>
        <w:t xml:space="preserve"> </w:t>
      </w:r>
      <w:r w:rsidR="00F22F05">
        <w:t xml:space="preserve">as predicted and inferred from </w:t>
      </w:r>
      <w:r w:rsidR="00C56BB8">
        <w:t xml:space="preserve">the European Schiaparelli EDL instrumentation suite </w:t>
      </w:r>
      <w:r w:rsidR="00F22F05">
        <w:t>[</w:t>
      </w:r>
      <w:r w:rsidR="00C56BB8">
        <w:t>13</w:t>
      </w:r>
      <w:r w:rsidR="00F22F05">
        <w:t>]</w:t>
      </w:r>
      <w:r w:rsidR="00EE2B52">
        <w:t xml:space="preserve">. </w:t>
      </w:r>
      <w:r w:rsidR="00F22F05">
        <w:t xml:space="preserve">The radiometer </w:t>
      </w:r>
      <w:r w:rsidR="0042549F">
        <w:t>was</w:t>
      </w:r>
      <w:r w:rsidR="00F22F05">
        <w:t xml:space="preserve"> susceptible to signal attenuation due to ablation products that can deposit on the sapphire window during entry</w:t>
      </w:r>
      <w:r w:rsidR="00EE2B52">
        <w:t xml:space="preserve">. </w:t>
      </w:r>
      <w:r w:rsidR="00F22F05">
        <w:t xml:space="preserve">Therefore, the heating measured by the radiometer can be treated as a lower bound on radiation at the </w:t>
      </w:r>
      <w:r w:rsidR="00EF028F">
        <w:t xml:space="preserve">MTB09 </w:t>
      </w:r>
      <w:r w:rsidR="00F22F05">
        <w:t>sensor location</w:t>
      </w:r>
      <w:r w:rsidR="00EE2B52">
        <w:t xml:space="preserve">. </w:t>
      </w:r>
      <w:r w:rsidR="00F22F05">
        <w:t>The MEDLI2 team investigated several approaches to estimat</w:t>
      </w:r>
      <w:r w:rsidR="00982E9B">
        <w:t>e</w:t>
      </w:r>
      <w:r w:rsidR="00F22F05">
        <w:t xml:space="preserve"> blockage that occurred during flight. One approach was to compare the radiative heatflux (</w:t>
      </w:r>
      <w:r w:rsidR="00EF028F">
        <w:t>MTB09</w:t>
      </w:r>
      <w:r w:rsidR="00F22F05">
        <w:t xml:space="preserve">) with the simulated radiative pulse, on the basis that at </w:t>
      </w:r>
      <w:r w:rsidR="00EF028F">
        <w:t xml:space="preserve">MTB09 </w:t>
      </w:r>
      <w:r w:rsidR="0032574C">
        <w:t>most of the</w:t>
      </w:r>
      <w:r w:rsidR="00F22F05">
        <w:t xml:space="preserve"> </w:t>
      </w:r>
      <w:r w:rsidR="0032574C">
        <w:t xml:space="preserve">predicted </w:t>
      </w:r>
      <w:r w:rsidR="00F22F05">
        <w:t xml:space="preserve">heating </w:t>
      </w:r>
      <w:r w:rsidR="0042549F">
        <w:t>was</w:t>
      </w:r>
      <w:r w:rsidR="00F22F05">
        <w:t xml:space="preserve"> radiative, and the </w:t>
      </w:r>
      <w:r w:rsidR="0032574C">
        <w:t xml:space="preserve">adjacent </w:t>
      </w:r>
      <w:r w:rsidR="00F22F05">
        <w:t>total heatflux sensor (MTB08) agree</w:t>
      </w:r>
      <w:r w:rsidR="0032574C">
        <w:t>d</w:t>
      </w:r>
      <w:r w:rsidR="00F22F05">
        <w:t xml:space="preserve"> </w:t>
      </w:r>
      <w:r w:rsidR="0032574C">
        <w:t>with simulation results</w:t>
      </w:r>
      <w:r w:rsidR="00EE2B52">
        <w:t xml:space="preserve">. </w:t>
      </w:r>
      <w:r w:rsidR="00DC665C">
        <w:t>This approach indicate</w:t>
      </w:r>
      <w:r w:rsidR="0042549F">
        <w:t>d</w:t>
      </w:r>
      <w:r w:rsidR="00DC665C">
        <w:t xml:space="preserve"> the radiative heating blockage </w:t>
      </w:r>
      <w:r w:rsidR="0042549F">
        <w:t>was</w:t>
      </w:r>
      <w:r w:rsidR="00DC665C">
        <w:t xml:space="preserve"> 42-53%, with blockage increasing linearly during the entry pulse</w:t>
      </w:r>
      <w:r w:rsidR="00EE2B52">
        <w:t xml:space="preserve">. </w:t>
      </w:r>
      <w:r w:rsidR="00DC665C">
        <w:t xml:space="preserve">Additional approaches included </w:t>
      </w:r>
      <w:r w:rsidR="0042549F">
        <w:t xml:space="preserve">assessing blockage in ground test </w:t>
      </w:r>
      <w:r w:rsidR="0042549F">
        <w:lastRenderedPageBreak/>
        <w:t>experiments</w:t>
      </w:r>
      <w:r w:rsidR="00DC665C">
        <w:t xml:space="preserve"> where radiometers </w:t>
      </w:r>
      <w:r w:rsidR="0042549F">
        <w:t xml:space="preserve">were </w:t>
      </w:r>
      <w:r w:rsidR="00DC665C">
        <w:t xml:space="preserve">exposed to ablation products derived from arc heated </w:t>
      </w:r>
      <w:r w:rsidR="0042549F">
        <w:t>TPS</w:t>
      </w:r>
      <w:r w:rsidR="00EE2B52">
        <w:t xml:space="preserve">. </w:t>
      </w:r>
      <w:r w:rsidR="0042549F">
        <w:t xml:space="preserve">At the end of such tests, the </w:t>
      </w:r>
      <w:r w:rsidR="00DC665C">
        <w:t xml:space="preserve">sapphire windows </w:t>
      </w:r>
      <w:r w:rsidR="0042549F">
        <w:t xml:space="preserve">were </w:t>
      </w:r>
      <w:r w:rsidR="00DC665C">
        <w:t>extracted and measured for transmissibility</w:t>
      </w:r>
      <w:r w:rsidR="00EE2B52">
        <w:t xml:space="preserve">. </w:t>
      </w:r>
      <w:r w:rsidR="00DC665C">
        <w:t xml:space="preserve">As Miller shows, the degree of blockage </w:t>
      </w:r>
      <w:r w:rsidR="0042549F">
        <w:t>varied considerably in these tests, though the results bound the inferred blockage of the first approach</w:t>
      </w:r>
      <w:r w:rsidR="00EE2B52">
        <w:t xml:space="preserve">. </w:t>
      </w:r>
      <w:r>
        <w:t xml:space="preserve">Therefore, there are likely to remain open questions as to </w:t>
      </w:r>
      <w:r w:rsidR="0042549F">
        <w:t xml:space="preserve">the extent and effect of </w:t>
      </w:r>
      <w:r>
        <w:t xml:space="preserve">ablation products on the MEDLI2 radiometer regardless of future testing or modeling </w:t>
      </w:r>
      <w:r w:rsidR="0042549F">
        <w:t>efforts</w:t>
      </w:r>
      <w:r w:rsidR="00EE2B52">
        <w:t xml:space="preserve">. </w:t>
      </w:r>
    </w:p>
    <w:p w14:paraId="7512D200" w14:textId="4C172B99" w:rsidR="004D4E66" w:rsidRDefault="00DC665C" w:rsidP="00E47C85">
      <w:pPr>
        <w:ind w:firstLine="288"/>
      </w:pPr>
      <w:r>
        <w:t xml:space="preserve">Practically, however, </w:t>
      </w:r>
      <w:r w:rsidR="00E47C85">
        <w:t>the combination</w:t>
      </w:r>
      <w:r w:rsidR="00F61B19">
        <w:t xml:space="preserve"> of</w:t>
      </w:r>
      <w:r w:rsidR="00E47C85">
        <w:t xml:space="preserve"> heatflux sensor and radiometer</w:t>
      </w:r>
      <w:r>
        <w:t xml:space="preserve"> together </w:t>
      </w:r>
      <w:r w:rsidR="00E47C85">
        <w:t>effectively bound</w:t>
      </w:r>
      <w:r w:rsidR="0042549F">
        <w:t>ed</w:t>
      </w:r>
      <w:r w:rsidR="00E47C85">
        <w:t xml:space="preserve"> </w:t>
      </w:r>
      <w:r>
        <w:t xml:space="preserve">backshell </w:t>
      </w:r>
      <w:r w:rsidR="00E47C85">
        <w:t>radiation</w:t>
      </w:r>
      <w:r w:rsidR="00EE2B52">
        <w:t xml:space="preserve">. </w:t>
      </w:r>
      <w:r w:rsidR="00F61B19">
        <w:t xml:space="preserve">The radiometer </w:t>
      </w:r>
      <w:r w:rsidR="00394877">
        <w:t>provide</w:t>
      </w:r>
      <w:r w:rsidR="0042549F">
        <w:t>d</w:t>
      </w:r>
      <w:r w:rsidR="00394877">
        <w:t xml:space="preserve"> a </w:t>
      </w:r>
      <w:r w:rsidR="00F61B19">
        <w:t>lower</w:t>
      </w:r>
      <w:r w:rsidR="00394877">
        <w:t xml:space="preserve"> bound of radiation </w:t>
      </w:r>
      <w:r w:rsidR="00F61B19">
        <w:t>(peak of 3.3 W/cm</w:t>
      </w:r>
      <w:r w:rsidR="00F61B19" w:rsidRPr="00F61B19">
        <w:rPr>
          <w:vertAlign w:val="superscript"/>
        </w:rPr>
        <w:t>2</w:t>
      </w:r>
      <w:r w:rsidR="00F61B19">
        <w:t xml:space="preserve">) </w:t>
      </w:r>
      <w:r w:rsidR="00394877">
        <w:t xml:space="preserve">at the </w:t>
      </w:r>
      <w:r w:rsidR="005E0B1F">
        <w:t>backshell</w:t>
      </w:r>
      <w:r w:rsidR="00394877">
        <w:t xml:space="preserve"> leeside shoulder</w:t>
      </w:r>
      <w:r w:rsidR="00F61B19">
        <w:t xml:space="preserve"> because ablation products inhibit measurements of true radiation</w:t>
      </w:r>
      <w:r w:rsidR="00EE2B52">
        <w:t xml:space="preserve">. </w:t>
      </w:r>
      <w:r w:rsidR="00F61B19">
        <w:t>T</w:t>
      </w:r>
      <w:r w:rsidR="00394877">
        <w:t>he heatflux sensor</w:t>
      </w:r>
      <w:r w:rsidR="005E5648">
        <w:t xml:space="preserve"> (MTB08)</w:t>
      </w:r>
      <w:r w:rsidR="00F61B19">
        <w:t>, which measure</w:t>
      </w:r>
      <w:r w:rsidR="0042549F">
        <w:t>d</w:t>
      </w:r>
      <w:r w:rsidR="00F61B19">
        <w:t xml:space="preserve"> convective and radiative heating </w:t>
      </w:r>
      <w:r w:rsidR="0042549F">
        <w:t>and is not susceptible to ablation product blockage</w:t>
      </w:r>
      <w:r w:rsidR="00F61B19">
        <w:t>, provide</w:t>
      </w:r>
      <w:r w:rsidR="0042549F">
        <w:t>d</w:t>
      </w:r>
      <w:r w:rsidR="00F61B19">
        <w:t xml:space="preserve"> the </w:t>
      </w:r>
      <w:r w:rsidR="00394877">
        <w:t xml:space="preserve">upper bound </w:t>
      </w:r>
      <w:r w:rsidR="00F61B19">
        <w:t>(5.1 W/cm</w:t>
      </w:r>
      <w:r w:rsidR="00F61B19" w:rsidRPr="00F61B19">
        <w:rPr>
          <w:vertAlign w:val="superscript"/>
        </w:rPr>
        <w:t>2</w:t>
      </w:r>
      <w:r w:rsidR="00F61B19">
        <w:t xml:space="preserve">) </w:t>
      </w:r>
      <w:r w:rsidR="00394877">
        <w:t>on radiation</w:t>
      </w:r>
      <w:r w:rsidR="00C5260D">
        <w:t>.</w:t>
      </w:r>
    </w:p>
    <w:p w14:paraId="4E85467C" w14:textId="77777777" w:rsidR="00A50084" w:rsidRDefault="00A50084" w:rsidP="00F61B19"/>
    <w:p w14:paraId="42923C7E" w14:textId="2ECDC273" w:rsidR="00A50084" w:rsidRPr="00A50084" w:rsidRDefault="00A50084" w:rsidP="00A50084">
      <w:pPr>
        <w:keepNext/>
        <w:numPr>
          <w:ilvl w:val="0"/>
          <w:numId w:val="2"/>
        </w:numPr>
        <w:tabs>
          <w:tab w:val="clear" w:pos="360"/>
          <w:tab w:val="num" w:pos="180"/>
        </w:tabs>
        <w:spacing w:before="240" w:after="60"/>
        <w:ind w:left="180" w:hanging="180"/>
        <w:jc w:val="center"/>
        <w:outlineLvl w:val="0"/>
        <w:rPr>
          <w:b/>
          <w:kern w:val="32"/>
          <w:sz w:val="22"/>
        </w:rPr>
      </w:pPr>
      <w:r>
        <w:rPr>
          <w:b/>
          <w:kern w:val="32"/>
          <w:sz w:val="22"/>
        </w:rPr>
        <w:t xml:space="preserve">Implications for Future EDL </w:t>
      </w:r>
      <w:r w:rsidR="00434611">
        <w:rPr>
          <w:b/>
          <w:kern w:val="32"/>
          <w:sz w:val="22"/>
        </w:rPr>
        <w:t xml:space="preserve">Missions and </w:t>
      </w:r>
      <w:r>
        <w:rPr>
          <w:b/>
          <w:kern w:val="32"/>
          <w:sz w:val="22"/>
        </w:rPr>
        <w:t xml:space="preserve">Modeling </w:t>
      </w:r>
    </w:p>
    <w:p w14:paraId="6DBB6E04" w14:textId="1B0990FC" w:rsidR="00DC665C" w:rsidRDefault="00DC665C" w:rsidP="00C5260D">
      <w:pPr>
        <w:ind w:firstLine="288"/>
        <w:rPr>
          <w:bCs/>
        </w:rPr>
      </w:pPr>
      <w:r>
        <w:rPr>
          <w:bCs/>
        </w:rPr>
        <w:t>Like the MSL/MEDLI flight data before it, MEDLI2 provide</w:t>
      </w:r>
      <w:r w:rsidR="0042549F">
        <w:rPr>
          <w:bCs/>
        </w:rPr>
        <w:t>d</w:t>
      </w:r>
      <w:r>
        <w:rPr>
          <w:bCs/>
        </w:rPr>
        <w:t xml:space="preserve"> a </w:t>
      </w:r>
      <w:r w:rsidR="0042549F">
        <w:rPr>
          <w:bCs/>
        </w:rPr>
        <w:t xml:space="preserve">large </w:t>
      </w:r>
      <w:r>
        <w:rPr>
          <w:bCs/>
        </w:rPr>
        <w:t xml:space="preserve">dataset for further interpretation and </w:t>
      </w:r>
      <w:r w:rsidR="0042549F">
        <w:rPr>
          <w:bCs/>
        </w:rPr>
        <w:t xml:space="preserve">entry </w:t>
      </w:r>
      <w:r>
        <w:rPr>
          <w:bCs/>
        </w:rPr>
        <w:t>modeling</w:t>
      </w:r>
      <w:r w:rsidR="00EE2B52">
        <w:rPr>
          <w:bCs/>
        </w:rPr>
        <w:t xml:space="preserve">. </w:t>
      </w:r>
      <w:r>
        <w:rPr>
          <w:bCs/>
        </w:rPr>
        <w:t>In addition to the flight data itself, the MEDLI2 project also developed specific models which provide insight into possible improvements for modeling and mission design.</w:t>
      </w:r>
    </w:p>
    <w:p w14:paraId="192246D2" w14:textId="40141FD3" w:rsidR="00AF64F0" w:rsidRDefault="00AF64F0" w:rsidP="00C5260D">
      <w:pPr>
        <w:ind w:firstLine="288"/>
        <w:rPr>
          <w:bCs/>
        </w:rPr>
      </w:pPr>
      <w:r>
        <w:rPr>
          <w:bCs/>
        </w:rPr>
        <w:t>For pressure transducers, the MEDLI2 project conducted dynamic pressure testing to address the possibility that sensor signals may be altered following the hypersonic entry pulse</w:t>
      </w:r>
      <w:r w:rsidR="00EE2B52">
        <w:rPr>
          <w:bCs/>
        </w:rPr>
        <w:t xml:space="preserve">. </w:t>
      </w:r>
      <w:r>
        <w:rPr>
          <w:bCs/>
        </w:rPr>
        <w:t xml:space="preserve">This testing showed the importance of hysteresis and led to updated sensor models with the </w:t>
      </w:r>
      <w:proofErr w:type="spellStart"/>
      <w:r>
        <w:rPr>
          <w:bCs/>
        </w:rPr>
        <w:t>NewSTEP</w:t>
      </w:r>
      <w:proofErr w:type="spellEnd"/>
      <w:r>
        <w:rPr>
          <w:bCs/>
        </w:rPr>
        <w:t xml:space="preserve"> Kalman filter</w:t>
      </w:r>
      <w:r w:rsidR="00EE2B52">
        <w:rPr>
          <w:bCs/>
        </w:rPr>
        <w:t xml:space="preserve">. </w:t>
      </w:r>
      <w:r>
        <w:rPr>
          <w:bCs/>
        </w:rPr>
        <w:t>For future missions with pressure transducers, this kind of dynamic pressure pulse testing should be incorporated in sensor selection and pre-launch characterization to further reduce reconstruction uncertainty.</w:t>
      </w:r>
    </w:p>
    <w:p w14:paraId="42C44E36" w14:textId="489105A3" w:rsidR="00DC665C" w:rsidRDefault="00AF64F0" w:rsidP="00C5260D">
      <w:pPr>
        <w:ind w:firstLine="288"/>
        <w:rPr>
          <w:bCs/>
        </w:rPr>
      </w:pPr>
      <w:r>
        <w:rPr>
          <w:bCs/>
        </w:rPr>
        <w:t xml:space="preserve">For TC plugs, </w:t>
      </w:r>
      <w:r w:rsidR="00C5260D">
        <w:rPr>
          <w:bCs/>
        </w:rPr>
        <w:t>MEDLI2 developed refined material response models for both PICA and SLA-561V</w:t>
      </w:r>
      <w:r w:rsidR="00EE2B52">
        <w:rPr>
          <w:bCs/>
        </w:rPr>
        <w:t xml:space="preserve">. </w:t>
      </w:r>
      <w:r w:rsidR="0074138E">
        <w:t xml:space="preserve">These response models </w:t>
      </w:r>
      <w:r w:rsidR="00DC665C">
        <w:t xml:space="preserve">(and the </w:t>
      </w:r>
      <w:r w:rsidR="0074138E">
        <w:t xml:space="preserve">experiments </w:t>
      </w:r>
      <w:r w:rsidR="00DC665C">
        <w:t xml:space="preserve">used to develop them) were effectively </w:t>
      </w:r>
      <w:r w:rsidR="00A50084" w:rsidRPr="00C705BC">
        <w:t xml:space="preserve">a "sensor calibration" step for the </w:t>
      </w:r>
      <w:r w:rsidR="0074138E">
        <w:t>combination of</w:t>
      </w:r>
      <w:r w:rsidR="00A50084" w:rsidRPr="00C705BC">
        <w:t xml:space="preserve"> TC </w:t>
      </w:r>
      <w:r w:rsidR="0074138E">
        <w:t>and</w:t>
      </w:r>
      <w:r w:rsidR="00A50084" w:rsidRPr="00C705BC">
        <w:t xml:space="preserve"> </w:t>
      </w:r>
      <w:r w:rsidR="0074138E">
        <w:t xml:space="preserve">surrounding </w:t>
      </w:r>
      <w:r w:rsidR="00A50084" w:rsidRPr="00C705BC">
        <w:t>TPS</w:t>
      </w:r>
      <w:r w:rsidR="00EE2B52">
        <w:t xml:space="preserve">. </w:t>
      </w:r>
      <w:r w:rsidR="00DC665C">
        <w:t>F</w:t>
      </w:r>
      <w:r w:rsidR="00C5260D" w:rsidRPr="00C705BC">
        <w:t xml:space="preserve">uture instrumented </w:t>
      </w:r>
      <w:r w:rsidR="00DC665C">
        <w:t xml:space="preserve">EDL </w:t>
      </w:r>
      <w:r w:rsidR="00C5260D" w:rsidRPr="00C705BC">
        <w:t xml:space="preserve">missions </w:t>
      </w:r>
      <w:r w:rsidR="00DC665C">
        <w:t xml:space="preserve">would be well served to follow the MEDLI2 approach of </w:t>
      </w:r>
      <w:r w:rsidR="00C5260D" w:rsidRPr="00C705BC">
        <w:t>track</w:t>
      </w:r>
      <w:r w:rsidR="00DC665C">
        <w:t xml:space="preserve">ing individual plug TPS </w:t>
      </w:r>
      <w:r w:rsidR="002D5D70">
        <w:t>characteristics and</w:t>
      </w:r>
      <w:r w:rsidR="00DC665C">
        <w:t xml:space="preserve"> </w:t>
      </w:r>
      <w:r w:rsidR="00DC665C" w:rsidRPr="00C705BC">
        <w:t>perform</w:t>
      </w:r>
      <w:r w:rsidR="00DC665C">
        <w:t>ing</w:t>
      </w:r>
      <w:r w:rsidR="00C5260D" w:rsidRPr="00C705BC">
        <w:t xml:space="preserve"> material characterization </w:t>
      </w:r>
      <w:r w:rsidR="00DC665C">
        <w:t xml:space="preserve">tests on these </w:t>
      </w:r>
      <w:r w:rsidR="00C5260D" w:rsidRPr="00C705BC">
        <w:t>specific</w:t>
      </w:r>
      <w:r w:rsidR="00DC665C">
        <w:t xml:space="preserve"> ablators</w:t>
      </w:r>
      <w:r w:rsidR="00C5260D" w:rsidRPr="00C705BC">
        <w:t>.</w:t>
      </w:r>
      <w:r w:rsidR="002D5D70">
        <w:t xml:space="preserve"> </w:t>
      </w:r>
      <w:r w:rsidR="00C5260D">
        <w:rPr>
          <w:bCs/>
        </w:rPr>
        <w:t xml:space="preserve">Even with these refined models, </w:t>
      </w:r>
      <w:r w:rsidR="00A50084" w:rsidRPr="005B228A">
        <w:rPr>
          <w:bCs/>
        </w:rPr>
        <w:t>MEDLI2</w:t>
      </w:r>
      <w:r w:rsidR="00A50084">
        <w:rPr>
          <w:bCs/>
        </w:rPr>
        <w:t xml:space="preserve"> </w:t>
      </w:r>
      <w:r w:rsidR="00C5260D">
        <w:rPr>
          <w:bCs/>
        </w:rPr>
        <w:t xml:space="preserve">reconstruction </w:t>
      </w:r>
      <w:r w:rsidR="00A50084" w:rsidRPr="005B228A">
        <w:rPr>
          <w:bCs/>
        </w:rPr>
        <w:t>still over-predict</w:t>
      </w:r>
      <w:r w:rsidR="00123006">
        <w:rPr>
          <w:bCs/>
        </w:rPr>
        <w:t>ed</w:t>
      </w:r>
      <w:r w:rsidR="00A50084" w:rsidRPr="005B228A">
        <w:rPr>
          <w:bCs/>
        </w:rPr>
        <w:t xml:space="preserve"> </w:t>
      </w:r>
      <w:r w:rsidR="00C5260D">
        <w:rPr>
          <w:bCs/>
        </w:rPr>
        <w:t xml:space="preserve">deeper thermocouple </w:t>
      </w:r>
      <w:r w:rsidR="00DC665C">
        <w:rPr>
          <w:bCs/>
        </w:rPr>
        <w:t>temperatures when compar</w:t>
      </w:r>
      <w:r w:rsidR="00123006">
        <w:rPr>
          <w:bCs/>
        </w:rPr>
        <w:t>ed</w:t>
      </w:r>
      <w:r w:rsidR="00DC665C">
        <w:rPr>
          <w:bCs/>
        </w:rPr>
        <w:t xml:space="preserve"> to </w:t>
      </w:r>
      <w:r w:rsidR="00A50084" w:rsidRPr="005B228A">
        <w:rPr>
          <w:bCs/>
        </w:rPr>
        <w:t xml:space="preserve">arc jet and flight </w:t>
      </w:r>
      <w:r w:rsidR="00DC665C">
        <w:rPr>
          <w:bCs/>
        </w:rPr>
        <w:t>data</w:t>
      </w:r>
      <w:r w:rsidR="00123006">
        <w:rPr>
          <w:bCs/>
        </w:rPr>
        <w:t>; this implies there remains some inherent conservatism in these models</w:t>
      </w:r>
      <w:r w:rsidR="00601526">
        <w:rPr>
          <w:bCs/>
        </w:rPr>
        <w:t>.</w:t>
      </w:r>
      <w:r w:rsidR="00123006">
        <w:rPr>
          <w:bCs/>
        </w:rPr>
        <w:t xml:space="preserve"> </w:t>
      </w:r>
      <w:r w:rsidR="002D5D70">
        <w:rPr>
          <w:bCs/>
        </w:rPr>
        <w:t>For the heatshield, t</w:t>
      </w:r>
      <w:r w:rsidR="0074138E">
        <w:rPr>
          <w:bCs/>
        </w:rPr>
        <w:t xml:space="preserve">his </w:t>
      </w:r>
      <w:r w:rsidR="002D5D70">
        <w:rPr>
          <w:bCs/>
        </w:rPr>
        <w:t xml:space="preserve">could likely be </w:t>
      </w:r>
      <w:r w:rsidR="0074138E">
        <w:rPr>
          <w:bCs/>
        </w:rPr>
        <w:t xml:space="preserve">improved </w:t>
      </w:r>
      <w:r w:rsidR="002D5D70">
        <w:rPr>
          <w:bCs/>
        </w:rPr>
        <w:t>by accounting for water phase change and energy transport</w:t>
      </w:r>
      <w:r w:rsidR="00DC665C">
        <w:rPr>
          <w:bCs/>
        </w:rPr>
        <w:t xml:space="preserve">, as has been </w:t>
      </w:r>
      <w:r w:rsidR="0074138E">
        <w:rPr>
          <w:bCs/>
        </w:rPr>
        <w:t>demonstrated</w:t>
      </w:r>
      <w:r w:rsidR="00DC665C">
        <w:rPr>
          <w:bCs/>
        </w:rPr>
        <w:t xml:space="preserve"> by </w:t>
      </w:r>
      <w:proofErr w:type="spellStart"/>
      <w:r w:rsidR="0032574C">
        <w:rPr>
          <w:bCs/>
        </w:rPr>
        <w:t>Omidy</w:t>
      </w:r>
      <w:proofErr w:type="spellEnd"/>
      <w:r w:rsidR="0032574C">
        <w:rPr>
          <w:bCs/>
        </w:rPr>
        <w:t xml:space="preserve"> </w:t>
      </w:r>
      <w:r w:rsidR="00C56BB8">
        <w:rPr>
          <w:bCs/>
        </w:rPr>
        <w:t xml:space="preserve">[14] </w:t>
      </w:r>
      <w:r w:rsidR="002D5D70">
        <w:rPr>
          <w:bCs/>
        </w:rPr>
        <w:t>for MSL/MEDLI</w:t>
      </w:r>
      <w:r w:rsidR="00DC665C">
        <w:rPr>
          <w:bCs/>
        </w:rPr>
        <w:t>.</w:t>
      </w:r>
    </w:p>
    <w:p w14:paraId="1474315F" w14:textId="4D2A3C6A" w:rsidR="009B4CAE" w:rsidRDefault="00A50084" w:rsidP="00AF64F0">
      <w:pPr>
        <w:tabs>
          <w:tab w:val="left" w:pos="288"/>
        </w:tabs>
        <w:spacing w:before="240"/>
        <w:outlineLvl w:val="1"/>
        <w:rPr>
          <w:bCs/>
        </w:rPr>
      </w:pPr>
      <w:r>
        <w:rPr>
          <w:bCs/>
        </w:rPr>
        <w:tab/>
      </w:r>
      <w:r w:rsidR="00AF64F0">
        <w:rPr>
          <w:bCs/>
        </w:rPr>
        <w:t>For the forebody PICA plugs, t</w:t>
      </w:r>
      <w:r w:rsidRPr="006F6024">
        <w:rPr>
          <w:bCs/>
        </w:rPr>
        <w:t>he thin silicon</w:t>
      </w:r>
      <w:r w:rsidR="00982E9B">
        <w:rPr>
          <w:bCs/>
        </w:rPr>
        <w:t>e</w:t>
      </w:r>
      <w:r w:rsidRPr="006F6024">
        <w:rPr>
          <w:bCs/>
        </w:rPr>
        <w:t xml:space="preserve"> </w:t>
      </w:r>
      <w:proofErr w:type="spellStart"/>
      <w:r w:rsidRPr="006F6024">
        <w:rPr>
          <w:bCs/>
        </w:rPr>
        <w:t>NuSil</w:t>
      </w:r>
      <w:proofErr w:type="spellEnd"/>
      <w:r w:rsidRPr="006F6024">
        <w:rPr>
          <w:bCs/>
        </w:rPr>
        <w:t xml:space="preserve"> coating </w:t>
      </w:r>
      <w:r w:rsidR="00601526">
        <w:rPr>
          <w:bCs/>
        </w:rPr>
        <w:t xml:space="preserve">motivates further research and high-fidelity ablator models; this is an active </w:t>
      </w:r>
      <w:r w:rsidR="00AF64F0">
        <w:rPr>
          <w:bCs/>
        </w:rPr>
        <w:t>area of ongoing research at NASA through a MEDLI2 Deep Dive effort under NASA’s Entry Systems Modeling project</w:t>
      </w:r>
      <w:r w:rsidR="008A185A">
        <w:rPr>
          <w:bCs/>
        </w:rPr>
        <w:t xml:space="preserve"> [</w:t>
      </w:r>
      <w:r w:rsidR="00576939">
        <w:rPr>
          <w:bCs/>
        </w:rPr>
        <w:t>9</w:t>
      </w:r>
      <w:r w:rsidR="00C56BB8">
        <w:rPr>
          <w:bCs/>
        </w:rPr>
        <w:t xml:space="preserve">, </w:t>
      </w:r>
      <w:r w:rsidR="00576939">
        <w:rPr>
          <w:bCs/>
        </w:rPr>
        <w:t>15</w:t>
      </w:r>
      <w:r w:rsidR="008A185A">
        <w:rPr>
          <w:bCs/>
        </w:rPr>
        <w:t>]</w:t>
      </w:r>
      <w:r w:rsidR="00EE2B52">
        <w:rPr>
          <w:bCs/>
        </w:rPr>
        <w:t xml:space="preserve">. </w:t>
      </w:r>
      <w:r w:rsidR="00601526">
        <w:rPr>
          <w:bCs/>
        </w:rPr>
        <w:t>This research will address</w:t>
      </w:r>
      <w:r w:rsidR="002D5D70">
        <w:rPr>
          <w:bCs/>
        </w:rPr>
        <w:t xml:space="preserve"> </w:t>
      </w:r>
      <w:r w:rsidRPr="006F6024">
        <w:rPr>
          <w:bCs/>
        </w:rPr>
        <w:t xml:space="preserve">how </w:t>
      </w:r>
      <w:r w:rsidR="00AF64F0">
        <w:rPr>
          <w:bCs/>
        </w:rPr>
        <w:t xml:space="preserve">the </w:t>
      </w:r>
      <w:r w:rsidRPr="006F6024">
        <w:rPr>
          <w:bCs/>
        </w:rPr>
        <w:t xml:space="preserve">coating alters </w:t>
      </w:r>
      <w:r w:rsidR="00561690">
        <w:rPr>
          <w:bCs/>
        </w:rPr>
        <w:t xml:space="preserve">high-temperature </w:t>
      </w:r>
      <w:r w:rsidRPr="006F6024">
        <w:rPr>
          <w:bCs/>
        </w:rPr>
        <w:t xml:space="preserve">gas-surface </w:t>
      </w:r>
      <w:proofErr w:type="gramStart"/>
      <w:r w:rsidRPr="006F6024">
        <w:rPr>
          <w:bCs/>
        </w:rPr>
        <w:t>interactio</w:t>
      </w:r>
      <w:r w:rsidR="00AF64F0">
        <w:rPr>
          <w:bCs/>
        </w:rPr>
        <w:t>ns</w:t>
      </w:r>
      <w:r w:rsidR="00561690">
        <w:rPr>
          <w:bCs/>
        </w:rPr>
        <w:t>, and</w:t>
      </w:r>
      <w:proofErr w:type="gramEnd"/>
      <w:r w:rsidR="00561690">
        <w:rPr>
          <w:bCs/>
        </w:rPr>
        <w:t xml:space="preserve"> will also </w:t>
      </w:r>
      <w:r w:rsidR="00601526">
        <w:rPr>
          <w:bCs/>
        </w:rPr>
        <w:t xml:space="preserve">attempt to bound the impact of </w:t>
      </w:r>
      <w:r w:rsidR="00561690">
        <w:rPr>
          <w:bCs/>
        </w:rPr>
        <w:t xml:space="preserve">the coating </w:t>
      </w:r>
      <w:r w:rsidR="00601526">
        <w:rPr>
          <w:bCs/>
        </w:rPr>
        <w:t xml:space="preserve">given the uncertainty on the actual amount of </w:t>
      </w:r>
      <w:proofErr w:type="spellStart"/>
      <w:r w:rsidR="002D5D70">
        <w:rPr>
          <w:bCs/>
        </w:rPr>
        <w:t>NuSil</w:t>
      </w:r>
      <w:proofErr w:type="spellEnd"/>
      <w:r w:rsidR="002D5D70">
        <w:rPr>
          <w:bCs/>
        </w:rPr>
        <w:t xml:space="preserve"> </w:t>
      </w:r>
      <w:r w:rsidR="00601526">
        <w:rPr>
          <w:bCs/>
        </w:rPr>
        <w:t xml:space="preserve">sprayed </w:t>
      </w:r>
      <w:r w:rsidR="00561690">
        <w:rPr>
          <w:bCs/>
        </w:rPr>
        <w:t xml:space="preserve">atop the heatshield TC </w:t>
      </w:r>
      <w:r w:rsidR="002D5D70">
        <w:rPr>
          <w:bCs/>
        </w:rPr>
        <w:t>plugs</w:t>
      </w:r>
      <w:r>
        <w:rPr>
          <w:bCs/>
        </w:rPr>
        <w:t>.</w:t>
      </w:r>
    </w:p>
    <w:p w14:paraId="766CF734" w14:textId="27A7F10B" w:rsidR="0051105F" w:rsidRDefault="00AF64F0" w:rsidP="00AF64F0">
      <w:pPr>
        <w:tabs>
          <w:tab w:val="left" w:pos="288"/>
        </w:tabs>
        <w:spacing w:before="240"/>
        <w:outlineLvl w:val="1"/>
        <w:rPr>
          <w:bCs/>
        </w:rPr>
      </w:pPr>
      <w:r>
        <w:rPr>
          <w:bCs/>
        </w:rPr>
        <w:tab/>
        <w:t>For the backshell, the trio of thermal sensors and single pressure measurement may yield further information</w:t>
      </w:r>
      <w:r w:rsidR="0051105F">
        <w:rPr>
          <w:bCs/>
        </w:rPr>
        <w:t xml:space="preserve"> when treated together</w:t>
      </w:r>
      <w:r w:rsidR="00EE2B52">
        <w:rPr>
          <w:bCs/>
        </w:rPr>
        <w:t xml:space="preserve">. </w:t>
      </w:r>
      <w:r w:rsidR="0051105F">
        <w:rPr>
          <w:bCs/>
        </w:rPr>
        <w:t>Simple comparisons can be used to infer more details on heating, for instance between the cold-surface tip heatflux sensor measurements and the hot-wall inverse-estimated heating at adjacent TPS plugs</w:t>
      </w:r>
      <w:r w:rsidR="00EE2B52">
        <w:rPr>
          <w:bCs/>
        </w:rPr>
        <w:t xml:space="preserve">. </w:t>
      </w:r>
      <w:r w:rsidR="009C69D0">
        <w:rPr>
          <w:bCs/>
        </w:rPr>
        <w:t xml:space="preserve">Development is underway as part of the MEDLI2 Deep Dive to apply </w:t>
      </w:r>
      <w:r w:rsidR="0051105F">
        <w:rPr>
          <w:bCs/>
        </w:rPr>
        <w:t xml:space="preserve">Kalman Filters </w:t>
      </w:r>
      <w:r w:rsidR="009C69D0">
        <w:rPr>
          <w:bCs/>
        </w:rPr>
        <w:t xml:space="preserve">techniques to </w:t>
      </w:r>
      <w:r w:rsidR="0051105F">
        <w:rPr>
          <w:bCs/>
        </w:rPr>
        <w:t xml:space="preserve">combine multiple backshell thermal measurements </w:t>
      </w:r>
      <w:proofErr w:type="spellStart"/>
      <w:r w:rsidR="009C69D0">
        <w:rPr>
          <w:bCs/>
        </w:rPr>
        <w:t>foroverall</w:t>
      </w:r>
      <w:proofErr w:type="spellEnd"/>
      <w:r w:rsidR="009C69D0">
        <w:rPr>
          <w:bCs/>
        </w:rPr>
        <w:t xml:space="preserve"> lower-uncertainty </w:t>
      </w:r>
      <w:r w:rsidR="0051105F">
        <w:rPr>
          <w:bCs/>
        </w:rPr>
        <w:t>heating estimates</w:t>
      </w:r>
      <w:r w:rsidR="009C69D0">
        <w:rPr>
          <w:bCs/>
        </w:rPr>
        <w:t xml:space="preserve"> [16]</w:t>
      </w:r>
      <w:r w:rsidR="00EE2B52">
        <w:rPr>
          <w:bCs/>
        </w:rPr>
        <w:t xml:space="preserve">. </w:t>
      </w:r>
      <w:r w:rsidR="0051105F">
        <w:rPr>
          <w:bCs/>
        </w:rPr>
        <w:t>The backshell sensors also picked up RCS thruster firings occurring at ~130</w:t>
      </w:r>
      <w:r w:rsidR="00982E9B">
        <w:rPr>
          <w:bCs/>
        </w:rPr>
        <w:t>-</w:t>
      </w:r>
      <w:r w:rsidR="0051105F">
        <w:rPr>
          <w:bCs/>
        </w:rPr>
        <w:t>150s, which</w:t>
      </w:r>
      <w:r w:rsidR="00601526">
        <w:rPr>
          <w:bCs/>
        </w:rPr>
        <w:t xml:space="preserve"> will</w:t>
      </w:r>
      <w:r w:rsidR="0051105F">
        <w:rPr>
          <w:bCs/>
        </w:rPr>
        <w:t xml:space="preserve"> provide an opportunity for possible validation of low dissipation time-accurate CFD [</w:t>
      </w:r>
      <w:r w:rsidR="00C56BB8">
        <w:rPr>
          <w:bCs/>
        </w:rPr>
        <w:t>1</w:t>
      </w:r>
      <w:r w:rsidR="009C69D0">
        <w:rPr>
          <w:bCs/>
        </w:rPr>
        <w:t>7</w:t>
      </w:r>
      <w:r w:rsidR="0051105F">
        <w:rPr>
          <w:bCs/>
        </w:rPr>
        <w:t>].</w:t>
      </w:r>
    </w:p>
    <w:p w14:paraId="1BE18350" w14:textId="70D70C9C" w:rsidR="00042EAB" w:rsidRDefault="00434611" w:rsidP="00042EAB">
      <w:pPr>
        <w:tabs>
          <w:tab w:val="left" w:pos="288"/>
        </w:tabs>
        <w:spacing w:before="240"/>
        <w:outlineLvl w:val="1"/>
        <w:rPr>
          <w:bCs/>
        </w:rPr>
      </w:pPr>
      <w:r>
        <w:rPr>
          <w:bCs/>
        </w:rPr>
        <w:tab/>
      </w:r>
      <w:r w:rsidR="009B4CAE">
        <w:rPr>
          <w:bCs/>
        </w:rPr>
        <w:t xml:space="preserve">From a vehicle </w:t>
      </w:r>
      <w:r w:rsidR="0074138E">
        <w:rPr>
          <w:bCs/>
        </w:rPr>
        <w:t xml:space="preserve">design </w:t>
      </w:r>
      <w:r w:rsidR="009B4CAE">
        <w:rPr>
          <w:bCs/>
        </w:rPr>
        <w:t>perspective</w:t>
      </w:r>
      <w:r w:rsidR="0051105F">
        <w:rPr>
          <w:bCs/>
        </w:rPr>
        <w:t xml:space="preserve">, the MEDLI and MEDLI2 data can be </w:t>
      </w:r>
      <w:r w:rsidR="002A1568">
        <w:rPr>
          <w:bCs/>
        </w:rPr>
        <w:t>combined</w:t>
      </w:r>
      <w:r w:rsidR="0051105F">
        <w:rPr>
          <w:bCs/>
        </w:rPr>
        <w:t xml:space="preserve"> to assess performance of the aerodynamic models used in flight mechanics simulations</w:t>
      </w:r>
      <w:r w:rsidR="00EE2B52">
        <w:rPr>
          <w:bCs/>
        </w:rPr>
        <w:t xml:space="preserve">. </w:t>
      </w:r>
      <w:r w:rsidR="0051105F">
        <w:rPr>
          <w:bCs/>
        </w:rPr>
        <w:t>The backshell pressure measurements have already been used for a refined backshell drag contribution model</w:t>
      </w:r>
      <w:r w:rsidR="00EE2B52">
        <w:rPr>
          <w:bCs/>
        </w:rPr>
        <w:t xml:space="preserve">. </w:t>
      </w:r>
      <w:r w:rsidR="0061503E">
        <w:rPr>
          <w:bCs/>
        </w:rPr>
        <w:t>C</w:t>
      </w:r>
      <w:r w:rsidR="00042EAB">
        <w:rPr>
          <w:bCs/>
        </w:rPr>
        <w:t xml:space="preserve">urrent state of the art </w:t>
      </w:r>
      <w:r w:rsidR="0061503E">
        <w:rPr>
          <w:bCs/>
        </w:rPr>
        <w:t xml:space="preserve">aerothermal </w:t>
      </w:r>
      <w:r w:rsidR="00042EAB">
        <w:rPr>
          <w:bCs/>
        </w:rPr>
        <w:t xml:space="preserve">CFD and radiation simulations predict the MEDLI2 </w:t>
      </w:r>
      <w:r w:rsidR="0061503E">
        <w:rPr>
          <w:bCs/>
        </w:rPr>
        <w:t xml:space="preserve">inverse estimated heating </w:t>
      </w:r>
      <w:r w:rsidR="00042EAB" w:rsidRPr="00F33128">
        <w:rPr>
          <w:bCs/>
        </w:rPr>
        <w:t>relative magnitudes well</w:t>
      </w:r>
      <w:r w:rsidR="00042EAB">
        <w:rPr>
          <w:bCs/>
        </w:rPr>
        <w:t xml:space="preserve"> on the forebody and backshell</w:t>
      </w:r>
      <w:r w:rsidR="0061503E">
        <w:rPr>
          <w:bCs/>
        </w:rPr>
        <w:t xml:space="preserve"> [</w:t>
      </w:r>
      <w:r w:rsidR="00C56BB8">
        <w:rPr>
          <w:bCs/>
        </w:rPr>
        <w:t>4, 5</w:t>
      </w:r>
      <w:r w:rsidR="0061503E">
        <w:rPr>
          <w:bCs/>
        </w:rPr>
        <w:t>]</w:t>
      </w:r>
      <w:r w:rsidR="00042EAB">
        <w:rPr>
          <w:bCs/>
        </w:rPr>
        <w:t xml:space="preserve">  This agreement indicates that </w:t>
      </w:r>
      <w:r w:rsidR="0061503E">
        <w:rPr>
          <w:bCs/>
        </w:rPr>
        <w:t xml:space="preserve">aerothermal </w:t>
      </w:r>
      <w:r w:rsidR="00042EAB">
        <w:rPr>
          <w:bCs/>
        </w:rPr>
        <w:t xml:space="preserve">CFD is </w:t>
      </w:r>
      <w:r w:rsidR="00042EAB" w:rsidRPr="00F33128">
        <w:rPr>
          <w:bCs/>
        </w:rPr>
        <w:t>capturing relative heating trends well</w:t>
      </w:r>
      <w:r w:rsidR="0061503E">
        <w:rPr>
          <w:bCs/>
        </w:rPr>
        <w:t xml:space="preserve">, though forebody </w:t>
      </w:r>
      <w:r w:rsidR="00042EAB">
        <w:rPr>
          <w:bCs/>
        </w:rPr>
        <w:t xml:space="preserve">peak heating </w:t>
      </w:r>
      <w:r w:rsidR="00042EAB" w:rsidRPr="00F33128">
        <w:rPr>
          <w:bCs/>
        </w:rPr>
        <w:t xml:space="preserve">magnitudes </w:t>
      </w:r>
      <w:r w:rsidR="0061503E">
        <w:rPr>
          <w:bCs/>
        </w:rPr>
        <w:t xml:space="preserve">sometimes exceed the nominal </w:t>
      </w:r>
      <w:r w:rsidR="00042EAB">
        <w:rPr>
          <w:bCs/>
        </w:rPr>
        <w:t xml:space="preserve">aerothermal </w:t>
      </w:r>
      <w:r w:rsidR="0061503E">
        <w:rPr>
          <w:bCs/>
        </w:rPr>
        <w:t>predictions</w:t>
      </w:r>
      <w:r w:rsidR="00EE2B52">
        <w:rPr>
          <w:bCs/>
        </w:rPr>
        <w:t xml:space="preserve">. </w:t>
      </w:r>
      <w:r w:rsidR="00601526">
        <w:rPr>
          <w:bCs/>
        </w:rPr>
        <w:t xml:space="preserve">This indicates a continued need for aerothermal margins in design and </w:t>
      </w:r>
      <w:r w:rsidR="00A76FC6">
        <w:rPr>
          <w:bCs/>
        </w:rPr>
        <w:t xml:space="preserve">investments in </w:t>
      </w:r>
      <w:r w:rsidR="00601526">
        <w:rPr>
          <w:bCs/>
        </w:rPr>
        <w:t>improved aerothermal and TP</w:t>
      </w:r>
      <w:r w:rsidR="00A76FC6">
        <w:rPr>
          <w:bCs/>
        </w:rPr>
        <w:t>S modeling</w:t>
      </w:r>
      <w:r w:rsidR="00601526">
        <w:rPr>
          <w:bCs/>
        </w:rPr>
        <w:t>.</w:t>
      </w:r>
    </w:p>
    <w:p w14:paraId="31F8BBF8" w14:textId="5A753F6F" w:rsidR="00EC3254" w:rsidRDefault="0051105F" w:rsidP="00434611">
      <w:pPr>
        <w:tabs>
          <w:tab w:val="left" w:pos="288"/>
        </w:tabs>
        <w:spacing w:before="240"/>
        <w:outlineLvl w:val="1"/>
        <w:rPr>
          <w:bCs/>
        </w:rPr>
      </w:pPr>
      <w:r>
        <w:rPr>
          <w:bCs/>
        </w:rPr>
        <w:tab/>
      </w:r>
      <w:r w:rsidR="00434611">
        <w:rPr>
          <w:bCs/>
        </w:rPr>
        <w:t>MEDLI2 data and reconstruction</w:t>
      </w:r>
      <w:r w:rsidR="009B4CAE">
        <w:rPr>
          <w:bCs/>
        </w:rPr>
        <w:t xml:space="preserve"> can be combined </w:t>
      </w:r>
      <w:r w:rsidR="00601526">
        <w:rPr>
          <w:bCs/>
        </w:rPr>
        <w:t>with MSL/</w:t>
      </w:r>
      <w:r w:rsidR="00434611">
        <w:rPr>
          <w:bCs/>
        </w:rPr>
        <w:t>MEDLI</w:t>
      </w:r>
      <w:r w:rsidR="009B4CAE">
        <w:rPr>
          <w:bCs/>
        </w:rPr>
        <w:t xml:space="preserve"> to </w:t>
      </w:r>
      <w:r w:rsidR="00434611">
        <w:rPr>
          <w:bCs/>
        </w:rPr>
        <w:t>support designing to transitional flow environments.</w:t>
      </w:r>
      <w:r w:rsidR="00601526">
        <w:rPr>
          <w:bCs/>
        </w:rPr>
        <w:t xml:space="preserve"> F</w:t>
      </w:r>
      <w:r w:rsidR="00EC3254">
        <w:rPr>
          <w:bCs/>
        </w:rPr>
        <w:t xml:space="preserve">uture </w:t>
      </w:r>
      <w:r w:rsidR="00434611">
        <w:rPr>
          <w:bCs/>
        </w:rPr>
        <w:t xml:space="preserve">M2020-class missions </w:t>
      </w:r>
      <w:r w:rsidR="00601526">
        <w:rPr>
          <w:bCs/>
        </w:rPr>
        <w:t xml:space="preserve">may </w:t>
      </w:r>
      <w:r w:rsidR="00EC3254">
        <w:rPr>
          <w:bCs/>
        </w:rPr>
        <w:t xml:space="preserve">incorporate </w:t>
      </w:r>
      <w:r w:rsidR="00601526">
        <w:rPr>
          <w:bCs/>
        </w:rPr>
        <w:t xml:space="preserve">flight </w:t>
      </w:r>
      <w:r w:rsidR="00EC3254">
        <w:rPr>
          <w:bCs/>
        </w:rPr>
        <w:t xml:space="preserve">transition </w:t>
      </w:r>
      <w:r w:rsidR="00601526">
        <w:rPr>
          <w:bCs/>
        </w:rPr>
        <w:t xml:space="preserve">timing </w:t>
      </w:r>
      <w:r w:rsidR="00EC3254">
        <w:rPr>
          <w:bCs/>
        </w:rPr>
        <w:t>in concer</w:t>
      </w:r>
      <w:r w:rsidR="00601526">
        <w:rPr>
          <w:bCs/>
        </w:rPr>
        <w:t>t</w:t>
      </w:r>
      <w:r w:rsidR="00EC3254">
        <w:rPr>
          <w:bCs/>
        </w:rPr>
        <w:t xml:space="preserve"> with existing transition prediction correlations [</w:t>
      </w:r>
      <w:r w:rsidR="00C56BB8">
        <w:rPr>
          <w:bCs/>
        </w:rPr>
        <w:t>5</w:t>
      </w:r>
      <w:r w:rsidR="00EC3254">
        <w:rPr>
          <w:bCs/>
        </w:rPr>
        <w:t xml:space="preserve">], which may </w:t>
      </w:r>
      <w:r w:rsidR="009B4CAE">
        <w:rPr>
          <w:bCs/>
        </w:rPr>
        <w:t xml:space="preserve">reduce </w:t>
      </w:r>
      <w:r w:rsidR="00434611">
        <w:rPr>
          <w:bCs/>
        </w:rPr>
        <w:t xml:space="preserve">peak design </w:t>
      </w:r>
      <w:proofErr w:type="spellStart"/>
      <w:r w:rsidR="00EC3254">
        <w:rPr>
          <w:bCs/>
        </w:rPr>
        <w:t>heatrates</w:t>
      </w:r>
      <w:proofErr w:type="spellEnd"/>
      <w:r w:rsidR="00EC3254">
        <w:rPr>
          <w:bCs/>
        </w:rPr>
        <w:t xml:space="preserve"> and </w:t>
      </w:r>
      <w:r w:rsidR="00434611">
        <w:rPr>
          <w:bCs/>
        </w:rPr>
        <w:t xml:space="preserve">integrated </w:t>
      </w:r>
      <w:proofErr w:type="spellStart"/>
      <w:r w:rsidR="00434611">
        <w:rPr>
          <w:bCs/>
        </w:rPr>
        <w:t>heatloads</w:t>
      </w:r>
      <w:proofErr w:type="spellEnd"/>
      <w:r w:rsidR="00EE2B52">
        <w:rPr>
          <w:bCs/>
        </w:rPr>
        <w:t xml:space="preserve">. </w:t>
      </w:r>
      <w:r w:rsidR="00EC3254">
        <w:rPr>
          <w:bCs/>
        </w:rPr>
        <w:t>Incorporating transitional environments in vehicle design may also reduce TPS mass or risk</w:t>
      </w:r>
      <w:r w:rsidR="009B4CAE">
        <w:rPr>
          <w:bCs/>
        </w:rPr>
        <w:t xml:space="preserve"> </w:t>
      </w:r>
      <w:r w:rsidR="00EC3254">
        <w:rPr>
          <w:bCs/>
        </w:rPr>
        <w:t xml:space="preserve">if it is combined with a </w:t>
      </w:r>
      <w:r w:rsidR="00434611">
        <w:rPr>
          <w:bCs/>
        </w:rPr>
        <w:t>tailored (non</w:t>
      </w:r>
      <w:r w:rsidR="00EC3254">
        <w:rPr>
          <w:bCs/>
        </w:rPr>
        <w:t>-</w:t>
      </w:r>
      <w:r w:rsidR="00434611">
        <w:rPr>
          <w:bCs/>
        </w:rPr>
        <w:t>uniform</w:t>
      </w:r>
      <w:r w:rsidR="009B4CAE">
        <w:rPr>
          <w:bCs/>
        </w:rPr>
        <w:t>)</w:t>
      </w:r>
      <w:r w:rsidR="00434611">
        <w:rPr>
          <w:bCs/>
        </w:rPr>
        <w:t xml:space="preserve"> thickness</w:t>
      </w:r>
      <w:r w:rsidR="009B4CAE">
        <w:rPr>
          <w:bCs/>
        </w:rPr>
        <w:t xml:space="preserve"> </w:t>
      </w:r>
      <w:r w:rsidR="00434611">
        <w:rPr>
          <w:bCs/>
        </w:rPr>
        <w:t>heatshield.</w:t>
      </w:r>
    </w:p>
    <w:p w14:paraId="0AD3D4FB" w14:textId="77777777" w:rsidR="00434611" w:rsidRDefault="00434611" w:rsidP="00A50084">
      <w:pPr>
        <w:tabs>
          <w:tab w:val="left" w:pos="288"/>
        </w:tabs>
        <w:spacing w:before="240"/>
        <w:outlineLvl w:val="1"/>
        <w:rPr>
          <w:bCs/>
        </w:rPr>
      </w:pPr>
    </w:p>
    <w:p w14:paraId="6056CA1F" w14:textId="0F754BA6" w:rsidR="00A50084" w:rsidRPr="00A50084" w:rsidRDefault="00447A6B" w:rsidP="00811E92">
      <w:pPr>
        <w:keepNext/>
        <w:numPr>
          <w:ilvl w:val="0"/>
          <w:numId w:val="2"/>
        </w:numPr>
        <w:tabs>
          <w:tab w:val="clear" w:pos="360"/>
          <w:tab w:val="num" w:pos="180"/>
        </w:tabs>
        <w:spacing w:before="240" w:after="60"/>
        <w:ind w:left="180" w:hanging="180"/>
        <w:jc w:val="center"/>
        <w:outlineLvl w:val="0"/>
        <w:rPr>
          <w:b/>
          <w:kern w:val="32"/>
          <w:sz w:val="22"/>
        </w:rPr>
      </w:pPr>
      <w:r>
        <w:rPr>
          <w:b/>
          <w:kern w:val="32"/>
          <w:sz w:val="22"/>
        </w:rPr>
        <w:t>Conclusion</w:t>
      </w:r>
    </w:p>
    <w:p w14:paraId="302DCE7E" w14:textId="4C4962A1" w:rsidR="00811E92" w:rsidRDefault="008A185A" w:rsidP="008A185A">
      <w:pPr>
        <w:ind w:firstLine="288"/>
      </w:pPr>
      <w:r>
        <w:t xml:space="preserve">MEDLI2 represented NASA’s most ambitious EDL instrumentation effort at Mars, to provide crucial insights into the EDL performance </w:t>
      </w:r>
      <w:r w:rsidR="00561690">
        <w:t xml:space="preserve">of the </w:t>
      </w:r>
      <w:r>
        <w:t>heaviest Mars lander to date</w:t>
      </w:r>
      <w:r w:rsidR="00EE2B52">
        <w:t xml:space="preserve">. </w:t>
      </w:r>
      <w:r>
        <w:t>T</w:t>
      </w:r>
      <w:r w:rsidR="00434611">
        <w:t>he MEDLI2 sensor suite</w:t>
      </w:r>
      <w:r>
        <w:t xml:space="preserve"> functioned as designed, and </w:t>
      </w:r>
      <w:r>
        <w:lastRenderedPageBreak/>
        <w:t xml:space="preserve">returned valuable information on the </w:t>
      </w:r>
      <w:r w:rsidR="00434611">
        <w:t>entry pressure</w:t>
      </w:r>
      <w:r>
        <w:t>s</w:t>
      </w:r>
      <w:r w:rsidR="00434611">
        <w:t>, temperature</w:t>
      </w:r>
      <w:r>
        <w:t>s</w:t>
      </w:r>
      <w:r w:rsidR="00434611">
        <w:t xml:space="preserve">, heating </w:t>
      </w:r>
      <w:r>
        <w:t>environments, and TPS performance</w:t>
      </w:r>
      <w:r w:rsidR="00EE2B52">
        <w:t xml:space="preserve">. </w:t>
      </w:r>
      <w:r w:rsidR="00434611">
        <w:t>The MEDLI2 flight data enabled detailed trajectory and atmospheric reconstruction [</w:t>
      </w:r>
      <w:r w:rsidR="005E7B70">
        <w:t>3</w:t>
      </w:r>
      <w:r w:rsidR="00434611">
        <w:t>], as well as detailed assessments of the entry TPS [</w:t>
      </w:r>
      <w:r w:rsidR="00C56BB8">
        <w:t>7, 8</w:t>
      </w:r>
      <w:r w:rsidR="00434611">
        <w:t>], and aerothermal [</w:t>
      </w:r>
      <w:r w:rsidR="00C56BB8">
        <w:t>4, 5, 6</w:t>
      </w:r>
      <w:r w:rsidR="00434611">
        <w:t>] environments.</w:t>
      </w:r>
      <w:r w:rsidR="009B4CAE">
        <w:t xml:space="preserve"> </w:t>
      </w:r>
      <w:r w:rsidR="00561690">
        <w:t xml:space="preserve">The MEDLI2 flight data confirmed details of important trends in entry environments, including heatshield pressure distributions and turbulent onset, and backshell radiative heating. </w:t>
      </w:r>
      <w:r w:rsidR="009B4CAE">
        <w:t xml:space="preserve">MEDLI2 has provided an </w:t>
      </w:r>
      <w:r w:rsidR="00811E92">
        <w:t xml:space="preserve">incredibly useful engineering dataset for </w:t>
      </w:r>
      <w:r w:rsidR="009B4CAE">
        <w:t xml:space="preserve">immediate assessment of Mars 2020 </w:t>
      </w:r>
      <w:r w:rsidR="00EC3254">
        <w:t>performance and</w:t>
      </w:r>
      <w:r w:rsidR="009B4CAE">
        <w:t xml:space="preserve"> will be a further resource for improving </w:t>
      </w:r>
      <w:r w:rsidR="00811E92">
        <w:t xml:space="preserve">future EDL </w:t>
      </w:r>
      <w:r w:rsidR="009B4CAE">
        <w:t>missions and modeling</w:t>
      </w:r>
      <w:r w:rsidR="00811E92">
        <w:t>.</w:t>
      </w:r>
    </w:p>
    <w:p w14:paraId="37A195CB" w14:textId="77777777" w:rsidR="0061503E" w:rsidRDefault="0061503E" w:rsidP="009B4CAE">
      <w:pPr>
        <w:ind w:firstLine="288"/>
      </w:pPr>
    </w:p>
    <w:p w14:paraId="7A624736" w14:textId="7648E7B1" w:rsidR="00447A6B" w:rsidRPr="00A50084" w:rsidRDefault="00447A6B" w:rsidP="00447A6B">
      <w:pPr>
        <w:keepNext/>
        <w:numPr>
          <w:ilvl w:val="0"/>
          <w:numId w:val="2"/>
        </w:numPr>
        <w:tabs>
          <w:tab w:val="clear" w:pos="360"/>
          <w:tab w:val="num" w:pos="180"/>
        </w:tabs>
        <w:spacing w:before="240" w:after="60"/>
        <w:ind w:left="180" w:hanging="180"/>
        <w:jc w:val="center"/>
        <w:outlineLvl w:val="0"/>
        <w:rPr>
          <w:b/>
          <w:kern w:val="32"/>
          <w:sz w:val="22"/>
        </w:rPr>
      </w:pPr>
      <w:r>
        <w:rPr>
          <w:b/>
          <w:kern w:val="32"/>
          <w:sz w:val="22"/>
        </w:rPr>
        <w:t>Acknowledgements</w:t>
      </w:r>
    </w:p>
    <w:p w14:paraId="0EB35CEB" w14:textId="7B0D19DF" w:rsidR="00447A6B" w:rsidRPr="00A50084" w:rsidRDefault="00A50084" w:rsidP="00A50084">
      <w:pPr>
        <w:keepNext/>
        <w:spacing w:before="240" w:after="60"/>
        <w:ind w:firstLine="288"/>
        <w:outlineLvl w:val="0"/>
      </w:pPr>
      <w:r>
        <w:t>The authors gratefully acknowledge the effort of the entire MEDLI2 Project team across NASA LaRC, ARC, JPL, and Lockheed Martin</w:t>
      </w:r>
      <w:r w:rsidR="00E07E06">
        <w:t>, and the technicians who fabricated and installed the MEDLI2 flight hardware</w:t>
      </w:r>
      <w:r w:rsidR="00EE2B52">
        <w:t xml:space="preserve">. </w:t>
      </w:r>
      <w:r w:rsidR="00E07E06">
        <w:t xml:space="preserve">The authors appreciate the </w:t>
      </w:r>
      <w:r>
        <w:t>NASA organizations at GCD/STMD, HEOMD, and SMD</w:t>
      </w:r>
      <w:r w:rsidR="00E07E06">
        <w:t xml:space="preserve"> that enabled the MEDLI2 project</w:t>
      </w:r>
      <w:r>
        <w:t>.</w:t>
      </w:r>
    </w:p>
    <w:p w14:paraId="754F3388" w14:textId="77777777" w:rsidR="00447A6B" w:rsidRPr="00447A6B" w:rsidRDefault="00447A6B" w:rsidP="00447A6B"/>
    <w:p w14:paraId="08DA2E39" w14:textId="44B805C4" w:rsidR="00F565BA" w:rsidRDefault="00F565BA" w:rsidP="00A50084">
      <w:pPr>
        <w:keepNext/>
        <w:spacing w:before="240" w:after="60"/>
        <w:ind w:left="180"/>
        <w:jc w:val="center"/>
        <w:outlineLvl w:val="0"/>
        <w:rPr>
          <w:b/>
          <w:kern w:val="32"/>
          <w:sz w:val="22"/>
        </w:rPr>
      </w:pPr>
      <w:r w:rsidRPr="00F565BA">
        <w:rPr>
          <w:b/>
          <w:kern w:val="32"/>
          <w:sz w:val="22"/>
        </w:rPr>
        <w:t>References</w:t>
      </w:r>
    </w:p>
    <w:p w14:paraId="6300376B" w14:textId="77777777" w:rsidR="00F93C96" w:rsidRDefault="00F93C96" w:rsidP="00E97914">
      <w:pPr>
        <w:autoSpaceDE w:val="0"/>
        <w:autoSpaceDN w:val="0"/>
        <w:adjustRightInd w:val="0"/>
        <w:jc w:val="left"/>
      </w:pPr>
    </w:p>
    <w:p w14:paraId="485DC242" w14:textId="2CF58BC8" w:rsidR="00E97914" w:rsidRDefault="00E97914" w:rsidP="00E97914">
      <w:pPr>
        <w:autoSpaceDE w:val="0"/>
        <w:autoSpaceDN w:val="0"/>
        <w:adjustRightInd w:val="0"/>
        <w:jc w:val="left"/>
      </w:pPr>
      <w:r w:rsidRPr="00B17135">
        <w:t xml:space="preserve">[1] Hwang, </w:t>
      </w:r>
      <w:r>
        <w:t>H</w:t>
      </w:r>
      <w:r w:rsidRPr="00B17135">
        <w:t xml:space="preserve">., Bose, D., White, T., Wright, H., Schoenenberger, M., Kuhl, C., Trombetta, D., Santos, J., Oishi, T., Karlgaard, C., Kuhl, C., Mahzari, M., and Pennington, S., “Mars 2020 Entry, Descent and Landing Instrumentation (MEDLI2),” AIAA Paper 2016-3536, AIAA </w:t>
      </w:r>
      <w:proofErr w:type="spellStart"/>
      <w:r w:rsidRPr="00B17135">
        <w:t>Thermophysics</w:t>
      </w:r>
      <w:proofErr w:type="spellEnd"/>
      <w:r w:rsidRPr="00B17135">
        <w:t xml:space="preserve"> Conference, Washington, DC, June 2016. </w:t>
      </w:r>
      <w:hyperlink r:id="rId35" w:history="1">
        <w:r w:rsidRPr="00B17135">
          <w:rPr>
            <w:rStyle w:val="Hyperlink"/>
          </w:rPr>
          <w:t>https://doi.org/10.2514/6.2016-3536</w:t>
        </w:r>
      </w:hyperlink>
    </w:p>
    <w:p w14:paraId="4FF2283B" w14:textId="77777777" w:rsidR="00E97914" w:rsidRDefault="00E97914" w:rsidP="00E97914">
      <w:pPr>
        <w:autoSpaceDE w:val="0"/>
        <w:autoSpaceDN w:val="0"/>
        <w:adjustRightInd w:val="0"/>
        <w:jc w:val="left"/>
      </w:pPr>
    </w:p>
    <w:p w14:paraId="17FE3980" w14:textId="77777777" w:rsidR="00E97914" w:rsidRDefault="00E97914" w:rsidP="00E97914">
      <w:pPr>
        <w:autoSpaceDE w:val="0"/>
        <w:autoSpaceDN w:val="0"/>
        <w:adjustRightInd w:val="0"/>
        <w:jc w:val="left"/>
      </w:pPr>
      <w:r w:rsidRPr="00B17135">
        <w:t>[2] Cheatwood, F. M., Bose, D., Karlgaard, C. D., Kuhl, C. A., Santos, J. A., Wright, M. J., “Mars Science Laboratory (MSL)</w:t>
      </w:r>
      <w:r>
        <w:t xml:space="preserve"> </w:t>
      </w:r>
      <w:r w:rsidRPr="00B17135">
        <w:t>Entry, Descent, and Landing Instrumentation (MEDLI): Complete Flight Data Set,” NASA TM-2014-218533, October 2014.</w:t>
      </w:r>
    </w:p>
    <w:p w14:paraId="5CE18485" w14:textId="40C57082" w:rsidR="000E4DA1" w:rsidRDefault="000E4DA1" w:rsidP="000E4DA1">
      <w:pPr>
        <w:autoSpaceDE w:val="0"/>
        <w:autoSpaceDN w:val="0"/>
        <w:adjustRightInd w:val="0"/>
        <w:jc w:val="left"/>
      </w:pPr>
    </w:p>
    <w:p w14:paraId="28D2C8C2" w14:textId="77777777" w:rsidR="000B7232" w:rsidRDefault="00E97914" w:rsidP="000B7232">
      <w:pPr>
        <w:autoSpaceDE w:val="0"/>
        <w:autoSpaceDN w:val="0"/>
        <w:adjustRightInd w:val="0"/>
        <w:jc w:val="left"/>
      </w:pPr>
      <w:r w:rsidRPr="00B17135">
        <w:t>[3] Karlgaard, C., Schoenenberger, M., Dutta, S., Way, D. “</w:t>
      </w:r>
      <w:r w:rsidR="000B7232">
        <w:t>Mars Entry, Descent, and Landing Instrumentation 2</w:t>
      </w:r>
    </w:p>
    <w:p w14:paraId="6F8EC0F3" w14:textId="171781BA" w:rsidR="00E97914" w:rsidRDefault="000B7232" w:rsidP="000B7232">
      <w:pPr>
        <w:autoSpaceDE w:val="0"/>
        <w:autoSpaceDN w:val="0"/>
        <w:adjustRightInd w:val="0"/>
        <w:jc w:val="left"/>
      </w:pPr>
      <w:r>
        <w:t>Trajectory, Aerodynamics, and Atmosphere Reconstruction</w:t>
      </w:r>
      <w:r w:rsidR="00E97914" w:rsidRPr="00B17135">
        <w:t xml:space="preserve">”, </w:t>
      </w:r>
      <w:r w:rsidR="00E97914">
        <w:t>paper submitted to AIAA SciTech 2022, San Diego.</w:t>
      </w:r>
    </w:p>
    <w:p w14:paraId="7179FA93" w14:textId="528D2BAD" w:rsidR="00E97914" w:rsidRDefault="00E97914" w:rsidP="000E4DA1">
      <w:pPr>
        <w:autoSpaceDE w:val="0"/>
        <w:autoSpaceDN w:val="0"/>
        <w:adjustRightInd w:val="0"/>
        <w:jc w:val="left"/>
      </w:pPr>
    </w:p>
    <w:p w14:paraId="0CD1805D" w14:textId="703CBED1" w:rsidR="00E97914" w:rsidRDefault="00E97914" w:rsidP="00E97914">
      <w:pPr>
        <w:autoSpaceDE w:val="0"/>
        <w:autoSpaceDN w:val="0"/>
        <w:adjustRightInd w:val="0"/>
        <w:jc w:val="left"/>
      </w:pPr>
      <w:r>
        <w:t xml:space="preserve">[4] Edquist, K., Mahzari, M., and Alpert, H., “Mars 2020 Reconstructed Aerothermal Environments and Design Margins”, </w:t>
      </w:r>
      <w:r w:rsidR="00F93C96">
        <w:t>paper submitted to AIAA SciTech 2022, San Diego.</w:t>
      </w:r>
    </w:p>
    <w:p w14:paraId="67B02457" w14:textId="6B6EFD23" w:rsidR="00E97914" w:rsidRDefault="00E97914" w:rsidP="00E97914">
      <w:pPr>
        <w:autoSpaceDE w:val="0"/>
        <w:autoSpaceDN w:val="0"/>
        <w:adjustRightInd w:val="0"/>
        <w:jc w:val="left"/>
      </w:pPr>
    </w:p>
    <w:p w14:paraId="31996F39" w14:textId="050B9FCE" w:rsidR="00E97914" w:rsidRDefault="00E97914" w:rsidP="00E97914">
      <w:pPr>
        <w:autoSpaceDE w:val="0"/>
        <w:autoSpaceDN w:val="0"/>
        <w:adjustRightInd w:val="0"/>
        <w:jc w:val="left"/>
      </w:pPr>
      <w:r>
        <w:t>[5]</w:t>
      </w:r>
      <w:r w:rsidRPr="00FA364C">
        <w:t xml:space="preserve"> </w:t>
      </w:r>
      <w:r>
        <w:t>Tang</w:t>
      </w:r>
      <w:r w:rsidRPr="002866F3">
        <w:t xml:space="preserve">, </w:t>
      </w:r>
      <w:r>
        <w:t>C., Mahzari, M., Prabhu, D., Alpert, H., Cruden, B., “Mars 2020 Entry Inferred Aerothermal Environments”</w:t>
      </w:r>
      <w:r w:rsidRPr="002866F3">
        <w:t xml:space="preserve">, </w:t>
      </w:r>
      <w:r w:rsidR="00F93C96">
        <w:t>paper submitted to AIAA SciTech 2022, San Diego.</w:t>
      </w:r>
    </w:p>
    <w:p w14:paraId="4127CEC3" w14:textId="289C3BA9" w:rsidR="00E97914" w:rsidRDefault="00E97914" w:rsidP="00E97914">
      <w:pPr>
        <w:autoSpaceDE w:val="0"/>
        <w:autoSpaceDN w:val="0"/>
        <w:adjustRightInd w:val="0"/>
        <w:jc w:val="left"/>
      </w:pPr>
    </w:p>
    <w:p w14:paraId="60A5096F" w14:textId="48713A2F" w:rsidR="00E97914" w:rsidRPr="00B17135" w:rsidRDefault="00E97914" w:rsidP="00E97914">
      <w:pPr>
        <w:autoSpaceDE w:val="0"/>
        <w:autoSpaceDN w:val="0"/>
        <w:adjustRightInd w:val="0"/>
        <w:jc w:val="left"/>
      </w:pPr>
      <w:r>
        <w:t>[6]</w:t>
      </w:r>
      <w:r w:rsidRPr="00FA364C">
        <w:t xml:space="preserve"> </w:t>
      </w:r>
      <w:r>
        <w:t>Miller, R., Tang, C., White, T., Cruden, B., “</w:t>
      </w:r>
      <w:r w:rsidRPr="00481165">
        <w:t xml:space="preserve">MEDLI2: MISP Measured </w:t>
      </w:r>
      <w:r>
        <w:t>Backshell</w:t>
      </w:r>
      <w:r w:rsidRPr="00481165">
        <w:t xml:space="preserve"> Aerothermal Environments</w:t>
      </w:r>
      <w:r>
        <w:t>”</w:t>
      </w:r>
      <w:r w:rsidRPr="002866F3">
        <w:t xml:space="preserve">, </w:t>
      </w:r>
      <w:r w:rsidR="00F93C96">
        <w:t>paper submitted to AIAA SciTech 2022, San Diego.</w:t>
      </w:r>
    </w:p>
    <w:p w14:paraId="0322B838" w14:textId="77777777" w:rsidR="00E97914" w:rsidRDefault="00E97914" w:rsidP="00E97914">
      <w:pPr>
        <w:autoSpaceDE w:val="0"/>
        <w:autoSpaceDN w:val="0"/>
        <w:adjustRightInd w:val="0"/>
        <w:jc w:val="left"/>
      </w:pPr>
    </w:p>
    <w:p w14:paraId="6601DE82" w14:textId="3AD1F258" w:rsidR="00E97914" w:rsidRPr="002039E2" w:rsidRDefault="00E97914" w:rsidP="00E97914">
      <w:pPr>
        <w:autoSpaceDE w:val="0"/>
        <w:autoSpaceDN w:val="0"/>
        <w:adjustRightInd w:val="0"/>
        <w:jc w:val="left"/>
      </w:pPr>
      <w:r>
        <w:t>[7]</w:t>
      </w:r>
      <w:r w:rsidRPr="00FA364C">
        <w:t xml:space="preserve"> </w:t>
      </w:r>
      <w:r>
        <w:t>Monk, J., Feldman, J., Mahzari, M., White, T., Prabhu, D., Alpert, H., “</w:t>
      </w:r>
      <w:r w:rsidRPr="00365E76">
        <w:t>MEDLI2: Ablator Models for Flight</w:t>
      </w:r>
      <w:r>
        <w:t>”</w:t>
      </w:r>
      <w:r w:rsidRPr="002866F3">
        <w:t xml:space="preserve">, </w:t>
      </w:r>
      <w:r w:rsidR="00F93C96">
        <w:t>paper submitted to AIAA SciTech 2022, San Diego.</w:t>
      </w:r>
    </w:p>
    <w:p w14:paraId="4E49DFFC" w14:textId="77777777" w:rsidR="00E97914" w:rsidRDefault="00E97914" w:rsidP="00E97914">
      <w:pPr>
        <w:autoSpaceDE w:val="0"/>
        <w:autoSpaceDN w:val="0"/>
        <w:adjustRightInd w:val="0"/>
        <w:jc w:val="left"/>
      </w:pPr>
    </w:p>
    <w:p w14:paraId="773F3ED6" w14:textId="234AE892" w:rsidR="00E97914" w:rsidRDefault="00E97914" w:rsidP="00E97914">
      <w:pPr>
        <w:autoSpaceDE w:val="0"/>
        <w:autoSpaceDN w:val="0"/>
        <w:adjustRightInd w:val="0"/>
        <w:jc w:val="left"/>
      </w:pPr>
      <w:r>
        <w:t>[8]</w:t>
      </w:r>
      <w:r w:rsidRPr="00FA364C">
        <w:t xml:space="preserve"> </w:t>
      </w:r>
      <w:r>
        <w:t>Alpert, H., Saunders, D., Mahzari, M., Monk, J., White, T., “Inverse Estimation of Mars2020 Entry Aeroheating</w:t>
      </w:r>
      <w:r w:rsidR="00F93C96">
        <w:t xml:space="preserve"> </w:t>
      </w:r>
      <w:r>
        <w:t>Environments Using MEDLI2 Flight Data”</w:t>
      </w:r>
      <w:r w:rsidRPr="002866F3">
        <w:t xml:space="preserve">, </w:t>
      </w:r>
      <w:r w:rsidR="00F93C96">
        <w:t>paper submitted to AIAA SciTech 2022, San Diego.</w:t>
      </w:r>
    </w:p>
    <w:p w14:paraId="505A8CDB" w14:textId="0B6D4690" w:rsidR="00E97914" w:rsidRDefault="00E97914" w:rsidP="00E97914">
      <w:pPr>
        <w:autoSpaceDE w:val="0"/>
        <w:autoSpaceDN w:val="0"/>
        <w:adjustRightInd w:val="0"/>
        <w:jc w:val="left"/>
      </w:pPr>
    </w:p>
    <w:p w14:paraId="6C131E85" w14:textId="0BC8F146" w:rsidR="00E97914" w:rsidRDefault="00E97914" w:rsidP="00E97914">
      <w:pPr>
        <w:autoSpaceDE w:val="0"/>
        <w:autoSpaceDN w:val="0"/>
        <w:adjustRightInd w:val="0"/>
        <w:jc w:val="left"/>
      </w:pPr>
      <w:r>
        <w:t xml:space="preserve">[9] </w:t>
      </w:r>
      <w:r w:rsidRPr="002D5D70">
        <w:t>Ventura Diaz</w:t>
      </w:r>
      <w:r>
        <w:t>, P.,</w:t>
      </w:r>
      <w:r w:rsidRPr="002D5D70">
        <w:t xml:space="preserve"> Meurisse</w:t>
      </w:r>
      <w:r>
        <w:t xml:space="preserve">, J., </w:t>
      </w:r>
      <w:r w:rsidRPr="002D5D70">
        <w:t>Brandis</w:t>
      </w:r>
      <w:r>
        <w:t xml:space="preserve"> A. M., </w:t>
      </w:r>
      <w:r w:rsidRPr="002D5D70">
        <w:t>Bessire</w:t>
      </w:r>
      <w:r>
        <w:t xml:space="preserve">, B. K., </w:t>
      </w:r>
      <w:r w:rsidRPr="002D5D70">
        <w:t>Barnhardt</w:t>
      </w:r>
      <w:r>
        <w:t xml:space="preserve">, M., and </w:t>
      </w:r>
      <w:r w:rsidRPr="002D5D70">
        <w:t>Yoon</w:t>
      </w:r>
      <w:r>
        <w:t>, S., “</w:t>
      </w:r>
      <w:r w:rsidRPr="002D5D70">
        <w:t xml:space="preserve">High-Fidelity Simulations of </w:t>
      </w:r>
      <w:proofErr w:type="spellStart"/>
      <w:r w:rsidRPr="002D5D70">
        <w:t>HyMETS</w:t>
      </w:r>
      <w:proofErr w:type="spellEnd"/>
      <w:r w:rsidRPr="002D5D70">
        <w:t xml:space="preserve"> Arc-Jet Flows for PICA-N Modeling</w:t>
      </w:r>
      <w:r>
        <w:t xml:space="preserve">”, </w:t>
      </w:r>
      <w:r w:rsidRPr="002D5D70">
        <w:t>AIAA 2021-1629</w:t>
      </w:r>
      <w:r>
        <w:t>, 2021.</w:t>
      </w:r>
    </w:p>
    <w:p w14:paraId="7A38B20A" w14:textId="09220073" w:rsidR="00E97914" w:rsidRDefault="00E97914" w:rsidP="00E97914">
      <w:pPr>
        <w:autoSpaceDE w:val="0"/>
        <w:autoSpaceDN w:val="0"/>
        <w:adjustRightInd w:val="0"/>
        <w:jc w:val="left"/>
      </w:pPr>
    </w:p>
    <w:p w14:paraId="7B08D3BF" w14:textId="36DCC1CD" w:rsidR="00E97914" w:rsidRDefault="00E97914" w:rsidP="00E97914">
      <w:pPr>
        <w:autoSpaceDE w:val="0"/>
        <w:autoSpaceDN w:val="0"/>
        <w:adjustRightInd w:val="0"/>
        <w:jc w:val="left"/>
      </w:pPr>
      <w:r>
        <w:t xml:space="preserve">[10] </w:t>
      </w:r>
      <w:proofErr w:type="spellStart"/>
      <w:r>
        <w:t>Dyakonov</w:t>
      </w:r>
      <w:proofErr w:type="spellEnd"/>
      <w:r>
        <w:t>, A. A., Schoenenberger, M., and Van Norman, J. W., “Hypersonic and Supersonic Static Aerodynamics of Mars Science Laboratory Entry Vehicle,” AIAA 2012-2999, 2012.</w:t>
      </w:r>
    </w:p>
    <w:p w14:paraId="7877F4F2" w14:textId="1F0F0F1B" w:rsidR="00E97914" w:rsidRDefault="00E97914" w:rsidP="00E97914">
      <w:pPr>
        <w:autoSpaceDE w:val="0"/>
        <w:autoSpaceDN w:val="0"/>
        <w:adjustRightInd w:val="0"/>
        <w:jc w:val="left"/>
      </w:pPr>
    </w:p>
    <w:p w14:paraId="1EC8E80E" w14:textId="4E03B83A" w:rsidR="00E97914" w:rsidRDefault="00E97914" w:rsidP="00E97914">
      <w:pPr>
        <w:autoSpaceDE w:val="0"/>
        <w:autoSpaceDN w:val="0"/>
        <w:adjustRightInd w:val="0"/>
        <w:jc w:val="left"/>
      </w:pPr>
      <w:r>
        <w:t xml:space="preserve">[11] </w:t>
      </w:r>
      <w:r w:rsidRPr="000E4DA1">
        <w:t>Mahzari</w:t>
      </w:r>
      <w:r>
        <w:t>, M.</w:t>
      </w:r>
      <w:r w:rsidRPr="000E4DA1">
        <w:t>, Braun</w:t>
      </w:r>
      <w:r>
        <w:t xml:space="preserve"> R., </w:t>
      </w:r>
      <w:r w:rsidRPr="000E4DA1">
        <w:t>White</w:t>
      </w:r>
      <w:r>
        <w:t xml:space="preserve">, T., </w:t>
      </w:r>
      <w:r w:rsidRPr="000E4DA1">
        <w:t>and Bose</w:t>
      </w:r>
      <w:r>
        <w:t xml:space="preserve">, D. “Inverse Estimation of the Mars Science Laboratory Entry Aeroheating and Heatshield Response”, </w:t>
      </w:r>
      <w:r w:rsidRPr="002039E2">
        <w:rPr>
          <w:i/>
          <w:iCs/>
        </w:rPr>
        <w:t>Journal of Spacecraft and Rockets</w:t>
      </w:r>
      <w:r>
        <w:t xml:space="preserve"> Vol. 52, No. 4, July–August 2015.</w:t>
      </w:r>
    </w:p>
    <w:p w14:paraId="0D434652" w14:textId="68ED71EE" w:rsidR="00E97914" w:rsidRDefault="00E97914" w:rsidP="00E97914">
      <w:pPr>
        <w:autoSpaceDE w:val="0"/>
        <w:autoSpaceDN w:val="0"/>
        <w:adjustRightInd w:val="0"/>
        <w:jc w:val="left"/>
      </w:pPr>
    </w:p>
    <w:p w14:paraId="3C529688" w14:textId="7FBF7257" w:rsidR="00E97914" w:rsidRDefault="00E97914" w:rsidP="00E97914">
      <w:r w:rsidRPr="002039E2">
        <w:t>[</w:t>
      </w:r>
      <w:r>
        <w:t>12</w:t>
      </w:r>
      <w:r w:rsidRPr="002039E2">
        <w:t>]</w:t>
      </w:r>
      <w:r w:rsidRPr="002039E2">
        <w:tab/>
        <w:t xml:space="preserve">Brandis, A.M., Saunders, D.A., Johnston, C.O., Cruden, B.A., and White, T.R., “Radiative Heating on the After-Body of Martian Entry Vehicles,” </w:t>
      </w:r>
      <w:r w:rsidRPr="002039E2">
        <w:rPr>
          <w:i/>
          <w:iCs/>
        </w:rPr>
        <w:t xml:space="preserve">Journal of </w:t>
      </w:r>
      <w:proofErr w:type="spellStart"/>
      <w:r w:rsidRPr="002039E2">
        <w:rPr>
          <w:i/>
          <w:iCs/>
        </w:rPr>
        <w:t>Thermophysics</w:t>
      </w:r>
      <w:proofErr w:type="spellEnd"/>
      <w:r w:rsidRPr="002039E2">
        <w:rPr>
          <w:i/>
          <w:iCs/>
        </w:rPr>
        <w:t xml:space="preserve"> and Heat Transfer</w:t>
      </w:r>
      <w:r w:rsidRPr="002039E2">
        <w:t>, Vol. 34, No. 1, 2020, pp. 66-77.</w:t>
      </w:r>
    </w:p>
    <w:p w14:paraId="25C26913" w14:textId="77777777" w:rsidR="00E97914" w:rsidRPr="002039E2" w:rsidRDefault="00E97914" w:rsidP="00E97914"/>
    <w:p w14:paraId="4833288A" w14:textId="6E927BAC" w:rsidR="00E97914" w:rsidRDefault="00E97914" w:rsidP="00E97914">
      <w:r w:rsidRPr="002039E2">
        <w:t>[</w:t>
      </w:r>
      <w:r>
        <w:t>13</w:t>
      </w:r>
      <w:r w:rsidRPr="002039E2">
        <w:t>]</w:t>
      </w:r>
      <w:r w:rsidRPr="002039E2">
        <w:tab/>
        <w:t xml:space="preserve">Brandis, A.M., White, T.R., Saunders, D.A., Hill, J.P., and Johnston, C.O., “Simulation of the Schiaparelli Entry and Comparison to Aerosciences Flight Data,” </w:t>
      </w:r>
      <w:r w:rsidRPr="002039E2">
        <w:rPr>
          <w:i/>
          <w:iCs/>
        </w:rPr>
        <w:t>Journal of Spacecraft and Rockets</w:t>
      </w:r>
      <w:r w:rsidRPr="002039E2">
        <w:t>, Articles in Advance, 2021.</w:t>
      </w:r>
    </w:p>
    <w:p w14:paraId="3E738AA1" w14:textId="719A144F" w:rsidR="00E97914" w:rsidRDefault="00E97914" w:rsidP="00E97914"/>
    <w:p w14:paraId="5CAAC36A" w14:textId="049F704C" w:rsidR="00E97914" w:rsidRDefault="00E97914" w:rsidP="00E97914">
      <w:pPr>
        <w:autoSpaceDE w:val="0"/>
        <w:autoSpaceDN w:val="0"/>
        <w:adjustRightInd w:val="0"/>
        <w:jc w:val="left"/>
      </w:pPr>
      <w:r>
        <w:t xml:space="preserve">[14] </w:t>
      </w:r>
      <w:proofErr w:type="spellStart"/>
      <w:r>
        <w:t>Omidy</w:t>
      </w:r>
      <w:proofErr w:type="spellEnd"/>
      <w:r>
        <w:t>, et al. “</w:t>
      </w:r>
      <w:r w:rsidRPr="002039E2">
        <w:t>Effects of Water Phase Change on the Material Response of Low-Density Carbon-Phenolic Ablators</w:t>
      </w:r>
      <w:r>
        <w:t xml:space="preserve">”, Journal of </w:t>
      </w:r>
      <w:proofErr w:type="spellStart"/>
      <w:r>
        <w:t>Thermophysics</w:t>
      </w:r>
      <w:proofErr w:type="spellEnd"/>
      <w:r>
        <w:t xml:space="preserve"> and Heat Transfer, Vol. 30, No. 2, April–June 2016.</w:t>
      </w:r>
    </w:p>
    <w:p w14:paraId="47ACD7BD" w14:textId="77777777" w:rsidR="00E97914" w:rsidRDefault="00E97914" w:rsidP="00E97914">
      <w:pPr>
        <w:autoSpaceDE w:val="0"/>
        <w:autoSpaceDN w:val="0"/>
        <w:adjustRightInd w:val="0"/>
        <w:jc w:val="left"/>
      </w:pPr>
    </w:p>
    <w:p w14:paraId="61741B01" w14:textId="73A3BBFE" w:rsidR="00E97914" w:rsidRDefault="00E97914" w:rsidP="00E97914">
      <w:r>
        <w:t xml:space="preserve">[15] Chen, Y., “Thermal Analysis for Phenolic Impregnated Carbon Ablator/CV-1144-0 in Hypersonic Test Environments”, </w:t>
      </w:r>
      <w:r w:rsidRPr="002039E2">
        <w:rPr>
          <w:i/>
          <w:iCs/>
        </w:rPr>
        <w:t>Journal of Spacecraft and Rockets</w:t>
      </w:r>
      <w:r w:rsidRPr="002039E2">
        <w:t>, Articles in Advance, 2021.</w:t>
      </w:r>
    </w:p>
    <w:p w14:paraId="29FDE963" w14:textId="16EA8C11" w:rsidR="00E97914" w:rsidRDefault="00E97914" w:rsidP="00E97914"/>
    <w:p w14:paraId="1ED82FA7" w14:textId="03183DD4" w:rsidR="009C69D0" w:rsidRDefault="009C69D0" w:rsidP="009C69D0">
      <w:pPr>
        <w:autoSpaceDE w:val="0"/>
        <w:autoSpaceDN w:val="0"/>
        <w:adjustRightInd w:val="0"/>
        <w:jc w:val="left"/>
      </w:pPr>
      <w:r>
        <w:t>[16] Karlgaard, C., Stoffel, T., White, T., West, T., “</w:t>
      </w:r>
      <w:r w:rsidRPr="009C69D0">
        <w:t>Data Fusion of In-Flight Aerothermodynamic Heating Measurements Using Kalman Filtering</w:t>
      </w:r>
      <w:r>
        <w:t>”, abstract submitted for AIAA Aviation 2022 conference.</w:t>
      </w:r>
    </w:p>
    <w:p w14:paraId="3F0C374D" w14:textId="77777777" w:rsidR="009C69D0" w:rsidRDefault="009C69D0" w:rsidP="00E97914"/>
    <w:p w14:paraId="1FC334AF" w14:textId="768D8232" w:rsidR="00E97914" w:rsidRDefault="00E97914" w:rsidP="00317F5D">
      <w:pPr>
        <w:autoSpaceDE w:val="0"/>
        <w:autoSpaceDN w:val="0"/>
        <w:adjustRightInd w:val="0"/>
        <w:jc w:val="left"/>
      </w:pPr>
      <w:r>
        <w:t>[1</w:t>
      </w:r>
      <w:r w:rsidR="009C69D0">
        <w:t>7</w:t>
      </w:r>
      <w:r>
        <w:t xml:space="preserve">] </w:t>
      </w:r>
      <w:r w:rsidRPr="0032574C">
        <w:t>Stern</w:t>
      </w:r>
      <w:r>
        <w:t xml:space="preserve">, E., </w:t>
      </w:r>
      <w:r w:rsidRPr="0032574C">
        <w:t>Schwing</w:t>
      </w:r>
      <w:r>
        <w:t xml:space="preserve">, A., </w:t>
      </w:r>
      <w:r w:rsidRPr="0032574C">
        <w:t>Brock</w:t>
      </w:r>
      <w:r>
        <w:t xml:space="preserve">, J. M., and </w:t>
      </w:r>
      <w:r w:rsidRPr="0032574C">
        <w:t>Schoenenberge</w:t>
      </w:r>
      <w:r>
        <w:t>r, M. “</w:t>
      </w:r>
      <w:r w:rsidRPr="0032574C">
        <w:t>Dynamic CFD Simulations of the MEADS II Ballistic Range Test Model</w:t>
      </w:r>
      <w:r>
        <w:t xml:space="preserve">”, </w:t>
      </w:r>
      <w:r w:rsidRPr="0032574C">
        <w:t>AIAA 2016-3243</w:t>
      </w:r>
      <w:r>
        <w:t>, 2016.</w:t>
      </w:r>
    </w:p>
    <w:sectPr w:rsidR="00E97914" w:rsidSect="00594FA6">
      <w:footerReference w:type="even" r:id="rId36"/>
      <w:footerReference w:type="default" r:id="rId37"/>
      <w:type w:val="continuous"/>
      <w:pgSz w:w="12240" w:h="15840"/>
      <w:pgMar w:top="1440" w:right="1440" w:bottom="1440" w:left="1440" w:header="720"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5E1976" w14:textId="77777777" w:rsidR="00496F19" w:rsidRDefault="00496F19">
      <w:r>
        <w:separator/>
      </w:r>
    </w:p>
  </w:endnote>
  <w:endnote w:type="continuationSeparator" w:id="0">
    <w:p w14:paraId="002FD31D" w14:textId="77777777" w:rsidR="00496F19" w:rsidRDefault="00496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1E649" w14:textId="77777777" w:rsidR="00601526" w:rsidRDefault="006015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BC4B2C" w14:textId="77777777" w:rsidR="00601526" w:rsidRDefault="006015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2580995"/>
      <w:docPartObj>
        <w:docPartGallery w:val="Page Numbers (Bottom of Page)"/>
        <w:docPartUnique/>
      </w:docPartObj>
    </w:sdtPr>
    <w:sdtEndPr>
      <w:rPr>
        <w:noProof/>
      </w:rPr>
    </w:sdtEndPr>
    <w:sdtContent>
      <w:p w14:paraId="462D0C5A" w14:textId="2F46E0EC" w:rsidR="00601526" w:rsidRDefault="00601526">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493FB1B6" w14:textId="77777777" w:rsidR="00601526" w:rsidRDefault="006015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C82D5E" w14:textId="77777777" w:rsidR="00496F19" w:rsidRDefault="00496F19">
      <w:r>
        <w:separator/>
      </w:r>
    </w:p>
  </w:footnote>
  <w:footnote w:type="continuationSeparator" w:id="0">
    <w:p w14:paraId="3A585DE4" w14:textId="77777777" w:rsidR="00496F19" w:rsidRDefault="00496F19">
      <w:r>
        <w:continuationSeparator/>
      </w:r>
    </w:p>
  </w:footnote>
  <w:footnote w:id="1">
    <w:p w14:paraId="768A4E0B" w14:textId="77777777" w:rsidR="00601526" w:rsidRDefault="00601526" w:rsidP="005D3817">
      <w:pPr>
        <w:pStyle w:val="FootnoteText"/>
      </w:pPr>
      <w:r>
        <w:rPr>
          <w:rStyle w:val="FootnoteReference"/>
        </w:rPr>
        <w:footnoteRef/>
      </w:r>
      <w:r>
        <w:t xml:space="preserve"> Senior Research Scientist, Entry Systems and Vehicle Development Branch, AIAA member.</w:t>
      </w:r>
    </w:p>
  </w:footnote>
  <w:footnote w:id="2">
    <w:p w14:paraId="7A29F9DD" w14:textId="77777777" w:rsidR="00601526" w:rsidRDefault="00601526" w:rsidP="005D3817">
      <w:r>
        <w:rPr>
          <w:rStyle w:val="FootnoteReference"/>
        </w:rPr>
        <w:footnoteRef/>
      </w:r>
      <w:r>
        <w:t xml:space="preserve"> Aerospace Engineer, Entry Systems and Vehicle Development Branch, AIAA member.</w:t>
      </w:r>
    </w:p>
  </w:footnote>
  <w:footnote w:id="3">
    <w:p w14:paraId="376385ED" w14:textId="77777777" w:rsidR="00601526" w:rsidRDefault="00601526" w:rsidP="005D3817">
      <w:r>
        <w:rPr>
          <w:rStyle w:val="FootnoteReference"/>
        </w:rPr>
        <w:footnoteRef/>
      </w:r>
      <w:r>
        <w:t xml:space="preserve"> Senior Research Scientist, Aerothermodynamics Branch, AIAA member.</w:t>
      </w:r>
    </w:p>
  </w:footnote>
  <w:footnote w:id="4">
    <w:p w14:paraId="0015ABA5" w14:textId="77777777" w:rsidR="00601526" w:rsidRDefault="00601526" w:rsidP="005D3817">
      <w:pPr>
        <w:pStyle w:val="FootnoteText"/>
      </w:pPr>
      <w:r>
        <w:rPr>
          <w:rStyle w:val="FootnoteReference"/>
        </w:rPr>
        <w:footnoteRef/>
      </w:r>
      <w:r>
        <w:t xml:space="preserve"> Aerospace Engineer, Thermal Protection Materials Branch, AIAA member.</w:t>
      </w:r>
    </w:p>
  </w:footnote>
  <w:footnote w:id="5">
    <w:p w14:paraId="29F7E420" w14:textId="27D0383C" w:rsidR="00601526" w:rsidRDefault="00601526" w:rsidP="005D3817">
      <w:pPr>
        <w:pStyle w:val="FootnoteText"/>
      </w:pPr>
      <w:r>
        <w:rPr>
          <w:rStyle w:val="FootnoteReference"/>
        </w:rPr>
        <w:footnoteRef/>
      </w:r>
      <w:r>
        <w:t xml:space="preserve"> </w:t>
      </w:r>
      <w:r w:rsidRPr="009049BD">
        <w:t xml:space="preserve">Supervising </w:t>
      </w:r>
      <w:r>
        <w:t>Engineer, Associate Fellow AIAA.</w:t>
      </w:r>
    </w:p>
  </w:footnote>
  <w:footnote w:id="6">
    <w:p w14:paraId="25F76B01" w14:textId="77777777" w:rsidR="00601526" w:rsidRDefault="00601526" w:rsidP="005D3817">
      <w:pPr>
        <w:pStyle w:val="FootnoteText"/>
      </w:pPr>
      <w:r>
        <w:rPr>
          <w:rStyle w:val="FootnoteReference"/>
        </w:rPr>
        <w:footnoteRef/>
      </w:r>
      <w:r>
        <w:t xml:space="preserve"> </w:t>
      </w:r>
      <w:r w:rsidRPr="009049BD">
        <w:t>Systems Engineer, Entry Systems</w:t>
      </w:r>
      <w:r>
        <w:t xml:space="preserve"> and Vehicle Engineering Branch, AIAA member.</w:t>
      </w:r>
    </w:p>
  </w:footnote>
  <w:footnote w:id="7">
    <w:p w14:paraId="1FD0D4DD" w14:textId="77777777" w:rsidR="00601526" w:rsidRDefault="00601526" w:rsidP="00A66287">
      <w:pPr>
        <w:pStyle w:val="FootnoteText"/>
      </w:pPr>
      <w:r>
        <w:rPr>
          <w:rStyle w:val="FootnoteReference"/>
        </w:rPr>
        <w:footnoteRef/>
      </w:r>
      <w:r>
        <w:t xml:space="preserve"> Aerospace Engineer, Space Technology and Exploration Directorate, AIAA member.</w:t>
      </w:r>
    </w:p>
  </w:footnote>
  <w:footnote w:id="8">
    <w:p w14:paraId="2982F169" w14:textId="77777777" w:rsidR="00601526" w:rsidRDefault="00601526" w:rsidP="00AC3A4B">
      <w:pPr>
        <w:pStyle w:val="FootnoteText"/>
      </w:pPr>
      <w:r>
        <w:rPr>
          <w:rStyle w:val="FootnoteReference"/>
        </w:rPr>
        <w:footnoteRef/>
      </w:r>
      <w:r>
        <w:t xml:space="preserve"> Aerospace Engineer, Atmospheric Flight and Entry Systems Branch, AIAA member.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F3660"/>
    <w:multiLevelType w:val="hybridMultilevel"/>
    <w:tmpl w:val="8C808D6A"/>
    <w:lvl w:ilvl="0" w:tplc="C01C9C94">
      <w:start w:val="1"/>
      <w:numFmt w:val="bullet"/>
      <w:lvlText w:val="•"/>
      <w:lvlJc w:val="left"/>
      <w:pPr>
        <w:tabs>
          <w:tab w:val="num" w:pos="720"/>
        </w:tabs>
        <w:ind w:left="720" w:hanging="360"/>
      </w:pPr>
      <w:rPr>
        <w:rFonts w:ascii="Arial" w:hAnsi="Arial" w:hint="default"/>
      </w:rPr>
    </w:lvl>
    <w:lvl w:ilvl="1" w:tplc="5E0448FC">
      <w:numFmt w:val="bullet"/>
      <w:lvlText w:val="-"/>
      <w:lvlJc w:val="left"/>
      <w:pPr>
        <w:tabs>
          <w:tab w:val="num" w:pos="1440"/>
        </w:tabs>
        <w:ind w:left="1440" w:hanging="360"/>
      </w:pPr>
      <w:rPr>
        <w:rFonts w:ascii="Arial" w:hAnsi="Arial" w:hint="default"/>
      </w:rPr>
    </w:lvl>
    <w:lvl w:ilvl="2" w:tplc="633A3338" w:tentative="1">
      <w:start w:val="1"/>
      <w:numFmt w:val="bullet"/>
      <w:lvlText w:val="•"/>
      <w:lvlJc w:val="left"/>
      <w:pPr>
        <w:tabs>
          <w:tab w:val="num" w:pos="2160"/>
        </w:tabs>
        <w:ind w:left="2160" w:hanging="360"/>
      </w:pPr>
      <w:rPr>
        <w:rFonts w:ascii="Arial" w:hAnsi="Arial" w:hint="default"/>
      </w:rPr>
    </w:lvl>
    <w:lvl w:ilvl="3" w:tplc="56C2C80C" w:tentative="1">
      <w:start w:val="1"/>
      <w:numFmt w:val="bullet"/>
      <w:lvlText w:val="•"/>
      <w:lvlJc w:val="left"/>
      <w:pPr>
        <w:tabs>
          <w:tab w:val="num" w:pos="2880"/>
        </w:tabs>
        <w:ind w:left="2880" w:hanging="360"/>
      </w:pPr>
      <w:rPr>
        <w:rFonts w:ascii="Arial" w:hAnsi="Arial" w:hint="default"/>
      </w:rPr>
    </w:lvl>
    <w:lvl w:ilvl="4" w:tplc="2CBA224C" w:tentative="1">
      <w:start w:val="1"/>
      <w:numFmt w:val="bullet"/>
      <w:lvlText w:val="•"/>
      <w:lvlJc w:val="left"/>
      <w:pPr>
        <w:tabs>
          <w:tab w:val="num" w:pos="3600"/>
        </w:tabs>
        <w:ind w:left="3600" w:hanging="360"/>
      </w:pPr>
      <w:rPr>
        <w:rFonts w:ascii="Arial" w:hAnsi="Arial" w:hint="default"/>
      </w:rPr>
    </w:lvl>
    <w:lvl w:ilvl="5" w:tplc="1986AA20" w:tentative="1">
      <w:start w:val="1"/>
      <w:numFmt w:val="bullet"/>
      <w:lvlText w:val="•"/>
      <w:lvlJc w:val="left"/>
      <w:pPr>
        <w:tabs>
          <w:tab w:val="num" w:pos="4320"/>
        </w:tabs>
        <w:ind w:left="4320" w:hanging="360"/>
      </w:pPr>
      <w:rPr>
        <w:rFonts w:ascii="Arial" w:hAnsi="Arial" w:hint="default"/>
      </w:rPr>
    </w:lvl>
    <w:lvl w:ilvl="6" w:tplc="2D101EDC" w:tentative="1">
      <w:start w:val="1"/>
      <w:numFmt w:val="bullet"/>
      <w:lvlText w:val="•"/>
      <w:lvlJc w:val="left"/>
      <w:pPr>
        <w:tabs>
          <w:tab w:val="num" w:pos="5040"/>
        </w:tabs>
        <w:ind w:left="5040" w:hanging="360"/>
      </w:pPr>
      <w:rPr>
        <w:rFonts w:ascii="Arial" w:hAnsi="Arial" w:hint="default"/>
      </w:rPr>
    </w:lvl>
    <w:lvl w:ilvl="7" w:tplc="66728102" w:tentative="1">
      <w:start w:val="1"/>
      <w:numFmt w:val="bullet"/>
      <w:lvlText w:val="•"/>
      <w:lvlJc w:val="left"/>
      <w:pPr>
        <w:tabs>
          <w:tab w:val="num" w:pos="5760"/>
        </w:tabs>
        <w:ind w:left="5760" w:hanging="360"/>
      </w:pPr>
      <w:rPr>
        <w:rFonts w:ascii="Arial" w:hAnsi="Arial" w:hint="default"/>
      </w:rPr>
    </w:lvl>
    <w:lvl w:ilvl="8" w:tplc="BDB66F9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A54227"/>
    <w:multiLevelType w:val="hybridMultilevel"/>
    <w:tmpl w:val="4E9C4646"/>
    <w:lvl w:ilvl="0" w:tplc="C35C325E">
      <w:start w:val="1"/>
      <w:numFmt w:val="decimal"/>
      <w:pStyle w:val="Heading3"/>
      <w:lvlText w:val="%1."/>
      <w:lvlJc w:val="left"/>
      <w:pPr>
        <w:tabs>
          <w:tab w:val="num" w:pos="648"/>
        </w:tabs>
        <w:ind w:left="576"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263C75"/>
    <w:multiLevelType w:val="hybridMultilevel"/>
    <w:tmpl w:val="4A842EDA"/>
    <w:lvl w:ilvl="0" w:tplc="43E22C5C">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3" w15:restartNumberingAfterBreak="0">
    <w:nsid w:val="13CD4ACF"/>
    <w:multiLevelType w:val="hybridMultilevel"/>
    <w:tmpl w:val="C76AA214"/>
    <w:lvl w:ilvl="0" w:tplc="606803D6">
      <w:start w:val="1"/>
      <w:numFmt w:val="upperLetter"/>
      <w:pStyle w:val="Heading2"/>
      <w:lvlText w:val="%1."/>
      <w:lvlJc w:val="left"/>
      <w:pPr>
        <w:tabs>
          <w:tab w:val="num" w:pos="360"/>
        </w:tabs>
        <w:ind w:left="0" w:firstLine="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BF78B448">
      <w:start w:val="1"/>
      <w:numFmt w:val="decimal"/>
      <w:lvlText w:val="%3."/>
      <w:lvlJc w:val="left"/>
      <w:pPr>
        <w:tabs>
          <w:tab w:val="num" w:pos="648"/>
        </w:tabs>
        <w:ind w:left="288" w:firstLine="0"/>
      </w:pPr>
      <w:rPr>
        <w:rFonts w:hint="default"/>
      </w:rPr>
    </w:lvl>
    <w:lvl w:ilvl="3" w:tplc="F750E7B0">
      <w:start w:val="1"/>
      <w:numFmt w:val="lowerLetter"/>
      <w:lvlText w:val="%4)"/>
      <w:lvlJc w:val="left"/>
      <w:pPr>
        <w:tabs>
          <w:tab w:val="num" w:pos="648"/>
        </w:tabs>
        <w:ind w:left="288" w:firstLine="0"/>
      </w:pPr>
      <w:rPr>
        <w:rFonts w:hint="default"/>
      </w:rPr>
    </w:lvl>
    <w:lvl w:ilvl="4" w:tplc="2EB26C74">
      <w:start w:val="1"/>
      <w:numFmt w:val="lowerLetter"/>
      <w:lvlText w:val="%5."/>
      <w:lvlJc w:val="left"/>
      <w:pPr>
        <w:tabs>
          <w:tab w:val="num" w:pos="648"/>
        </w:tabs>
        <w:ind w:left="288" w:firstLine="0"/>
      </w:pPr>
      <w:rPr>
        <w:rFonts w:hint="default"/>
      </w:rPr>
    </w:lvl>
    <w:lvl w:ilvl="5" w:tplc="79E24208">
      <w:start w:val="1"/>
      <w:numFmt w:val="decimal"/>
      <w:lvlText w:val="%6)"/>
      <w:lvlJc w:val="left"/>
      <w:pPr>
        <w:tabs>
          <w:tab w:val="num" w:pos="720"/>
        </w:tabs>
        <w:ind w:left="720" w:hanging="432"/>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B4F54E7"/>
    <w:multiLevelType w:val="hybridMultilevel"/>
    <w:tmpl w:val="C3E487AA"/>
    <w:lvl w:ilvl="0" w:tplc="3C78074C">
      <w:start w:val="1"/>
      <w:numFmt w:val="decimal"/>
      <w:lvlText w:val="%1)"/>
      <w:lvlJc w:val="left"/>
      <w:pPr>
        <w:tabs>
          <w:tab w:val="num" w:pos="720"/>
        </w:tabs>
        <w:ind w:left="720" w:hanging="432"/>
      </w:pPr>
      <w:rPr>
        <w:rFonts w:hint="default"/>
      </w:rPr>
    </w:lvl>
    <w:lvl w:ilvl="1" w:tplc="04090019" w:tentative="1">
      <w:start w:val="1"/>
      <w:numFmt w:val="lowerLetter"/>
      <w:lvlText w:val="%2."/>
      <w:lvlJc w:val="left"/>
      <w:pPr>
        <w:tabs>
          <w:tab w:val="num" w:pos="5580"/>
        </w:tabs>
        <w:ind w:left="5580" w:hanging="360"/>
      </w:pPr>
    </w:lvl>
    <w:lvl w:ilvl="2" w:tplc="0409001B" w:tentative="1">
      <w:start w:val="1"/>
      <w:numFmt w:val="lowerRoman"/>
      <w:lvlText w:val="%3."/>
      <w:lvlJc w:val="right"/>
      <w:pPr>
        <w:tabs>
          <w:tab w:val="num" w:pos="6300"/>
        </w:tabs>
        <w:ind w:left="6300" w:hanging="180"/>
      </w:pPr>
    </w:lvl>
    <w:lvl w:ilvl="3" w:tplc="0409000F" w:tentative="1">
      <w:start w:val="1"/>
      <w:numFmt w:val="decimal"/>
      <w:lvlText w:val="%4."/>
      <w:lvlJc w:val="left"/>
      <w:pPr>
        <w:tabs>
          <w:tab w:val="num" w:pos="7020"/>
        </w:tabs>
        <w:ind w:left="7020" w:hanging="360"/>
      </w:pPr>
    </w:lvl>
    <w:lvl w:ilvl="4" w:tplc="04090019" w:tentative="1">
      <w:start w:val="1"/>
      <w:numFmt w:val="lowerLetter"/>
      <w:lvlText w:val="%5."/>
      <w:lvlJc w:val="left"/>
      <w:pPr>
        <w:tabs>
          <w:tab w:val="num" w:pos="7740"/>
        </w:tabs>
        <w:ind w:left="7740" w:hanging="360"/>
      </w:pPr>
    </w:lvl>
    <w:lvl w:ilvl="5" w:tplc="0409001B" w:tentative="1">
      <w:start w:val="1"/>
      <w:numFmt w:val="lowerRoman"/>
      <w:lvlText w:val="%6."/>
      <w:lvlJc w:val="right"/>
      <w:pPr>
        <w:tabs>
          <w:tab w:val="num" w:pos="8460"/>
        </w:tabs>
        <w:ind w:left="8460" w:hanging="180"/>
      </w:pPr>
    </w:lvl>
    <w:lvl w:ilvl="6" w:tplc="0409000F" w:tentative="1">
      <w:start w:val="1"/>
      <w:numFmt w:val="decimal"/>
      <w:lvlText w:val="%7."/>
      <w:lvlJc w:val="left"/>
      <w:pPr>
        <w:tabs>
          <w:tab w:val="num" w:pos="9180"/>
        </w:tabs>
        <w:ind w:left="9180" w:hanging="360"/>
      </w:pPr>
    </w:lvl>
    <w:lvl w:ilvl="7" w:tplc="04090019" w:tentative="1">
      <w:start w:val="1"/>
      <w:numFmt w:val="lowerLetter"/>
      <w:lvlText w:val="%8."/>
      <w:lvlJc w:val="left"/>
      <w:pPr>
        <w:tabs>
          <w:tab w:val="num" w:pos="9900"/>
        </w:tabs>
        <w:ind w:left="9900" w:hanging="360"/>
      </w:pPr>
    </w:lvl>
    <w:lvl w:ilvl="8" w:tplc="0409001B" w:tentative="1">
      <w:start w:val="1"/>
      <w:numFmt w:val="lowerRoman"/>
      <w:lvlText w:val="%9."/>
      <w:lvlJc w:val="right"/>
      <w:pPr>
        <w:tabs>
          <w:tab w:val="num" w:pos="10620"/>
        </w:tabs>
        <w:ind w:left="10620" w:hanging="180"/>
      </w:pPr>
    </w:lvl>
  </w:abstractNum>
  <w:abstractNum w:abstractNumId="5" w15:restartNumberingAfterBreak="0">
    <w:nsid w:val="1C24356B"/>
    <w:multiLevelType w:val="hybridMultilevel"/>
    <w:tmpl w:val="5762A6B6"/>
    <w:lvl w:ilvl="0" w:tplc="C0FCD902">
      <w:start w:val="1"/>
      <w:numFmt w:val="bullet"/>
      <w:lvlText w:val=""/>
      <w:lvlJc w:val="left"/>
      <w:pPr>
        <w:tabs>
          <w:tab w:val="num" w:pos="648"/>
        </w:tabs>
        <w:ind w:left="576" w:hanging="288"/>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6" w15:restartNumberingAfterBreak="0">
    <w:nsid w:val="1CF05DF9"/>
    <w:multiLevelType w:val="hybridMultilevel"/>
    <w:tmpl w:val="5762A6B6"/>
    <w:lvl w:ilvl="0" w:tplc="88A8CE80">
      <w:start w:val="1"/>
      <w:numFmt w:val="bullet"/>
      <w:lvlText w:val=""/>
      <w:lvlJc w:val="left"/>
      <w:pPr>
        <w:tabs>
          <w:tab w:val="num" w:pos="648"/>
        </w:tabs>
        <w:ind w:left="288" w:firstLine="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7" w15:restartNumberingAfterBreak="0">
    <w:nsid w:val="2C631C8B"/>
    <w:multiLevelType w:val="hybridMultilevel"/>
    <w:tmpl w:val="CFE66962"/>
    <w:lvl w:ilvl="0" w:tplc="AD4C076A">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FD704F2"/>
    <w:multiLevelType w:val="hybridMultilevel"/>
    <w:tmpl w:val="15BE78DC"/>
    <w:lvl w:ilvl="0" w:tplc="0768AAFC">
      <w:start w:val="1"/>
      <w:numFmt w:val="upperRoman"/>
      <w:pStyle w:val="Heading1"/>
      <w:lvlText w:val="%1."/>
      <w:lvlJc w:val="right"/>
      <w:pPr>
        <w:tabs>
          <w:tab w:val="num" w:pos="360"/>
        </w:tabs>
        <w:ind w:left="0" w:firstLine="0"/>
      </w:pPr>
      <w:rPr>
        <w:rFonts w:ascii="Times New Roman" w:hAnsi="Times New Roman" w:hint="default"/>
      </w:rPr>
    </w:lvl>
    <w:lvl w:ilvl="1" w:tplc="4976073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23A16A1"/>
    <w:multiLevelType w:val="hybridMultilevel"/>
    <w:tmpl w:val="858821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424E1"/>
    <w:multiLevelType w:val="hybridMultilevel"/>
    <w:tmpl w:val="0BA04134"/>
    <w:lvl w:ilvl="0" w:tplc="CC4CFD20">
      <w:start w:val="1"/>
      <w:numFmt w:val="bullet"/>
      <w:lvlText w:val="•"/>
      <w:lvlJc w:val="left"/>
      <w:pPr>
        <w:tabs>
          <w:tab w:val="num" w:pos="648"/>
        </w:tabs>
        <w:ind w:left="648" w:hanging="360"/>
      </w:pPr>
      <w:rPr>
        <w:rFonts w:ascii="Arial" w:hAnsi="Arial" w:hint="default"/>
      </w:rPr>
    </w:lvl>
    <w:lvl w:ilvl="1" w:tplc="39E6B99E">
      <w:numFmt w:val="bullet"/>
      <w:lvlText w:val="-"/>
      <w:lvlJc w:val="left"/>
      <w:pPr>
        <w:tabs>
          <w:tab w:val="num" w:pos="1368"/>
        </w:tabs>
        <w:ind w:left="1368" w:hanging="360"/>
      </w:pPr>
      <w:rPr>
        <w:rFonts w:ascii="Arial" w:hAnsi="Arial" w:hint="default"/>
      </w:rPr>
    </w:lvl>
    <w:lvl w:ilvl="2" w:tplc="7248A6CE" w:tentative="1">
      <w:start w:val="1"/>
      <w:numFmt w:val="bullet"/>
      <w:lvlText w:val="•"/>
      <w:lvlJc w:val="left"/>
      <w:pPr>
        <w:tabs>
          <w:tab w:val="num" w:pos="2088"/>
        </w:tabs>
        <w:ind w:left="2088" w:hanging="360"/>
      </w:pPr>
      <w:rPr>
        <w:rFonts w:ascii="Arial" w:hAnsi="Arial" w:hint="default"/>
      </w:rPr>
    </w:lvl>
    <w:lvl w:ilvl="3" w:tplc="AEB2879C" w:tentative="1">
      <w:start w:val="1"/>
      <w:numFmt w:val="bullet"/>
      <w:lvlText w:val="•"/>
      <w:lvlJc w:val="left"/>
      <w:pPr>
        <w:tabs>
          <w:tab w:val="num" w:pos="2808"/>
        </w:tabs>
        <w:ind w:left="2808" w:hanging="360"/>
      </w:pPr>
      <w:rPr>
        <w:rFonts w:ascii="Arial" w:hAnsi="Arial" w:hint="default"/>
      </w:rPr>
    </w:lvl>
    <w:lvl w:ilvl="4" w:tplc="DCAA17DE" w:tentative="1">
      <w:start w:val="1"/>
      <w:numFmt w:val="bullet"/>
      <w:lvlText w:val="•"/>
      <w:lvlJc w:val="left"/>
      <w:pPr>
        <w:tabs>
          <w:tab w:val="num" w:pos="3528"/>
        </w:tabs>
        <w:ind w:left="3528" w:hanging="360"/>
      </w:pPr>
      <w:rPr>
        <w:rFonts w:ascii="Arial" w:hAnsi="Arial" w:hint="default"/>
      </w:rPr>
    </w:lvl>
    <w:lvl w:ilvl="5" w:tplc="074653A8" w:tentative="1">
      <w:start w:val="1"/>
      <w:numFmt w:val="bullet"/>
      <w:lvlText w:val="•"/>
      <w:lvlJc w:val="left"/>
      <w:pPr>
        <w:tabs>
          <w:tab w:val="num" w:pos="4248"/>
        </w:tabs>
        <w:ind w:left="4248" w:hanging="360"/>
      </w:pPr>
      <w:rPr>
        <w:rFonts w:ascii="Arial" w:hAnsi="Arial" w:hint="default"/>
      </w:rPr>
    </w:lvl>
    <w:lvl w:ilvl="6" w:tplc="DAEE7882" w:tentative="1">
      <w:start w:val="1"/>
      <w:numFmt w:val="bullet"/>
      <w:lvlText w:val="•"/>
      <w:lvlJc w:val="left"/>
      <w:pPr>
        <w:tabs>
          <w:tab w:val="num" w:pos="4968"/>
        </w:tabs>
        <w:ind w:left="4968" w:hanging="360"/>
      </w:pPr>
      <w:rPr>
        <w:rFonts w:ascii="Arial" w:hAnsi="Arial" w:hint="default"/>
      </w:rPr>
    </w:lvl>
    <w:lvl w:ilvl="7" w:tplc="88B04E90" w:tentative="1">
      <w:start w:val="1"/>
      <w:numFmt w:val="bullet"/>
      <w:lvlText w:val="•"/>
      <w:lvlJc w:val="left"/>
      <w:pPr>
        <w:tabs>
          <w:tab w:val="num" w:pos="5688"/>
        </w:tabs>
        <w:ind w:left="5688" w:hanging="360"/>
      </w:pPr>
      <w:rPr>
        <w:rFonts w:ascii="Arial" w:hAnsi="Arial" w:hint="default"/>
      </w:rPr>
    </w:lvl>
    <w:lvl w:ilvl="8" w:tplc="4530CB24" w:tentative="1">
      <w:start w:val="1"/>
      <w:numFmt w:val="bullet"/>
      <w:lvlText w:val="•"/>
      <w:lvlJc w:val="left"/>
      <w:pPr>
        <w:tabs>
          <w:tab w:val="num" w:pos="6408"/>
        </w:tabs>
        <w:ind w:left="6408" w:hanging="360"/>
      </w:pPr>
      <w:rPr>
        <w:rFonts w:ascii="Arial" w:hAnsi="Arial" w:hint="default"/>
      </w:rPr>
    </w:lvl>
  </w:abstractNum>
  <w:abstractNum w:abstractNumId="11" w15:restartNumberingAfterBreak="0">
    <w:nsid w:val="42865185"/>
    <w:multiLevelType w:val="hybridMultilevel"/>
    <w:tmpl w:val="66F893C2"/>
    <w:lvl w:ilvl="0" w:tplc="AB140114">
      <w:start w:val="1"/>
      <w:numFmt w:val="upperLetter"/>
      <w:lvlText w:val="%1."/>
      <w:lvlJc w:val="left"/>
      <w:pPr>
        <w:tabs>
          <w:tab w:val="num" w:pos="360"/>
        </w:tabs>
        <w:ind w:left="0" w:firstLine="0"/>
      </w:pPr>
      <w:rPr>
        <w:rFonts w:ascii="Times New Roman" w:hAnsi="Times New Roman" w:hint="default"/>
      </w:rPr>
    </w:lvl>
    <w:lvl w:ilvl="1" w:tplc="4EB2A9DE">
      <w:start w:val="1"/>
      <w:numFmt w:val="bullet"/>
      <w:lvlText w:val=""/>
      <w:lvlJc w:val="left"/>
      <w:pPr>
        <w:tabs>
          <w:tab w:val="num" w:pos="648"/>
        </w:tabs>
        <w:ind w:left="360" w:hanging="72"/>
      </w:pPr>
      <w:rPr>
        <w:rFonts w:ascii="Symbol" w:hAnsi="Symbol" w:hint="default"/>
      </w:rPr>
    </w:lvl>
    <w:lvl w:ilvl="2" w:tplc="7F1A24CE">
      <w:start w:val="1"/>
      <w:numFmt w:val="decimal"/>
      <w:lvlText w:val="%3."/>
      <w:lvlJc w:val="left"/>
      <w:pPr>
        <w:tabs>
          <w:tab w:val="num" w:pos="648"/>
        </w:tabs>
        <w:ind w:left="360" w:hanging="72"/>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8AC3CC6"/>
    <w:multiLevelType w:val="hybridMultilevel"/>
    <w:tmpl w:val="5762A6B6"/>
    <w:lvl w:ilvl="0" w:tplc="43E22C5C">
      <w:start w:val="1"/>
      <w:numFmt w:val="bullet"/>
      <w:lvlText w:val=""/>
      <w:lvlJc w:val="left"/>
      <w:pPr>
        <w:tabs>
          <w:tab w:val="num" w:pos="936"/>
        </w:tabs>
        <w:ind w:left="576" w:firstLine="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3" w15:restartNumberingAfterBreak="0">
    <w:nsid w:val="565D013B"/>
    <w:multiLevelType w:val="hybridMultilevel"/>
    <w:tmpl w:val="66F893C2"/>
    <w:lvl w:ilvl="0" w:tplc="AB140114">
      <w:start w:val="1"/>
      <w:numFmt w:val="upperLetter"/>
      <w:lvlText w:val="%1."/>
      <w:lvlJc w:val="left"/>
      <w:pPr>
        <w:tabs>
          <w:tab w:val="num" w:pos="360"/>
        </w:tabs>
        <w:ind w:left="0" w:firstLine="0"/>
      </w:pPr>
      <w:rPr>
        <w:rFonts w:ascii="Times New Roman" w:hAnsi="Times New Roman" w:hint="default"/>
      </w:rPr>
    </w:lvl>
    <w:lvl w:ilvl="1" w:tplc="43E22C5C">
      <w:start w:val="1"/>
      <w:numFmt w:val="bullet"/>
      <w:lvlText w:val=""/>
      <w:lvlJc w:val="left"/>
      <w:pPr>
        <w:tabs>
          <w:tab w:val="num" w:pos="648"/>
        </w:tabs>
        <w:ind w:left="288" w:firstLine="0"/>
      </w:pPr>
      <w:rPr>
        <w:rFonts w:ascii="Symbol" w:hAnsi="Symbol" w:hint="default"/>
      </w:rPr>
    </w:lvl>
    <w:lvl w:ilvl="2" w:tplc="7F1A24CE">
      <w:start w:val="1"/>
      <w:numFmt w:val="decimal"/>
      <w:lvlText w:val="%3."/>
      <w:lvlJc w:val="left"/>
      <w:pPr>
        <w:tabs>
          <w:tab w:val="num" w:pos="648"/>
        </w:tabs>
        <w:ind w:left="360" w:hanging="72"/>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160677B"/>
    <w:multiLevelType w:val="hybridMultilevel"/>
    <w:tmpl w:val="E9227B7C"/>
    <w:lvl w:ilvl="0" w:tplc="25221698">
      <w:start w:val="1"/>
      <w:numFmt w:val="decimal"/>
      <w:lvlText w:val="%1)"/>
      <w:lvlJc w:val="left"/>
      <w:pPr>
        <w:tabs>
          <w:tab w:val="num" w:pos="648"/>
        </w:tabs>
        <w:ind w:left="648" w:hanging="36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15" w15:restartNumberingAfterBreak="0">
    <w:nsid w:val="6201068F"/>
    <w:multiLevelType w:val="hybridMultilevel"/>
    <w:tmpl w:val="AB183A2A"/>
    <w:lvl w:ilvl="0" w:tplc="1E9C550C">
      <w:start w:val="1"/>
      <w:numFmt w:val="decimal"/>
      <w:lvlText w:val="%1)"/>
      <w:lvlJc w:val="left"/>
      <w:pPr>
        <w:tabs>
          <w:tab w:val="num" w:pos="720"/>
        </w:tabs>
        <w:ind w:left="720"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3EF1209"/>
    <w:multiLevelType w:val="multilevel"/>
    <w:tmpl w:val="00290409"/>
    <w:lvl w:ilvl="0">
      <w:start w:val="1"/>
      <w:numFmt w:val="decimal"/>
      <w:suff w:val="space"/>
      <w:lvlText w:val="Chapter %1"/>
      <w:lvlJc w:val="left"/>
      <w:pPr>
        <w:ind w:left="0" w:firstLine="0"/>
      </w:pPr>
    </w:lvl>
    <w:lvl w:ilvl="1">
      <w:start w:val="1"/>
      <w:numFmt w:val="decimal"/>
      <w:lvlText w:val="%2)"/>
      <w:lvlJc w:val="left"/>
      <w:pPr>
        <w:tabs>
          <w:tab w:val="num" w:pos="648"/>
        </w:tabs>
        <w:ind w:left="576" w:hanging="288"/>
      </w:pPr>
      <w:rPr>
        <w:rFonts w:hint="default"/>
      </w:rPr>
    </w:lvl>
    <w:lvl w:ilvl="2">
      <w:start w:val="1"/>
      <w:numFmt w:val="none"/>
      <w:suff w:val="nothing"/>
      <w:lvlText w:val="%3."/>
      <w:lvlJc w:val="left"/>
      <w:pPr>
        <w:ind w:left="0" w:firstLine="0"/>
      </w:pPr>
    </w:lvl>
    <w:lvl w:ilvl="3">
      <w:start w:val="1"/>
      <w:numFmt w:val="none"/>
      <w:suff w:val="nothing"/>
      <w:lvlText w:val="%4)"/>
      <w:lvlJc w:val="left"/>
      <w:pPr>
        <w:ind w:left="0" w:firstLine="0"/>
      </w:pPr>
    </w:lvl>
    <w:lvl w:ilvl="4">
      <w:start w:val="1"/>
      <w:numFmt w:val="none"/>
      <w:suff w:val="nothing"/>
      <w:lvlText w:val="(%5)"/>
      <w:lvlJc w:val="left"/>
      <w:pPr>
        <w:ind w:left="0" w:firstLine="0"/>
      </w:pPr>
    </w:lvl>
    <w:lvl w:ilvl="5">
      <w:start w:val="1"/>
      <w:numFmt w:val="none"/>
      <w:suff w:val="nothing"/>
      <w:lvlText w:val="(%6)"/>
      <w:lvlJc w:val="left"/>
      <w:pPr>
        <w:ind w:left="0" w:firstLine="0"/>
      </w:pPr>
    </w:lvl>
    <w:lvl w:ilvl="6">
      <w:start w:val="1"/>
      <w:numFmt w:val="none"/>
      <w:suff w:val="nothing"/>
      <w:lvlText w:val="(%7)"/>
      <w:lvlJc w:val="left"/>
      <w:pPr>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17" w15:restartNumberingAfterBreak="0">
    <w:nsid w:val="689B562C"/>
    <w:multiLevelType w:val="hybridMultilevel"/>
    <w:tmpl w:val="47D086B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19" w15:restartNumberingAfterBreak="0">
    <w:nsid w:val="740F41AC"/>
    <w:multiLevelType w:val="hybridMultilevel"/>
    <w:tmpl w:val="2B54A3C0"/>
    <w:lvl w:ilvl="0" w:tplc="43E22C5C">
      <w:start w:val="1"/>
      <w:numFmt w:val="bullet"/>
      <w:lvlText w:val=""/>
      <w:lvlJc w:val="left"/>
      <w:pPr>
        <w:tabs>
          <w:tab w:val="num" w:pos="936"/>
        </w:tabs>
        <w:ind w:left="576" w:firstLine="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20" w15:restartNumberingAfterBreak="0">
    <w:nsid w:val="79F46323"/>
    <w:multiLevelType w:val="multilevel"/>
    <w:tmpl w:val="ABCAF4A4"/>
    <w:lvl w:ilvl="0">
      <w:start w:val="1"/>
      <w:numFmt w:val="decimal"/>
      <w:lvlText w:val="%1)"/>
      <w:lvlJc w:val="left"/>
      <w:pPr>
        <w:tabs>
          <w:tab w:val="num" w:pos="720"/>
        </w:tabs>
        <w:ind w:left="720" w:hanging="432"/>
      </w:pPr>
      <w:rPr>
        <w:rFonts w:hint="default"/>
      </w:rPr>
    </w:lvl>
    <w:lvl w:ilvl="1">
      <w:start w:val="1"/>
      <w:numFmt w:val="lowerLetter"/>
      <w:lvlText w:val="%2)"/>
      <w:lvlJc w:val="left"/>
      <w:pPr>
        <w:tabs>
          <w:tab w:val="num" w:pos="1296"/>
        </w:tabs>
        <w:ind w:left="1296" w:hanging="360"/>
      </w:pPr>
      <w:rPr>
        <w:rFonts w:hint="default"/>
      </w:rPr>
    </w:lvl>
    <w:lvl w:ilvl="2">
      <w:start w:val="1"/>
      <w:numFmt w:val="lowerRoman"/>
      <w:lvlText w:val="%3)"/>
      <w:lvlJc w:val="left"/>
      <w:pPr>
        <w:tabs>
          <w:tab w:val="num" w:pos="2016"/>
        </w:tabs>
        <w:ind w:left="1656" w:hanging="360"/>
      </w:pPr>
      <w:rPr>
        <w:rFonts w:hint="default"/>
      </w:rPr>
    </w:lvl>
    <w:lvl w:ilvl="3">
      <w:start w:val="1"/>
      <w:numFmt w:val="decimal"/>
      <w:lvlText w:val="(%4)"/>
      <w:lvlJc w:val="left"/>
      <w:pPr>
        <w:tabs>
          <w:tab w:val="num" w:pos="2016"/>
        </w:tabs>
        <w:ind w:left="2016" w:hanging="360"/>
      </w:pPr>
      <w:rPr>
        <w:rFonts w:hint="default"/>
      </w:rPr>
    </w:lvl>
    <w:lvl w:ilvl="4">
      <w:start w:val="1"/>
      <w:numFmt w:val="lowerLetter"/>
      <w:lvlText w:val="(%5)"/>
      <w:lvlJc w:val="left"/>
      <w:pPr>
        <w:tabs>
          <w:tab w:val="num" w:pos="2376"/>
        </w:tabs>
        <w:ind w:left="2376" w:hanging="360"/>
      </w:pPr>
      <w:rPr>
        <w:rFonts w:hint="default"/>
      </w:rPr>
    </w:lvl>
    <w:lvl w:ilvl="5">
      <w:start w:val="1"/>
      <w:numFmt w:val="lowerRoman"/>
      <w:lvlText w:val="(%6)"/>
      <w:lvlJc w:val="left"/>
      <w:pPr>
        <w:tabs>
          <w:tab w:val="num" w:pos="2736"/>
        </w:tabs>
        <w:ind w:left="2736" w:hanging="360"/>
      </w:pPr>
      <w:rPr>
        <w:rFonts w:hint="default"/>
      </w:rPr>
    </w:lvl>
    <w:lvl w:ilvl="6">
      <w:start w:val="1"/>
      <w:numFmt w:val="decimal"/>
      <w:lvlText w:val="%7."/>
      <w:lvlJc w:val="left"/>
      <w:pPr>
        <w:tabs>
          <w:tab w:val="num" w:pos="3096"/>
        </w:tabs>
        <w:ind w:left="3096" w:hanging="360"/>
      </w:pPr>
      <w:rPr>
        <w:rFonts w:hint="default"/>
      </w:rPr>
    </w:lvl>
    <w:lvl w:ilvl="7">
      <w:start w:val="1"/>
      <w:numFmt w:val="lowerLetter"/>
      <w:lvlText w:val="%8."/>
      <w:lvlJc w:val="left"/>
      <w:pPr>
        <w:tabs>
          <w:tab w:val="num" w:pos="3456"/>
        </w:tabs>
        <w:ind w:left="3456" w:hanging="360"/>
      </w:pPr>
      <w:rPr>
        <w:rFonts w:hint="default"/>
      </w:rPr>
    </w:lvl>
    <w:lvl w:ilvl="8">
      <w:start w:val="1"/>
      <w:numFmt w:val="lowerRoman"/>
      <w:lvlText w:val="%9."/>
      <w:lvlJc w:val="left"/>
      <w:pPr>
        <w:tabs>
          <w:tab w:val="num" w:pos="3816"/>
        </w:tabs>
        <w:ind w:left="3816" w:hanging="360"/>
      </w:pPr>
      <w:rPr>
        <w:rFonts w:hint="default"/>
      </w:rPr>
    </w:lvl>
  </w:abstractNum>
  <w:abstractNum w:abstractNumId="21" w15:restartNumberingAfterBreak="0">
    <w:nsid w:val="7ADC0C8B"/>
    <w:multiLevelType w:val="hybridMultilevel"/>
    <w:tmpl w:val="A45CF8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DF316BC"/>
    <w:multiLevelType w:val="hybridMultilevel"/>
    <w:tmpl w:val="5762A6B6"/>
    <w:lvl w:ilvl="0" w:tplc="237E1962">
      <w:start w:val="1"/>
      <w:numFmt w:val="bullet"/>
      <w:lvlText w:val=""/>
      <w:lvlJc w:val="left"/>
      <w:pPr>
        <w:tabs>
          <w:tab w:val="num" w:pos="720"/>
        </w:tabs>
        <w:ind w:left="720" w:hanging="432"/>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23" w15:restartNumberingAfterBreak="0">
    <w:nsid w:val="7F6646F6"/>
    <w:multiLevelType w:val="hybridMultilevel"/>
    <w:tmpl w:val="5762A6B6"/>
    <w:lvl w:ilvl="0" w:tplc="EDBC50CA">
      <w:start w:val="1"/>
      <w:numFmt w:val="bullet"/>
      <w:lvlText w:val=""/>
      <w:lvlJc w:val="left"/>
      <w:pPr>
        <w:tabs>
          <w:tab w:val="num" w:pos="648"/>
        </w:tabs>
        <w:ind w:left="576" w:hanging="288"/>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num w:numId="1">
    <w:abstractNumId w:val="7"/>
  </w:num>
  <w:num w:numId="2">
    <w:abstractNumId w:val="8"/>
  </w:num>
  <w:num w:numId="3">
    <w:abstractNumId w:val="3"/>
  </w:num>
  <w:num w:numId="4">
    <w:abstractNumId w:val="17"/>
  </w:num>
  <w:num w:numId="5">
    <w:abstractNumId w:val="3"/>
    <w:lvlOverride w:ilvl="0">
      <w:startOverride w:val="1"/>
    </w:lvlOverride>
  </w:num>
  <w:num w:numId="6">
    <w:abstractNumId w:val="11"/>
  </w:num>
  <w:num w:numId="7">
    <w:abstractNumId w:val="13"/>
  </w:num>
  <w:num w:numId="8">
    <w:abstractNumId w:val="16"/>
  </w:num>
  <w:num w:numId="9">
    <w:abstractNumId w:val="19"/>
  </w:num>
  <w:num w:numId="10">
    <w:abstractNumId w:val="12"/>
  </w:num>
  <w:num w:numId="11">
    <w:abstractNumId w:val="20"/>
  </w:num>
  <w:num w:numId="12">
    <w:abstractNumId w:val="2"/>
  </w:num>
  <w:num w:numId="13">
    <w:abstractNumId w:val="5"/>
  </w:num>
  <w:num w:numId="14">
    <w:abstractNumId w:val="22"/>
  </w:num>
  <w:num w:numId="15">
    <w:abstractNumId w:val="6"/>
  </w:num>
  <w:num w:numId="16">
    <w:abstractNumId w:val="23"/>
  </w:num>
  <w:num w:numId="17">
    <w:abstractNumId w:val="1"/>
  </w:num>
  <w:num w:numId="18">
    <w:abstractNumId w:val="3"/>
    <w:lvlOverride w:ilvl="0">
      <w:startOverride w:val="1"/>
    </w:lvlOverride>
  </w:num>
  <w:num w:numId="19">
    <w:abstractNumId w:val="3"/>
    <w:lvlOverride w:ilvl="0">
      <w:startOverride w:val="1"/>
    </w:lvlOverride>
  </w:num>
  <w:num w:numId="20">
    <w:abstractNumId w:val="3"/>
  </w:num>
  <w:num w:numId="21">
    <w:abstractNumId w:val="3"/>
    <w:lvlOverride w:ilvl="0">
      <w:startOverride w:val="1"/>
    </w:lvlOverride>
  </w:num>
  <w:num w:numId="22">
    <w:abstractNumId w:val="18"/>
  </w:num>
  <w:num w:numId="23">
    <w:abstractNumId w:val="4"/>
  </w:num>
  <w:num w:numId="24">
    <w:abstractNumId w:val="15"/>
  </w:num>
  <w:num w:numId="25">
    <w:abstractNumId w:val="14"/>
  </w:num>
  <w:num w:numId="26">
    <w:abstractNumId w:val="9"/>
  </w:num>
  <w:num w:numId="27">
    <w:abstractNumId w:val="21"/>
  </w:num>
  <w:num w:numId="28">
    <w:abstractNumId w:val="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8"/>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69B"/>
    <w:rsid w:val="00007726"/>
    <w:rsid w:val="000225B7"/>
    <w:rsid w:val="00023250"/>
    <w:rsid w:val="00024843"/>
    <w:rsid w:val="0003458B"/>
    <w:rsid w:val="00041A73"/>
    <w:rsid w:val="00042901"/>
    <w:rsid w:val="00042EAB"/>
    <w:rsid w:val="00044818"/>
    <w:rsid w:val="00082135"/>
    <w:rsid w:val="000837F5"/>
    <w:rsid w:val="00084623"/>
    <w:rsid w:val="00086AAF"/>
    <w:rsid w:val="00094B0F"/>
    <w:rsid w:val="000A2BBF"/>
    <w:rsid w:val="000A32CD"/>
    <w:rsid w:val="000B7232"/>
    <w:rsid w:val="000C353C"/>
    <w:rsid w:val="000C69B3"/>
    <w:rsid w:val="000C6A87"/>
    <w:rsid w:val="000D19D5"/>
    <w:rsid w:val="000D20AC"/>
    <w:rsid w:val="000E4DA1"/>
    <w:rsid w:val="000E7B82"/>
    <w:rsid w:val="000F2801"/>
    <w:rsid w:val="000F3AC0"/>
    <w:rsid w:val="00113002"/>
    <w:rsid w:val="00123006"/>
    <w:rsid w:val="001230FB"/>
    <w:rsid w:val="001370AA"/>
    <w:rsid w:val="001401DA"/>
    <w:rsid w:val="00143CD2"/>
    <w:rsid w:val="00143EDB"/>
    <w:rsid w:val="00161C32"/>
    <w:rsid w:val="00195030"/>
    <w:rsid w:val="001A5233"/>
    <w:rsid w:val="001A5F6F"/>
    <w:rsid w:val="001B3883"/>
    <w:rsid w:val="001C0B78"/>
    <w:rsid w:val="001C4FD9"/>
    <w:rsid w:val="001D364F"/>
    <w:rsid w:val="001D5690"/>
    <w:rsid w:val="001D6DFF"/>
    <w:rsid w:val="001F56D5"/>
    <w:rsid w:val="002039E2"/>
    <w:rsid w:val="002121E3"/>
    <w:rsid w:val="0021563F"/>
    <w:rsid w:val="002213A3"/>
    <w:rsid w:val="00222E76"/>
    <w:rsid w:val="00223D1F"/>
    <w:rsid w:val="00224C00"/>
    <w:rsid w:val="00231719"/>
    <w:rsid w:val="002550ED"/>
    <w:rsid w:val="00281B7E"/>
    <w:rsid w:val="0029228A"/>
    <w:rsid w:val="002A05C0"/>
    <w:rsid w:val="002A1568"/>
    <w:rsid w:val="002A191D"/>
    <w:rsid w:val="002C5247"/>
    <w:rsid w:val="002D33F7"/>
    <w:rsid w:val="002D5D70"/>
    <w:rsid w:val="002F54F8"/>
    <w:rsid w:val="00312816"/>
    <w:rsid w:val="00314690"/>
    <w:rsid w:val="00317F5D"/>
    <w:rsid w:val="003204C9"/>
    <w:rsid w:val="0032574C"/>
    <w:rsid w:val="00333ED6"/>
    <w:rsid w:val="00334B05"/>
    <w:rsid w:val="00343E05"/>
    <w:rsid w:val="00365E76"/>
    <w:rsid w:val="003752D1"/>
    <w:rsid w:val="003757F0"/>
    <w:rsid w:val="00394877"/>
    <w:rsid w:val="003A3AAD"/>
    <w:rsid w:val="003B076D"/>
    <w:rsid w:val="003B56E2"/>
    <w:rsid w:val="003C01D6"/>
    <w:rsid w:val="003C77F7"/>
    <w:rsid w:val="003D57E7"/>
    <w:rsid w:val="003F167B"/>
    <w:rsid w:val="003F173A"/>
    <w:rsid w:val="003F54C3"/>
    <w:rsid w:val="0040181F"/>
    <w:rsid w:val="00403803"/>
    <w:rsid w:val="00403A5D"/>
    <w:rsid w:val="00411EF9"/>
    <w:rsid w:val="0042549F"/>
    <w:rsid w:val="00427E16"/>
    <w:rsid w:val="00434611"/>
    <w:rsid w:val="00435569"/>
    <w:rsid w:val="0044604D"/>
    <w:rsid w:val="00447A6B"/>
    <w:rsid w:val="004503B7"/>
    <w:rsid w:val="00451A06"/>
    <w:rsid w:val="0046037E"/>
    <w:rsid w:val="00466517"/>
    <w:rsid w:val="00475ED5"/>
    <w:rsid w:val="00481165"/>
    <w:rsid w:val="00481570"/>
    <w:rsid w:val="0048661A"/>
    <w:rsid w:val="00490BF1"/>
    <w:rsid w:val="00493A6F"/>
    <w:rsid w:val="00496F19"/>
    <w:rsid w:val="004C1C92"/>
    <w:rsid w:val="004C23C9"/>
    <w:rsid w:val="004C2947"/>
    <w:rsid w:val="004C5373"/>
    <w:rsid w:val="004D25CC"/>
    <w:rsid w:val="004D4E66"/>
    <w:rsid w:val="004E0666"/>
    <w:rsid w:val="004E06E9"/>
    <w:rsid w:val="004E15B0"/>
    <w:rsid w:val="004F0893"/>
    <w:rsid w:val="004F4D9A"/>
    <w:rsid w:val="0051105F"/>
    <w:rsid w:val="005119F8"/>
    <w:rsid w:val="00513860"/>
    <w:rsid w:val="00516FDA"/>
    <w:rsid w:val="00527B61"/>
    <w:rsid w:val="005319D8"/>
    <w:rsid w:val="00535292"/>
    <w:rsid w:val="00547FDE"/>
    <w:rsid w:val="0055113E"/>
    <w:rsid w:val="0055657E"/>
    <w:rsid w:val="0055797E"/>
    <w:rsid w:val="00561690"/>
    <w:rsid w:val="00564371"/>
    <w:rsid w:val="00576939"/>
    <w:rsid w:val="00586413"/>
    <w:rsid w:val="00591BD0"/>
    <w:rsid w:val="00594FA6"/>
    <w:rsid w:val="00596A21"/>
    <w:rsid w:val="005A21DE"/>
    <w:rsid w:val="005A3C35"/>
    <w:rsid w:val="005A571C"/>
    <w:rsid w:val="005B228A"/>
    <w:rsid w:val="005B5BE2"/>
    <w:rsid w:val="005C0FCD"/>
    <w:rsid w:val="005C34B2"/>
    <w:rsid w:val="005D3817"/>
    <w:rsid w:val="005D7F51"/>
    <w:rsid w:val="005E0B1F"/>
    <w:rsid w:val="005E5648"/>
    <w:rsid w:val="005E64BE"/>
    <w:rsid w:val="005E7B70"/>
    <w:rsid w:val="00600A70"/>
    <w:rsid w:val="00601526"/>
    <w:rsid w:val="0061503E"/>
    <w:rsid w:val="00624F8C"/>
    <w:rsid w:val="00635C7A"/>
    <w:rsid w:val="00642215"/>
    <w:rsid w:val="00642899"/>
    <w:rsid w:val="00643083"/>
    <w:rsid w:val="00643F9E"/>
    <w:rsid w:val="00646CCC"/>
    <w:rsid w:val="00647819"/>
    <w:rsid w:val="0065238C"/>
    <w:rsid w:val="00695C90"/>
    <w:rsid w:val="006B0FDD"/>
    <w:rsid w:val="006B42CE"/>
    <w:rsid w:val="006C335C"/>
    <w:rsid w:val="006E47D9"/>
    <w:rsid w:val="006E7B77"/>
    <w:rsid w:val="006F6024"/>
    <w:rsid w:val="00702BAE"/>
    <w:rsid w:val="00706E41"/>
    <w:rsid w:val="00712CB5"/>
    <w:rsid w:val="007205B5"/>
    <w:rsid w:val="00727F41"/>
    <w:rsid w:val="007378C6"/>
    <w:rsid w:val="0074138E"/>
    <w:rsid w:val="0074265B"/>
    <w:rsid w:val="00743D48"/>
    <w:rsid w:val="00750ED5"/>
    <w:rsid w:val="007626CF"/>
    <w:rsid w:val="00770507"/>
    <w:rsid w:val="00772382"/>
    <w:rsid w:val="00780BC0"/>
    <w:rsid w:val="0078368E"/>
    <w:rsid w:val="00784B44"/>
    <w:rsid w:val="00795FE9"/>
    <w:rsid w:val="007A169B"/>
    <w:rsid w:val="007B5481"/>
    <w:rsid w:val="007B6661"/>
    <w:rsid w:val="007B75D7"/>
    <w:rsid w:val="007C5B35"/>
    <w:rsid w:val="007D469C"/>
    <w:rsid w:val="007F0EAB"/>
    <w:rsid w:val="007F1714"/>
    <w:rsid w:val="007F7477"/>
    <w:rsid w:val="00800DB3"/>
    <w:rsid w:val="0080492E"/>
    <w:rsid w:val="00811E92"/>
    <w:rsid w:val="008144F1"/>
    <w:rsid w:val="008231FD"/>
    <w:rsid w:val="00826986"/>
    <w:rsid w:val="00835AF5"/>
    <w:rsid w:val="008446DD"/>
    <w:rsid w:val="0085165A"/>
    <w:rsid w:val="00864759"/>
    <w:rsid w:val="0086727D"/>
    <w:rsid w:val="00871B1E"/>
    <w:rsid w:val="008827AC"/>
    <w:rsid w:val="008A185A"/>
    <w:rsid w:val="008B21BF"/>
    <w:rsid w:val="008C5B8F"/>
    <w:rsid w:val="008C7D7F"/>
    <w:rsid w:val="008D0A3D"/>
    <w:rsid w:val="00901EA6"/>
    <w:rsid w:val="009049BD"/>
    <w:rsid w:val="0092421F"/>
    <w:rsid w:val="00925F4D"/>
    <w:rsid w:val="0094306D"/>
    <w:rsid w:val="009439C0"/>
    <w:rsid w:val="009445EB"/>
    <w:rsid w:val="0095602A"/>
    <w:rsid w:val="00966F73"/>
    <w:rsid w:val="00981523"/>
    <w:rsid w:val="00982E9B"/>
    <w:rsid w:val="009849A1"/>
    <w:rsid w:val="009A5227"/>
    <w:rsid w:val="009B4CAE"/>
    <w:rsid w:val="009B5C39"/>
    <w:rsid w:val="009C4C35"/>
    <w:rsid w:val="009C69D0"/>
    <w:rsid w:val="009C7A43"/>
    <w:rsid w:val="009E0D9B"/>
    <w:rsid w:val="009E62E1"/>
    <w:rsid w:val="009F2455"/>
    <w:rsid w:val="009F50DA"/>
    <w:rsid w:val="009F5456"/>
    <w:rsid w:val="009F5652"/>
    <w:rsid w:val="00A1533D"/>
    <w:rsid w:val="00A15BFC"/>
    <w:rsid w:val="00A25100"/>
    <w:rsid w:val="00A35AF3"/>
    <w:rsid w:val="00A370B9"/>
    <w:rsid w:val="00A41254"/>
    <w:rsid w:val="00A44C29"/>
    <w:rsid w:val="00A45EC9"/>
    <w:rsid w:val="00A477FE"/>
    <w:rsid w:val="00A50084"/>
    <w:rsid w:val="00A50BFA"/>
    <w:rsid w:val="00A533E5"/>
    <w:rsid w:val="00A53FF9"/>
    <w:rsid w:val="00A61C93"/>
    <w:rsid w:val="00A6317C"/>
    <w:rsid w:val="00A66287"/>
    <w:rsid w:val="00A71665"/>
    <w:rsid w:val="00A764C3"/>
    <w:rsid w:val="00A76712"/>
    <w:rsid w:val="00A76FC6"/>
    <w:rsid w:val="00A8252B"/>
    <w:rsid w:val="00A91A9A"/>
    <w:rsid w:val="00AA1464"/>
    <w:rsid w:val="00AA1C43"/>
    <w:rsid w:val="00AA1E95"/>
    <w:rsid w:val="00AA376D"/>
    <w:rsid w:val="00AA77E8"/>
    <w:rsid w:val="00AC3A4B"/>
    <w:rsid w:val="00AE1536"/>
    <w:rsid w:val="00AE6E5D"/>
    <w:rsid w:val="00AF1AE6"/>
    <w:rsid w:val="00AF1B6C"/>
    <w:rsid w:val="00AF64F0"/>
    <w:rsid w:val="00B01B84"/>
    <w:rsid w:val="00B11FB6"/>
    <w:rsid w:val="00B152C8"/>
    <w:rsid w:val="00B17135"/>
    <w:rsid w:val="00B24EAF"/>
    <w:rsid w:val="00B2764C"/>
    <w:rsid w:val="00B406AD"/>
    <w:rsid w:val="00B636E4"/>
    <w:rsid w:val="00B6396F"/>
    <w:rsid w:val="00B67702"/>
    <w:rsid w:val="00B906D9"/>
    <w:rsid w:val="00BA536E"/>
    <w:rsid w:val="00BA605E"/>
    <w:rsid w:val="00BB3099"/>
    <w:rsid w:val="00BB489F"/>
    <w:rsid w:val="00BB50C5"/>
    <w:rsid w:val="00BC54FD"/>
    <w:rsid w:val="00BF25DE"/>
    <w:rsid w:val="00BF7719"/>
    <w:rsid w:val="00C05933"/>
    <w:rsid w:val="00C06A96"/>
    <w:rsid w:val="00C07544"/>
    <w:rsid w:val="00C147F2"/>
    <w:rsid w:val="00C168CC"/>
    <w:rsid w:val="00C23793"/>
    <w:rsid w:val="00C267CE"/>
    <w:rsid w:val="00C275D2"/>
    <w:rsid w:val="00C37985"/>
    <w:rsid w:val="00C42827"/>
    <w:rsid w:val="00C5260D"/>
    <w:rsid w:val="00C56BB8"/>
    <w:rsid w:val="00C642B5"/>
    <w:rsid w:val="00C643D6"/>
    <w:rsid w:val="00C705BC"/>
    <w:rsid w:val="00C71CE7"/>
    <w:rsid w:val="00C723B9"/>
    <w:rsid w:val="00C81A5C"/>
    <w:rsid w:val="00C85550"/>
    <w:rsid w:val="00C8562D"/>
    <w:rsid w:val="00C86782"/>
    <w:rsid w:val="00C91003"/>
    <w:rsid w:val="00CD6E54"/>
    <w:rsid w:val="00CE0BE9"/>
    <w:rsid w:val="00CF46C1"/>
    <w:rsid w:val="00D110C1"/>
    <w:rsid w:val="00D16AC7"/>
    <w:rsid w:val="00D50DDD"/>
    <w:rsid w:val="00D748B3"/>
    <w:rsid w:val="00D83F9A"/>
    <w:rsid w:val="00D97DB6"/>
    <w:rsid w:val="00DC665C"/>
    <w:rsid w:val="00DD0B90"/>
    <w:rsid w:val="00DD0C2D"/>
    <w:rsid w:val="00DD66A4"/>
    <w:rsid w:val="00DE1740"/>
    <w:rsid w:val="00DE335E"/>
    <w:rsid w:val="00DE74DB"/>
    <w:rsid w:val="00E01E43"/>
    <w:rsid w:val="00E07E06"/>
    <w:rsid w:val="00E173F6"/>
    <w:rsid w:val="00E20BB1"/>
    <w:rsid w:val="00E21209"/>
    <w:rsid w:val="00E22AD6"/>
    <w:rsid w:val="00E47C85"/>
    <w:rsid w:val="00E51300"/>
    <w:rsid w:val="00E53464"/>
    <w:rsid w:val="00E57EFF"/>
    <w:rsid w:val="00E60677"/>
    <w:rsid w:val="00E7399D"/>
    <w:rsid w:val="00E80FD2"/>
    <w:rsid w:val="00E967B0"/>
    <w:rsid w:val="00E97914"/>
    <w:rsid w:val="00EA3541"/>
    <w:rsid w:val="00EA4D09"/>
    <w:rsid w:val="00EB1693"/>
    <w:rsid w:val="00EC3254"/>
    <w:rsid w:val="00EC547E"/>
    <w:rsid w:val="00ED0E7D"/>
    <w:rsid w:val="00ED5704"/>
    <w:rsid w:val="00ED5E7B"/>
    <w:rsid w:val="00ED621C"/>
    <w:rsid w:val="00EE2B52"/>
    <w:rsid w:val="00EE7BA6"/>
    <w:rsid w:val="00EF028F"/>
    <w:rsid w:val="00EF6630"/>
    <w:rsid w:val="00EF6D54"/>
    <w:rsid w:val="00EF75E1"/>
    <w:rsid w:val="00F02E4F"/>
    <w:rsid w:val="00F16967"/>
    <w:rsid w:val="00F22F05"/>
    <w:rsid w:val="00F3003A"/>
    <w:rsid w:val="00F33128"/>
    <w:rsid w:val="00F35C40"/>
    <w:rsid w:val="00F403F9"/>
    <w:rsid w:val="00F565BA"/>
    <w:rsid w:val="00F60269"/>
    <w:rsid w:val="00F61B19"/>
    <w:rsid w:val="00F67C97"/>
    <w:rsid w:val="00F922CF"/>
    <w:rsid w:val="00F93C96"/>
    <w:rsid w:val="00FA1D8C"/>
    <w:rsid w:val="00FA35E7"/>
    <w:rsid w:val="00FA364C"/>
    <w:rsid w:val="00FA629E"/>
    <w:rsid w:val="00FB5646"/>
    <w:rsid w:val="00FC3917"/>
    <w:rsid w:val="00FC5B09"/>
    <w:rsid w:val="00FC5BB6"/>
    <w:rsid w:val="00FC674E"/>
    <w:rsid w:val="00FD303F"/>
    <w:rsid w:val="00FD71C3"/>
    <w:rsid w:val="00FE76F8"/>
    <w:rsid w:val="00FF2C45"/>
    <w:rsid w:val="00FF3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o:shapedefaults>
    <o:shapelayout v:ext="edit">
      <o:idmap v:ext="edit" data="1"/>
    </o:shapelayout>
  </w:shapeDefaults>
  <w:doNotEmbedSmartTags/>
  <w:decimalSymbol w:val="."/>
  <w:listSeparator w:val=","/>
  <w14:docId w14:val="71745B3A"/>
  <w15:chartTrackingRefBased/>
  <w15:docId w15:val="{3C7D29FD-C07F-CC47-8544-DD41C4038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E92"/>
    <w:pPr>
      <w:contextualSpacing/>
      <w:jc w:val="both"/>
    </w:pPr>
  </w:style>
  <w:style w:type="paragraph" w:styleId="Heading1">
    <w:name w:val="heading 1"/>
    <w:basedOn w:val="Normal"/>
    <w:next w:val="Text"/>
    <w:qFormat/>
    <w:rsid w:val="00AE1536"/>
    <w:pPr>
      <w:keepNext/>
      <w:numPr>
        <w:numId w:val="2"/>
      </w:numPr>
      <w:tabs>
        <w:tab w:val="clear" w:pos="360"/>
        <w:tab w:val="num" w:pos="288"/>
      </w:tabs>
      <w:spacing w:before="240" w:after="240"/>
      <w:jc w:val="center"/>
      <w:outlineLvl w:val="0"/>
    </w:pPr>
    <w:rPr>
      <w:b/>
      <w:kern w:val="32"/>
      <w:sz w:val="22"/>
    </w:rPr>
  </w:style>
  <w:style w:type="paragraph" w:styleId="Heading2">
    <w:name w:val="heading 2"/>
    <w:basedOn w:val="Normal"/>
    <w:next w:val="Text"/>
    <w:qFormat/>
    <w:pPr>
      <w:numPr>
        <w:numId w:val="20"/>
      </w:numPr>
      <w:tabs>
        <w:tab w:val="left" w:pos="288"/>
      </w:tabs>
      <w:spacing w:before="240"/>
      <w:outlineLvl w:val="1"/>
    </w:pPr>
    <w:rPr>
      <w:b/>
    </w:rPr>
  </w:style>
  <w:style w:type="paragraph" w:styleId="Heading3">
    <w:name w:val="heading 3"/>
    <w:basedOn w:val="Normal"/>
    <w:next w:val="Text"/>
    <w:qFormat/>
    <w:pPr>
      <w:keepNext/>
      <w:numPr>
        <w:numId w:val="17"/>
      </w:numPr>
      <w:tabs>
        <w:tab w:val="clear" w:pos="648"/>
        <w:tab w:val="left" w:pos="288"/>
      </w:tabs>
      <w:ind w:left="0" w:firstLine="0"/>
      <w:outlineLvl w:val="2"/>
    </w:pPr>
    <w:rPr>
      <w:i/>
    </w:rPr>
  </w:style>
  <w:style w:type="paragraph" w:styleId="Heading4">
    <w:name w:val="heading 4"/>
    <w:basedOn w:val="Normal"/>
    <w:next w:val="Normal"/>
    <w:qFormat/>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autoSpaceDE w:val="0"/>
      <w:autoSpaceDN w:val="0"/>
    </w:pPr>
  </w:style>
  <w:style w:type="paragraph" w:styleId="Title">
    <w:name w:val="Title"/>
    <w:basedOn w:val="Normal"/>
    <w:next w:val="AuthorNames"/>
    <w:qFormat/>
    <w:pPr>
      <w:spacing w:after="480"/>
      <w:jc w:val="center"/>
      <w:outlineLvl w:val="0"/>
    </w:pPr>
    <w:rPr>
      <w:b/>
      <w:kern w:val="28"/>
      <w:sz w:val="36"/>
    </w:rPr>
  </w:style>
  <w:style w:type="paragraph" w:customStyle="1" w:styleId="AuthorNames">
    <w:name w:val="Author Names"/>
    <w:basedOn w:val="Normal"/>
    <w:next w:val="AuthorAffiliations"/>
    <w:pPr>
      <w:jc w:val="center"/>
    </w:pPr>
  </w:style>
  <w:style w:type="paragraph" w:customStyle="1" w:styleId="Abstract">
    <w:name w:val="Abstract"/>
    <w:basedOn w:val="Normal"/>
    <w:next w:val="Heading1"/>
    <w:pPr>
      <w:spacing w:before="480" w:after="480"/>
      <w:ind w:left="720" w:right="720" w:firstLine="288"/>
    </w:pPr>
    <w:rPr>
      <w:b/>
    </w:rPr>
  </w:style>
  <w:style w:type="character" w:styleId="FootnoteReference">
    <w:name w:val="footnote reference"/>
    <w:rPr>
      <w:sz w:val="20"/>
      <w:vertAlign w:val="superscript"/>
    </w:rPr>
  </w:style>
  <w:style w:type="paragraph" w:customStyle="1" w:styleId="Nomenclature">
    <w:name w:val="Nomenclature"/>
    <w:basedOn w:val="Normal"/>
    <w:pPr>
      <w:widowControl w:val="0"/>
      <w:tabs>
        <w:tab w:val="left" w:pos="864"/>
        <w:tab w:val="left" w:pos="1152"/>
      </w:tabs>
    </w:pPr>
  </w:style>
  <w:style w:type="paragraph" w:customStyle="1" w:styleId="AuthorAffiliations">
    <w:name w:val="Author Affiliations"/>
    <w:basedOn w:val="Normal"/>
    <w:next w:val="AuthorNames"/>
    <w:pPr>
      <w:spacing w:after="240"/>
      <w:jc w:val="center"/>
    </w:pPr>
    <w:rPr>
      <w:i/>
    </w:rPr>
  </w:style>
  <w:style w:type="character" w:styleId="Hyperlink">
    <w:name w:val="Hyperlink"/>
    <w:rPr>
      <w:rFonts w:ascii="Times New Roman" w:hAnsi="Times New Roman"/>
      <w:color w:val="auto"/>
      <w:sz w:val="20"/>
      <w:u w:val="single"/>
    </w:rPr>
  </w:style>
  <w:style w:type="paragraph" w:customStyle="1" w:styleId="Text">
    <w:name w:val="Text"/>
    <w:basedOn w:val="Normal"/>
    <w:rsid w:val="0067476A"/>
    <w:pPr>
      <w:tabs>
        <w:tab w:val="left" w:pos="288"/>
      </w:tabs>
      <w:spacing w:line="480" w:lineRule="auto"/>
      <w:ind w:firstLine="288"/>
    </w:pPr>
  </w:style>
  <w:style w:type="paragraph" w:customStyle="1" w:styleId="Equation">
    <w:name w:val="Equation"/>
    <w:basedOn w:val="Normal"/>
    <w:next w:val="Text"/>
    <w:autoRedefine/>
    <w:pPr>
      <w:tabs>
        <w:tab w:val="center" w:pos="4680"/>
        <w:tab w:val="right" w:pos="9360"/>
      </w:tabs>
      <w:spacing w:before="240" w:after="240"/>
    </w:pPr>
  </w:style>
  <w:style w:type="paragraph" w:customStyle="1" w:styleId="BibliographicalReferenceNumbers">
    <w:name w:val="Bibliographical Reference Numbers"/>
    <w:basedOn w:val="Normal"/>
    <w:next w:val="Text"/>
    <w:rPr>
      <w:vertAlign w:val="superscript"/>
    </w:rPr>
  </w:style>
  <w:style w:type="paragraph" w:customStyle="1" w:styleId="Figure">
    <w:name w:val="Figure"/>
    <w:basedOn w:val="Normal"/>
    <w:next w:val="Text"/>
    <w:pPr>
      <w:framePr w:hSpace="187" w:vSpace="187" w:wrap="around" w:vAnchor="text" w:hAnchor="text" w:y="1"/>
      <w:jc w:val="center"/>
    </w:pPr>
    <w:rPr>
      <w:b/>
    </w:rPr>
  </w:style>
  <w:style w:type="paragraph" w:customStyle="1" w:styleId="References">
    <w:name w:val="References"/>
    <w:basedOn w:val="Normal"/>
    <w:pPr>
      <w:ind w:firstLine="288"/>
    </w:pPr>
    <w:rPr>
      <w:sz w:val="18"/>
    </w:rPr>
  </w:style>
  <w:style w:type="paragraph" w:styleId="FootnoteText">
    <w:name w:val="footnote text"/>
    <w:basedOn w:val="Normal"/>
  </w:style>
  <w:style w:type="paragraph" w:customStyle="1" w:styleId="Footnote">
    <w:name w:val="Footnote"/>
    <w:basedOn w:val="Normal"/>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FollowedHyperlink">
    <w:name w:val="FollowedHyperlink"/>
    <w:rPr>
      <w:color w:val="800080"/>
      <w:u w:val="single"/>
    </w:rPr>
  </w:style>
  <w:style w:type="paragraph" w:styleId="Caption">
    <w:name w:val="caption"/>
    <w:basedOn w:val="Normal"/>
    <w:next w:val="Normal"/>
    <w:qFormat/>
    <w:rsid w:val="00FA1D8C"/>
    <w:pPr>
      <w:spacing w:before="120" w:after="120"/>
      <w:jc w:val="center"/>
    </w:pPr>
    <w:rPr>
      <w:b/>
    </w:rPr>
  </w:style>
  <w:style w:type="paragraph" w:customStyle="1" w:styleId="StyleAbstractLinespacingDouble">
    <w:name w:val="Style Abstract + Line spacing:  Double"/>
    <w:basedOn w:val="Abstract"/>
    <w:rsid w:val="00224C00"/>
    <w:pPr>
      <w:spacing w:before="240" w:after="240" w:line="480" w:lineRule="auto"/>
    </w:pPr>
    <w:rPr>
      <w:bCs/>
    </w:rPr>
  </w:style>
  <w:style w:type="paragraph" w:customStyle="1" w:styleId="StyleAbstractLinespacingDouble1">
    <w:name w:val="Style Abstract + Line spacing:  Double1"/>
    <w:basedOn w:val="Abstract"/>
    <w:rsid w:val="00224C00"/>
    <w:pPr>
      <w:spacing w:line="480" w:lineRule="auto"/>
    </w:pPr>
    <w:rPr>
      <w:bCs/>
    </w:rPr>
  </w:style>
  <w:style w:type="paragraph" w:styleId="BalloonText">
    <w:name w:val="Balloon Text"/>
    <w:basedOn w:val="Normal"/>
    <w:link w:val="BalloonTextChar"/>
    <w:uiPriority w:val="99"/>
    <w:semiHidden/>
    <w:unhideWhenUsed/>
    <w:rsid w:val="002121E3"/>
    <w:rPr>
      <w:rFonts w:ascii="Segoe UI" w:hAnsi="Segoe UI" w:cs="Segoe UI"/>
      <w:sz w:val="18"/>
      <w:szCs w:val="18"/>
    </w:rPr>
  </w:style>
  <w:style w:type="character" w:customStyle="1" w:styleId="BalloonTextChar">
    <w:name w:val="Balloon Text Char"/>
    <w:link w:val="BalloonText"/>
    <w:uiPriority w:val="99"/>
    <w:semiHidden/>
    <w:rsid w:val="002121E3"/>
    <w:rPr>
      <w:rFonts w:ascii="Segoe UI" w:hAnsi="Segoe UI" w:cs="Segoe UI"/>
      <w:sz w:val="18"/>
      <w:szCs w:val="18"/>
    </w:rPr>
  </w:style>
  <w:style w:type="character" w:styleId="CommentReference">
    <w:name w:val="annotation reference"/>
    <w:basedOn w:val="DefaultParagraphFont"/>
    <w:uiPriority w:val="99"/>
    <w:semiHidden/>
    <w:unhideWhenUsed/>
    <w:rsid w:val="00AF1B6C"/>
    <w:rPr>
      <w:sz w:val="16"/>
      <w:szCs w:val="16"/>
    </w:rPr>
  </w:style>
  <w:style w:type="paragraph" w:styleId="CommentText">
    <w:name w:val="annotation text"/>
    <w:basedOn w:val="Normal"/>
    <w:link w:val="CommentTextChar"/>
    <w:uiPriority w:val="99"/>
    <w:semiHidden/>
    <w:unhideWhenUsed/>
    <w:rsid w:val="00AF1B6C"/>
  </w:style>
  <w:style w:type="character" w:customStyle="1" w:styleId="CommentTextChar">
    <w:name w:val="Comment Text Char"/>
    <w:basedOn w:val="DefaultParagraphFont"/>
    <w:link w:val="CommentText"/>
    <w:uiPriority w:val="99"/>
    <w:semiHidden/>
    <w:rsid w:val="00AF1B6C"/>
  </w:style>
  <w:style w:type="paragraph" w:styleId="CommentSubject">
    <w:name w:val="annotation subject"/>
    <w:basedOn w:val="CommentText"/>
    <w:next w:val="CommentText"/>
    <w:link w:val="CommentSubjectChar"/>
    <w:uiPriority w:val="99"/>
    <w:semiHidden/>
    <w:unhideWhenUsed/>
    <w:rsid w:val="00AF1B6C"/>
    <w:rPr>
      <w:b/>
      <w:bCs/>
    </w:rPr>
  </w:style>
  <w:style w:type="character" w:customStyle="1" w:styleId="CommentSubjectChar">
    <w:name w:val="Comment Subject Char"/>
    <w:basedOn w:val="CommentTextChar"/>
    <w:link w:val="CommentSubject"/>
    <w:uiPriority w:val="99"/>
    <w:semiHidden/>
    <w:rsid w:val="00AF1B6C"/>
    <w:rPr>
      <w:b/>
      <w:bCs/>
    </w:rPr>
  </w:style>
  <w:style w:type="paragraph" w:styleId="ListParagraph">
    <w:name w:val="List Paragraph"/>
    <w:basedOn w:val="Normal"/>
    <w:uiPriority w:val="34"/>
    <w:qFormat/>
    <w:rsid w:val="00C71CE7"/>
    <w:pPr>
      <w:ind w:left="720"/>
      <w:jc w:val="left"/>
    </w:pPr>
    <w:rPr>
      <w:rFonts w:ascii="Calibri" w:eastAsiaTheme="minorHAnsi" w:hAnsi="Calibri"/>
      <w:sz w:val="22"/>
      <w:szCs w:val="22"/>
    </w:rPr>
  </w:style>
  <w:style w:type="character" w:customStyle="1" w:styleId="FooterChar">
    <w:name w:val="Footer Char"/>
    <w:basedOn w:val="DefaultParagraphFont"/>
    <w:link w:val="Footer"/>
    <w:uiPriority w:val="99"/>
    <w:rsid w:val="000C353C"/>
  </w:style>
  <w:style w:type="character" w:customStyle="1" w:styleId="UnresolvedMention1">
    <w:name w:val="Unresolved Mention1"/>
    <w:basedOn w:val="DefaultParagraphFont"/>
    <w:uiPriority w:val="99"/>
    <w:semiHidden/>
    <w:unhideWhenUsed/>
    <w:rsid w:val="00A1533D"/>
    <w:rPr>
      <w:color w:val="808080"/>
      <w:shd w:val="clear" w:color="auto" w:fill="E6E6E6"/>
    </w:rPr>
  </w:style>
  <w:style w:type="character" w:customStyle="1" w:styleId="UnresolvedMention2">
    <w:name w:val="Unresolved Mention2"/>
    <w:basedOn w:val="DefaultParagraphFont"/>
    <w:uiPriority w:val="99"/>
    <w:semiHidden/>
    <w:unhideWhenUsed/>
    <w:rsid w:val="001F56D5"/>
    <w:rPr>
      <w:color w:val="605E5C"/>
      <w:shd w:val="clear" w:color="auto" w:fill="E1DFDD"/>
    </w:rPr>
  </w:style>
  <w:style w:type="table" w:styleId="TableGrid">
    <w:name w:val="Table Grid"/>
    <w:basedOn w:val="TableNormal"/>
    <w:uiPriority w:val="39"/>
    <w:rsid w:val="00E967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E967B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D0A3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4C29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841">
      <w:bodyDiv w:val="1"/>
      <w:marLeft w:val="0"/>
      <w:marRight w:val="0"/>
      <w:marTop w:val="0"/>
      <w:marBottom w:val="0"/>
      <w:divBdr>
        <w:top w:val="none" w:sz="0" w:space="0" w:color="auto"/>
        <w:left w:val="none" w:sz="0" w:space="0" w:color="auto"/>
        <w:bottom w:val="none" w:sz="0" w:space="0" w:color="auto"/>
        <w:right w:val="none" w:sz="0" w:space="0" w:color="auto"/>
      </w:divBdr>
      <w:divsChild>
        <w:div w:id="1337999119">
          <w:marLeft w:val="360"/>
          <w:marRight w:val="0"/>
          <w:marTop w:val="60"/>
          <w:marBottom w:val="0"/>
          <w:divBdr>
            <w:top w:val="none" w:sz="0" w:space="0" w:color="auto"/>
            <w:left w:val="none" w:sz="0" w:space="0" w:color="auto"/>
            <w:bottom w:val="none" w:sz="0" w:space="0" w:color="auto"/>
            <w:right w:val="none" w:sz="0" w:space="0" w:color="auto"/>
          </w:divBdr>
        </w:div>
        <w:div w:id="1993215250">
          <w:marLeft w:val="734"/>
          <w:marRight w:val="0"/>
          <w:marTop w:val="60"/>
          <w:marBottom w:val="0"/>
          <w:divBdr>
            <w:top w:val="none" w:sz="0" w:space="0" w:color="auto"/>
            <w:left w:val="none" w:sz="0" w:space="0" w:color="auto"/>
            <w:bottom w:val="none" w:sz="0" w:space="0" w:color="auto"/>
            <w:right w:val="none" w:sz="0" w:space="0" w:color="auto"/>
          </w:divBdr>
        </w:div>
        <w:div w:id="1009911705">
          <w:marLeft w:val="360"/>
          <w:marRight w:val="0"/>
          <w:marTop w:val="60"/>
          <w:marBottom w:val="0"/>
          <w:divBdr>
            <w:top w:val="none" w:sz="0" w:space="0" w:color="auto"/>
            <w:left w:val="none" w:sz="0" w:space="0" w:color="auto"/>
            <w:bottom w:val="none" w:sz="0" w:space="0" w:color="auto"/>
            <w:right w:val="none" w:sz="0" w:space="0" w:color="auto"/>
          </w:divBdr>
        </w:div>
        <w:div w:id="804278806">
          <w:marLeft w:val="360"/>
          <w:marRight w:val="0"/>
          <w:marTop w:val="60"/>
          <w:marBottom w:val="0"/>
          <w:divBdr>
            <w:top w:val="none" w:sz="0" w:space="0" w:color="auto"/>
            <w:left w:val="none" w:sz="0" w:space="0" w:color="auto"/>
            <w:bottom w:val="none" w:sz="0" w:space="0" w:color="auto"/>
            <w:right w:val="none" w:sz="0" w:space="0" w:color="auto"/>
          </w:divBdr>
        </w:div>
        <w:div w:id="445664283">
          <w:marLeft w:val="734"/>
          <w:marRight w:val="0"/>
          <w:marTop w:val="60"/>
          <w:marBottom w:val="0"/>
          <w:divBdr>
            <w:top w:val="none" w:sz="0" w:space="0" w:color="auto"/>
            <w:left w:val="none" w:sz="0" w:space="0" w:color="auto"/>
            <w:bottom w:val="none" w:sz="0" w:space="0" w:color="auto"/>
            <w:right w:val="none" w:sz="0" w:space="0" w:color="auto"/>
          </w:divBdr>
        </w:div>
        <w:div w:id="374428765">
          <w:marLeft w:val="360"/>
          <w:marRight w:val="0"/>
          <w:marTop w:val="60"/>
          <w:marBottom w:val="0"/>
          <w:divBdr>
            <w:top w:val="none" w:sz="0" w:space="0" w:color="auto"/>
            <w:left w:val="none" w:sz="0" w:space="0" w:color="auto"/>
            <w:bottom w:val="none" w:sz="0" w:space="0" w:color="auto"/>
            <w:right w:val="none" w:sz="0" w:space="0" w:color="auto"/>
          </w:divBdr>
        </w:div>
        <w:div w:id="800271531">
          <w:marLeft w:val="734"/>
          <w:marRight w:val="0"/>
          <w:marTop w:val="60"/>
          <w:marBottom w:val="0"/>
          <w:divBdr>
            <w:top w:val="none" w:sz="0" w:space="0" w:color="auto"/>
            <w:left w:val="none" w:sz="0" w:space="0" w:color="auto"/>
            <w:bottom w:val="none" w:sz="0" w:space="0" w:color="auto"/>
            <w:right w:val="none" w:sz="0" w:space="0" w:color="auto"/>
          </w:divBdr>
        </w:div>
        <w:div w:id="1896158243">
          <w:marLeft w:val="734"/>
          <w:marRight w:val="0"/>
          <w:marTop w:val="60"/>
          <w:marBottom w:val="0"/>
          <w:divBdr>
            <w:top w:val="none" w:sz="0" w:space="0" w:color="auto"/>
            <w:left w:val="none" w:sz="0" w:space="0" w:color="auto"/>
            <w:bottom w:val="none" w:sz="0" w:space="0" w:color="auto"/>
            <w:right w:val="none" w:sz="0" w:space="0" w:color="auto"/>
          </w:divBdr>
        </w:div>
      </w:divsChild>
    </w:div>
    <w:div w:id="42023935">
      <w:bodyDiv w:val="1"/>
      <w:marLeft w:val="0"/>
      <w:marRight w:val="0"/>
      <w:marTop w:val="0"/>
      <w:marBottom w:val="0"/>
      <w:divBdr>
        <w:top w:val="none" w:sz="0" w:space="0" w:color="auto"/>
        <w:left w:val="none" w:sz="0" w:space="0" w:color="auto"/>
        <w:bottom w:val="none" w:sz="0" w:space="0" w:color="auto"/>
        <w:right w:val="none" w:sz="0" w:space="0" w:color="auto"/>
      </w:divBdr>
    </w:div>
    <w:div w:id="194007606">
      <w:bodyDiv w:val="1"/>
      <w:marLeft w:val="0"/>
      <w:marRight w:val="0"/>
      <w:marTop w:val="0"/>
      <w:marBottom w:val="0"/>
      <w:divBdr>
        <w:top w:val="none" w:sz="0" w:space="0" w:color="auto"/>
        <w:left w:val="none" w:sz="0" w:space="0" w:color="auto"/>
        <w:bottom w:val="none" w:sz="0" w:space="0" w:color="auto"/>
        <w:right w:val="none" w:sz="0" w:space="0" w:color="auto"/>
      </w:divBdr>
    </w:div>
    <w:div w:id="360400431">
      <w:bodyDiv w:val="1"/>
      <w:marLeft w:val="0"/>
      <w:marRight w:val="0"/>
      <w:marTop w:val="0"/>
      <w:marBottom w:val="0"/>
      <w:divBdr>
        <w:top w:val="none" w:sz="0" w:space="0" w:color="auto"/>
        <w:left w:val="none" w:sz="0" w:space="0" w:color="auto"/>
        <w:bottom w:val="none" w:sz="0" w:space="0" w:color="auto"/>
        <w:right w:val="none" w:sz="0" w:space="0" w:color="auto"/>
      </w:divBdr>
    </w:div>
    <w:div w:id="472062950">
      <w:bodyDiv w:val="1"/>
      <w:marLeft w:val="0"/>
      <w:marRight w:val="0"/>
      <w:marTop w:val="0"/>
      <w:marBottom w:val="0"/>
      <w:divBdr>
        <w:top w:val="none" w:sz="0" w:space="0" w:color="auto"/>
        <w:left w:val="none" w:sz="0" w:space="0" w:color="auto"/>
        <w:bottom w:val="none" w:sz="0" w:space="0" w:color="auto"/>
        <w:right w:val="none" w:sz="0" w:space="0" w:color="auto"/>
      </w:divBdr>
    </w:div>
    <w:div w:id="491071479">
      <w:bodyDiv w:val="1"/>
      <w:marLeft w:val="0"/>
      <w:marRight w:val="0"/>
      <w:marTop w:val="0"/>
      <w:marBottom w:val="0"/>
      <w:divBdr>
        <w:top w:val="none" w:sz="0" w:space="0" w:color="auto"/>
        <w:left w:val="none" w:sz="0" w:space="0" w:color="auto"/>
        <w:bottom w:val="none" w:sz="0" w:space="0" w:color="auto"/>
        <w:right w:val="none" w:sz="0" w:space="0" w:color="auto"/>
      </w:divBdr>
    </w:div>
    <w:div w:id="541670025">
      <w:bodyDiv w:val="1"/>
      <w:marLeft w:val="0"/>
      <w:marRight w:val="0"/>
      <w:marTop w:val="0"/>
      <w:marBottom w:val="0"/>
      <w:divBdr>
        <w:top w:val="none" w:sz="0" w:space="0" w:color="auto"/>
        <w:left w:val="none" w:sz="0" w:space="0" w:color="auto"/>
        <w:bottom w:val="none" w:sz="0" w:space="0" w:color="auto"/>
        <w:right w:val="none" w:sz="0" w:space="0" w:color="auto"/>
      </w:divBdr>
    </w:div>
    <w:div w:id="792796457">
      <w:bodyDiv w:val="1"/>
      <w:marLeft w:val="0"/>
      <w:marRight w:val="0"/>
      <w:marTop w:val="0"/>
      <w:marBottom w:val="0"/>
      <w:divBdr>
        <w:top w:val="none" w:sz="0" w:space="0" w:color="auto"/>
        <w:left w:val="none" w:sz="0" w:space="0" w:color="auto"/>
        <w:bottom w:val="none" w:sz="0" w:space="0" w:color="auto"/>
        <w:right w:val="none" w:sz="0" w:space="0" w:color="auto"/>
      </w:divBdr>
    </w:div>
    <w:div w:id="806900988">
      <w:bodyDiv w:val="1"/>
      <w:marLeft w:val="0"/>
      <w:marRight w:val="0"/>
      <w:marTop w:val="0"/>
      <w:marBottom w:val="0"/>
      <w:divBdr>
        <w:top w:val="none" w:sz="0" w:space="0" w:color="auto"/>
        <w:left w:val="none" w:sz="0" w:space="0" w:color="auto"/>
        <w:bottom w:val="none" w:sz="0" w:space="0" w:color="auto"/>
        <w:right w:val="none" w:sz="0" w:space="0" w:color="auto"/>
      </w:divBdr>
    </w:div>
    <w:div w:id="833033225">
      <w:bodyDiv w:val="1"/>
      <w:marLeft w:val="0"/>
      <w:marRight w:val="0"/>
      <w:marTop w:val="0"/>
      <w:marBottom w:val="0"/>
      <w:divBdr>
        <w:top w:val="none" w:sz="0" w:space="0" w:color="auto"/>
        <w:left w:val="none" w:sz="0" w:space="0" w:color="auto"/>
        <w:bottom w:val="none" w:sz="0" w:space="0" w:color="auto"/>
        <w:right w:val="none" w:sz="0" w:space="0" w:color="auto"/>
      </w:divBdr>
      <w:divsChild>
        <w:div w:id="658728511">
          <w:marLeft w:val="0"/>
          <w:marRight w:val="0"/>
          <w:marTop w:val="0"/>
          <w:marBottom w:val="0"/>
          <w:divBdr>
            <w:top w:val="none" w:sz="0" w:space="0" w:color="auto"/>
            <w:left w:val="none" w:sz="0" w:space="0" w:color="auto"/>
            <w:bottom w:val="none" w:sz="0" w:space="0" w:color="auto"/>
            <w:right w:val="none" w:sz="0" w:space="0" w:color="auto"/>
          </w:divBdr>
        </w:div>
        <w:div w:id="364988684">
          <w:marLeft w:val="0"/>
          <w:marRight w:val="0"/>
          <w:marTop w:val="0"/>
          <w:marBottom w:val="0"/>
          <w:divBdr>
            <w:top w:val="none" w:sz="0" w:space="0" w:color="auto"/>
            <w:left w:val="none" w:sz="0" w:space="0" w:color="auto"/>
            <w:bottom w:val="none" w:sz="0" w:space="0" w:color="auto"/>
            <w:right w:val="none" w:sz="0" w:space="0" w:color="auto"/>
          </w:divBdr>
        </w:div>
        <w:div w:id="2011445059">
          <w:marLeft w:val="0"/>
          <w:marRight w:val="0"/>
          <w:marTop w:val="0"/>
          <w:marBottom w:val="0"/>
          <w:divBdr>
            <w:top w:val="none" w:sz="0" w:space="0" w:color="auto"/>
            <w:left w:val="none" w:sz="0" w:space="0" w:color="auto"/>
            <w:bottom w:val="none" w:sz="0" w:space="0" w:color="auto"/>
            <w:right w:val="none" w:sz="0" w:space="0" w:color="auto"/>
          </w:divBdr>
        </w:div>
        <w:div w:id="441001738">
          <w:marLeft w:val="0"/>
          <w:marRight w:val="0"/>
          <w:marTop w:val="0"/>
          <w:marBottom w:val="0"/>
          <w:divBdr>
            <w:top w:val="none" w:sz="0" w:space="0" w:color="auto"/>
            <w:left w:val="none" w:sz="0" w:space="0" w:color="auto"/>
            <w:bottom w:val="none" w:sz="0" w:space="0" w:color="auto"/>
            <w:right w:val="none" w:sz="0" w:space="0" w:color="auto"/>
          </w:divBdr>
        </w:div>
      </w:divsChild>
    </w:div>
    <w:div w:id="930502270">
      <w:bodyDiv w:val="1"/>
      <w:marLeft w:val="0"/>
      <w:marRight w:val="0"/>
      <w:marTop w:val="0"/>
      <w:marBottom w:val="0"/>
      <w:divBdr>
        <w:top w:val="none" w:sz="0" w:space="0" w:color="auto"/>
        <w:left w:val="none" w:sz="0" w:space="0" w:color="auto"/>
        <w:bottom w:val="none" w:sz="0" w:space="0" w:color="auto"/>
        <w:right w:val="none" w:sz="0" w:space="0" w:color="auto"/>
      </w:divBdr>
    </w:div>
    <w:div w:id="1064378353">
      <w:bodyDiv w:val="1"/>
      <w:marLeft w:val="0"/>
      <w:marRight w:val="0"/>
      <w:marTop w:val="0"/>
      <w:marBottom w:val="0"/>
      <w:divBdr>
        <w:top w:val="none" w:sz="0" w:space="0" w:color="auto"/>
        <w:left w:val="none" w:sz="0" w:space="0" w:color="auto"/>
        <w:bottom w:val="none" w:sz="0" w:space="0" w:color="auto"/>
        <w:right w:val="none" w:sz="0" w:space="0" w:color="auto"/>
      </w:divBdr>
    </w:div>
    <w:div w:id="1271476913">
      <w:bodyDiv w:val="1"/>
      <w:marLeft w:val="0"/>
      <w:marRight w:val="0"/>
      <w:marTop w:val="0"/>
      <w:marBottom w:val="0"/>
      <w:divBdr>
        <w:top w:val="none" w:sz="0" w:space="0" w:color="auto"/>
        <w:left w:val="none" w:sz="0" w:space="0" w:color="auto"/>
        <w:bottom w:val="none" w:sz="0" w:space="0" w:color="auto"/>
        <w:right w:val="none" w:sz="0" w:space="0" w:color="auto"/>
      </w:divBdr>
    </w:div>
    <w:div w:id="1301568913">
      <w:bodyDiv w:val="1"/>
      <w:marLeft w:val="0"/>
      <w:marRight w:val="0"/>
      <w:marTop w:val="0"/>
      <w:marBottom w:val="0"/>
      <w:divBdr>
        <w:top w:val="none" w:sz="0" w:space="0" w:color="auto"/>
        <w:left w:val="none" w:sz="0" w:space="0" w:color="auto"/>
        <w:bottom w:val="none" w:sz="0" w:space="0" w:color="auto"/>
        <w:right w:val="none" w:sz="0" w:space="0" w:color="auto"/>
      </w:divBdr>
    </w:div>
    <w:div w:id="1499273657">
      <w:bodyDiv w:val="1"/>
      <w:marLeft w:val="0"/>
      <w:marRight w:val="0"/>
      <w:marTop w:val="0"/>
      <w:marBottom w:val="0"/>
      <w:divBdr>
        <w:top w:val="none" w:sz="0" w:space="0" w:color="auto"/>
        <w:left w:val="none" w:sz="0" w:space="0" w:color="auto"/>
        <w:bottom w:val="none" w:sz="0" w:space="0" w:color="auto"/>
        <w:right w:val="none" w:sz="0" w:space="0" w:color="auto"/>
      </w:divBdr>
    </w:div>
    <w:div w:id="1656497299">
      <w:bodyDiv w:val="1"/>
      <w:marLeft w:val="0"/>
      <w:marRight w:val="0"/>
      <w:marTop w:val="0"/>
      <w:marBottom w:val="0"/>
      <w:divBdr>
        <w:top w:val="none" w:sz="0" w:space="0" w:color="auto"/>
        <w:left w:val="none" w:sz="0" w:space="0" w:color="auto"/>
        <w:bottom w:val="none" w:sz="0" w:space="0" w:color="auto"/>
        <w:right w:val="none" w:sz="0" w:space="0" w:color="auto"/>
      </w:divBdr>
    </w:div>
    <w:div w:id="1692610723">
      <w:bodyDiv w:val="1"/>
      <w:marLeft w:val="0"/>
      <w:marRight w:val="0"/>
      <w:marTop w:val="0"/>
      <w:marBottom w:val="0"/>
      <w:divBdr>
        <w:top w:val="none" w:sz="0" w:space="0" w:color="auto"/>
        <w:left w:val="none" w:sz="0" w:space="0" w:color="auto"/>
        <w:bottom w:val="none" w:sz="0" w:space="0" w:color="auto"/>
        <w:right w:val="none" w:sz="0" w:space="0" w:color="auto"/>
      </w:divBdr>
    </w:div>
    <w:div w:id="1754006346">
      <w:bodyDiv w:val="1"/>
      <w:marLeft w:val="0"/>
      <w:marRight w:val="0"/>
      <w:marTop w:val="0"/>
      <w:marBottom w:val="0"/>
      <w:divBdr>
        <w:top w:val="none" w:sz="0" w:space="0" w:color="auto"/>
        <w:left w:val="none" w:sz="0" w:space="0" w:color="auto"/>
        <w:bottom w:val="none" w:sz="0" w:space="0" w:color="auto"/>
        <w:right w:val="none" w:sz="0" w:space="0" w:color="auto"/>
      </w:divBdr>
      <w:divsChild>
        <w:div w:id="1491942251">
          <w:marLeft w:val="360"/>
          <w:marRight w:val="0"/>
          <w:marTop w:val="200"/>
          <w:marBottom w:val="0"/>
          <w:divBdr>
            <w:top w:val="none" w:sz="0" w:space="0" w:color="auto"/>
            <w:left w:val="none" w:sz="0" w:space="0" w:color="auto"/>
            <w:bottom w:val="none" w:sz="0" w:space="0" w:color="auto"/>
            <w:right w:val="none" w:sz="0" w:space="0" w:color="auto"/>
          </w:divBdr>
        </w:div>
        <w:div w:id="2133136008">
          <w:marLeft w:val="734"/>
          <w:marRight w:val="0"/>
          <w:marTop w:val="100"/>
          <w:marBottom w:val="0"/>
          <w:divBdr>
            <w:top w:val="none" w:sz="0" w:space="0" w:color="auto"/>
            <w:left w:val="none" w:sz="0" w:space="0" w:color="auto"/>
            <w:bottom w:val="none" w:sz="0" w:space="0" w:color="auto"/>
            <w:right w:val="none" w:sz="0" w:space="0" w:color="auto"/>
          </w:divBdr>
        </w:div>
        <w:div w:id="1868642929">
          <w:marLeft w:val="734"/>
          <w:marRight w:val="0"/>
          <w:marTop w:val="100"/>
          <w:marBottom w:val="0"/>
          <w:divBdr>
            <w:top w:val="none" w:sz="0" w:space="0" w:color="auto"/>
            <w:left w:val="none" w:sz="0" w:space="0" w:color="auto"/>
            <w:bottom w:val="none" w:sz="0" w:space="0" w:color="auto"/>
            <w:right w:val="none" w:sz="0" w:space="0" w:color="auto"/>
          </w:divBdr>
        </w:div>
        <w:div w:id="1819690031">
          <w:marLeft w:val="734"/>
          <w:marRight w:val="0"/>
          <w:marTop w:val="100"/>
          <w:marBottom w:val="0"/>
          <w:divBdr>
            <w:top w:val="none" w:sz="0" w:space="0" w:color="auto"/>
            <w:left w:val="none" w:sz="0" w:space="0" w:color="auto"/>
            <w:bottom w:val="none" w:sz="0" w:space="0" w:color="auto"/>
            <w:right w:val="none" w:sz="0" w:space="0" w:color="auto"/>
          </w:divBdr>
        </w:div>
        <w:div w:id="683633661">
          <w:marLeft w:val="360"/>
          <w:marRight w:val="0"/>
          <w:marTop w:val="200"/>
          <w:marBottom w:val="0"/>
          <w:divBdr>
            <w:top w:val="none" w:sz="0" w:space="0" w:color="auto"/>
            <w:left w:val="none" w:sz="0" w:space="0" w:color="auto"/>
            <w:bottom w:val="none" w:sz="0" w:space="0" w:color="auto"/>
            <w:right w:val="none" w:sz="0" w:space="0" w:color="auto"/>
          </w:divBdr>
        </w:div>
        <w:div w:id="133842192">
          <w:marLeft w:val="734"/>
          <w:marRight w:val="0"/>
          <w:marTop w:val="100"/>
          <w:marBottom w:val="0"/>
          <w:divBdr>
            <w:top w:val="none" w:sz="0" w:space="0" w:color="auto"/>
            <w:left w:val="none" w:sz="0" w:space="0" w:color="auto"/>
            <w:bottom w:val="none" w:sz="0" w:space="0" w:color="auto"/>
            <w:right w:val="none" w:sz="0" w:space="0" w:color="auto"/>
          </w:divBdr>
        </w:div>
        <w:div w:id="809328495">
          <w:marLeft w:val="360"/>
          <w:marRight w:val="0"/>
          <w:marTop w:val="200"/>
          <w:marBottom w:val="0"/>
          <w:divBdr>
            <w:top w:val="none" w:sz="0" w:space="0" w:color="auto"/>
            <w:left w:val="none" w:sz="0" w:space="0" w:color="auto"/>
            <w:bottom w:val="none" w:sz="0" w:space="0" w:color="auto"/>
            <w:right w:val="none" w:sz="0" w:space="0" w:color="auto"/>
          </w:divBdr>
        </w:div>
        <w:div w:id="467404410">
          <w:marLeft w:val="734"/>
          <w:marRight w:val="0"/>
          <w:marTop w:val="100"/>
          <w:marBottom w:val="0"/>
          <w:divBdr>
            <w:top w:val="none" w:sz="0" w:space="0" w:color="auto"/>
            <w:left w:val="none" w:sz="0" w:space="0" w:color="auto"/>
            <w:bottom w:val="none" w:sz="0" w:space="0" w:color="auto"/>
            <w:right w:val="none" w:sz="0" w:space="0" w:color="auto"/>
          </w:divBdr>
        </w:div>
        <w:div w:id="1733967459">
          <w:marLeft w:val="734"/>
          <w:marRight w:val="0"/>
          <w:marTop w:val="100"/>
          <w:marBottom w:val="0"/>
          <w:divBdr>
            <w:top w:val="none" w:sz="0" w:space="0" w:color="auto"/>
            <w:left w:val="none" w:sz="0" w:space="0" w:color="auto"/>
            <w:bottom w:val="none" w:sz="0" w:space="0" w:color="auto"/>
            <w:right w:val="none" w:sz="0" w:space="0" w:color="auto"/>
          </w:divBdr>
        </w:div>
        <w:div w:id="1086656249">
          <w:marLeft w:val="360"/>
          <w:marRight w:val="0"/>
          <w:marTop w:val="200"/>
          <w:marBottom w:val="0"/>
          <w:divBdr>
            <w:top w:val="none" w:sz="0" w:space="0" w:color="auto"/>
            <w:left w:val="none" w:sz="0" w:space="0" w:color="auto"/>
            <w:bottom w:val="none" w:sz="0" w:space="0" w:color="auto"/>
            <w:right w:val="none" w:sz="0" w:space="0" w:color="auto"/>
          </w:divBdr>
        </w:div>
      </w:divsChild>
    </w:div>
    <w:div w:id="1843541250">
      <w:bodyDiv w:val="1"/>
      <w:marLeft w:val="0"/>
      <w:marRight w:val="0"/>
      <w:marTop w:val="0"/>
      <w:marBottom w:val="0"/>
      <w:divBdr>
        <w:top w:val="none" w:sz="0" w:space="0" w:color="auto"/>
        <w:left w:val="none" w:sz="0" w:space="0" w:color="auto"/>
        <w:bottom w:val="none" w:sz="0" w:space="0" w:color="auto"/>
        <w:right w:val="none" w:sz="0" w:space="0" w:color="auto"/>
      </w:divBdr>
    </w:div>
    <w:div w:id="1924103735">
      <w:bodyDiv w:val="1"/>
      <w:marLeft w:val="0"/>
      <w:marRight w:val="0"/>
      <w:marTop w:val="0"/>
      <w:marBottom w:val="0"/>
      <w:divBdr>
        <w:top w:val="none" w:sz="0" w:space="0" w:color="auto"/>
        <w:left w:val="none" w:sz="0" w:space="0" w:color="auto"/>
        <w:bottom w:val="none" w:sz="0" w:space="0" w:color="auto"/>
        <w:right w:val="none" w:sz="0" w:space="0" w:color="auto"/>
      </w:divBdr>
    </w:div>
    <w:div w:id="211081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image" Target="media/image25.png"/><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emf"/><Relationship Id="rId35" Type="http://schemas.openxmlformats.org/officeDocument/2006/relationships/hyperlink" Target="https://doi.org/10.2514/6.2016-3536"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14FA7-F2BE-4819-880C-CD19660A2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5612</Words>
  <Characters>31994</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Mars Entry Instrumentation Flight Data and Mars 2020 Entry Environments</vt:lpstr>
    </vt:vector>
  </TitlesOfParts>
  <Manager/>
  <Company>AIAA</Company>
  <LinksUpToDate>false</LinksUpToDate>
  <CharactersWithSpaces>37531</CharactersWithSpaces>
  <SharedDoc>false</SharedDoc>
  <HyperlinkBase/>
  <HLinks>
    <vt:vector size="60" baseType="variant">
      <vt:variant>
        <vt:i4>4718671</vt:i4>
      </vt:variant>
      <vt:variant>
        <vt:i4>33</vt:i4>
      </vt:variant>
      <vt:variant>
        <vt:i4>0</vt:i4>
      </vt:variant>
      <vt:variant>
        <vt:i4>5</vt:i4>
      </vt:variant>
      <vt:variant>
        <vt:lpwstr>http://www.geog.le.ac.uk/bgrg/lab.htm</vt:lpwstr>
      </vt:variant>
      <vt:variant>
        <vt:lpwstr/>
      </vt:variant>
      <vt:variant>
        <vt:i4>393284</vt:i4>
      </vt:variant>
      <vt:variant>
        <vt:i4>30</vt:i4>
      </vt:variant>
      <vt:variant>
        <vt:i4>0</vt:i4>
      </vt:variant>
      <vt:variant>
        <vt:i4>5</vt:i4>
      </vt:variant>
      <vt:variant>
        <vt:lpwstr>http://www.cp/umist.ac.uk/JCSE/vol1/vol1.html</vt:lpwstr>
      </vt:variant>
      <vt:variant>
        <vt:lpwstr/>
      </vt:variant>
      <vt:variant>
        <vt:i4>4325453</vt:i4>
      </vt:variant>
      <vt:variant>
        <vt:i4>27</vt:i4>
      </vt:variant>
      <vt:variant>
        <vt:i4>0</vt:i4>
      </vt:variant>
      <vt:variant>
        <vt:i4>5</vt:i4>
      </vt:variant>
      <vt:variant>
        <vt:lpwstr>http://www.crossref.org/</vt:lpwstr>
      </vt:variant>
      <vt:variant>
        <vt:lpwstr/>
      </vt:variant>
      <vt:variant>
        <vt:i4>3014755</vt:i4>
      </vt:variant>
      <vt:variant>
        <vt:i4>24</vt:i4>
      </vt:variant>
      <vt:variant>
        <vt:i4>0</vt:i4>
      </vt:variant>
      <vt:variant>
        <vt:i4>5</vt:i4>
      </vt:variant>
      <vt:variant>
        <vt:lpwstr>http://www.doi.org/</vt:lpwstr>
      </vt:variant>
      <vt:variant>
        <vt:lpwstr/>
      </vt:variant>
      <vt:variant>
        <vt:i4>5767243</vt:i4>
      </vt:variant>
      <vt:variant>
        <vt:i4>18</vt:i4>
      </vt:variant>
      <vt:variant>
        <vt:i4>0</vt:i4>
      </vt:variant>
      <vt:variant>
        <vt:i4>5</vt:i4>
      </vt:variant>
      <vt:variant>
        <vt:lpwstr>http://www.mathtype.com/</vt:lpwstr>
      </vt:variant>
      <vt:variant>
        <vt:lpwstr/>
      </vt:variant>
      <vt:variant>
        <vt:i4>5111819</vt:i4>
      </vt:variant>
      <vt:variant>
        <vt:i4>12</vt:i4>
      </vt:variant>
      <vt:variant>
        <vt:i4>0</vt:i4>
      </vt:variant>
      <vt:variant>
        <vt:i4>5</vt:i4>
      </vt:variant>
      <vt:variant>
        <vt:lpwstr>https://mchelp.manuscriptcentral.com/gethelpnow/</vt:lpwstr>
      </vt:variant>
      <vt:variant>
        <vt:lpwstr/>
      </vt:variant>
      <vt:variant>
        <vt:i4>589896</vt:i4>
      </vt:variant>
      <vt:variant>
        <vt:i4>9</vt:i4>
      </vt:variant>
      <vt:variant>
        <vt:i4>0</vt:i4>
      </vt:variant>
      <vt:variant>
        <vt:i4>5</vt:i4>
      </vt:variant>
      <vt:variant>
        <vt:lpwstr>mailto:ScholarOne</vt:lpwstr>
      </vt:variant>
      <vt:variant>
        <vt:lpwstr/>
      </vt:variant>
      <vt:variant>
        <vt:i4>2424882</vt:i4>
      </vt:variant>
      <vt:variant>
        <vt:i4>6</vt:i4>
      </vt:variant>
      <vt:variant>
        <vt:i4>0</vt:i4>
      </vt:variant>
      <vt:variant>
        <vt:i4>5</vt:i4>
      </vt:variant>
      <vt:variant>
        <vt:lpwstr>http://www.writetrack.net/</vt:lpwstr>
      </vt:variant>
      <vt:variant>
        <vt:lpwstr/>
      </vt:variant>
      <vt:variant>
        <vt:i4>2424882</vt:i4>
      </vt:variant>
      <vt:variant>
        <vt:i4>3</vt:i4>
      </vt:variant>
      <vt:variant>
        <vt:i4>0</vt:i4>
      </vt:variant>
      <vt:variant>
        <vt:i4>5</vt:i4>
      </vt:variant>
      <vt:variant>
        <vt:lpwstr>http://www.writetrack.net/</vt:lpwstr>
      </vt:variant>
      <vt:variant>
        <vt:lpwstr/>
      </vt:variant>
      <vt:variant>
        <vt:i4>3932215</vt:i4>
      </vt:variant>
      <vt:variant>
        <vt:i4>0</vt:i4>
      </vt:variant>
      <vt:variant>
        <vt:i4>0</vt:i4>
      </vt:variant>
      <vt:variant>
        <vt:i4>5</vt:i4>
      </vt:variant>
      <vt:variant>
        <vt:lpwstr>http://www.aiaa.org/content.cfm?pageid=167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Mars Entry Instrumentation Flight Data and Mars 2020 Entry Environments</dc:title>
  <dc:subject/>
  <dc:creator>Todd White</dc:creator>
  <cp:keywords>MEDLI2</cp:keywords>
  <dc:description/>
  <cp:lastModifiedBy>WHITE, TODD R. (ARC-TSS)</cp:lastModifiedBy>
  <cp:revision>2</cp:revision>
  <cp:lastPrinted>2021-12-06T05:25:00Z</cp:lastPrinted>
  <dcterms:created xsi:type="dcterms:W3CDTF">2021-12-08T00:30:00Z</dcterms:created>
  <dcterms:modified xsi:type="dcterms:W3CDTF">2021-12-08T00:30:00Z</dcterms:modified>
  <cp:category/>
</cp:coreProperties>
</file>