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051B" w14:textId="0177EE62" w:rsidR="004426DF" w:rsidRPr="00F848F0" w:rsidRDefault="004426DF" w:rsidP="004426DF">
      <w:pPr>
        <w:pStyle w:val="Title"/>
        <w:framePr w:w="0" w:hSpace="0" w:vSpace="0" w:wrap="auto" w:vAnchor="margin" w:hAnchor="text" w:xAlign="left" w:yAlign="inline"/>
        <w:rPr>
          <w:b/>
          <w:bCs/>
        </w:rPr>
      </w:pPr>
      <w:r w:rsidRPr="00F848F0">
        <w:rPr>
          <w:b/>
          <w:bCs/>
        </w:rPr>
        <w:t>Assurance of Electronic Parts for Aerospace System Reliability: Past, Present, and Future</w:t>
      </w:r>
      <w:r w:rsidR="00901B5F">
        <w:rPr>
          <w:rStyle w:val="FootnoteReference"/>
          <w:b/>
          <w:bCs/>
        </w:rPr>
        <w:footnoteReference w:id="1"/>
      </w:r>
    </w:p>
    <w:p w14:paraId="3A76DE97" w14:textId="77777777" w:rsidR="004426DF" w:rsidRPr="004426DF" w:rsidRDefault="004426DF" w:rsidP="00CE08A4"/>
    <w:p w14:paraId="110D3BEA" w14:textId="481068E7" w:rsidR="004426DF" w:rsidRPr="00CE08A4" w:rsidRDefault="004426DF" w:rsidP="00CE08A4">
      <w:pPr>
        <w:pStyle w:val="Heading2"/>
        <w:numPr>
          <w:ilvl w:val="0"/>
          <w:numId w:val="0"/>
        </w:numPr>
        <w:jc w:val="center"/>
        <w:rPr>
          <w:i w:val="0"/>
          <w:iCs w:val="0"/>
          <w:sz w:val="28"/>
          <w:szCs w:val="28"/>
        </w:rPr>
      </w:pPr>
      <w:r w:rsidRPr="00CE08A4">
        <w:rPr>
          <w:sz w:val="28"/>
          <w:szCs w:val="28"/>
        </w:rPr>
        <w:t xml:space="preserve">Jesse Leitner, Bhanu </w:t>
      </w:r>
      <w:proofErr w:type="spellStart"/>
      <w:r w:rsidRPr="00CE08A4">
        <w:rPr>
          <w:sz w:val="28"/>
          <w:szCs w:val="28"/>
        </w:rPr>
        <w:t>Sood</w:t>
      </w:r>
      <w:proofErr w:type="spellEnd"/>
    </w:p>
    <w:p w14:paraId="436C40B7" w14:textId="77777777" w:rsidR="004426DF" w:rsidRDefault="004426DF" w:rsidP="00E261E3">
      <w:pPr>
        <w:pStyle w:val="Abstract"/>
        <w:spacing w:line="480" w:lineRule="auto"/>
        <w:rPr>
          <w:i/>
          <w:iCs/>
          <w:sz w:val="24"/>
          <w:szCs w:val="24"/>
        </w:rPr>
      </w:pPr>
    </w:p>
    <w:p w14:paraId="6E4381B7" w14:textId="38953950" w:rsidR="00E97402" w:rsidRPr="00540EB6" w:rsidRDefault="00E97402" w:rsidP="00E261E3">
      <w:pPr>
        <w:pStyle w:val="Abstract"/>
        <w:spacing w:line="480" w:lineRule="auto"/>
        <w:rPr>
          <w:sz w:val="24"/>
          <w:szCs w:val="24"/>
        </w:rPr>
      </w:pPr>
      <w:r w:rsidRPr="00540EB6">
        <w:rPr>
          <w:i/>
          <w:iCs/>
          <w:sz w:val="24"/>
          <w:szCs w:val="24"/>
        </w:rPr>
        <w:t>Abstract</w:t>
      </w:r>
      <w:r w:rsidRPr="00540EB6">
        <w:rPr>
          <w:sz w:val="24"/>
          <w:szCs w:val="24"/>
        </w:rPr>
        <w:t>—</w:t>
      </w:r>
      <w:r w:rsidR="006A5D00" w:rsidRPr="00540EB6">
        <w:rPr>
          <w:sz w:val="24"/>
          <w:szCs w:val="24"/>
        </w:rPr>
        <w:t xml:space="preserve"> Over the last two to three decades, the balance of influence within the electronics industry has shifted decisively towards the consumer electronics and information technology products, away from the defense or aerospace markets.</w:t>
      </w:r>
      <w:r w:rsidR="00025EDD">
        <w:rPr>
          <w:sz w:val="24"/>
          <w:szCs w:val="24"/>
        </w:rPr>
        <w:t xml:space="preserve"> </w:t>
      </w:r>
      <w:r w:rsidR="006A5D00" w:rsidRPr="00540EB6">
        <w:rPr>
          <w:sz w:val="24"/>
          <w:szCs w:val="24"/>
        </w:rPr>
        <w:t xml:space="preserve">This shift towards the commercial markets has changed certain ground rules in the electronics industry. Reliance of </w:t>
      </w:r>
      <w:r w:rsidR="0042361D" w:rsidRPr="00540EB6">
        <w:rPr>
          <w:sz w:val="24"/>
          <w:szCs w:val="24"/>
        </w:rPr>
        <w:t xml:space="preserve">the </w:t>
      </w:r>
      <w:r w:rsidR="006A5D00" w:rsidRPr="00540EB6">
        <w:rPr>
          <w:sz w:val="24"/>
          <w:szCs w:val="24"/>
        </w:rPr>
        <w:t>aerospace industry</w:t>
      </w:r>
      <w:proofErr w:type="gramStart"/>
      <w:r w:rsidR="006A5D00" w:rsidRPr="00540EB6">
        <w:rPr>
          <w:sz w:val="24"/>
          <w:szCs w:val="24"/>
        </w:rPr>
        <w:t>, in particular, on</w:t>
      </w:r>
      <w:proofErr w:type="gramEnd"/>
      <w:r w:rsidR="006A5D00" w:rsidRPr="00540EB6">
        <w:rPr>
          <w:sz w:val="24"/>
          <w:szCs w:val="24"/>
        </w:rPr>
        <w:t xml:space="preserve"> components from supply chains dedicated to other products, or cross-vertical product integration, creates a supply web and introduces significant risks that are not necessarily present for volume</w:t>
      </w:r>
      <w:r w:rsidR="00B1326F" w:rsidRPr="00540EB6">
        <w:rPr>
          <w:sz w:val="24"/>
          <w:szCs w:val="24"/>
        </w:rPr>
        <w:t>-</w:t>
      </w:r>
      <w:r w:rsidR="006A5D00" w:rsidRPr="00540EB6">
        <w:rPr>
          <w:sz w:val="24"/>
          <w:szCs w:val="24"/>
        </w:rPr>
        <w:t>driven electronic products. Many of the unique risks in the aerospace industry emanate from the key characteristics of this industry. Although selection and usage of commercial electronics in NASA flight hardware is possible at a comparable (and in many cases lower) level of risk to that of employing parts that are screened to military or NASA specifications, for a large majority of flight projects it is difficult to distinguish the difference in on-orbit performance</w:t>
      </w:r>
      <w:r w:rsidR="0042361D" w:rsidRPr="00540EB6">
        <w:rPr>
          <w:sz w:val="24"/>
          <w:szCs w:val="24"/>
        </w:rPr>
        <w:t xml:space="preserve"> or reliability</w:t>
      </w:r>
      <w:r w:rsidR="006A5D00" w:rsidRPr="00540EB6">
        <w:rPr>
          <w:sz w:val="24"/>
          <w:szCs w:val="24"/>
        </w:rPr>
        <w:t xml:space="preserve"> for parts screened at any level, or commercial parts </w:t>
      </w:r>
      <w:r w:rsidR="00B1326F" w:rsidRPr="00540EB6">
        <w:rPr>
          <w:sz w:val="24"/>
          <w:szCs w:val="24"/>
        </w:rPr>
        <w:t xml:space="preserve">that have no </w:t>
      </w:r>
      <w:r w:rsidR="006A5D00" w:rsidRPr="00540EB6">
        <w:rPr>
          <w:sz w:val="24"/>
          <w:szCs w:val="24"/>
        </w:rPr>
        <w:t>additional screening</w:t>
      </w:r>
      <w:r w:rsidR="0042361D" w:rsidRPr="00540EB6">
        <w:rPr>
          <w:sz w:val="24"/>
          <w:szCs w:val="24"/>
        </w:rPr>
        <w:t xml:space="preserve"> performed by the government</w:t>
      </w:r>
      <w:r w:rsidR="006A5D00" w:rsidRPr="00540EB6">
        <w:rPr>
          <w:sz w:val="24"/>
          <w:szCs w:val="24"/>
        </w:rPr>
        <w:t>. This paper identifies several bases for establishing context and developing unique or alternative approaches for successful parts selection and application within NASA and across the commercial space community</w:t>
      </w:r>
      <w:r w:rsidR="003D1EBF" w:rsidRPr="00540EB6">
        <w:rPr>
          <w:sz w:val="24"/>
          <w:szCs w:val="24"/>
        </w:rPr>
        <w:t>.</w:t>
      </w:r>
    </w:p>
    <w:p w14:paraId="2ED4390D" w14:textId="77777777" w:rsidR="00E97402" w:rsidRPr="00540EB6" w:rsidRDefault="00E97402" w:rsidP="00E261E3">
      <w:pPr>
        <w:spacing w:line="480" w:lineRule="auto"/>
        <w:rPr>
          <w:sz w:val="24"/>
          <w:szCs w:val="24"/>
        </w:rPr>
      </w:pPr>
    </w:p>
    <w:p w14:paraId="1E9D6D09" w14:textId="620DA7CB" w:rsidR="00E97402" w:rsidRPr="00540EB6" w:rsidRDefault="00E97402" w:rsidP="00E261E3">
      <w:pPr>
        <w:pStyle w:val="IndexTerms"/>
        <w:spacing w:line="480" w:lineRule="auto"/>
        <w:rPr>
          <w:sz w:val="24"/>
          <w:szCs w:val="24"/>
        </w:rPr>
      </w:pPr>
      <w:bookmarkStart w:id="0" w:name="PointTmp"/>
      <w:r w:rsidRPr="00540EB6">
        <w:rPr>
          <w:i/>
          <w:iCs/>
          <w:sz w:val="24"/>
          <w:szCs w:val="24"/>
        </w:rPr>
        <w:t>Index Terms</w:t>
      </w:r>
      <w:r w:rsidRPr="00540EB6">
        <w:rPr>
          <w:sz w:val="24"/>
          <w:szCs w:val="24"/>
        </w:rPr>
        <w:t>—</w:t>
      </w:r>
      <w:r w:rsidR="006A5D00" w:rsidRPr="00540EB6">
        <w:rPr>
          <w:sz w:val="24"/>
          <w:szCs w:val="24"/>
        </w:rPr>
        <w:t xml:space="preserve">EEE Parts Reliability, </w:t>
      </w:r>
      <w:r w:rsidR="00A95828" w:rsidRPr="00540EB6">
        <w:rPr>
          <w:sz w:val="24"/>
          <w:szCs w:val="24"/>
        </w:rPr>
        <w:t xml:space="preserve">Electronic parts, </w:t>
      </w:r>
      <w:r w:rsidR="00C0520E" w:rsidRPr="00540EB6">
        <w:rPr>
          <w:sz w:val="24"/>
          <w:szCs w:val="24"/>
        </w:rPr>
        <w:t xml:space="preserve">COTS Parts, </w:t>
      </w:r>
      <w:r w:rsidR="006A5D00" w:rsidRPr="00540EB6">
        <w:rPr>
          <w:sz w:val="24"/>
          <w:szCs w:val="24"/>
        </w:rPr>
        <w:t>Aerospace EEE Parts, Parts Selection</w:t>
      </w:r>
      <w:r w:rsidR="00C0520E" w:rsidRPr="00540EB6">
        <w:rPr>
          <w:sz w:val="24"/>
          <w:szCs w:val="24"/>
        </w:rPr>
        <w:t xml:space="preserve"> and Management.</w:t>
      </w:r>
    </w:p>
    <w:p w14:paraId="186CA66C" w14:textId="77777777" w:rsidR="00E97402" w:rsidRPr="00540EB6" w:rsidRDefault="00E97402" w:rsidP="00E261E3">
      <w:pPr>
        <w:spacing w:line="480" w:lineRule="auto"/>
        <w:rPr>
          <w:sz w:val="24"/>
          <w:szCs w:val="24"/>
        </w:rPr>
      </w:pPr>
    </w:p>
    <w:bookmarkEnd w:id="0"/>
    <w:p w14:paraId="1B3940E6" w14:textId="77777777" w:rsidR="00E97402" w:rsidRPr="00F848F0" w:rsidRDefault="00E97402" w:rsidP="00E261E3">
      <w:pPr>
        <w:pStyle w:val="Heading1"/>
        <w:spacing w:line="480" w:lineRule="auto"/>
        <w:rPr>
          <w:b/>
          <w:bCs/>
          <w:sz w:val="24"/>
          <w:szCs w:val="24"/>
        </w:rPr>
      </w:pPr>
      <w:r w:rsidRPr="00F848F0">
        <w:rPr>
          <w:b/>
          <w:bCs/>
          <w:sz w:val="24"/>
          <w:szCs w:val="24"/>
        </w:rPr>
        <w:lastRenderedPageBreak/>
        <w:t>INTRODUCTION</w:t>
      </w:r>
    </w:p>
    <w:p w14:paraId="7E7B6BDA" w14:textId="142A18F4" w:rsidR="00E97402" w:rsidRPr="00540EB6" w:rsidRDefault="00FC70DB" w:rsidP="00E261E3">
      <w:pPr>
        <w:pStyle w:val="Text"/>
        <w:keepNext/>
        <w:framePr w:dropCap="drop" w:lines="2" w:wrap="auto" w:vAnchor="text" w:hAnchor="text"/>
        <w:spacing w:line="480" w:lineRule="auto"/>
        <w:ind w:firstLine="0"/>
        <w:rPr>
          <w:smallCaps/>
          <w:position w:val="-3"/>
          <w:sz w:val="24"/>
          <w:szCs w:val="24"/>
        </w:rPr>
      </w:pPr>
      <w:r>
        <w:rPr>
          <w:position w:val="-3"/>
          <w:sz w:val="24"/>
          <w:szCs w:val="24"/>
        </w:rPr>
        <w:t>S</w:t>
      </w:r>
      <w:r w:rsidR="00025EDD">
        <w:rPr>
          <w:position w:val="-3"/>
          <w:sz w:val="24"/>
          <w:szCs w:val="24"/>
        </w:rPr>
        <w:t xml:space="preserve"> </w:t>
      </w:r>
    </w:p>
    <w:p w14:paraId="5FE58227" w14:textId="1C4673EE" w:rsidR="00A243F8" w:rsidRPr="00540EB6" w:rsidRDefault="00FC70DB" w:rsidP="007239BC">
      <w:pPr>
        <w:spacing w:line="480" w:lineRule="auto"/>
        <w:rPr>
          <w:sz w:val="24"/>
          <w:szCs w:val="24"/>
        </w:rPr>
      </w:pPr>
      <w:r>
        <w:rPr>
          <w:smallCaps/>
          <w:sz w:val="24"/>
          <w:szCs w:val="24"/>
        </w:rPr>
        <w:t xml:space="preserve">ince </w:t>
      </w:r>
      <w:r w:rsidR="006A5D00" w:rsidRPr="00540EB6">
        <w:rPr>
          <w:sz w:val="24"/>
          <w:szCs w:val="24"/>
        </w:rPr>
        <w:t>the</w:t>
      </w:r>
      <w:r>
        <w:rPr>
          <w:sz w:val="24"/>
          <w:szCs w:val="24"/>
        </w:rPr>
        <w:t xml:space="preserve"> inception of the space program in the 1950’s</w:t>
      </w:r>
      <w:r w:rsidR="002035F6">
        <w:rPr>
          <w:sz w:val="24"/>
          <w:szCs w:val="24"/>
        </w:rPr>
        <w:t>, the reliability of electronic parts used in electronic assemblies has been considered a major area of risk</w:t>
      </w:r>
      <w:r w:rsidR="003530C4">
        <w:rPr>
          <w:sz w:val="24"/>
          <w:szCs w:val="24"/>
        </w:rPr>
        <w:t xml:space="preserve"> to successful space applications</w:t>
      </w:r>
      <w:r w:rsidR="00A26FB6">
        <w:rPr>
          <w:sz w:val="24"/>
          <w:szCs w:val="24"/>
        </w:rPr>
        <w:t>.</w:t>
      </w:r>
      <w:r w:rsidR="00025EDD">
        <w:rPr>
          <w:sz w:val="24"/>
          <w:szCs w:val="24"/>
        </w:rPr>
        <w:t xml:space="preserve"> Risk, for the purpose of this paper, i</w:t>
      </w:r>
      <w:r w:rsidR="005321F3">
        <w:rPr>
          <w:sz w:val="24"/>
          <w:szCs w:val="24"/>
        </w:rPr>
        <w:t>s</w:t>
      </w:r>
      <w:r w:rsidR="00025EDD">
        <w:rPr>
          <w:sz w:val="24"/>
          <w:szCs w:val="24"/>
        </w:rPr>
        <w:t xml:space="preserve"> an expectation of loss in statistical terms. </w:t>
      </w:r>
      <w:r w:rsidR="00A26FB6">
        <w:rPr>
          <w:sz w:val="24"/>
          <w:szCs w:val="24"/>
        </w:rPr>
        <w:t>Operation in space brings about many unique environmental considerations, some of which are beneficial to reliability and some of which are threats.</w:t>
      </w:r>
      <w:r w:rsidR="00025EDD">
        <w:rPr>
          <w:sz w:val="24"/>
          <w:szCs w:val="24"/>
        </w:rPr>
        <w:t xml:space="preserve"> </w:t>
      </w:r>
      <w:r w:rsidR="003530C4">
        <w:rPr>
          <w:sz w:val="24"/>
          <w:szCs w:val="24"/>
        </w:rPr>
        <w:t>The primary threat to electronic parts in space is radiation. There is a broad range of potential radiation effects on electronics.</w:t>
      </w:r>
      <w:r w:rsidR="00025EDD">
        <w:rPr>
          <w:sz w:val="24"/>
          <w:szCs w:val="24"/>
        </w:rPr>
        <w:t xml:space="preserve"> </w:t>
      </w:r>
      <w:r w:rsidR="003530C4">
        <w:rPr>
          <w:sz w:val="24"/>
          <w:szCs w:val="24"/>
        </w:rPr>
        <w:t xml:space="preserve">Shielding and the use of designs that </w:t>
      </w:r>
      <w:proofErr w:type="gramStart"/>
      <w:r w:rsidR="00604CA1">
        <w:rPr>
          <w:sz w:val="24"/>
          <w:szCs w:val="24"/>
        </w:rPr>
        <w:t>are able to</w:t>
      </w:r>
      <w:proofErr w:type="gramEnd"/>
      <w:r w:rsidR="00604CA1">
        <w:rPr>
          <w:sz w:val="24"/>
          <w:szCs w:val="24"/>
        </w:rPr>
        <w:t xml:space="preserve"> mitigate or avoid the effects of radiation are a great approach of dealing with the concern, but these approaches require skills that are not broadly </w:t>
      </w:r>
      <w:r w:rsidR="007239BC">
        <w:rPr>
          <w:sz w:val="24"/>
          <w:szCs w:val="24"/>
        </w:rPr>
        <w:t>available.</w:t>
      </w:r>
      <w:r w:rsidR="00025EDD">
        <w:rPr>
          <w:sz w:val="24"/>
          <w:szCs w:val="24"/>
        </w:rPr>
        <w:t xml:space="preserve"> </w:t>
      </w:r>
      <w:r w:rsidR="007239BC" w:rsidRPr="007239BC">
        <w:rPr>
          <w:sz w:val="24"/>
          <w:szCs w:val="24"/>
        </w:rPr>
        <w:t>Radiation hardness (RH) is a multi-dimensional property of any part that describes intrinsic abilities to tolerate various radiation environments</w:t>
      </w:r>
      <w:r w:rsidR="007239BC">
        <w:rPr>
          <w:sz w:val="24"/>
          <w:szCs w:val="24"/>
        </w:rPr>
        <w:t>.</w:t>
      </w:r>
      <w:r w:rsidR="00025EDD">
        <w:rPr>
          <w:sz w:val="24"/>
          <w:szCs w:val="24"/>
        </w:rPr>
        <w:t xml:space="preserve"> </w:t>
      </w:r>
      <w:r w:rsidR="007239BC" w:rsidRPr="007239BC">
        <w:rPr>
          <w:sz w:val="24"/>
          <w:szCs w:val="24"/>
        </w:rPr>
        <w:t>Effects to be concerned with include total ionizing dose, total non-ionizing dose, and single-event effects – all of which depend on the mission, environment, application, and lifetime</w:t>
      </w:r>
      <w:r w:rsidR="007239BC">
        <w:rPr>
          <w:sz w:val="24"/>
          <w:szCs w:val="24"/>
        </w:rPr>
        <w:t>.</w:t>
      </w:r>
      <w:r w:rsidR="00025EDD">
        <w:rPr>
          <w:sz w:val="24"/>
          <w:szCs w:val="24"/>
        </w:rPr>
        <w:t xml:space="preserve"> </w:t>
      </w:r>
      <w:r w:rsidR="007239BC">
        <w:rPr>
          <w:sz w:val="24"/>
          <w:szCs w:val="24"/>
        </w:rPr>
        <w:t xml:space="preserve">There are unique radiation effects </w:t>
      </w:r>
      <w:r w:rsidR="00283A56">
        <w:rPr>
          <w:sz w:val="24"/>
          <w:szCs w:val="24"/>
        </w:rPr>
        <w:t xml:space="preserve">when passing </w:t>
      </w:r>
      <w:r w:rsidR="007239BC">
        <w:rPr>
          <w:sz w:val="24"/>
          <w:szCs w:val="24"/>
        </w:rPr>
        <w:t>through the South Atlantic Anomaly</w:t>
      </w:r>
      <w:r w:rsidR="00283A56">
        <w:rPr>
          <w:sz w:val="24"/>
          <w:szCs w:val="24"/>
        </w:rPr>
        <w:t xml:space="preserve"> </w:t>
      </w:r>
      <w:r w:rsidR="00C949E9">
        <w:rPr>
          <w:sz w:val="24"/>
          <w:szCs w:val="24"/>
        </w:rPr>
        <w:fldChar w:fldCharType="begin"/>
      </w:r>
      <w:r w:rsidR="00C949E9">
        <w:rPr>
          <w:sz w:val="24"/>
          <w:szCs w:val="24"/>
        </w:rPr>
        <w:instrText xml:space="preserve"> REF _Ref89960759 \r \h </w:instrText>
      </w:r>
      <w:r w:rsidR="00C949E9">
        <w:rPr>
          <w:sz w:val="24"/>
          <w:szCs w:val="24"/>
        </w:rPr>
      </w:r>
      <w:r w:rsidR="00C949E9">
        <w:rPr>
          <w:sz w:val="24"/>
          <w:szCs w:val="24"/>
        </w:rPr>
        <w:fldChar w:fldCharType="separate"/>
      </w:r>
      <w:r w:rsidR="00C949E9">
        <w:rPr>
          <w:sz w:val="24"/>
          <w:szCs w:val="24"/>
        </w:rPr>
        <w:t>[1]</w:t>
      </w:r>
      <w:r w:rsidR="00C949E9">
        <w:rPr>
          <w:sz w:val="24"/>
          <w:szCs w:val="24"/>
        </w:rPr>
        <w:fldChar w:fldCharType="end"/>
      </w:r>
      <w:r w:rsidR="007239BC">
        <w:rPr>
          <w:sz w:val="24"/>
          <w:szCs w:val="24"/>
        </w:rPr>
        <w:t>, the Van Allen Belts</w:t>
      </w:r>
      <w:r w:rsidR="00C949E9">
        <w:rPr>
          <w:sz w:val="24"/>
          <w:szCs w:val="24"/>
        </w:rPr>
        <w:t xml:space="preserve"> </w:t>
      </w:r>
      <w:r w:rsidR="00C949E9">
        <w:rPr>
          <w:sz w:val="24"/>
          <w:szCs w:val="24"/>
        </w:rPr>
        <w:fldChar w:fldCharType="begin"/>
      </w:r>
      <w:r w:rsidR="00C949E9">
        <w:rPr>
          <w:sz w:val="24"/>
          <w:szCs w:val="24"/>
        </w:rPr>
        <w:instrText xml:space="preserve"> REF _Ref89960779 \r \h </w:instrText>
      </w:r>
      <w:r w:rsidR="00C949E9">
        <w:rPr>
          <w:sz w:val="24"/>
          <w:szCs w:val="24"/>
        </w:rPr>
      </w:r>
      <w:r w:rsidR="00C949E9">
        <w:rPr>
          <w:sz w:val="24"/>
          <w:szCs w:val="24"/>
        </w:rPr>
        <w:fldChar w:fldCharType="separate"/>
      </w:r>
      <w:r w:rsidR="00C949E9">
        <w:rPr>
          <w:sz w:val="24"/>
          <w:szCs w:val="24"/>
        </w:rPr>
        <w:t>[2]</w:t>
      </w:r>
      <w:r w:rsidR="00C949E9">
        <w:rPr>
          <w:sz w:val="24"/>
          <w:szCs w:val="24"/>
        </w:rPr>
        <w:fldChar w:fldCharType="end"/>
      </w:r>
      <w:r w:rsidR="007239BC">
        <w:rPr>
          <w:sz w:val="24"/>
          <w:szCs w:val="24"/>
        </w:rPr>
        <w:t>, or are on the surface of Mars</w:t>
      </w:r>
      <w:r w:rsidR="00C949E9">
        <w:rPr>
          <w:sz w:val="24"/>
          <w:szCs w:val="24"/>
        </w:rPr>
        <w:t xml:space="preserve"> </w:t>
      </w:r>
      <w:r w:rsidR="00C949E9">
        <w:rPr>
          <w:sz w:val="24"/>
          <w:szCs w:val="24"/>
        </w:rPr>
        <w:fldChar w:fldCharType="begin"/>
      </w:r>
      <w:r w:rsidR="00C949E9">
        <w:rPr>
          <w:sz w:val="24"/>
          <w:szCs w:val="24"/>
        </w:rPr>
        <w:instrText xml:space="preserve"> REF _Ref89960790 \r \h </w:instrText>
      </w:r>
      <w:r w:rsidR="00C949E9">
        <w:rPr>
          <w:sz w:val="24"/>
          <w:szCs w:val="24"/>
        </w:rPr>
      </w:r>
      <w:r w:rsidR="00C949E9">
        <w:rPr>
          <w:sz w:val="24"/>
          <w:szCs w:val="24"/>
        </w:rPr>
        <w:fldChar w:fldCharType="separate"/>
      </w:r>
      <w:r w:rsidR="00C949E9">
        <w:rPr>
          <w:sz w:val="24"/>
          <w:szCs w:val="24"/>
        </w:rPr>
        <w:t>[3]</w:t>
      </w:r>
      <w:r w:rsidR="00C949E9">
        <w:rPr>
          <w:sz w:val="24"/>
          <w:szCs w:val="24"/>
        </w:rPr>
        <w:fldChar w:fldCharType="end"/>
      </w:r>
      <w:r w:rsidR="007239BC">
        <w:rPr>
          <w:sz w:val="24"/>
          <w:szCs w:val="24"/>
        </w:rPr>
        <w:t>.</w:t>
      </w:r>
      <w:r w:rsidR="00025EDD">
        <w:rPr>
          <w:sz w:val="24"/>
          <w:szCs w:val="24"/>
        </w:rPr>
        <w:t xml:space="preserve"> </w:t>
      </w:r>
      <w:r w:rsidR="00A66D67">
        <w:rPr>
          <w:sz w:val="24"/>
          <w:szCs w:val="24"/>
        </w:rPr>
        <w:t>Total dose effects accumulate over time possibly leading to a wear-out effect, while single event effects happen instantaneously and may result in a part failure or a reset or memory loss type of effect.</w:t>
      </w:r>
      <w:r w:rsidR="00025EDD">
        <w:rPr>
          <w:sz w:val="24"/>
          <w:szCs w:val="24"/>
        </w:rPr>
        <w:t xml:space="preserve"> </w:t>
      </w:r>
      <w:r w:rsidR="00A26FB6">
        <w:rPr>
          <w:sz w:val="24"/>
          <w:szCs w:val="24"/>
        </w:rPr>
        <w:t>In the</w:t>
      </w:r>
      <w:r w:rsidR="006A5D00" w:rsidRPr="00540EB6">
        <w:rPr>
          <w:sz w:val="24"/>
          <w:szCs w:val="24"/>
        </w:rPr>
        <w:t xml:space="preserve"> past, commercial drivers for component reliability were limited, so the military specification (MIL-SPEC) system was developed to cordon off a sector of electronic parts manufacturing to ensure that parts developed for space and other critical applications were consistently produced, with limited variability, and to maintain measured failure rate limits at most extreme conditions of usage for the parts.</w:t>
      </w:r>
      <w:r w:rsidR="00025EDD">
        <w:rPr>
          <w:sz w:val="24"/>
          <w:szCs w:val="24"/>
        </w:rPr>
        <w:t xml:space="preserve"> </w:t>
      </w:r>
      <w:r w:rsidR="006A5D00" w:rsidRPr="00540EB6">
        <w:rPr>
          <w:sz w:val="24"/>
          <w:szCs w:val="24"/>
        </w:rPr>
        <w:t>In these early days of the space program</w:t>
      </w:r>
      <w:r w:rsidR="00F2081C">
        <w:rPr>
          <w:sz w:val="24"/>
          <w:szCs w:val="24"/>
        </w:rPr>
        <w:t>, circa 1950’s through 1970’s</w:t>
      </w:r>
      <w:r w:rsidR="00F2081C" w:rsidRPr="00540EB6">
        <w:rPr>
          <w:sz w:val="24"/>
          <w:szCs w:val="24"/>
        </w:rPr>
        <w:t xml:space="preserve">, </w:t>
      </w:r>
      <w:r w:rsidR="006A5D00" w:rsidRPr="00540EB6">
        <w:rPr>
          <w:sz w:val="24"/>
          <w:szCs w:val="24"/>
        </w:rPr>
        <w:t xml:space="preserve">it was a foregone conclusion that capabilities of components (e.g., processors, actuators, etc.) and instruments in space would be far behind technologically from similar terrestrial devices, and thus it was considered a good trade to give up performance on parts </w:t>
      </w:r>
      <w:r w:rsidR="000D5657" w:rsidRPr="00540EB6">
        <w:rPr>
          <w:sz w:val="24"/>
          <w:szCs w:val="24"/>
        </w:rPr>
        <w:t xml:space="preserve">(and limit the technology) </w:t>
      </w:r>
      <w:r w:rsidR="006A5D00" w:rsidRPr="00540EB6">
        <w:rPr>
          <w:sz w:val="24"/>
          <w:szCs w:val="24"/>
        </w:rPr>
        <w:t>in order to make them more robust, and thus reliable for the broadest set of applications. For example, an acceptable trade may involve accepting a bulkier, slower performing, or higher power part in exchange for having reliable operation between</w:t>
      </w:r>
      <w:r w:rsidR="000D5657" w:rsidRPr="00540EB6">
        <w:rPr>
          <w:sz w:val="24"/>
          <w:szCs w:val="24"/>
        </w:rPr>
        <w:t xml:space="preserve">, say, </w:t>
      </w:r>
      <w:r w:rsidR="006A5D00" w:rsidRPr="00540EB6">
        <w:rPr>
          <w:sz w:val="24"/>
          <w:szCs w:val="24"/>
        </w:rPr>
        <w:t>50</w:t>
      </w:r>
      <w:r w:rsidR="00931299" w:rsidRPr="00540EB6">
        <w:rPr>
          <w:sz w:val="24"/>
          <w:szCs w:val="24"/>
        </w:rPr>
        <w:t>°</w:t>
      </w:r>
      <w:r w:rsidR="006A5D00" w:rsidRPr="00540EB6">
        <w:rPr>
          <w:sz w:val="24"/>
          <w:szCs w:val="24"/>
        </w:rPr>
        <w:t>C and 150</w:t>
      </w:r>
      <w:r w:rsidR="00931299" w:rsidRPr="00540EB6">
        <w:rPr>
          <w:sz w:val="24"/>
          <w:szCs w:val="24"/>
        </w:rPr>
        <w:t>°</w:t>
      </w:r>
      <w:r w:rsidR="006A5D00" w:rsidRPr="00540EB6">
        <w:rPr>
          <w:sz w:val="24"/>
          <w:szCs w:val="24"/>
        </w:rPr>
        <w:t>C, as opposed to a much narrower temperature range.</w:t>
      </w:r>
      <w:r w:rsidR="00025EDD">
        <w:rPr>
          <w:sz w:val="24"/>
          <w:szCs w:val="24"/>
        </w:rPr>
        <w:t xml:space="preserve"> </w:t>
      </w:r>
      <w:r w:rsidR="006A5D00" w:rsidRPr="00540EB6">
        <w:rPr>
          <w:sz w:val="24"/>
          <w:szCs w:val="24"/>
        </w:rPr>
        <w:t xml:space="preserve">As part of the Defense Acquisition Reform activities in </w:t>
      </w:r>
      <w:r w:rsidR="006A5D00" w:rsidRPr="00540EB6">
        <w:rPr>
          <w:sz w:val="24"/>
          <w:szCs w:val="24"/>
        </w:rPr>
        <w:lastRenderedPageBreak/>
        <w:t xml:space="preserve">the late 90’s, while commercial capabilities grew, the U.S. Government began to move away from the </w:t>
      </w:r>
      <w:r w:rsidR="004426DF">
        <w:rPr>
          <w:sz w:val="24"/>
          <w:szCs w:val="24"/>
        </w:rPr>
        <w:t>military specification</w:t>
      </w:r>
      <w:r w:rsidR="006A5D00" w:rsidRPr="00540EB6">
        <w:rPr>
          <w:sz w:val="24"/>
          <w:szCs w:val="24"/>
        </w:rPr>
        <w:t>s</w:t>
      </w:r>
      <w:r w:rsidR="00931299" w:rsidRPr="00540EB6">
        <w:rPr>
          <w:sz w:val="24"/>
          <w:szCs w:val="24"/>
        </w:rPr>
        <w:t xml:space="preserve"> </w:t>
      </w:r>
      <w:r w:rsidR="00931299" w:rsidRPr="00540EB6">
        <w:rPr>
          <w:sz w:val="24"/>
          <w:szCs w:val="24"/>
        </w:rPr>
        <w:fldChar w:fldCharType="begin"/>
      </w:r>
      <w:r w:rsidR="00931299" w:rsidRPr="00540EB6">
        <w:rPr>
          <w:sz w:val="24"/>
          <w:szCs w:val="24"/>
        </w:rPr>
        <w:instrText xml:space="preserve"> REF _Ref67576173 \r \h </w:instrText>
      </w:r>
      <w:r w:rsidR="00E261E3" w:rsidRPr="00540EB6">
        <w:rPr>
          <w:sz w:val="24"/>
          <w:szCs w:val="24"/>
        </w:rPr>
        <w:instrText xml:space="preserve"> \* MERGEFORMAT </w:instrText>
      </w:r>
      <w:r w:rsidR="00931299" w:rsidRPr="00540EB6">
        <w:rPr>
          <w:sz w:val="24"/>
          <w:szCs w:val="24"/>
        </w:rPr>
      </w:r>
      <w:r w:rsidR="00931299" w:rsidRPr="00540EB6">
        <w:rPr>
          <w:sz w:val="24"/>
          <w:szCs w:val="24"/>
        </w:rPr>
        <w:fldChar w:fldCharType="separate"/>
      </w:r>
      <w:r w:rsidR="003102F4" w:rsidRPr="00540EB6">
        <w:rPr>
          <w:sz w:val="24"/>
          <w:szCs w:val="24"/>
        </w:rPr>
        <w:t>[10]</w:t>
      </w:r>
      <w:r w:rsidR="00931299" w:rsidRPr="00540EB6">
        <w:rPr>
          <w:sz w:val="24"/>
          <w:szCs w:val="24"/>
        </w:rPr>
        <w:fldChar w:fldCharType="end"/>
      </w:r>
      <w:r w:rsidR="006A5D00" w:rsidRPr="00540EB6">
        <w:rPr>
          <w:sz w:val="24"/>
          <w:szCs w:val="24"/>
        </w:rPr>
        <w:t>.</w:t>
      </w:r>
      <w:r w:rsidR="00025EDD">
        <w:rPr>
          <w:sz w:val="24"/>
          <w:szCs w:val="24"/>
        </w:rPr>
        <w:t xml:space="preserve"> </w:t>
      </w:r>
      <w:r w:rsidR="006A5D00" w:rsidRPr="00540EB6">
        <w:rPr>
          <w:sz w:val="24"/>
          <w:szCs w:val="24"/>
        </w:rPr>
        <w:t xml:space="preserve">While it was well-accepted that the </w:t>
      </w:r>
      <w:r w:rsidR="004426DF">
        <w:rPr>
          <w:sz w:val="24"/>
          <w:szCs w:val="24"/>
        </w:rPr>
        <w:t>military specification</w:t>
      </w:r>
      <w:r w:rsidR="006A5D00" w:rsidRPr="00540EB6">
        <w:rPr>
          <w:sz w:val="24"/>
          <w:szCs w:val="24"/>
        </w:rPr>
        <w:t xml:space="preserve">s were still needed to ensure quality and reliability of procured components, a </w:t>
      </w:r>
      <w:r w:rsidR="00A64329" w:rsidRPr="00540EB6">
        <w:rPr>
          <w:sz w:val="24"/>
          <w:szCs w:val="24"/>
        </w:rPr>
        <w:t xml:space="preserve">growing </w:t>
      </w:r>
      <w:r w:rsidR="006A5D00" w:rsidRPr="00540EB6">
        <w:rPr>
          <w:sz w:val="24"/>
          <w:szCs w:val="24"/>
        </w:rPr>
        <w:t xml:space="preserve">volume of parts was being manufactured commercially, without </w:t>
      </w:r>
      <w:r w:rsidR="004426DF">
        <w:rPr>
          <w:sz w:val="24"/>
          <w:szCs w:val="24"/>
        </w:rPr>
        <w:t>military specification</w:t>
      </w:r>
      <w:r w:rsidR="006A5D00" w:rsidRPr="00540EB6">
        <w:rPr>
          <w:sz w:val="24"/>
          <w:szCs w:val="24"/>
        </w:rPr>
        <w:t xml:space="preserve"> purview</w:t>
      </w:r>
      <w:r w:rsidR="00A64329" w:rsidRPr="00540EB6">
        <w:rPr>
          <w:sz w:val="24"/>
          <w:szCs w:val="24"/>
        </w:rPr>
        <w:t>, generally with more performance capability and in some cases narrower bounds on their environmental and electrical specifications</w:t>
      </w:r>
      <w:r w:rsidR="006A5D00" w:rsidRPr="00540EB6">
        <w:rPr>
          <w:sz w:val="24"/>
          <w:szCs w:val="24"/>
        </w:rPr>
        <w:t>.</w:t>
      </w:r>
      <w:r w:rsidR="00025EDD">
        <w:rPr>
          <w:sz w:val="24"/>
          <w:szCs w:val="24"/>
        </w:rPr>
        <w:t xml:space="preserve"> </w:t>
      </w:r>
      <w:r w:rsidR="006A5D00" w:rsidRPr="00540EB6">
        <w:rPr>
          <w:sz w:val="24"/>
          <w:szCs w:val="24"/>
        </w:rPr>
        <w:t xml:space="preserve">This gave rise to the development of a NASA Parts Selection List (NPSL) </w:t>
      </w:r>
      <w:r w:rsidR="00931299" w:rsidRPr="00540EB6">
        <w:rPr>
          <w:sz w:val="24"/>
          <w:szCs w:val="24"/>
        </w:rPr>
        <w:fldChar w:fldCharType="begin"/>
      </w:r>
      <w:r w:rsidR="00931299" w:rsidRPr="00540EB6">
        <w:rPr>
          <w:sz w:val="24"/>
          <w:szCs w:val="24"/>
        </w:rPr>
        <w:instrText xml:space="preserve"> REF _Ref67576193 \r \h </w:instrText>
      </w:r>
      <w:r w:rsidR="00E261E3" w:rsidRPr="00540EB6">
        <w:rPr>
          <w:sz w:val="24"/>
          <w:szCs w:val="24"/>
        </w:rPr>
        <w:instrText xml:space="preserve"> \* MERGEFORMAT </w:instrText>
      </w:r>
      <w:r w:rsidR="00931299" w:rsidRPr="00540EB6">
        <w:rPr>
          <w:sz w:val="24"/>
          <w:szCs w:val="24"/>
        </w:rPr>
      </w:r>
      <w:r w:rsidR="00931299" w:rsidRPr="00540EB6">
        <w:rPr>
          <w:sz w:val="24"/>
          <w:szCs w:val="24"/>
        </w:rPr>
        <w:fldChar w:fldCharType="separate"/>
      </w:r>
      <w:r w:rsidR="003102F4" w:rsidRPr="00540EB6">
        <w:rPr>
          <w:sz w:val="24"/>
          <w:szCs w:val="24"/>
        </w:rPr>
        <w:t>[12]</w:t>
      </w:r>
      <w:r w:rsidR="00931299" w:rsidRPr="00540EB6">
        <w:rPr>
          <w:sz w:val="24"/>
          <w:szCs w:val="24"/>
        </w:rPr>
        <w:fldChar w:fldCharType="end"/>
      </w:r>
      <w:r w:rsidR="006A5D00" w:rsidRPr="00540EB6">
        <w:rPr>
          <w:sz w:val="24"/>
          <w:szCs w:val="24"/>
        </w:rPr>
        <w:t xml:space="preserve"> </w:t>
      </w:r>
      <w:r w:rsidR="00A4568A">
        <w:rPr>
          <w:sz w:val="24"/>
          <w:szCs w:val="24"/>
        </w:rPr>
        <w:t xml:space="preserve">in the late 90’s </w:t>
      </w:r>
      <w:r w:rsidR="006A5D00" w:rsidRPr="00540EB6">
        <w:rPr>
          <w:sz w:val="24"/>
          <w:szCs w:val="24"/>
        </w:rPr>
        <w:t>that listed parts that had successful use in the past and/or that had been tested in the Lab by NASA engineers and technicians.</w:t>
      </w:r>
      <w:r w:rsidR="00025EDD">
        <w:rPr>
          <w:sz w:val="24"/>
          <w:szCs w:val="24"/>
        </w:rPr>
        <w:t xml:space="preserve"> </w:t>
      </w:r>
      <w:r w:rsidR="00A4568A">
        <w:rPr>
          <w:sz w:val="24"/>
          <w:szCs w:val="24"/>
        </w:rPr>
        <w:t xml:space="preserve">In the early 2000’s, NASA was combing </w:t>
      </w:r>
      <w:r w:rsidR="00744CEA">
        <w:rPr>
          <w:sz w:val="24"/>
          <w:szCs w:val="24"/>
        </w:rPr>
        <w:t>e-commerce sites online</w:t>
      </w:r>
      <w:r w:rsidR="00A4568A">
        <w:rPr>
          <w:sz w:val="24"/>
          <w:szCs w:val="24"/>
        </w:rPr>
        <w:t xml:space="preserve"> to purchase 1970’s technology 086 processors, even while the Pentium 4</w:t>
      </w:r>
      <w:r w:rsidR="00A4568A">
        <w:rPr>
          <w:sz w:val="24"/>
          <w:szCs w:val="24"/>
        </w:rPr>
        <w:sym w:font="Symbol" w:char="F0D4"/>
      </w:r>
      <w:r w:rsidR="00A4568A">
        <w:rPr>
          <w:sz w:val="24"/>
          <w:szCs w:val="24"/>
        </w:rPr>
        <w:t xml:space="preserve"> was coming out, </w:t>
      </w:r>
      <w:r w:rsidR="00744CEA">
        <w:rPr>
          <w:sz w:val="24"/>
          <w:szCs w:val="24"/>
        </w:rPr>
        <w:t>to</w:t>
      </w:r>
      <w:r w:rsidR="00A4568A">
        <w:rPr>
          <w:sz w:val="24"/>
          <w:szCs w:val="24"/>
        </w:rPr>
        <w:t xml:space="preserve"> maintain the aging Space Transportation System (aka Space Shuttle)</w:t>
      </w:r>
      <w:r w:rsidR="00207E2C">
        <w:rPr>
          <w:sz w:val="24"/>
          <w:szCs w:val="24"/>
        </w:rPr>
        <w:t xml:space="preserve">. </w:t>
      </w:r>
      <w:r w:rsidR="00A4568A">
        <w:rPr>
          <w:sz w:val="24"/>
          <w:szCs w:val="24"/>
        </w:rPr>
        <w:t xml:space="preserve"> </w:t>
      </w:r>
      <w:r w:rsidR="00916038">
        <w:rPr>
          <w:sz w:val="24"/>
          <w:szCs w:val="24"/>
        </w:rPr>
        <w:t>For decades, US Government research and development facilities operated under broad lines of funding that covered high-level objectives, where the government employee (civil servant) labor was allocated as number of personnel per organization, as opposed to an hourly accounting for the individual tasks that each civil servant was working on.</w:t>
      </w:r>
      <w:r w:rsidR="00744CEA">
        <w:rPr>
          <w:sz w:val="24"/>
          <w:szCs w:val="24"/>
        </w:rPr>
        <w:t xml:space="preserve"> </w:t>
      </w:r>
      <w:r w:rsidR="00916038">
        <w:rPr>
          <w:sz w:val="24"/>
          <w:szCs w:val="24"/>
        </w:rPr>
        <w:t>This enabled the organizations to set up facilities and capabilities that could broadly support numerous customers (including the public at large) without requirement any type of reimbursement.</w:t>
      </w:r>
      <w:r w:rsidR="00744CEA">
        <w:rPr>
          <w:sz w:val="24"/>
          <w:szCs w:val="24"/>
        </w:rPr>
        <w:t xml:space="preserve"> </w:t>
      </w:r>
      <w:r w:rsidR="00916038">
        <w:rPr>
          <w:sz w:val="24"/>
          <w:szCs w:val="24"/>
        </w:rPr>
        <w:t>In the 1990’s, this was deemed inefficient and lacking accountability, as well as in stark contrast to the commercial world, and subsequently a full-cost accounting system was set up in which support functions had to be charged hourly to the customers they served.</w:t>
      </w:r>
      <w:r w:rsidR="00744CEA">
        <w:rPr>
          <w:sz w:val="24"/>
          <w:szCs w:val="24"/>
        </w:rPr>
        <w:t xml:space="preserve"> </w:t>
      </w:r>
      <w:r w:rsidR="00A66ADF">
        <w:rPr>
          <w:sz w:val="24"/>
          <w:szCs w:val="24"/>
        </w:rPr>
        <w:t>While this largely made sense, it all but eliminated many proactive activities that supported multiple projects because work could not be done before the project existed and many of those that existed were under cost scrutiny and couldn’t afford the taxes required to pay for such functions.</w:t>
      </w:r>
      <w:r w:rsidR="00744CEA">
        <w:rPr>
          <w:sz w:val="24"/>
          <w:szCs w:val="24"/>
        </w:rPr>
        <w:t xml:space="preserve"> </w:t>
      </w:r>
      <w:r w:rsidR="006A5D00" w:rsidRPr="00540EB6">
        <w:rPr>
          <w:sz w:val="24"/>
          <w:szCs w:val="24"/>
        </w:rPr>
        <w:t>Ultimately, under full cost accounting</w:t>
      </w:r>
      <w:r w:rsidR="007A4152">
        <w:rPr>
          <w:sz w:val="24"/>
          <w:szCs w:val="24"/>
        </w:rPr>
        <w:t xml:space="preserve"> (</w:t>
      </w:r>
      <w:r w:rsidR="007A4152" w:rsidRPr="007A4152">
        <w:rPr>
          <w:sz w:val="24"/>
          <w:szCs w:val="24"/>
        </w:rPr>
        <w:t xml:space="preserve">full cost accounting ties direct and indirect costs to </w:t>
      </w:r>
      <w:r w:rsidR="007A4152">
        <w:rPr>
          <w:sz w:val="24"/>
          <w:szCs w:val="24"/>
        </w:rPr>
        <w:t xml:space="preserve">a </w:t>
      </w:r>
      <w:r w:rsidR="007A4152" w:rsidRPr="007A4152">
        <w:rPr>
          <w:sz w:val="24"/>
          <w:szCs w:val="24"/>
        </w:rPr>
        <w:t>program, project, and institutional activit</w:t>
      </w:r>
      <w:r w:rsidR="007A4152">
        <w:rPr>
          <w:sz w:val="24"/>
          <w:szCs w:val="24"/>
        </w:rPr>
        <w:t>y</w:t>
      </w:r>
      <w:r w:rsidR="00D11776">
        <w:rPr>
          <w:sz w:val="24"/>
          <w:szCs w:val="24"/>
        </w:rPr>
        <w:t>- a</w:t>
      </w:r>
      <w:r w:rsidR="007A4152">
        <w:rPr>
          <w:sz w:val="24"/>
          <w:szCs w:val="24"/>
        </w:rPr>
        <w:t xml:space="preserve">ctivities such as </w:t>
      </w:r>
      <w:r w:rsidR="007A4152" w:rsidRPr="007A4152">
        <w:rPr>
          <w:sz w:val="24"/>
          <w:szCs w:val="24"/>
        </w:rPr>
        <w:t>institutional infrastructure costs</w:t>
      </w:r>
      <w:r w:rsidR="007A4152">
        <w:rPr>
          <w:sz w:val="24"/>
          <w:szCs w:val="24"/>
        </w:rPr>
        <w:t xml:space="preserve">, </w:t>
      </w:r>
      <w:r w:rsidR="007A4152" w:rsidRPr="007A4152">
        <w:rPr>
          <w:sz w:val="24"/>
          <w:szCs w:val="24"/>
        </w:rPr>
        <w:t>salaries and the use of facilities and support services are linked to programs and projects</w:t>
      </w:r>
      <w:r w:rsidR="007A4152">
        <w:rPr>
          <w:sz w:val="24"/>
          <w:szCs w:val="24"/>
        </w:rPr>
        <w:t>)</w:t>
      </w:r>
      <w:r w:rsidR="006A5D00" w:rsidRPr="00540EB6">
        <w:rPr>
          <w:sz w:val="24"/>
          <w:szCs w:val="24"/>
        </w:rPr>
        <w:t xml:space="preserve">, the continued broad testing required to maintain the NPSL was no longer feasible, and documents such as </w:t>
      </w:r>
      <w:r w:rsidR="004426DF">
        <w:rPr>
          <w:sz w:val="24"/>
          <w:szCs w:val="24"/>
        </w:rPr>
        <w:t xml:space="preserve">the </w:t>
      </w:r>
      <w:r w:rsidR="001123F6">
        <w:rPr>
          <w:sz w:val="24"/>
          <w:szCs w:val="24"/>
        </w:rPr>
        <w:t xml:space="preserve">NASA Goddard </w:t>
      </w:r>
      <w:r w:rsidR="005321F3">
        <w:rPr>
          <w:sz w:val="24"/>
          <w:szCs w:val="24"/>
        </w:rPr>
        <w:t xml:space="preserve">Space Flight </w:t>
      </w:r>
      <w:r w:rsidR="001123F6">
        <w:rPr>
          <w:sz w:val="24"/>
          <w:szCs w:val="24"/>
        </w:rPr>
        <w:t xml:space="preserve">Center document - </w:t>
      </w:r>
      <w:r w:rsidR="004426DF">
        <w:rPr>
          <w:sz w:val="24"/>
          <w:szCs w:val="24"/>
        </w:rPr>
        <w:t>I</w:t>
      </w:r>
      <w:r w:rsidR="004426DF" w:rsidRPr="004426DF">
        <w:rPr>
          <w:sz w:val="24"/>
          <w:szCs w:val="24"/>
        </w:rPr>
        <w:t xml:space="preserve">nstructions for EEE Parts Selection, Screening, Qualification, and Derating </w:t>
      </w:r>
      <w:r w:rsidR="004426DF">
        <w:rPr>
          <w:sz w:val="24"/>
          <w:szCs w:val="24"/>
        </w:rPr>
        <w:t>(</w:t>
      </w:r>
      <w:r w:rsidR="006A5D00" w:rsidRPr="00540EB6">
        <w:rPr>
          <w:sz w:val="24"/>
          <w:szCs w:val="24"/>
        </w:rPr>
        <w:t>EEE-INST-002</w:t>
      </w:r>
      <w:r w:rsidR="004426DF">
        <w:rPr>
          <w:sz w:val="24"/>
          <w:szCs w:val="24"/>
        </w:rPr>
        <w:t>)</w:t>
      </w:r>
      <w:r w:rsidR="006A5D00" w:rsidRPr="00540EB6">
        <w:rPr>
          <w:sz w:val="24"/>
          <w:szCs w:val="24"/>
        </w:rPr>
        <w:t xml:space="preserve"> </w:t>
      </w:r>
      <w:r w:rsidR="00931299" w:rsidRPr="00540EB6">
        <w:rPr>
          <w:sz w:val="24"/>
          <w:szCs w:val="24"/>
        </w:rPr>
        <w:fldChar w:fldCharType="begin"/>
      </w:r>
      <w:r w:rsidR="00931299" w:rsidRPr="00540EB6">
        <w:rPr>
          <w:sz w:val="24"/>
          <w:szCs w:val="24"/>
        </w:rPr>
        <w:instrText xml:space="preserve"> REF _Ref67576220 \r \h </w:instrText>
      </w:r>
      <w:r w:rsidR="00E261E3" w:rsidRPr="00540EB6">
        <w:rPr>
          <w:sz w:val="24"/>
          <w:szCs w:val="24"/>
        </w:rPr>
        <w:instrText xml:space="preserve"> \* MERGEFORMAT </w:instrText>
      </w:r>
      <w:r w:rsidR="00931299" w:rsidRPr="00540EB6">
        <w:rPr>
          <w:sz w:val="24"/>
          <w:szCs w:val="24"/>
        </w:rPr>
      </w:r>
      <w:r w:rsidR="00931299" w:rsidRPr="00540EB6">
        <w:rPr>
          <w:sz w:val="24"/>
          <w:szCs w:val="24"/>
        </w:rPr>
        <w:fldChar w:fldCharType="separate"/>
      </w:r>
      <w:r w:rsidR="003102F4" w:rsidRPr="00540EB6">
        <w:rPr>
          <w:sz w:val="24"/>
          <w:szCs w:val="24"/>
        </w:rPr>
        <w:t>[14]</w:t>
      </w:r>
      <w:r w:rsidR="00931299" w:rsidRPr="00540EB6">
        <w:rPr>
          <w:sz w:val="24"/>
          <w:szCs w:val="24"/>
        </w:rPr>
        <w:fldChar w:fldCharType="end"/>
      </w:r>
      <w:r w:rsidR="00931299" w:rsidRPr="00540EB6">
        <w:rPr>
          <w:sz w:val="24"/>
          <w:szCs w:val="24"/>
        </w:rPr>
        <w:t xml:space="preserve"> </w:t>
      </w:r>
      <w:r w:rsidR="006A5D00" w:rsidRPr="00540EB6">
        <w:rPr>
          <w:sz w:val="24"/>
          <w:szCs w:val="24"/>
        </w:rPr>
        <w:t xml:space="preserve">were produced to aid in parts selection, screening, qualification, and derating, to deal with </w:t>
      </w:r>
      <w:r w:rsidR="006A5D00" w:rsidRPr="00540EB6">
        <w:rPr>
          <w:sz w:val="24"/>
          <w:szCs w:val="24"/>
        </w:rPr>
        <w:lastRenderedPageBreak/>
        <w:t xml:space="preserve">the reality that fewer and fewer </w:t>
      </w:r>
      <w:r w:rsidR="004426DF">
        <w:rPr>
          <w:sz w:val="24"/>
          <w:szCs w:val="24"/>
        </w:rPr>
        <w:t>military specification</w:t>
      </w:r>
      <w:r w:rsidR="006A5D00" w:rsidRPr="00540EB6">
        <w:rPr>
          <w:sz w:val="24"/>
          <w:szCs w:val="24"/>
        </w:rPr>
        <w:t xml:space="preserve"> parts would be available for space applications</w:t>
      </w:r>
      <w:r w:rsidR="00A64329" w:rsidRPr="00540EB6">
        <w:rPr>
          <w:sz w:val="24"/>
          <w:szCs w:val="24"/>
        </w:rPr>
        <w:t xml:space="preserve"> as the need for greater performance from parts grew along with budget pressures and the expanding need to do more with less</w:t>
      </w:r>
      <w:r w:rsidR="006A5D00" w:rsidRPr="00540EB6">
        <w:rPr>
          <w:sz w:val="24"/>
          <w:szCs w:val="24"/>
        </w:rPr>
        <w:t xml:space="preserve">. </w:t>
      </w:r>
      <w:r w:rsidR="001123F6">
        <w:rPr>
          <w:sz w:val="24"/>
          <w:szCs w:val="24"/>
        </w:rPr>
        <w:t xml:space="preserve">Derating is the use of parts at stress levels less than their datasheet limits. Often with any part, there is an extent of derating in which the stress level is low enough that the wear-out mechanisms are not activated, </w:t>
      </w:r>
      <w:proofErr w:type="spellStart"/>
      <w:r w:rsidR="001123F6">
        <w:rPr>
          <w:sz w:val="24"/>
          <w:szCs w:val="24"/>
        </w:rPr>
        <w:t>e.g</w:t>
      </w:r>
      <w:proofErr w:type="spellEnd"/>
      <w:r w:rsidR="001123F6">
        <w:rPr>
          <w:sz w:val="24"/>
          <w:szCs w:val="24"/>
        </w:rPr>
        <w:t>, operating a 25V</w:t>
      </w:r>
      <w:r w:rsidR="00D11776">
        <w:rPr>
          <w:sz w:val="24"/>
          <w:szCs w:val="24"/>
        </w:rPr>
        <w:t xml:space="preserve"> and 125 deg C-</w:t>
      </w:r>
      <w:r w:rsidR="001123F6">
        <w:rPr>
          <w:sz w:val="24"/>
          <w:szCs w:val="24"/>
        </w:rPr>
        <w:t>rated capacitor at 10V and 50 deg C</w:t>
      </w:r>
      <w:r w:rsidR="00D11776">
        <w:rPr>
          <w:sz w:val="24"/>
          <w:szCs w:val="24"/>
        </w:rPr>
        <w:t xml:space="preserve">.  </w:t>
      </w:r>
      <w:r w:rsidR="001123F6">
        <w:rPr>
          <w:sz w:val="24"/>
          <w:szCs w:val="24"/>
        </w:rPr>
        <w:t xml:space="preserve"> </w:t>
      </w:r>
      <w:r w:rsidR="00D11776">
        <w:rPr>
          <w:sz w:val="24"/>
          <w:szCs w:val="24"/>
        </w:rPr>
        <w:t>B</w:t>
      </w:r>
      <w:r w:rsidR="001123F6">
        <w:rPr>
          <w:sz w:val="24"/>
          <w:szCs w:val="24"/>
        </w:rPr>
        <w:t xml:space="preserve">arring some other exogenous disturbance, this capacitor operating within </w:t>
      </w:r>
      <w:r w:rsidR="00D11776">
        <w:rPr>
          <w:sz w:val="24"/>
          <w:szCs w:val="24"/>
        </w:rPr>
        <w:t>this</w:t>
      </w:r>
      <w:r w:rsidR="001123F6">
        <w:rPr>
          <w:sz w:val="24"/>
          <w:szCs w:val="24"/>
        </w:rPr>
        <w:t xml:space="preserve"> derated environment can theoretically perform for an extended duration. </w:t>
      </w:r>
      <w:r w:rsidR="00722EAB">
        <w:rPr>
          <w:sz w:val="24"/>
          <w:szCs w:val="24"/>
        </w:rPr>
        <w:t xml:space="preserve">The </w:t>
      </w:r>
      <w:r w:rsidR="004426DF">
        <w:rPr>
          <w:sz w:val="24"/>
          <w:szCs w:val="24"/>
        </w:rPr>
        <w:t>I</w:t>
      </w:r>
      <w:r w:rsidR="004426DF" w:rsidRPr="004426DF">
        <w:rPr>
          <w:sz w:val="24"/>
          <w:szCs w:val="24"/>
        </w:rPr>
        <w:t xml:space="preserve">nstructions for EEE Parts Selection, Screening, Qualification, and Derating </w:t>
      </w:r>
      <w:r w:rsidR="004426DF">
        <w:rPr>
          <w:sz w:val="24"/>
          <w:szCs w:val="24"/>
        </w:rPr>
        <w:t>document</w:t>
      </w:r>
      <w:r w:rsidR="001123F6">
        <w:rPr>
          <w:sz w:val="24"/>
          <w:szCs w:val="24"/>
        </w:rPr>
        <w:t xml:space="preserve"> or</w:t>
      </w:r>
      <w:r w:rsidR="004426DF">
        <w:rPr>
          <w:sz w:val="24"/>
          <w:szCs w:val="24"/>
        </w:rPr>
        <w:t xml:space="preserve"> </w:t>
      </w:r>
      <w:r w:rsidR="00722EAB">
        <w:rPr>
          <w:sz w:val="24"/>
          <w:szCs w:val="24"/>
        </w:rPr>
        <w:t>EEE-INST-002</w:t>
      </w:r>
      <w:r w:rsidR="004426DF">
        <w:rPr>
          <w:sz w:val="24"/>
          <w:szCs w:val="24"/>
        </w:rPr>
        <w:t xml:space="preserve">, </w:t>
      </w:r>
      <w:r w:rsidR="00722EAB">
        <w:rPr>
          <w:sz w:val="24"/>
          <w:szCs w:val="24"/>
        </w:rPr>
        <w:t>became broadly used within the aerospace community</w:t>
      </w:r>
      <w:r w:rsidR="00331AF7">
        <w:rPr>
          <w:sz w:val="24"/>
          <w:szCs w:val="24"/>
        </w:rPr>
        <w:t xml:space="preserve"> as a tool to apply to parts to establish equivalent levels of assurance to associated assurance levels within the </w:t>
      </w:r>
      <w:r w:rsidR="004426DF">
        <w:rPr>
          <w:sz w:val="24"/>
          <w:szCs w:val="24"/>
        </w:rPr>
        <w:t>military specification</w:t>
      </w:r>
      <w:r w:rsidR="00331AF7">
        <w:rPr>
          <w:sz w:val="24"/>
          <w:szCs w:val="24"/>
        </w:rPr>
        <w:t xml:space="preserve"> system, through a range of specifications to be verified and </w:t>
      </w:r>
      <w:r w:rsidR="00D11776">
        <w:rPr>
          <w:sz w:val="24"/>
          <w:szCs w:val="24"/>
        </w:rPr>
        <w:t xml:space="preserve">through </w:t>
      </w:r>
      <w:r w:rsidR="00331AF7">
        <w:rPr>
          <w:sz w:val="24"/>
          <w:szCs w:val="24"/>
        </w:rPr>
        <w:t>electronic testing.</w:t>
      </w:r>
      <w:r w:rsidR="00744CEA">
        <w:rPr>
          <w:sz w:val="24"/>
          <w:szCs w:val="24"/>
        </w:rPr>
        <w:t xml:space="preserve"> </w:t>
      </w:r>
      <w:r w:rsidR="00331AF7">
        <w:rPr>
          <w:sz w:val="24"/>
          <w:szCs w:val="24"/>
        </w:rPr>
        <w:t xml:space="preserve">Unfortunately, the document used terms such as </w:t>
      </w:r>
      <w:r w:rsidR="00331AF7" w:rsidRPr="00CE08A4">
        <w:rPr>
          <w:i/>
          <w:iCs/>
          <w:sz w:val="24"/>
          <w:szCs w:val="24"/>
        </w:rPr>
        <w:t>quality</w:t>
      </w:r>
      <w:r w:rsidR="00331AF7">
        <w:rPr>
          <w:sz w:val="24"/>
          <w:szCs w:val="24"/>
        </w:rPr>
        <w:t xml:space="preserve">, </w:t>
      </w:r>
      <w:r w:rsidR="00331AF7" w:rsidRPr="00CE08A4">
        <w:rPr>
          <w:i/>
          <w:iCs/>
          <w:sz w:val="24"/>
          <w:szCs w:val="24"/>
        </w:rPr>
        <w:t>reliability</w:t>
      </w:r>
      <w:r w:rsidR="00331AF7">
        <w:rPr>
          <w:sz w:val="24"/>
          <w:szCs w:val="24"/>
        </w:rPr>
        <w:t xml:space="preserve">, and </w:t>
      </w:r>
      <w:r w:rsidR="00331AF7" w:rsidRPr="00CE08A4">
        <w:rPr>
          <w:i/>
          <w:iCs/>
          <w:sz w:val="24"/>
          <w:szCs w:val="24"/>
        </w:rPr>
        <w:t>grade</w:t>
      </w:r>
      <w:r w:rsidR="00331AF7">
        <w:rPr>
          <w:sz w:val="24"/>
          <w:szCs w:val="24"/>
        </w:rPr>
        <w:t xml:space="preserve"> interchangeably when referring to </w:t>
      </w:r>
      <w:r w:rsidR="00331AF7" w:rsidRPr="00CE08A4">
        <w:rPr>
          <w:i/>
          <w:iCs/>
          <w:sz w:val="24"/>
          <w:szCs w:val="24"/>
        </w:rPr>
        <w:t>assurance level</w:t>
      </w:r>
      <w:r w:rsidR="00331AF7">
        <w:rPr>
          <w:sz w:val="24"/>
          <w:szCs w:val="24"/>
        </w:rPr>
        <w:t>, which has been a source of confusion in the aerospace and electronic parts communities.</w:t>
      </w:r>
      <w:r w:rsidR="00744CEA">
        <w:rPr>
          <w:sz w:val="24"/>
          <w:szCs w:val="24"/>
        </w:rPr>
        <w:t xml:space="preserve"> </w:t>
      </w:r>
      <w:r w:rsidR="00A66ADF">
        <w:rPr>
          <w:sz w:val="24"/>
          <w:szCs w:val="24"/>
        </w:rPr>
        <w:t xml:space="preserve">In fact, such terms (quality, reliability, grade) lacked formal definition </w:t>
      </w:r>
      <w:r w:rsidR="00D11776">
        <w:rPr>
          <w:sz w:val="24"/>
          <w:szCs w:val="24"/>
        </w:rPr>
        <w:t xml:space="preserve">in the document </w:t>
      </w:r>
      <w:r w:rsidR="00A66ADF">
        <w:rPr>
          <w:sz w:val="24"/>
          <w:szCs w:val="24"/>
        </w:rPr>
        <w:t>other</w:t>
      </w:r>
      <w:r w:rsidR="00D11776">
        <w:rPr>
          <w:sz w:val="24"/>
          <w:szCs w:val="24"/>
        </w:rPr>
        <w:t xml:space="preserve"> than</w:t>
      </w:r>
      <w:r w:rsidR="00A66ADF">
        <w:rPr>
          <w:sz w:val="24"/>
          <w:szCs w:val="24"/>
        </w:rPr>
        <w:t xml:space="preserve"> to say that they were interchangeable in the context of electronic parts.</w:t>
      </w:r>
      <w:r w:rsidR="00025EDD">
        <w:rPr>
          <w:sz w:val="24"/>
          <w:szCs w:val="24"/>
        </w:rPr>
        <w:t xml:space="preserve"> </w:t>
      </w:r>
      <w:r w:rsidR="009D2178">
        <w:rPr>
          <w:sz w:val="24"/>
          <w:szCs w:val="24"/>
        </w:rPr>
        <w:t xml:space="preserve">Typically, </w:t>
      </w:r>
      <w:r w:rsidR="009D2178" w:rsidRPr="00CE08A4">
        <w:rPr>
          <w:i/>
          <w:iCs/>
          <w:sz w:val="24"/>
          <w:szCs w:val="24"/>
        </w:rPr>
        <w:t>grade</w:t>
      </w:r>
      <w:r w:rsidR="009D2178">
        <w:rPr>
          <w:sz w:val="24"/>
          <w:szCs w:val="24"/>
        </w:rPr>
        <w:t xml:space="preserve"> would refer to the forms and levels of manufacturing controls applied to parts, such as </w:t>
      </w:r>
      <w:r w:rsidR="009D2178" w:rsidRPr="00CE08A4">
        <w:rPr>
          <w:i/>
          <w:iCs/>
          <w:sz w:val="24"/>
          <w:szCs w:val="24"/>
        </w:rPr>
        <w:t>Military Grade</w:t>
      </w:r>
      <w:r w:rsidR="009D2178">
        <w:rPr>
          <w:sz w:val="24"/>
          <w:szCs w:val="24"/>
        </w:rPr>
        <w:t xml:space="preserve"> referring to parts manufactured to meet specifications and perform certain characteristic tests and inspections under the </w:t>
      </w:r>
      <w:r w:rsidR="004426DF">
        <w:rPr>
          <w:sz w:val="24"/>
          <w:szCs w:val="24"/>
        </w:rPr>
        <w:t>military specification</w:t>
      </w:r>
      <w:r w:rsidR="009D2178">
        <w:rPr>
          <w:sz w:val="24"/>
          <w:szCs w:val="24"/>
        </w:rPr>
        <w:t xml:space="preserve"> system</w:t>
      </w:r>
      <w:r w:rsidR="001813F5">
        <w:rPr>
          <w:sz w:val="24"/>
          <w:szCs w:val="24"/>
        </w:rPr>
        <w:t>,</w:t>
      </w:r>
      <w:r w:rsidR="009D2178">
        <w:rPr>
          <w:sz w:val="24"/>
          <w:szCs w:val="24"/>
        </w:rPr>
        <w:t xml:space="preserve"> and </w:t>
      </w:r>
      <w:r w:rsidR="009D2178" w:rsidRPr="00CE08A4">
        <w:rPr>
          <w:i/>
          <w:iCs/>
          <w:sz w:val="24"/>
          <w:szCs w:val="24"/>
        </w:rPr>
        <w:t>Automotive Grade</w:t>
      </w:r>
      <w:r w:rsidR="009D2178">
        <w:rPr>
          <w:sz w:val="24"/>
          <w:szCs w:val="24"/>
        </w:rPr>
        <w:t xml:space="preserve"> referring to parts that meet specifications and are subject to tests and inspections defined by the Automotive Electronics Council, or AEC.</w:t>
      </w:r>
      <w:r w:rsidR="00025EDD">
        <w:rPr>
          <w:sz w:val="24"/>
          <w:szCs w:val="24"/>
        </w:rPr>
        <w:t xml:space="preserve"> </w:t>
      </w:r>
      <w:r w:rsidR="006A5D00" w:rsidRPr="00540EB6">
        <w:rPr>
          <w:sz w:val="24"/>
          <w:szCs w:val="24"/>
        </w:rPr>
        <w:t>While the</w:t>
      </w:r>
      <w:r w:rsidR="00A64329" w:rsidRPr="00540EB6">
        <w:rPr>
          <w:sz w:val="24"/>
          <w:szCs w:val="24"/>
        </w:rPr>
        <w:t xml:space="preserve"> </w:t>
      </w:r>
      <w:r w:rsidR="004426DF">
        <w:rPr>
          <w:sz w:val="24"/>
          <w:szCs w:val="24"/>
        </w:rPr>
        <w:t>military specifications</w:t>
      </w:r>
      <w:r w:rsidR="00A64329" w:rsidRPr="00540EB6">
        <w:rPr>
          <w:sz w:val="24"/>
          <w:szCs w:val="24"/>
        </w:rPr>
        <w:t xml:space="preserve"> and equivalent screening and qualification</w:t>
      </w:r>
      <w:r w:rsidR="006A5D00" w:rsidRPr="00540EB6">
        <w:rPr>
          <w:sz w:val="24"/>
          <w:szCs w:val="24"/>
        </w:rPr>
        <w:t xml:space="preserve"> processes </w:t>
      </w:r>
      <w:r w:rsidR="00331AF7">
        <w:rPr>
          <w:sz w:val="24"/>
          <w:szCs w:val="24"/>
        </w:rPr>
        <w:t xml:space="preserve">from </w:t>
      </w:r>
      <w:r w:rsidR="004426DF">
        <w:rPr>
          <w:sz w:val="24"/>
          <w:szCs w:val="24"/>
        </w:rPr>
        <w:t>the I</w:t>
      </w:r>
      <w:r w:rsidR="004426DF" w:rsidRPr="004426DF">
        <w:rPr>
          <w:sz w:val="24"/>
          <w:szCs w:val="24"/>
        </w:rPr>
        <w:t xml:space="preserve">nstructions for EEE Parts Selection, Screening, Qualification, and Derating </w:t>
      </w:r>
      <w:r w:rsidR="004426DF">
        <w:rPr>
          <w:sz w:val="24"/>
          <w:szCs w:val="24"/>
        </w:rPr>
        <w:t>(</w:t>
      </w:r>
      <w:r w:rsidR="00331AF7">
        <w:rPr>
          <w:sz w:val="24"/>
          <w:szCs w:val="24"/>
        </w:rPr>
        <w:t>EEE-INST-002</w:t>
      </w:r>
      <w:r w:rsidR="004426DF">
        <w:rPr>
          <w:sz w:val="24"/>
          <w:szCs w:val="24"/>
        </w:rPr>
        <w:t xml:space="preserve">) </w:t>
      </w:r>
      <w:r w:rsidR="006A5D00" w:rsidRPr="00540EB6">
        <w:rPr>
          <w:sz w:val="24"/>
          <w:szCs w:val="24"/>
        </w:rPr>
        <w:t xml:space="preserve">serve to ensure that current versions of parts </w:t>
      </w:r>
      <w:r w:rsidR="00733554" w:rsidRPr="00540EB6">
        <w:rPr>
          <w:sz w:val="24"/>
          <w:szCs w:val="24"/>
        </w:rPr>
        <w:t xml:space="preserve">are </w:t>
      </w:r>
      <w:r w:rsidR="006A5D00" w:rsidRPr="00540EB6">
        <w:rPr>
          <w:sz w:val="24"/>
          <w:szCs w:val="24"/>
        </w:rPr>
        <w:t xml:space="preserve">consistent with previous versions and that parts </w:t>
      </w:r>
      <w:r w:rsidR="00733554" w:rsidRPr="00540EB6">
        <w:rPr>
          <w:sz w:val="24"/>
          <w:szCs w:val="24"/>
        </w:rPr>
        <w:t xml:space="preserve">are </w:t>
      </w:r>
      <w:r w:rsidR="006A5D00" w:rsidRPr="00540EB6">
        <w:rPr>
          <w:sz w:val="24"/>
          <w:szCs w:val="24"/>
        </w:rPr>
        <w:t xml:space="preserve">screened out that exhibit </w:t>
      </w:r>
      <w:r w:rsidR="00733554" w:rsidRPr="00540EB6">
        <w:rPr>
          <w:sz w:val="24"/>
          <w:szCs w:val="24"/>
        </w:rPr>
        <w:t xml:space="preserve">historical </w:t>
      </w:r>
      <w:r w:rsidR="006A5D00" w:rsidRPr="00540EB6">
        <w:rPr>
          <w:sz w:val="24"/>
          <w:szCs w:val="24"/>
        </w:rPr>
        <w:t xml:space="preserve">infant mortality characteristics, the processes </w:t>
      </w:r>
      <w:r w:rsidR="000D5657" w:rsidRPr="00540EB6">
        <w:rPr>
          <w:sz w:val="24"/>
          <w:szCs w:val="24"/>
        </w:rPr>
        <w:t xml:space="preserve">are </w:t>
      </w:r>
      <w:r w:rsidR="006A5D00" w:rsidRPr="00540EB6">
        <w:rPr>
          <w:sz w:val="24"/>
          <w:szCs w:val="24"/>
        </w:rPr>
        <w:t xml:space="preserve">applied to </w:t>
      </w:r>
      <w:r w:rsidR="00733554" w:rsidRPr="00540EB6">
        <w:rPr>
          <w:sz w:val="24"/>
          <w:szCs w:val="24"/>
        </w:rPr>
        <w:t xml:space="preserve">already-manufactured </w:t>
      </w:r>
      <w:r w:rsidR="006A5D00" w:rsidRPr="00540EB6">
        <w:rPr>
          <w:sz w:val="24"/>
          <w:szCs w:val="24"/>
        </w:rPr>
        <w:t xml:space="preserve">parts and thus they do not in themselves assure </w:t>
      </w:r>
      <w:r w:rsidR="00733554" w:rsidRPr="00540EB6">
        <w:rPr>
          <w:sz w:val="24"/>
          <w:szCs w:val="24"/>
        </w:rPr>
        <w:t>reliability or quality</w:t>
      </w:r>
      <w:r w:rsidR="006A5D00" w:rsidRPr="00540EB6">
        <w:rPr>
          <w:sz w:val="24"/>
          <w:szCs w:val="24"/>
        </w:rPr>
        <w:t xml:space="preserve">. </w:t>
      </w:r>
      <w:r w:rsidR="0029107B">
        <w:rPr>
          <w:sz w:val="24"/>
          <w:szCs w:val="24"/>
        </w:rPr>
        <w:t xml:space="preserve">In fact, in many cases, </w:t>
      </w:r>
      <w:r w:rsidR="00F7143D">
        <w:rPr>
          <w:sz w:val="24"/>
          <w:szCs w:val="24"/>
        </w:rPr>
        <w:t>this document would recommend</w:t>
      </w:r>
      <w:r w:rsidR="0029107B">
        <w:rPr>
          <w:sz w:val="24"/>
          <w:szCs w:val="24"/>
        </w:rPr>
        <w:t xml:space="preserve"> tests that go against manufacturer recommendations or exceed allowable levels in the part datasheet, and thus reduce reliability or induce </w:t>
      </w:r>
      <w:proofErr w:type="spellStart"/>
      <w:r w:rsidR="0029107B">
        <w:rPr>
          <w:sz w:val="24"/>
          <w:szCs w:val="24"/>
        </w:rPr>
        <w:t>wearout</w:t>
      </w:r>
      <w:proofErr w:type="spellEnd"/>
      <w:r w:rsidR="0029107B">
        <w:rPr>
          <w:sz w:val="24"/>
          <w:szCs w:val="24"/>
        </w:rPr>
        <w:t xml:space="preserve"> mechanisms.</w:t>
      </w:r>
      <w:r w:rsidR="00025EDD">
        <w:rPr>
          <w:sz w:val="24"/>
          <w:szCs w:val="24"/>
        </w:rPr>
        <w:t xml:space="preserve"> </w:t>
      </w:r>
      <w:r w:rsidR="0029107B">
        <w:rPr>
          <w:sz w:val="24"/>
          <w:szCs w:val="24"/>
        </w:rPr>
        <w:t xml:space="preserve">Furthermore, the requirements in this document do not </w:t>
      </w:r>
      <w:r w:rsidR="006A5D00" w:rsidRPr="00540EB6">
        <w:rPr>
          <w:sz w:val="24"/>
          <w:szCs w:val="24"/>
        </w:rPr>
        <w:t xml:space="preserve">address </w:t>
      </w:r>
      <w:r w:rsidR="006A5D00" w:rsidRPr="00540EB6">
        <w:rPr>
          <w:sz w:val="24"/>
          <w:szCs w:val="24"/>
        </w:rPr>
        <w:lastRenderedPageBreak/>
        <w:t xml:space="preserve">radiation in </w:t>
      </w:r>
      <w:r w:rsidR="003B1099">
        <w:rPr>
          <w:sz w:val="24"/>
          <w:szCs w:val="24"/>
        </w:rPr>
        <w:t>a broad sense</w:t>
      </w:r>
      <w:r w:rsidR="006A5D00" w:rsidRPr="00540EB6">
        <w:rPr>
          <w:sz w:val="24"/>
          <w:szCs w:val="24"/>
        </w:rPr>
        <w:t>.</w:t>
      </w:r>
      <w:r w:rsidR="00025EDD">
        <w:rPr>
          <w:sz w:val="24"/>
          <w:szCs w:val="24"/>
        </w:rPr>
        <w:t xml:space="preserve"> </w:t>
      </w:r>
      <w:proofErr w:type="gramStart"/>
      <w:r w:rsidR="0029107B">
        <w:rPr>
          <w:sz w:val="24"/>
          <w:szCs w:val="24"/>
        </w:rPr>
        <w:t>In reality, r</w:t>
      </w:r>
      <w:r w:rsidR="0029107B" w:rsidRPr="00540EB6">
        <w:rPr>
          <w:sz w:val="24"/>
          <w:szCs w:val="24"/>
        </w:rPr>
        <w:t>eliability</w:t>
      </w:r>
      <w:proofErr w:type="gramEnd"/>
      <w:r w:rsidR="0029107B" w:rsidRPr="00540EB6">
        <w:rPr>
          <w:sz w:val="24"/>
          <w:szCs w:val="24"/>
        </w:rPr>
        <w:t xml:space="preserve"> </w:t>
      </w:r>
      <w:r w:rsidR="006A5D00" w:rsidRPr="00540EB6">
        <w:rPr>
          <w:sz w:val="24"/>
          <w:szCs w:val="24"/>
        </w:rPr>
        <w:t xml:space="preserve">is assured </w:t>
      </w:r>
      <w:r w:rsidR="00331AF7">
        <w:rPr>
          <w:sz w:val="24"/>
          <w:szCs w:val="24"/>
        </w:rPr>
        <w:t>based on</w:t>
      </w:r>
      <w:r w:rsidR="00331AF7" w:rsidRPr="00540EB6">
        <w:rPr>
          <w:sz w:val="24"/>
          <w:szCs w:val="24"/>
        </w:rPr>
        <w:t xml:space="preserve"> </w:t>
      </w:r>
      <w:r w:rsidR="006A5D00" w:rsidRPr="00540EB6">
        <w:rPr>
          <w:sz w:val="24"/>
          <w:szCs w:val="24"/>
        </w:rPr>
        <w:t>proper application use of parts, through the use of parts with known history and manufacturer capabilities, use of part</w:t>
      </w:r>
      <w:r w:rsidR="003B1099">
        <w:rPr>
          <w:sz w:val="24"/>
          <w:szCs w:val="24"/>
        </w:rPr>
        <w:t>s</w:t>
      </w:r>
      <w:r w:rsidR="006A5D00" w:rsidRPr="00540EB6">
        <w:rPr>
          <w:sz w:val="24"/>
          <w:szCs w:val="24"/>
        </w:rPr>
        <w:t xml:space="preserve"> within </w:t>
      </w:r>
      <w:r w:rsidR="003B1099">
        <w:rPr>
          <w:sz w:val="24"/>
          <w:szCs w:val="24"/>
        </w:rPr>
        <w:t>their</w:t>
      </w:r>
      <w:r w:rsidR="003B1099" w:rsidRPr="00540EB6">
        <w:rPr>
          <w:sz w:val="24"/>
          <w:szCs w:val="24"/>
        </w:rPr>
        <w:t xml:space="preserve"> </w:t>
      </w:r>
      <w:r w:rsidR="006A5D00" w:rsidRPr="00540EB6">
        <w:rPr>
          <w:sz w:val="24"/>
          <w:szCs w:val="24"/>
        </w:rPr>
        <w:t>designed limits including radiation, and ensuring sufficient derating within those limits.</w:t>
      </w:r>
      <w:r w:rsidR="00A243F8" w:rsidRPr="00540EB6">
        <w:rPr>
          <w:sz w:val="24"/>
          <w:szCs w:val="24"/>
        </w:rPr>
        <w:t xml:space="preserve"> The primary subject of this paper will be the history, the current state, and </w:t>
      </w:r>
      <w:r w:rsidR="0029107B">
        <w:rPr>
          <w:sz w:val="24"/>
          <w:szCs w:val="24"/>
        </w:rPr>
        <w:t xml:space="preserve">some </w:t>
      </w:r>
      <w:r w:rsidR="009824DC">
        <w:rPr>
          <w:sz w:val="24"/>
          <w:szCs w:val="24"/>
        </w:rPr>
        <w:t xml:space="preserve">recommendations for </w:t>
      </w:r>
      <w:r w:rsidR="00A243F8" w:rsidRPr="00540EB6">
        <w:rPr>
          <w:sz w:val="24"/>
          <w:szCs w:val="24"/>
        </w:rPr>
        <w:t xml:space="preserve">the future of selecting and using </w:t>
      </w:r>
      <w:r w:rsidR="00A95828" w:rsidRPr="00540EB6">
        <w:rPr>
          <w:sz w:val="24"/>
          <w:szCs w:val="24"/>
        </w:rPr>
        <w:t xml:space="preserve">electronic </w:t>
      </w:r>
      <w:r w:rsidR="00A243F8" w:rsidRPr="00540EB6">
        <w:rPr>
          <w:sz w:val="24"/>
          <w:szCs w:val="24"/>
        </w:rPr>
        <w:t>parts</w:t>
      </w:r>
      <w:r w:rsidR="00A95828" w:rsidRPr="00540EB6">
        <w:rPr>
          <w:sz w:val="24"/>
          <w:szCs w:val="24"/>
        </w:rPr>
        <w:t xml:space="preserve">, commonly denoted </w:t>
      </w:r>
      <w:r w:rsidR="00A95828" w:rsidRPr="00540EB6">
        <w:rPr>
          <w:i/>
          <w:iCs/>
          <w:sz w:val="24"/>
          <w:szCs w:val="24"/>
        </w:rPr>
        <w:t>EEE</w:t>
      </w:r>
      <w:r w:rsidR="00A95828" w:rsidRPr="00540EB6">
        <w:rPr>
          <w:sz w:val="24"/>
          <w:szCs w:val="24"/>
        </w:rPr>
        <w:t xml:space="preserve"> (electrical, electronic, and electromechanical) </w:t>
      </w:r>
      <w:r w:rsidR="00A95828" w:rsidRPr="00540EB6">
        <w:rPr>
          <w:i/>
          <w:iCs/>
          <w:sz w:val="24"/>
          <w:szCs w:val="24"/>
        </w:rPr>
        <w:t>parts</w:t>
      </w:r>
      <w:r w:rsidR="00A95828" w:rsidRPr="00540EB6">
        <w:rPr>
          <w:sz w:val="24"/>
          <w:szCs w:val="24"/>
        </w:rPr>
        <w:t xml:space="preserve"> in the aerospace community</w:t>
      </w:r>
      <w:r w:rsidR="00A243F8" w:rsidRPr="00540EB6">
        <w:rPr>
          <w:sz w:val="24"/>
          <w:szCs w:val="24"/>
        </w:rPr>
        <w:t>.</w:t>
      </w:r>
      <w:r w:rsidR="00025EDD">
        <w:rPr>
          <w:sz w:val="24"/>
          <w:szCs w:val="24"/>
        </w:rPr>
        <w:t xml:space="preserve"> </w:t>
      </w:r>
      <w:r w:rsidR="001813F5">
        <w:rPr>
          <w:sz w:val="24"/>
          <w:szCs w:val="24"/>
        </w:rPr>
        <w:t>While this paper</w:t>
      </w:r>
      <w:r w:rsidR="00EB57B6">
        <w:rPr>
          <w:sz w:val="24"/>
          <w:szCs w:val="24"/>
        </w:rPr>
        <w:t xml:space="preserve"> attempts to open a path to future assurance processes for parts, th</w:t>
      </w:r>
      <w:r w:rsidR="00A66D67">
        <w:rPr>
          <w:sz w:val="24"/>
          <w:szCs w:val="24"/>
        </w:rPr>
        <w:t xml:space="preserve">ere is still much work to do to </w:t>
      </w:r>
      <w:r w:rsidR="00EB57B6">
        <w:rPr>
          <w:sz w:val="24"/>
          <w:szCs w:val="24"/>
        </w:rPr>
        <w:t>holistically establish</w:t>
      </w:r>
      <w:r w:rsidR="00A66D67">
        <w:rPr>
          <w:sz w:val="24"/>
          <w:szCs w:val="24"/>
        </w:rPr>
        <w:t xml:space="preserve"> the future processes needed for parts when failure is not an option.</w:t>
      </w:r>
      <w:r w:rsidR="00025EDD">
        <w:rPr>
          <w:sz w:val="24"/>
          <w:szCs w:val="24"/>
        </w:rPr>
        <w:t xml:space="preserve"> </w:t>
      </w:r>
      <w:r w:rsidR="00A64329" w:rsidRPr="00540EB6">
        <w:rPr>
          <w:sz w:val="24"/>
          <w:szCs w:val="24"/>
        </w:rPr>
        <w:t xml:space="preserve">Over time, as the need for more performance in electronic parts continued to grow, it became more and more challenging to apply the conservative </w:t>
      </w:r>
      <w:r w:rsidR="004426DF">
        <w:rPr>
          <w:sz w:val="24"/>
          <w:szCs w:val="24"/>
        </w:rPr>
        <w:t>military specification</w:t>
      </w:r>
      <w:r w:rsidR="00A64329" w:rsidRPr="00540EB6">
        <w:rPr>
          <w:sz w:val="24"/>
          <w:szCs w:val="24"/>
        </w:rPr>
        <w:t xml:space="preserve"> processes to part performance capabilities that the specifications were not designed or intended for; the result being that applying screening practices that go far outside the bounds of the intended operational ranges became extremely costly, and often futile</w:t>
      </w:r>
      <w:r w:rsidR="000D5657" w:rsidRPr="00540EB6">
        <w:rPr>
          <w:sz w:val="24"/>
          <w:szCs w:val="24"/>
        </w:rPr>
        <w:t>, while in many cases reducing the remaining life of the parts</w:t>
      </w:r>
      <w:r w:rsidR="00A64329" w:rsidRPr="00540EB6">
        <w:rPr>
          <w:sz w:val="24"/>
          <w:szCs w:val="24"/>
        </w:rPr>
        <w:t>.</w:t>
      </w:r>
      <w:r w:rsidR="00025EDD">
        <w:rPr>
          <w:sz w:val="24"/>
          <w:szCs w:val="24"/>
        </w:rPr>
        <w:t xml:space="preserve"> </w:t>
      </w:r>
      <w:r w:rsidR="00A64329" w:rsidRPr="00540EB6">
        <w:rPr>
          <w:sz w:val="24"/>
          <w:szCs w:val="24"/>
        </w:rPr>
        <w:t>Subsequently, these high</w:t>
      </w:r>
      <w:r w:rsidR="000D5657" w:rsidRPr="00540EB6">
        <w:rPr>
          <w:sz w:val="24"/>
          <w:szCs w:val="24"/>
        </w:rPr>
        <w:t>-</w:t>
      </w:r>
      <w:r w:rsidR="00A64329" w:rsidRPr="00540EB6">
        <w:rPr>
          <w:sz w:val="24"/>
          <w:szCs w:val="24"/>
        </w:rPr>
        <w:t xml:space="preserve">performance parts available in commercial industry </w:t>
      </w:r>
      <w:r w:rsidR="00733554" w:rsidRPr="00540EB6">
        <w:rPr>
          <w:sz w:val="24"/>
          <w:szCs w:val="24"/>
        </w:rPr>
        <w:t xml:space="preserve">were </w:t>
      </w:r>
      <w:r w:rsidR="00A64329" w:rsidRPr="00540EB6">
        <w:rPr>
          <w:sz w:val="24"/>
          <w:szCs w:val="24"/>
        </w:rPr>
        <w:t>deemed risky and unreliable, not based on their performance in the pertinent application, but in their ability</w:t>
      </w:r>
      <w:r w:rsidR="00FB1097">
        <w:rPr>
          <w:sz w:val="24"/>
          <w:szCs w:val="24"/>
        </w:rPr>
        <w:t xml:space="preserve"> (or lack thereof)</w:t>
      </w:r>
      <w:r w:rsidR="00A64329" w:rsidRPr="00540EB6">
        <w:rPr>
          <w:sz w:val="24"/>
          <w:szCs w:val="24"/>
        </w:rPr>
        <w:t xml:space="preserve"> to tolerate screening and qualification processes that were designed for a completely different paradigm for the use of parts.</w:t>
      </w:r>
      <w:r w:rsidR="00025EDD">
        <w:rPr>
          <w:sz w:val="24"/>
          <w:szCs w:val="24"/>
        </w:rPr>
        <w:t xml:space="preserve"> </w:t>
      </w:r>
      <w:r w:rsidR="009824DC">
        <w:rPr>
          <w:sz w:val="24"/>
          <w:szCs w:val="24"/>
        </w:rPr>
        <w:t xml:space="preserve">To some extent this problem was exacerbated perpetually by the interchangeable use of the </w:t>
      </w:r>
      <w:proofErr w:type="gramStart"/>
      <w:r w:rsidR="009824DC">
        <w:rPr>
          <w:sz w:val="24"/>
          <w:szCs w:val="24"/>
        </w:rPr>
        <w:t>terms</w:t>
      </w:r>
      <w:proofErr w:type="gramEnd"/>
      <w:r w:rsidR="009824DC">
        <w:rPr>
          <w:sz w:val="24"/>
          <w:szCs w:val="24"/>
        </w:rPr>
        <w:t xml:space="preserve"> </w:t>
      </w:r>
      <w:r w:rsidR="009824DC" w:rsidRPr="00CE08A4">
        <w:rPr>
          <w:i/>
          <w:iCs/>
          <w:sz w:val="24"/>
          <w:szCs w:val="24"/>
        </w:rPr>
        <w:t>quality</w:t>
      </w:r>
      <w:r w:rsidR="009824DC">
        <w:rPr>
          <w:sz w:val="24"/>
          <w:szCs w:val="24"/>
        </w:rPr>
        <w:t xml:space="preserve"> and </w:t>
      </w:r>
      <w:r w:rsidR="009824DC" w:rsidRPr="00CE08A4">
        <w:rPr>
          <w:i/>
          <w:iCs/>
          <w:sz w:val="24"/>
          <w:szCs w:val="24"/>
        </w:rPr>
        <w:t>reliability</w:t>
      </w:r>
      <w:r w:rsidR="009824DC">
        <w:rPr>
          <w:sz w:val="24"/>
          <w:szCs w:val="24"/>
        </w:rPr>
        <w:t xml:space="preserve">, and the subsequent use of </w:t>
      </w:r>
      <w:r w:rsidR="004426DF">
        <w:rPr>
          <w:sz w:val="24"/>
          <w:szCs w:val="24"/>
        </w:rPr>
        <w:t>military specification</w:t>
      </w:r>
      <w:r w:rsidR="009824DC">
        <w:rPr>
          <w:sz w:val="24"/>
          <w:szCs w:val="24"/>
        </w:rPr>
        <w:t xml:space="preserve"> quality measures to represent reliability, even when there </w:t>
      </w:r>
      <w:r>
        <w:rPr>
          <w:sz w:val="24"/>
          <w:szCs w:val="24"/>
        </w:rPr>
        <w:t>is no direct relationship between the quality metric and the reliable use of the part.</w:t>
      </w:r>
      <w:r w:rsidR="00025EDD">
        <w:rPr>
          <w:sz w:val="24"/>
          <w:szCs w:val="24"/>
        </w:rPr>
        <w:t xml:space="preserve"> </w:t>
      </w:r>
    </w:p>
    <w:p w14:paraId="02BF0B08" w14:textId="77777777" w:rsidR="00E97402" w:rsidRPr="00540EB6" w:rsidRDefault="00E97402" w:rsidP="00E261E3">
      <w:pPr>
        <w:pStyle w:val="Text"/>
        <w:spacing w:line="480" w:lineRule="auto"/>
        <w:ind w:firstLine="0"/>
        <w:rPr>
          <w:sz w:val="24"/>
          <w:szCs w:val="24"/>
        </w:rPr>
      </w:pPr>
      <w:r w:rsidRPr="00540EB6">
        <w:rPr>
          <w:sz w:val="24"/>
          <w:szCs w:val="24"/>
        </w:rPr>
        <w:t xml:space="preserve"> </w:t>
      </w:r>
    </w:p>
    <w:p w14:paraId="7616E4DB" w14:textId="0FDC83E2" w:rsidR="008A3C23" w:rsidRPr="00F848F0" w:rsidRDefault="00931299" w:rsidP="00E261E3">
      <w:pPr>
        <w:pStyle w:val="Heading1"/>
        <w:spacing w:line="480" w:lineRule="auto"/>
        <w:rPr>
          <w:b/>
          <w:bCs/>
          <w:sz w:val="24"/>
          <w:szCs w:val="24"/>
        </w:rPr>
      </w:pPr>
      <w:r w:rsidRPr="00F848F0">
        <w:rPr>
          <w:b/>
          <w:bCs/>
          <w:sz w:val="24"/>
          <w:szCs w:val="24"/>
        </w:rPr>
        <w:t>A</w:t>
      </w:r>
      <w:r w:rsidR="006A5D00" w:rsidRPr="00F848F0">
        <w:rPr>
          <w:b/>
          <w:bCs/>
          <w:sz w:val="24"/>
          <w:szCs w:val="24"/>
        </w:rPr>
        <w:t xml:space="preserve"> History of </w:t>
      </w:r>
      <w:r w:rsidRPr="00F848F0">
        <w:rPr>
          <w:b/>
          <w:bCs/>
          <w:sz w:val="24"/>
          <w:szCs w:val="24"/>
        </w:rPr>
        <w:t>A</w:t>
      </w:r>
      <w:r w:rsidR="006A5D00" w:rsidRPr="00F848F0">
        <w:rPr>
          <w:b/>
          <w:bCs/>
          <w:sz w:val="24"/>
          <w:szCs w:val="24"/>
        </w:rPr>
        <w:t xml:space="preserve">ttention to </w:t>
      </w:r>
      <w:r w:rsidR="00A95828" w:rsidRPr="00F848F0">
        <w:rPr>
          <w:b/>
          <w:bCs/>
          <w:sz w:val="24"/>
          <w:szCs w:val="24"/>
        </w:rPr>
        <w:t xml:space="preserve">Electronic </w:t>
      </w:r>
      <w:r w:rsidRPr="00F848F0">
        <w:rPr>
          <w:b/>
          <w:bCs/>
          <w:sz w:val="24"/>
          <w:szCs w:val="24"/>
        </w:rPr>
        <w:t xml:space="preserve">Parts </w:t>
      </w:r>
      <w:r w:rsidR="006A5D00" w:rsidRPr="00F848F0">
        <w:rPr>
          <w:b/>
          <w:bCs/>
          <w:sz w:val="24"/>
          <w:szCs w:val="24"/>
        </w:rPr>
        <w:t xml:space="preserve">in the </w:t>
      </w:r>
      <w:r w:rsidRPr="00F848F0">
        <w:rPr>
          <w:b/>
          <w:bCs/>
          <w:sz w:val="24"/>
          <w:szCs w:val="24"/>
        </w:rPr>
        <w:t>Space C</w:t>
      </w:r>
      <w:r w:rsidR="006A5D00" w:rsidRPr="00F848F0">
        <w:rPr>
          <w:b/>
          <w:bCs/>
          <w:sz w:val="24"/>
          <w:szCs w:val="24"/>
        </w:rPr>
        <w:t>ommunity</w:t>
      </w:r>
    </w:p>
    <w:p w14:paraId="6756932E" w14:textId="50A9E9E3" w:rsidR="006A5D00" w:rsidRPr="00540EB6" w:rsidRDefault="006A5D00" w:rsidP="00E261E3">
      <w:pPr>
        <w:pStyle w:val="Text"/>
        <w:spacing w:line="480" w:lineRule="auto"/>
        <w:rPr>
          <w:sz w:val="24"/>
          <w:szCs w:val="24"/>
        </w:rPr>
      </w:pPr>
      <w:r w:rsidRPr="00540EB6">
        <w:rPr>
          <w:sz w:val="24"/>
          <w:szCs w:val="24"/>
        </w:rPr>
        <w:t>In the earliest days of the space program</w:t>
      </w:r>
      <w:r w:rsidR="00FC70DB">
        <w:rPr>
          <w:sz w:val="24"/>
          <w:szCs w:val="24"/>
        </w:rPr>
        <w:t xml:space="preserve"> (1950’s through 1970’s)</w:t>
      </w:r>
      <w:r w:rsidRPr="00540EB6">
        <w:rPr>
          <w:sz w:val="24"/>
          <w:szCs w:val="24"/>
        </w:rPr>
        <w:t>, the electronics parts industry was</w:t>
      </w:r>
      <w:r w:rsidR="00DD3CF8">
        <w:rPr>
          <w:sz w:val="24"/>
          <w:szCs w:val="24"/>
        </w:rPr>
        <w:t xml:space="preserve"> also</w:t>
      </w:r>
      <w:r w:rsidRPr="00540EB6">
        <w:rPr>
          <w:sz w:val="24"/>
          <w:szCs w:val="24"/>
        </w:rPr>
        <w:t xml:space="preserve"> in its infancy.</w:t>
      </w:r>
      <w:r w:rsidR="00025EDD">
        <w:rPr>
          <w:sz w:val="24"/>
          <w:szCs w:val="24"/>
        </w:rPr>
        <w:t xml:space="preserve"> </w:t>
      </w:r>
      <w:r w:rsidRPr="00540EB6">
        <w:rPr>
          <w:sz w:val="24"/>
          <w:szCs w:val="24"/>
        </w:rPr>
        <w:t>Electronic designs were very fragile and the parts within electronics were subject to random failures and infant mortality.</w:t>
      </w:r>
      <w:r w:rsidR="00025EDD">
        <w:rPr>
          <w:sz w:val="24"/>
          <w:szCs w:val="24"/>
        </w:rPr>
        <w:t xml:space="preserve"> </w:t>
      </w:r>
      <w:r w:rsidRPr="00540EB6">
        <w:rPr>
          <w:sz w:val="24"/>
          <w:szCs w:val="24"/>
        </w:rPr>
        <w:t xml:space="preserve">At that time, it was observed that electronics were exhibiting failure rates that were prohibitive for sending components into space due to the very limited ability to launch and the </w:t>
      </w:r>
      <w:r w:rsidRPr="00540EB6">
        <w:rPr>
          <w:sz w:val="24"/>
          <w:szCs w:val="24"/>
        </w:rPr>
        <w:lastRenderedPageBreak/>
        <w:t>completely nonexistent ability to perform service or retrieval in space.</w:t>
      </w:r>
      <w:r w:rsidR="00025EDD">
        <w:rPr>
          <w:sz w:val="24"/>
          <w:szCs w:val="24"/>
        </w:rPr>
        <w:t xml:space="preserve"> </w:t>
      </w:r>
      <w:r w:rsidRPr="00540EB6">
        <w:rPr>
          <w:sz w:val="24"/>
          <w:szCs w:val="24"/>
        </w:rPr>
        <w:t xml:space="preserve">While component technologies were limited and much simpler than most of our electronics today, failure analysis capabilities were limited as well, so it </w:t>
      </w:r>
      <w:r w:rsidR="00733554" w:rsidRPr="00540EB6">
        <w:rPr>
          <w:sz w:val="24"/>
          <w:szCs w:val="24"/>
        </w:rPr>
        <w:t xml:space="preserve">was </w:t>
      </w:r>
      <w:r w:rsidRPr="00540EB6">
        <w:rPr>
          <w:sz w:val="24"/>
          <w:szCs w:val="24"/>
        </w:rPr>
        <w:t xml:space="preserve">difficult at </w:t>
      </w:r>
      <w:r w:rsidR="00733554" w:rsidRPr="00540EB6">
        <w:rPr>
          <w:sz w:val="24"/>
          <w:szCs w:val="24"/>
        </w:rPr>
        <w:t xml:space="preserve">the </w:t>
      </w:r>
      <w:r w:rsidRPr="00540EB6">
        <w:rPr>
          <w:sz w:val="24"/>
          <w:szCs w:val="24"/>
        </w:rPr>
        <w:t>time to distinguish the failures among common mechanisms, such as material defects, packaging issues, workmanship flaws, overly sensitive designs, overstress on parts, latent defects induced by electrostatic discharge (ESD) in handling, etc.</w:t>
      </w:r>
      <w:r w:rsidR="00025EDD">
        <w:rPr>
          <w:sz w:val="24"/>
          <w:szCs w:val="24"/>
        </w:rPr>
        <w:t xml:space="preserve"> </w:t>
      </w:r>
      <w:r w:rsidR="00A114A5" w:rsidRPr="00540EB6">
        <w:rPr>
          <w:sz w:val="24"/>
          <w:szCs w:val="24"/>
        </w:rPr>
        <w:t>This ambiguity contributed to</w:t>
      </w:r>
      <w:r w:rsidRPr="00540EB6">
        <w:rPr>
          <w:sz w:val="24"/>
          <w:szCs w:val="24"/>
        </w:rPr>
        <w:t xml:space="preserve"> </w:t>
      </w:r>
      <w:r w:rsidR="00733554" w:rsidRPr="00540EB6">
        <w:rPr>
          <w:sz w:val="24"/>
          <w:szCs w:val="24"/>
        </w:rPr>
        <w:t>the space community</w:t>
      </w:r>
      <w:r w:rsidR="00A114A5" w:rsidRPr="00540EB6">
        <w:rPr>
          <w:sz w:val="24"/>
          <w:szCs w:val="24"/>
        </w:rPr>
        <w:t>’s</w:t>
      </w:r>
      <w:r w:rsidRPr="00540EB6">
        <w:rPr>
          <w:sz w:val="24"/>
          <w:szCs w:val="24"/>
        </w:rPr>
        <w:t xml:space="preserve"> perce</w:t>
      </w:r>
      <w:r w:rsidR="00A114A5" w:rsidRPr="00540EB6">
        <w:rPr>
          <w:sz w:val="24"/>
          <w:szCs w:val="24"/>
        </w:rPr>
        <w:t>ption</w:t>
      </w:r>
      <w:r w:rsidRPr="00540EB6">
        <w:rPr>
          <w:sz w:val="24"/>
          <w:szCs w:val="24"/>
        </w:rPr>
        <w:t xml:space="preserve"> that the electronic parts produced required a robustness that was not </w:t>
      </w:r>
      <w:r w:rsidR="00733554" w:rsidRPr="00540EB6">
        <w:rPr>
          <w:sz w:val="24"/>
          <w:szCs w:val="24"/>
        </w:rPr>
        <w:t>driven commercially</w:t>
      </w:r>
      <w:r w:rsidRPr="00540EB6">
        <w:rPr>
          <w:sz w:val="24"/>
          <w:szCs w:val="24"/>
        </w:rPr>
        <w:t>.</w:t>
      </w:r>
      <w:r w:rsidR="00025EDD">
        <w:rPr>
          <w:sz w:val="24"/>
          <w:szCs w:val="24"/>
        </w:rPr>
        <w:t xml:space="preserve"> </w:t>
      </w:r>
      <w:r w:rsidRPr="00540EB6">
        <w:rPr>
          <w:sz w:val="24"/>
          <w:szCs w:val="24"/>
        </w:rPr>
        <w:t xml:space="preserve">Combined with the growing needs for reliable electronics in a range of defense applications, the </w:t>
      </w:r>
      <w:r w:rsidR="004426DF">
        <w:rPr>
          <w:sz w:val="24"/>
          <w:szCs w:val="24"/>
        </w:rPr>
        <w:t>military specification</w:t>
      </w:r>
      <w:r w:rsidRPr="00540EB6">
        <w:rPr>
          <w:sz w:val="24"/>
          <w:szCs w:val="24"/>
        </w:rPr>
        <w:t xml:space="preserve"> system was born, in which every angle of protection to assure reliable parts was put in place:</w:t>
      </w:r>
    </w:p>
    <w:p w14:paraId="7F593295" w14:textId="77777777" w:rsidR="006A5D00" w:rsidRPr="00540EB6" w:rsidRDefault="006A5D00" w:rsidP="00E261E3">
      <w:pPr>
        <w:pStyle w:val="Text"/>
        <w:spacing w:line="480" w:lineRule="auto"/>
        <w:rPr>
          <w:sz w:val="24"/>
          <w:szCs w:val="24"/>
        </w:rPr>
      </w:pPr>
    </w:p>
    <w:p w14:paraId="1BF68D65" w14:textId="77777777" w:rsidR="006A5D00" w:rsidRPr="00540EB6" w:rsidRDefault="006A5D00" w:rsidP="00E261E3">
      <w:pPr>
        <w:pStyle w:val="Text"/>
        <w:numPr>
          <w:ilvl w:val="0"/>
          <w:numId w:val="18"/>
        </w:numPr>
        <w:spacing w:line="480" w:lineRule="auto"/>
        <w:rPr>
          <w:sz w:val="24"/>
          <w:szCs w:val="24"/>
        </w:rPr>
      </w:pPr>
      <w:r w:rsidRPr="00540EB6">
        <w:rPr>
          <w:sz w:val="24"/>
          <w:szCs w:val="24"/>
        </w:rPr>
        <w:t xml:space="preserve">Stringent standards on quality </w:t>
      </w:r>
    </w:p>
    <w:p w14:paraId="5C9B1A8E" w14:textId="77777777" w:rsidR="006A5D00" w:rsidRPr="00540EB6" w:rsidRDefault="006A5D00" w:rsidP="00E261E3">
      <w:pPr>
        <w:pStyle w:val="Text"/>
        <w:numPr>
          <w:ilvl w:val="0"/>
          <w:numId w:val="18"/>
        </w:numPr>
        <w:spacing w:line="480" w:lineRule="auto"/>
        <w:rPr>
          <w:sz w:val="24"/>
          <w:szCs w:val="24"/>
        </w:rPr>
      </w:pPr>
      <w:r w:rsidRPr="00540EB6">
        <w:rPr>
          <w:sz w:val="24"/>
          <w:szCs w:val="24"/>
        </w:rPr>
        <w:t>Testing to verify performance at wide environmental ranges</w:t>
      </w:r>
    </w:p>
    <w:p w14:paraId="4556A2A3" w14:textId="77777777" w:rsidR="006A5D00" w:rsidRPr="00540EB6" w:rsidRDefault="006A5D00" w:rsidP="00E261E3">
      <w:pPr>
        <w:pStyle w:val="Text"/>
        <w:numPr>
          <w:ilvl w:val="0"/>
          <w:numId w:val="18"/>
        </w:numPr>
        <w:spacing w:line="480" w:lineRule="auto"/>
        <w:rPr>
          <w:sz w:val="24"/>
          <w:szCs w:val="24"/>
        </w:rPr>
      </w:pPr>
      <w:r w:rsidRPr="00540EB6">
        <w:rPr>
          <w:sz w:val="24"/>
          <w:szCs w:val="24"/>
        </w:rPr>
        <w:t>Maximum failure rates at or above rated conditions</w:t>
      </w:r>
    </w:p>
    <w:p w14:paraId="27AA1405" w14:textId="77777777" w:rsidR="006A5D00" w:rsidRPr="00540EB6" w:rsidRDefault="006A5D00" w:rsidP="00E261E3">
      <w:pPr>
        <w:pStyle w:val="Text"/>
        <w:numPr>
          <w:ilvl w:val="0"/>
          <w:numId w:val="18"/>
        </w:numPr>
        <w:spacing w:line="480" w:lineRule="auto"/>
        <w:rPr>
          <w:sz w:val="24"/>
          <w:szCs w:val="24"/>
        </w:rPr>
      </w:pPr>
      <w:r w:rsidRPr="00540EB6">
        <w:rPr>
          <w:sz w:val="24"/>
          <w:szCs w:val="24"/>
        </w:rPr>
        <w:t>Full traceability of materials</w:t>
      </w:r>
    </w:p>
    <w:p w14:paraId="42CEBE43" w14:textId="77777777" w:rsidR="006A5D00" w:rsidRPr="00540EB6" w:rsidRDefault="006A5D00" w:rsidP="00E261E3">
      <w:pPr>
        <w:pStyle w:val="Text"/>
        <w:numPr>
          <w:ilvl w:val="0"/>
          <w:numId w:val="18"/>
        </w:numPr>
        <w:spacing w:line="480" w:lineRule="auto"/>
        <w:rPr>
          <w:sz w:val="24"/>
          <w:szCs w:val="24"/>
        </w:rPr>
      </w:pPr>
      <w:proofErr w:type="gramStart"/>
      <w:r w:rsidRPr="00540EB6">
        <w:rPr>
          <w:sz w:val="24"/>
          <w:szCs w:val="24"/>
        </w:rPr>
        <w:t>Tightly-controlled</w:t>
      </w:r>
      <w:proofErr w:type="gramEnd"/>
      <w:r w:rsidRPr="00540EB6">
        <w:rPr>
          <w:sz w:val="24"/>
          <w:szCs w:val="24"/>
        </w:rPr>
        <w:t xml:space="preserve"> variability of key parameters</w:t>
      </w:r>
    </w:p>
    <w:p w14:paraId="1065DDE5" w14:textId="77777777" w:rsidR="006A5D00" w:rsidRPr="00540EB6" w:rsidRDefault="006A5D00" w:rsidP="00E261E3">
      <w:pPr>
        <w:pStyle w:val="Text"/>
        <w:numPr>
          <w:ilvl w:val="0"/>
          <w:numId w:val="18"/>
        </w:numPr>
        <w:spacing w:line="480" w:lineRule="auto"/>
        <w:rPr>
          <w:sz w:val="24"/>
          <w:szCs w:val="24"/>
        </w:rPr>
      </w:pPr>
      <w:r w:rsidRPr="00540EB6">
        <w:rPr>
          <w:sz w:val="24"/>
          <w:szCs w:val="24"/>
        </w:rPr>
        <w:t>Vendor audits.</w:t>
      </w:r>
    </w:p>
    <w:p w14:paraId="2EFE4D98" w14:textId="77777777" w:rsidR="006A5D00" w:rsidRPr="00540EB6" w:rsidRDefault="006A5D00" w:rsidP="00E261E3">
      <w:pPr>
        <w:pStyle w:val="Text"/>
        <w:spacing w:line="480" w:lineRule="auto"/>
        <w:rPr>
          <w:sz w:val="24"/>
          <w:szCs w:val="24"/>
        </w:rPr>
      </w:pPr>
    </w:p>
    <w:p w14:paraId="1CC477FE" w14:textId="0DB5000E" w:rsidR="00F96054" w:rsidRPr="00540EB6" w:rsidRDefault="006A5D00" w:rsidP="00E261E3">
      <w:pPr>
        <w:pStyle w:val="Text"/>
        <w:spacing w:line="480" w:lineRule="auto"/>
        <w:rPr>
          <w:sz w:val="24"/>
          <w:szCs w:val="24"/>
        </w:rPr>
      </w:pPr>
      <w:r w:rsidRPr="00540EB6">
        <w:rPr>
          <w:sz w:val="24"/>
          <w:szCs w:val="24"/>
        </w:rPr>
        <w:t xml:space="preserve">This system left no stone unturned to be sure that the electronic parts themselves were not going to cause a reliability problem, although </w:t>
      </w:r>
      <w:r w:rsidR="00A114A5" w:rsidRPr="00540EB6">
        <w:rPr>
          <w:sz w:val="24"/>
          <w:szCs w:val="24"/>
        </w:rPr>
        <w:t xml:space="preserve">the reality is that </w:t>
      </w:r>
      <w:r w:rsidRPr="00540EB6">
        <w:rPr>
          <w:sz w:val="24"/>
          <w:szCs w:val="24"/>
        </w:rPr>
        <w:t>no level of controls on parts can assure or improve</w:t>
      </w:r>
      <w:r w:rsidR="00A114A5" w:rsidRPr="00540EB6">
        <w:rPr>
          <w:sz w:val="24"/>
          <w:szCs w:val="24"/>
        </w:rPr>
        <w:t xml:space="preserve"> application </w:t>
      </w:r>
      <w:r w:rsidRPr="00540EB6">
        <w:rPr>
          <w:sz w:val="24"/>
          <w:szCs w:val="24"/>
        </w:rPr>
        <w:t>reliability.</w:t>
      </w:r>
      <w:r w:rsidR="00025EDD">
        <w:rPr>
          <w:sz w:val="24"/>
          <w:szCs w:val="24"/>
        </w:rPr>
        <w:t xml:space="preserve"> </w:t>
      </w:r>
      <w:r w:rsidRPr="00540EB6">
        <w:rPr>
          <w:sz w:val="24"/>
          <w:szCs w:val="24"/>
        </w:rPr>
        <w:t xml:space="preserve">To some extent the wide application ranges on </w:t>
      </w:r>
      <w:r w:rsidR="004426DF">
        <w:rPr>
          <w:sz w:val="24"/>
          <w:szCs w:val="24"/>
        </w:rPr>
        <w:t>military specification</w:t>
      </w:r>
      <w:r w:rsidRPr="00540EB6">
        <w:rPr>
          <w:sz w:val="24"/>
          <w:szCs w:val="24"/>
        </w:rPr>
        <w:t xml:space="preserve"> parts may make them slightly less susceptible to some unmodeled effects inside of or exogenous to the circuit</w:t>
      </w:r>
      <w:r w:rsidR="00FB1097">
        <w:rPr>
          <w:sz w:val="24"/>
          <w:szCs w:val="24"/>
        </w:rPr>
        <w:t>.</w:t>
      </w:r>
      <w:r w:rsidR="00025EDD">
        <w:rPr>
          <w:sz w:val="24"/>
          <w:szCs w:val="24"/>
        </w:rPr>
        <w:t xml:space="preserve"> </w:t>
      </w:r>
      <w:r w:rsidR="00FB1097">
        <w:rPr>
          <w:sz w:val="24"/>
          <w:szCs w:val="24"/>
        </w:rPr>
        <w:t>Furthermore, requirements to tolerate, e.g., voltages at twice and sometime four times the rated voltage, these</w:t>
      </w:r>
      <w:r w:rsidRPr="00540EB6">
        <w:rPr>
          <w:sz w:val="24"/>
          <w:szCs w:val="24"/>
        </w:rPr>
        <w:t xml:space="preserve"> </w:t>
      </w:r>
      <w:r w:rsidR="00FB1097">
        <w:rPr>
          <w:sz w:val="24"/>
          <w:szCs w:val="24"/>
        </w:rPr>
        <w:t>parts often require</w:t>
      </w:r>
      <w:r w:rsidRPr="00540EB6">
        <w:rPr>
          <w:sz w:val="24"/>
          <w:szCs w:val="24"/>
        </w:rPr>
        <w:t xml:space="preserve"> less derating than non-</w:t>
      </w:r>
      <w:r w:rsidR="004426DF">
        <w:rPr>
          <w:sz w:val="24"/>
          <w:szCs w:val="24"/>
        </w:rPr>
        <w:t>military specification</w:t>
      </w:r>
      <w:r w:rsidRPr="00540EB6">
        <w:rPr>
          <w:sz w:val="24"/>
          <w:szCs w:val="24"/>
        </w:rPr>
        <w:t xml:space="preserve"> parts</w:t>
      </w:r>
      <w:r w:rsidR="00FB1097">
        <w:rPr>
          <w:sz w:val="24"/>
          <w:szCs w:val="24"/>
        </w:rPr>
        <w:t xml:space="preserve"> (which are typically only designed to handle the levels specified in the datasheet)</w:t>
      </w:r>
      <w:r w:rsidRPr="00540EB6">
        <w:rPr>
          <w:sz w:val="24"/>
          <w:szCs w:val="24"/>
        </w:rPr>
        <w:t xml:space="preserve"> to achieve comparable reliability.</w:t>
      </w:r>
      <w:r w:rsidR="00025EDD">
        <w:rPr>
          <w:sz w:val="24"/>
          <w:szCs w:val="24"/>
        </w:rPr>
        <w:t xml:space="preserve"> </w:t>
      </w:r>
      <w:r w:rsidR="00F96054" w:rsidRPr="00540EB6">
        <w:rPr>
          <w:sz w:val="24"/>
          <w:szCs w:val="24"/>
        </w:rPr>
        <w:t xml:space="preserve">Essentially, the established parts community </w:t>
      </w:r>
      <w:r w:rsidR="00990CF6">
        <w:rPr>
          <w:sz w:val="24"/>
          <w:szCs w:val="24"/>
        </w:rPr>
        <w:t xml:space="preserve">has </w:t>
      </w:r>
      <w:r w:rsidR="00F96054" w:rsidRPr="00540EB6">
        <w:rPr>
          <w:sz w:val="24"/>
          <w:szCs w:val="24"/>
        </w:rPr>
        <w:t xml:space="preserve">employed </w:t>
      </w:r>
      <w:r w:rsidR="00FB1097">
        <w:rPr>
          <w:sz w:val="24"/>
          <w:szCs w:val="24"/>
        </w:rPr>
        <w:t>an</w:t>
      </w:r>
      <w:r w:rsidR="00FB1097" w:rsidRPr="00540EB6">
        <w:rPr>
          <w:sz w:val="24"/>
          <w:szCs w:val="24"/>
        </w:rPr>
        <w:t xml:space="preserve"> </w:t>
      </w:r>
      <w:r w:rsidR="00F96054" w:rsidRPr="00540EB6">
        <w:rPr>
          <w:sz w:val="24"/>
          <w:szCs w:val="24"/>
        </w:rPr>
        <w:t xml:space="preserve">unwritten definition for reliability of parts: </w:t>
      </w:r>
    </w:p>
    <w:p w14:paraId="780B0EC0" w14:textId="77777777" w:rsidR="00F96054" w:rsidRPr="00540EB6" w:rsidRDefault="00F96054" w:rsidP="00E261E3">
      <w:pPr>
        <w:pStyle w:val="Text"/>
        <w:spacing w:line="480" w:lineRule="auto"/>
        <w:rPr>
          <w:sz w:val="24"/>
          <w:szCs w:val="24"/>
        </w:rPr>
      </w:pPr>
    </w:p>
    <w:p w14:paraId="47D54199" w14:textId="7201CDE6" w:rsidR="00F96054" w:rsidRPr="00540EB6" w:rsidRDefault="00F96054" w:rsidP="00E261E3">
      <w:pPr>
        <w:pStyle w:val="Text"/>
        <w:spacing w:line="480" w:lineRule="auto"/>
        <w:ind w:left="202" w:firstLine="0"/>
        <w:rPr>
          <w:i/>
          <w:iCs/>
          <w:sz w:val="24"/>
          <w:szCs w:val="24"/>
        </w:rPr>
      </w:pPr>
      <w:r w:rsidRPr="00540EB6">
        <w:rPr>
          <w:i/>
          <w:iCs/>
          <w:sz w:val="24"/>
          <w:szCs w:val="24"/>
        </w:rPr>
        <w:t>The ability to maintain a finite set of parameters within specifications under a broad set of conditions regardless of the operational use environment for a fixed period of time (</w:t>
      </w:r>
      <w:proofErr w:type="gramStart"/>
      <w:r w:rsidRPr="00540EB6">
        <w:rPr>
          <w:i/>
          <w:iCs/>
          <w:sz w:val="24"/>
          <w:szCs w:val="24"/>
        </w:rPr>
        <w:t>e.g.</w:t>
      </w:r>
      <w:proofErr w:type="gramEnd"/>
      <w:r w:rsidRPr="00540EB6">
        <w:rPr>
          <w:i/>
          <w:iCs/>
          <w:sz w:val="24"/>
          <w:szCs w:val="24"/>
        </w:rPr>
        <w:t xml:space="preserve"> 1000 </w:t>
      </w:r>
      <w:proofErr w:type="spellStart"/>
      <w:r w:rsidRPr="00540EB6">
        <w:rPr>
          <w:i/>
          <w:iCs/>
          <w:sz w:val="24"/>
          <w:szCs w:val="24"/>
        </w:rPr>
        <w:t>hrs</w:t>
      </w:r>
      <w:proofErr w:type="spellEnd"/>
      <w:r w:rsidRPr="00540EB6">
        <w:rPr>
          <w:i/>
          <w:iCs/>
          <w:sz w:val="24"/>
          <w:szCs w:val="24"/>
        </w:rPr>
        <w:t xml:space="preserve">, 10,000 </w:t>
      </w:r>
      <w:proofErr w:type="spellStart"/>
      <w:r w:rsidRPr="00540EB6">
        <w:rPr>
          <w:i/>
          <w:iCs/>
          <w:sz w:val="24"/>
          <w:szCs w:val="24"/>
        </w:rPr>
        <w:t>hrs</w:t>
      </w:r>
      <w:proofErr w:type="spellEnd"/>
      <w:r w:rsidRPr="00540EB6">
        <w:rPr>
          <w:i/>
          <w:iCs/>
          <w:sz w:val="24"/>
          <w:szCs w:val="24"/>
        </w:rPr>
        <w:t xml:space="preserve">, </w:t>
      </w:r>
      <w:proofErr w:type="spellStart"/>
      <w:r w:rsidRPr="00540EB6">
        <w:rPr>
          <w:i/>
          <w:iCs/>
          <w:sz w:val="24"/>
          <w:szCs w:val="24"/>
        </w:rPr>
        <w:t>etc</w:t>
      </w:r>
      <w:proofErr w:type="spellEnd"/>
      <w:r w:rsidRPr="00540EB6">
        <w:rPr>
          <w:i/>
          <w:iCs/>
          <w:sz w:val="24"/>
          <w:szCs w:val="24"/>
        </w:rPr>
        <w:t>).</w:t>
      </w:r>
    </w:p>
    <w:p w14:paraId="00365D9A" w14:textId="40B1936B" w:rsidR="00F96054" w:rsidRPr="00540EB6" w:rsidRDefault="00F96054" w:rsidP="00E261E3">
      <w:pPr>
        <w:pStyle w:val="Text"/>
        <w:spacing w:line="480" w:lineRule="auto"/>
        <w:ind w:left="202"/>
        <w:rPr>
          <w:i/>
          <w:iCs/>
          <w:sz w:val="24"/>
          <w:szCs w:val="24"/>
        </w:rPr>
      </w:pPr>
    </w:p>
    <w:p w14:paraId="77714BBB" w14:textId="707EEBA0" w:rsidR="00F96054" w:rsidRPr="00540EB6" w:rsidRDefault="00F96054" w:rsidP="00CE08A4">
      <w:pPr>
        <w:pStyle w:val="Text"/>
        <w:spacing w:line="480" w:lineRule="auto"/>
        <w:ind w:firstLine="0"/>
        <w:rPr>
          <w:sz w:val="24"/>
          <w:szCs w:val="24"/>
        </w:rPr>
      </w:pPr>
      <w:r w:rsidRPr="00540EB6">
        <w:rPr>
          <w:sz w:val="24"/>
          <w:szCs w:val="24"/>
        </w:rPr>
        <w:t xml:space="preserve">This differs from </w:t>
      </w:r>
      <w:r w:rsidR="00FB1097">
        <w:rPr>
          <w:sz w:val="24"/>
          <w:szCs w:val="24"/>
        </w:rPr>
        <w:t>the ASQ definition</w:t>
      </w:r>
      <w:r w:rsidRPr="00540EB6">
        <w:rPr>
          <w:sz w:val="24"/>
          <w:szCs w:val="24"/>
        </w:rPr>
        <w:t xml:space="preserve"> for reliability:</w:t>
      </w:r>
    </w:p>
    <w:p w14:paraId="050DDA84" w14:textId="77777777" w:rsidR="00F96054" w:rsidRPr="00540EB6" w:rsidRDefault="00F96054" w:rsidP="00E261E3">
      <w:pPr>
        <w:pStyle w:val="Text"/>
        <w:spacing w:line="480" w:lineRule="auto"/>
        <w:rPr>
          <w:sz w:val="24"/>
          <w:szCs w:val="24"/>
        </w:rPr>
      </w:pPr>
    </w:p>
    <w:p w14:paraId="7CAA3BE4" w14:textId="53B01860" w:rsidR="00FB1097" w:rsidRPr="00FB1097" w:rsidRDefault="00FB1097" w:rsidP="00CE08A4">
      <w:pPr>
        <w:pStyle w:val="Text"/>
        <w:spacing w:line="480" w:lineRule="auto"/>
        <w:ind w:left="180" w:firstLine="0"/>
        <w:rPr>
          <w:i/>
          <w:iCs/>
          <w:color w:val="000000"/>
          <w:sz w:val="24"/>
          <w:szCs w:val="24"/>
        </w:rPr>
      </w:pPr>
      <w:r>
        <w:rPr>
          <w:i/>
          <w:iCs/>
          <w:color w:val="000000"/>
          <w:sz w:val="24"/>
          <w:szCs w:val="24"/>
        </w:rPr>
        <w:t>T</w:t>
      </w:r>
      <w:r w:rsidRPr="00FB1097">
        <w:rPr>
          <w:i/>
          <w:iCs/>
          <w:color w:val="000000"/>
          <w:sz w:val="24"/>
          <w:szCs w:val="24"/>
        </w:rPr>
        <w:t>he probability that a product, system, or service will perform its intended function adequately for a</w:t>
      </w:r>
      <w:r w:rsidR="0057136C">
        <w:rPr>
          <w:i/>
          <w:iCs/>
          <w:color w:val="000000"/>
          <w:sz w:val="24"/>
          <w:szCs w:val="24"/>
        </w:rPr>
        <w:t xml:space="preserve"> </w:t>
      </w:r>
      <w:r w:rsidRPr="00FB1097">
        <w:rPr>
          <w:i/>
          <w:iCs/>
          <w:color w:val="000000"/>
          <w:sz w:val="24"/>
          <w:szCs w:val="24"/>
        </w:rPr>
        <w:t xml:space="preserve">specified period of </w:t>
      </w:r>
      <w:proofErr w:type="gramStart"/>
      <w:r w:rsidRPr="00FB1097">
        <w:rPr>
          <w:i/>
          <w:iCs/>
          <w:color w:val="000000"/>
          <w:sz w:val="24"/>
          <w:szCs w:val="24"/>
        </w:rPr>
        <w:t>time, or</w:t>
      </w:r>
      <w:proofErr w:type="gramEnd"/>
      <w:r w:rsidRPr="00FB1097">
        <w:rPr>
          <w:i/>
          <w:iCs/>
          <w:color w:val="000000"/>
          <w:sz w:val="24"/>
          <w:szCs w:val="24"/>
        </w:rPr>
        <w:t xml:space="preserve"> will operate in a defined environment without failure.</w:t>
      </w:r>
    </w:p>
    <w:p w14:paraId="781FC73B" w14:textId="77777777" w:rsidR="0098424F" w:rsidRPr="00540EB6" w:rsidRDefault="0098424F" w:rsidP="00E261E3">
      <w:pPr>
        <w:pStyle w:val="Text"/>
        <w:spacing w:line="480" w:lineRule="auto"/>
        <w:ind w:firstLine="0"/>
        <w:rPr>
          <w:sz w:val="24"/>
          <w:szCs w:val="24"/>
        </w:rPr>
      </w:pPr>
    </w:p>
    <w:p w14:paraId="56255D3E" w14:textId="579BC5E6" w:rsidR="006A5D00" w:rsidRPr="00540EB6" w:rsidRDefault="002E7F18" w:rsidP="00E261E3">
      <w:pPr>
        <w:pStyle w:val="Text"/>
        <w:spacing w:line="480" w:lineRule="auto"/>
        <w:rPr>
          <w:sz w:val="24"/>
          <w:szCs w:val="24"/>
        </w:rPr>
      </w:pPr>
      <w:r>
        <w:rPr>
          <w:sz w:val="24"/>
          <w:szCs w:val="24"/>
        </w:rPr>
        <w:t xml:space="preserve">A reliability engineer would certainly note the problem with </w:t>
      </w:r>
      <w:r w:rsidR="00805474">
        <w:rPr>
          <w:sz w:val="24"/>
          <w:szCs w:val="24"/>
        </w:rPr>
        <w:t>the “unwritten” parts definition in that it is not related to how the part will be used.</w:t>
      </w:r>
      <w:r w:rsidR="00025EDD">
        <w:rPr>
          <w:sz w:val="24"/>
          <w:szCs w:val="24"/>
        </w:rPr>
        <w:t xml:space="preserve"> </w:t>
      </w:r>
      <w:r w:rsidR="0098424F" w:rsidRPr="00540EB6">
        <w:rPr>
          <w:sz w:val="24"/>
          <w:szCs w:val="24"/>
        </w:rPr>
        <w:t xml:space="preserve">Discussions with commercial parts manufacturers indicate that they adopt a version of the parts community definition for reliability, as they consider parts that have a much narrower proven operating range to be less reliable than those with, e.g., a </w:t>
      </w:r>
      <w:r w:rsidR="004426DF">
        <w:rPr>
          <w:sz w:val="24"/>
          <w:szCs w:val="24"/>
        </w:rPr>
        <w:t>military specification</w:t>
      </w:r>
      <w:r w:rsidR="0098424F" w:rsidRPr="00540EB6">
        <w:rPr>
          <w:sz w:val="24"/>
          <w:szCs w:val="24"/>
        </w:rPr>
        <w:t xml:space="preserve"> operating range.</w:t>
      </w:r>
      <w:r w:rsidR="00025EDD">
        <w:rPr>
          <w:sz w:val="24"/>
          <w:szCs w:val="24"/>
        </w:rPr>
        <w:t xml:space="preserve"> </w:t>
      </w:r>
      <w:r w:rsidR="004B76D6" w:rsidRPr="00540EB6">
        <w:rPr>
          <w:sz w:val="24"/>
          <w:szCs w:val="24"/>
        </w:rPr>
        <w:t xml:space="preserve">Section </w:t>
      </w:r>
      <w:r w:rsidR="004B76D6" w:rsidRPr="00540EB6">
        <w:rPr>
          <w:sz w:val="24"/>
          <w:szCs w:val="24"/>
        </w:rPr>
        <w:fldChar w:fldCharType="begin"/>
      </w:r>
      <w:r w:rsidR="004B76D6" w:rsidRPr="00540EB6">
        <w:rPr>
          <w:sz w:val="24"/>
          <w:szCs w:val="24"/>
        </w:rPr>
        <w:instrText xml:space="preserve"> REF _Ref67642291 \r \h </w:instrText>
      </w:r>
      <w:r w:rsidR="00E261E3" w:rsidRPr="00540EB6">
        <w:rPr>
          <w:sz w:val="24"/>
          <w:szCs w:val="24"/>
        </w:rPr>
        <w:instrText xml:space="preserve"> \* MERGEFORMAT </w:instrText>
      </w:r>
      <w:r w:rsidR="004B76D6" w:rsidRPr="00540EB6">
        <w:rPr>
          <w:sz w:val="24"/>
          <w:szCs w:val="24"/>
        </w:rPr>
      </w:r>
      <w:r w:rsidR="004B76D6" w:rsidRPr="00540EB6">
        <w:rPr>
          <w:sz w:val="24"/>
          <w:szCs w:val="24"/>
        </w:rPr>
        <w:fldChar w:fldCharType="separate"/>
      </w:r>
      <w:r w:rsidR="003102F4" w:rsidRPr="00540EB6">
        <w:rPr>
          <w:sz w:val="24"/>
          <w:szCs w:val="24"/>
        </w:rPr>
        <w:t>III</w:t>
      </w:r>
      <w:r w:rsidR="004B76D6" w:rsidRPr="00540EB6">
        <w:rPr>
          <w:sz w:val="24"/>
          <w:szCs w:val="24"/>
        </w:rPr>
        <w:fldChar w:fldCharType="end"/>
      </w:r>
      <w:r w:rsidR="00791B5D" w:rsidRPr="00540EB6">
        <w:rPr>
          <w:sz w:val="24"/>
          <w:szCs w:val="24"/>
        </w:rPr>
        <w:t xml:space="preserve"> will expand the discussion on reliability.</w:t>
      </w:r>
      <w:r w:rsidR="00025EDD">
        <w:rPr>
          <w:sz w:val="24"/>
          <w:szCs w:val="24"/>
        </w:rPr>
        <w:t xml:space="preserve"> </w:t>
      </w:r>
    </w:p>
    <w:p w14:paraId="058B537D" w14:textId="77777777" w:rsidR="0098424F" w:rsidRPr="00540EB6" w:rsidRDefault="0098424F" w:rsidP="00E261E3">
      <w:pPr>
        <w:pStyle w:val="Text"/>
        <w:spacing w:line="480" w:lineRule="auto"/>
        <w:rPr>
          <w:sz w:val="24"/>
          <w:szCs w:val="24"/>
        </w:rPr>
      </w:pPr>
    </w:p>
    <w:p w14:paraId="727707BC" w14:textId="07FE0A46" w:rsidR="006A5D00" w:rsidRPr="00540EB6" w:rsidRDefault="006A5D00" w:rsidP="00E261E3">
      <w:pPr>
        <w:pStyle w:val="Text"/>
        <w:spacing w:line="480" w:lineRule="auto"/>
        <w:rPr>
          <w:sz w:val="24"/>
          <w:szCs w:val="24"/>
        </w:rPr>
      </w:pPr>
      <w:r w:rsidRPr="00540EB6">
        <w:rPr>
          <w:sz w:val="24"/>
          <w:szCs w:val="24"/>
        </w:rPr>
        <w:t>In the mid 1990’s, Defense Acquisition Reform drove an overall approach to reduce government-run standards and to make all efforts to use commercial practices.</w:t>
      </w:r>
      <w:r w:rsidR="00025EDD">
        <w:rPr>
          <w:sz w:val="24"/>
          <w:szCs w:val="24"/>
        </w:rPr>
        <w:t xml:space="preserve"> </w:t>
      </w:r>
      <w:r w:rsidRPr="00540EB6">
        <w:rPr>
          <w:sz w:val="24"/>
          <w:szCs w:val="24"/>
        </w:rPr>
        <w:t xml:space="preserve">This caused some dwindling of the </w:t>
      </w:r>
      <w:r w:rsidR="004426DF">
        <w:rPr>
          <w:sz w:val="24"/>
          <w:szCs w:val="24"/>
        </w:rPr>
        <w:t>military specification</w:t>
      </w:r>
      <w:r w:rsidRPr="00540EB6">
        <w:rPr>
          <w:sz w:val="24"/>
          <w:szCs w:val="24"/>
        </w:rPr>
        <w:t xml:space="preserve"> system, but it was recognized that it still played an important role, so it did not go away. </w:t>
      </w:r>
      <w:r w:rsidR="00C5551B" w:rsidRPr="00540EB6">
        <w:rPr>
          <w:sz w:val="24"/>
          <w:szCs w:val="24"/>
        </w:rPr>
        <w:t>In some cases</w:t>
      </w:r>
      <w:r w:rsidR="0091797B">
        <w:rPr>
          <w:sz w:val="24"/>
          <w:szCs w:val="24"/>
        </w:rPr>
        <w:t>,</w:t>
      </w:r>
      <w:r w:rsidR="00C5551B" w:rsidRPr="00540EB6">
        <w:rPr>
          <w:sz w:val="24"/>
          <w:szCs w:val="24"/>
        </w:rPr>
        <w:t xml:space="preserve"> the MIL-STD documents were replaced by “MIL-PRF” documents that were intended to be more </w:t>
      </w:r>
      <w:r w:rsidR="00C5551B" w:rsidRPr="00540EB6">
        <w:rPr>
          <w:i/>
          <w:iCs/>
          <w:sz w:val="24"/>
          <w:szCs w:val="24"/>
        </w:rPr>
        <w:t>objectives</w:t>
      </w:r>
      <w:r w:rsidR="00A114A5" w:rsidRPr="00540EB6">
        <w:rPr>
          <w:i/>
          <w:iCs/>
          <w:sz w:val="24"/>
          <w:szCs w:val="24"/>
        </w:rPr>
        <w:t>-</w:t>
      </w:r>
      <w:r w:rsidR="00C5551B" w:rsidRPr="00540EB6">
        <w:rPr>
          <w:i/>
          <w:iCs/>
          <w:sz w:val="24"/>
          <w:szCs w:val="24"/>
        </w:rPr>
        <w:t>driven</w:t>
      </w:r>
      <w:r w:rsidR="00A114A5" w:rsidRPr="00540EB6">
        <w:rPr>
          <w:rStyle w:val="FootnoteReference"/>
          <w:sz w:val="24"/>
          <w:szCs w:val="24"/>
        </w:rPr>
        <w:footnoteReference w:id="2"/>
      </w:r>
      <w:r w:rsidR="00C5551B" w:rsidRPr="00540EB6">
        <w:rPr>
          <w:sz w:val="24"/>
          <w:szCs w:val="24"/>
        </w:rPr>
        <w:t xml:space="preserve"> with leeway given to the manufacturer, but ultimately most government users demanded the same level of strict compliance with the PRF documents.</w:t>
      </w:r>
      <w:r w:rsidRPr="00540EB6">
        <w:rPr>
          <w:sz w:val="24"/>
          <w:szCs w:val="24"/>
        </w:rPr>
        <w:t xml:space="preserve"> </w:t>
      </w:r>
      <w:r w:rsidR="00A95828" w:rsidRPr="00540EB6">
        <w:rPr>
          <w:sz w:val="24"/>
          <w:szCs w:val="24"/>
        </w:rPr>
        <w:t>The PRF was shorthand for “preference” to denote an intended flexibility in implement</w:t>
      </w:r>
      <w:r w:rsidR="00FC6421">
        <w:rPr>
          <w:sz w:val="24"/>
          <w:szCs w:val="24"/>
        </w:rPr>
        <w:t>at</w:t>
      </w:r>
      <w:r w:rsidR="00A95828" w:rsidRPr="00540EB6">
        <w:rPr>
          <w:sz w:val="24"/>
          <w:szCs w:val="24"/>
        </w:rPr>
        <w:t>ion, but the purpose diminished over time.</w:t>
      </w:r>
      <w:r w:rsidR="00025EDD">
        <w:rPr>
          <w:sz w:val="24"/>
          <w:szCs w:val="24"/>
        </w:rPr>
        <w:t xml:space="preserve"> </w:t>
      </w:r>
      <w:r w:rsidRPr="00540EB6">
        <w:rPr>
          <w:sz w:val="24"/>
          <w:szCs w:val="24"/>
        </w:rPr>
        <w:t xml:space="preserve">The reductions did have the effect, however, that as new component technologies emerged, they were not often brought into the </w:t>
      </w:r>
      <w:r w:rsidR="004426DF">
        <w:rPr>
          <w:sz w:val="24"/>
          <w:szCs w:val="24"/>
        </w:rPr>
        <w:lastRenderedPageBreak/>
        <w:t>military specification</w:t>
      </w:r>
      <w:r w:rsidRPr="00540EB6">
        <w:rPr>
          <w:sz w:val="24"/>
          <w:szCs w:val="24"/>
        </w:rPr>
        <w:t xml:space="preserve"> system, and thus it became apparent that the space community would require alternative means to assure that parts selected would not negatively impact the system reliability.</w:t>
      </w:r>
      <w:r w:rsidR="00025EDD">
        <w:rPr>
          <w:sz w:val="24"/>
          <w:szCs w:val="24"/>
        </w:rPr>
        <w:t xml:space="preserve"> </w:t>
      </w:r>
      <w:r w:rsidRPr="00540EB6">
        <w:rPr>
          <w:sz w:val="24"/>
          <w:szCs w:val="24"/>
        </w:rPr>
        <w:t>Furthermore, as performance requirements increased, the ability to “bulk up” the parts to withstand excessively broad conditions lessened</w:t>
      </w:r>
      <w:r w:rsidR="00791B5D" w:rsidRPr="00540EB6">
        <w:rPr>
          <w:sz w:val="24"/>
          <w:szCs w:val="24"/>
        </w:rPr>
        <w:t xml:space="preserve"> and thus the system was not designed to accommodate continuous and extensive advances in performance and technology</w:t>
      </w:r>
      <w:r w:rsidRPr="00540EB6">
        <w:rPr>
          <w:sz w:val="24"/>
          <w:szCs w:val="24"/>
        </w:rPr>
        <w:t>.</w:t>
      </w:r>
      <w:r w:rsidR="00025EDD">
        <w:rPr>
          <w:sz w:val="24"/>
          <w:szCs w:val="24"/>
        </w:rPr>
        <w:t xml:space="preserve"> </w:t>
      </w:r>
      <w:r w:rsidRPr="00540EB6">
        <w:rPr>
          <w:sz w:val="24"/>
          <w:szCs w:val="24"/>
        </w:rPr>
        <w:t>NASA began in-house efforts to select, screen, and test parts, and gather information on parts that were within the space experience base, and thus compiled and maintained the NPSL.</w:t>
      </w:r>
      <w:r w:rsidR="00025EDD">
        <w:rPr>
          <w:sz w:val="24"/>
          <w:szCs w:val="24"/>
        </w:rPr>
        <w:t xml:space="preserve"> </w:t>
      </w:r>
      <w:r w:rsidRPr="00540EB6">
        <w:rPr>
          <w:sz w:val="24"/>
          <w:szCs w:val="24"/>
        </w:rPr>
        <w:t>The NPSL recommended parts for usage based on the risk posture of the application.</w:t>
      </w:r>
      <w:r w:rsidR="00025EDD">
        <w:rPr>
          <w:sz w:val="24"/>
          <w:szCs w:val="24"/>
        </w:rPr>
        <w:t xml:space="preserve"> </w:t>
      </w:r>
      <w:r w:rsidRPr="00540EB6">
        <w:rPr>
          <w:sz w:val="24"/>
          <w:szCs w:val="24"/>
        </w:rPr>
        <w:t>Risks in EEE parts will be discussed further in the next section.</w:t>
      </w:r>
      <w:r w:rsidR="00025EDD">
        <w:rPr>
          <w:sz w:val="24"/>
          <w:szCs w:val="24"/>
        </w:rPr>
        <w:t xml:space="preserve"> </w:t>
      </w:r>
    </w:p>
    <w:p w14:paraId="5B70ACEF" w14:textId="77777777" w:rsidR="006A5D00" w:rsidRPr="00540EB6" w:rsidRDefault="006A5D00" w:rsidP="00E261E3">
      <w:pPr>
        <w:pStyle w:val="Text"/>
        <w:spacing w:line="480" w:lineRule="auto"/>
        <w:rPr>
          <w:sz w:val="24"/>
          <w:szCs w:val="24"/>
        </w:rPr>
      </w:pPr>
    </w:p>
    <w:p w14:paraId="0CA72D8F" w14:textId="45E0AEA9" w:rsidR="00E97B99" w:rsidRPr="00540EB6" w:rsidRDefault="006A5D00" w:rsidP="00E261E3">
      <w:pPr>
        <w:pStyle w:val="Text"/>
        <w:spacing w:line="480" w:lineRule="auto"/>
        <w:rPr>
          <w:sz w:val="24"/>
          <w:szCs w:val="24"/>
        </w:rPr>
      </w:pPr>
      <w:r w:rsidRPr="00540EB6">
        <w:rPr>
          <w:sz w:val="24"/>
          <w:szCs w:val="24"/>
        </w:rPr>
        <w:t>In the late 90’s NASA and the</w:t>
      </w:r>
      <w:r w:rsidR="007A4152">
        <w:rPr>
          <w:sz w:val="24"/>
          <w:szCs w:val="24"/>
        </w:rPr>
        <w:t xml:space="preserve"> Department of Defense</w:t>
      </w:r>
      <w:r w:rsidRPr="00540EB6">
        <w:rPr>
          <w:sz w:val="24"/>
          <w:szCs w:val="24"/>
        </w:rPr>
        <w:t xml:space="preserve"> </w:t>
      </w:r>
      <w:r w:rsidR="007A4152">
        <w:rPr>
          <w:sz w:val="24"/>
          <w:szCs w:val="24"/>
        </w:rPr>
        <w:t>(</w:t>
      </w:r>
      <w:r w:rsidRPr="00540EB6">
        <w:rPr>
          <w:sz w:val="24"/>
          <w:szCs w:val="24"/>
        </w:rPr>
        <w:t>DoD</w:t>
      </w:r>
      <w:r w:rsidR="007A4152">
        <w:rPr>
          <w:sz w:val="24"/>
          <w:szCs w:val="24"/>
        </w:rPr>
        <w:t>)</w:t>
      </w:r>
      <w:r w:rsidRPr="00540EB6">
        <w:rPr>
          <w:sz w:val="24"/>
          <w:szCs w:val="24"/>
        </w:rPr>
        <w:t xml:space="preserve"> transitioned their workforces to a full-cost accounting approach, which drastically changed the business model for in-</w:t>
      </w:r>
      <w:proofErr w:type="gramStart"/>
      <w:r w:rsidRPr="00540EB6">
        <w:rPr>
          <w:sz w:val="24"/>
          <w:szCs w:val="24"/>
        </w:rPr>
        <w:t>house work</w:t>
      </w:r>
      <w:proofErr w:type="gramEnd"/>
      <w:r w:rsidRPr="00540EB6">
        <w:rPr>
          <w:sz w:val="24"/>
          <w:szCs w:val="24"/>
        </w:rPr>
        <w:t xml:space="preserve"> at the Agencies and diminished the ability to perform cross-cutting testing and assessments prior to projects being funded.</w:t>
      </w:r>
      <w:r w:rsidR="00025EDD">
        <w:rPr>
          <w:sz w:val="24"/>
          <w:szCs w:val="24"/>
        </w:rPr>
        <w:t xml:space="preserve"> </w:t>
      </w:r>
      <w:r w:rsidRPr="00540EB6">
        <w:rPr>
          <w:sz w:val="24"/>
          <w:szCs w:val="24"/>
        </w:rPr>
        <w:t>This all but eliminated the core effort required to fully maintain the NPSL through continued testing activity (although the NPSL still exists and is used as an available tool).</w:t>
      </w:r>
      <w:r w:rsidR="00025EDD">
        <w:rPr>
          <w:sz w:val="24"/>
          <w:szCs w:val="24"/>
        </w:rPr>
        <w:t xml:space="preserve"> </w:t>
      </w:r>
      <w:r w:rsidRPr="00540EB6">
        <w:rPr>
          <w:sz w:val="24"/>
          <w:szCs w:val="24"/>
        </w:rPr>
        <w:t>In response to this change and to the growing usage (by necessity) of commercial parts, the Parts and Packaging Electronics Office</w:t>
      </w:r>
      <w:r w:rsidR="005C0662">
        <w:rPr>
          <w:sz w:val="24"/>
          <w:szCs w:val="24"/>
        </w:rPr>
        <w:t xml:space="preserve"> at Goddard Space Flight Center</w:t>
      </w:r>
      <w:r w:rsidRPr="00540EB6">
        <w:rPr>
          <w:sz w:val="24"/>
          <w:szCs w:val="24"/>
        </w:rPr>
        <w:t xml:space="preserve"> drafted the Instructions for EEE Parts Selection, Screening, Qualification, and Derating document.</w:t>
      </w:r>
      <w:r w:rsidR="00025EDD">
        <w:rPr>
          <w:sz w:val="24"/>
          <w:szCs w:val="24"/>
        </w:rPr>
        <w:t xml:space="preserve"> </w:t>
      </w:r>
      <w:r w:rsidRPr="00540EB6">
        <w:rPr>
          <w:sz w:val="24"/>
          <w:szCs w:val="24"/>
        </w:rPr>
        <w:t xml:space="preserve">Some other organizations assembled similar documents, notably at </w:t>
      </w:r>
      <w:r w:rsidR="00A243F8" w:rsidRPr="00540EB6">
        <w:rPr>
          <w:sz w:val="24"/>
          <w:szCs w:val="24"/>
        </w:rPr>
        <w:t xml:space="preserve">Marshall Space Flight Center </w:t>
      </w:r>
      <w:r w:rsidRPr="00540EB6">
        <w:rPr>
          <w:sz w:val="24"/>
          <w:szCs w:val="24"/>
        </w:rPr>
        <w:t xml:space="preserve">and </w:t>
      </w:r>
      <w:r w:rsidR="00A243F8" w:rsidRPr="00540EB6">
        <w:rPr>
          <w:sz w:val="24"/>
          <w:szCs w:val="24"/>
        </w:rPr>
        <w:t>Jet Propulsion Laboratory</w:t>
      </w:r>
      <w:r w:rsidRPr="00540EB6">
        <w:rPr>
          <w:sz w:val="24"/>
          <w:szCs w:val="24"/>
        </w:rPr>
        <w:t>.</w:t>
      </w:r>
      <w:r w:rsidR="00025EDD">
        <w:rPr>
          <w:sz w:val="24"/>
          <w:szCs w:val="24"/>
        </w:rPr>
        <w:t xml:space="preserve"> </w:t>
      </w:r>
      <w:r w:rsidRPr="00540EB6">
        <w:rPr>
          <w:sz w:val="24"/>
          <w:szCs w:val="24"/>
        </w:rPr>
        <w:t xml:space="preserve">This document has two primary sides – the first side </w:t>
      </w:r>
      <w:r w:rsidR="005C0662" w:rsidRPr="00540EB6">
        <w:rPr>
          <w:sz w:val="24"/>
          <w:szCs w:val="24"/>
        </w:rPr>
        <w:t>focuse</w:t>
      </w:r>
      <w:r w:rsidR="005C0662">
        <w:rPr>
          <w:sz w:val="24"/>
          <w:szCs w:val="24"/>
        </w:rPr>
        <w:t>s</w:t>
      </w:r>
      <w:r w:rsidR="005C0662" w:rsidRPr="00540EB6">
        <w:rPr>
          <w:sz w:val="24"/>
          <w:szCs w:val="24"/>
        </w:rPr>
        <w:t xml:space="preserve"> </w:t>
      </w:r>
      <w:r w:rsidRPr="00540EB6">
        <w:rPr>
          <w:sz w:val="24"/>
          <w:szCs w:val="24"/>
        </w:rPr>
        <w:t xml:space="preserve">on parts selection, </w:t>
      </w:r>
      <w:proofErr w:type="spellStart"/>
      <w:r w:rsidRPr="00540EB6">
        <w:rPr>
          <w:sz w:val="24"/>
          <w:szCs w:val="24"/>
        </w:rPr>
        <w:t>upscreening</w:t>
      </w:r>
      <w:proofErr w:type="spellEnd"/>
      <w:r w:rsidR="00591285" w:rsidRPr="00540EB6">
        <w:rPr>
          <w:rStyle w:val="FootnoteReference"/>
          <w:sz w:val="24"/>
          <w:szCs w:val="24"/>
        </w:rPr>
        <w:footnoteReference w:id="3"/>
      </w:r>
      <w:r w:rsidRPr="00540EB6">
        <w:rPr>
          <w:sz w:val="24"/>
          <w:szCs w:val="24"/>
        </w:rPr>
        <w:t xml:space="preserve"> of lesser-screened (typically commercial) parts, and qualification of parts at 3 different levels of stress and process controls; and the second side being derating for all parts.</w:t>
      </w:r>
      <w:r w:rsidR="00025EDD">
        <w:rPr>
          <w:sz w:val="24"/>
          <w:szCs w:val="24"/>
        </w:rPr>
        <w:t xml:space="preserve"> </w:t>
      </w:r>
      <w:r w:rsidRPr="00540EB6">
        <w:rPr>
          <w:sz w:val="24"/>
          <w:szCs w:val="24"/>
        </w:rPr>
        <w:t xml:space="preserve">The primary purpose of the first side is to establish confidence in commercial parts by </w:t>
      </w:r>
      <w:proofErr w:type="spellStart"/>
      <w:r w:rsidRPr="00540EB6">
        <w:rPr>
          <w:sz w:val="24"/>
          <w:szCs w:val="24"/>
        </w:rPr>
        <w:t>upscreening</w:t>
      </w:r>
      <w:proofErr w:type="spellEnd"/>
      <w:r w:rsidRPr="00540EB6">
        <w:rPr>
          <w:sz w:val="24"/>
          <w:szCs w:val="24"/>
        </w:rPr>
        <w:t xml:space="preserve"> and “qualifying” them.</w:t>
      </w:r>
      <w:r w:rsidR="00025EDD">
        <w:rPr>
          <w:sz w:val="24"/>
          <w:szCs w:val="24"/>
        </w:rPr>
        <w:t xml:space="preserve"> </w:t>
      </w:r>
      <w:r w:rsidRPr="00540EB6">
        <w:rPr>
          <w:sz w:val="24"/>
          <w:szCs w:val="24"/>
        </w:rPr>
        <w:t>It is important to note that imposing requirements from any such documents does not increase the manufacturing grade, the quality, or the reliability of parts, since the parts have already been manufactured.</w:t>
      </w:r>
      <w:r w:rsidR="00025EDD">
        <w:rPr>
          <w:sz w:val="24"/>
          <w:szCs w:val="24"/>
        </w:rPr>
        <w:t xml:space="preserve"> </w:t>
      </w:r>
      <w:r w:rsidRPr="00540EB6">
        <w:rPr>
          <w:sz w:val="24"/>
          <w:szCs w:val="24"/>
        </w:rPr>
        <w:t xml:space="preserve">This process does provide </w:t>
      </w:r>
      <w:r w:rsidRPr="00540EB6">
        <w:rPr>
          <w:sz w:val="24"/>
          <w:szCs w:val="24"/>
        </w:rPr>
        <w:lastRenderedPageBreak/>
        <w:t xml:space="preserve">confidence that the parts can withstand extreme conditions, generally well outside of the bounds of their operation, it ensures that the current version of the part is minimally variable relative to previous versions of the part in terms of the </w:t>
      </w:r>
      <w:r w:rsidR="004426DF">
        <w:rPr>
          <w:sz w:val="24"/>
          <w:szCs w:val="24"/>
        </w:rPr>
        <w:t>military specification</w:t>
      </w:r>
      <w:r w:rsidRPr="00540EB6">
        <w:rPr>
          <w:sz w:val="24"/>
          <w:szCs w:val="24"/>
        </w:rPr>
        <w:t xml:space="preserve">-selected parameters, and that parts are </w:t>
      </w:r>
      <w:r w:rsidR="00A114A5" w:rsidRPr="00540EB6">
        <w:rPr>
          <w:sz w:val="24"/>
          <w:szCs w:val="24"/>
        </w:rPr>
        <w:t xml:space="preserve">screened </w:t>
      </w:r>
      <w:r w:rsidRPr="00540EB6">
        <w:rPr>
          <w:sz w:val="24"/>
          <w:szCs w:val="24"/>
        </w:rPr>
        <w:t xml:space="preserve">out that show </w:t>
      </w:r>
      <w:r w:rsidR="00A114A5" w:rsidRPr="00540EB6">
        <w:rPr>
          <w:sz w:val="24"/>
          <w:szCs w:val="24"/>
        </w:rPr>
        <w:t xml:space="preserve">historical indications </w:t>
      </w:r>
      <w:r w:rsidRPr="00540EB6">
        <w:rPr>
          <w:sz w:val="24"/>
          <w:szCs w:val="24"/>
        </w:rPr>
        <w:t>of infant mortality.</w:t>
      </w:r>
      <w:r w:rsidR="00025EDD">
        <w:rPr>
          <w:sz w:val="24"/>
          <w:szCs w:val="24"/>
        </w:rPr>
        <w:t xml:space="preserve"> </w:t>
      </w:r>
      <w:r w:rsidRPr="00540EB6">
        <w:rPr>
          <w:sz w:val="24"/>
          <w:szCs w:val="24"/>
        </w:rPr>
        <w:t xml:space="preserve">Unfortunately, </w:t>
      </w:r>
      <w:r w:rsidR="005C0662">
        <w:rPr>
          <w:sz w:val="24"/>
          <w:szCs w:val="24"/>
        </w:rPr>
        <w:t>the interchangeable use of the grade, quality level, reliability level terms provided a misleading message</w:t>
      </w:r>
      <w:r w:rsidRPr="00540EB6">
        <w:rPr>
          <w:sz w:val="24"/>
          <w:szCs w:val="24"/>
        </w:rPr>
        <w:t>.</w:t>
      </w:r>
      <w:r w:rsidR="00025EDD">
        <w:rPr>
          <w:sz w:val="24"/>
          <w:szCs w:val="24"/>
        </w:rPr>
        <w:t xml:space="preserve"> </w:t>
      </w:r>
      <w:r w:rsidR="005C0662">
        <w:rPr>
          <w:sz w:val="24"/>
          <w:szCs w:val="24"/>
        </w:rPr>
        <w:t>L</w:t>
      </w:r>
      <w:r w:rsidRPr="00540EB6">
        <w:rPr>
          <w:sz w:val="24"/>
          <w:szCs w:val="24"/>
        </w:rPr>
        <w:t xml:space="preserve">ess knowledgeable users of parts believe that the imposition of requirements based on these documents increase reliability and/or that they in some sense produce </w:t>
      </w:r>
      <w:r w:rsidR="004426DF">
        <w:rPr>
          <w:sz w:val="24"/>
          <w:szCs w:val="24"/>
        </w:rPr>
        <w:t>military specification</w:t>
      </w:r>
      <w:r w:rsidRPr="00540EB6">
        <w:rPr>
          <w:sz w:val="24"/>
          <w:szCs w:val="24"/>
        </w:rPr>
        <w:t xml:space="preserve"> grade parts. </w:t>
      </w:r>
      <w:r w:rsidR="005C0662">
        <w:rPr>
          <w:sz w:val="24"/>
          <w:szCs w:val="24"/>
        </w:rPr>
        <w:t>As mentioned earlier</w:t>
      </w:r>
      <w:r w:rsidR="00A95828" w:rsidRPr="00540EB6">
        <w:rPr>
          <w:sz w:val="24"/>
          <w:szCs w:val="24"/>
        </w:rPr>
        <w:t xml:space="preserve">, </w:t>
      </w:r>
      <w:r w:rsidR="0048609A">
        <w:rPr>
          <w:sz w:val="24"/>
          <w:szCs w:val="24"/>
        </w:rPr>
        <w:t xml:space="preserve">the use of the term </w:t>
      </w:r>
      <w:r w:rsidR="00A95828" w:rsidRPr="00540EB6">
        <w:rPr>
          <w:sz w:val="24"/>
          <w:szCs w:val="24"/>
        </w:rPr>
        <w:t xml:space="preserve">reliability would refer to the extent of compliance to a large collection of </w:t>
      </w:r>
      <w:r w:rsidR="0045184A" w:rsidRPr="00540EB6">
        <w:rPr>
          <w:sz w:val="24"/>
          <w:szCs w:val="24"/>
        </w:rPr>
        <w:t>requirements and specifications that in general were not connected to the manufacture or end use of the parts.</w:t>
      </w:r>
      <w:r w:rsidR="00025EDD">
        <w:rPr>
          <w:sz w:val="24"/>
          <w:szCs w:val="24"/>
        </w:rPr>
        <w:t xml:space="preserve"> </w:t>
      </w:r>
    </w:p>
    <w:p w14:paraId="048B8D89" w14:textId="359CB20F" w:rsidR="00E97B99" w:rsidRPr="00F848F0" w:rsidRDefault="00F43E36" w:rsidP="00E261E3">
      <w:pPr>
        <w:pStyle w:val="Heading1"/>
        <w:spacing w:line="480" w:lineRule="auto"/>
        <w:rPr>
          <w:b/>
          <w:bCs/>
          <w:sz w:val="24"/>
          <w:szCs w:val="24"/>
        </w:rPr>
      </w:pPr>
      <w:bookmarkStart w:id="1" w:name="_Ref67642291"/>
      <w:r w:rsidRPr="00F848F0">
        <w:rPr>
          <w:b/>
          <w:bCs/>
          <w:sz w:val="24"/>
          <w:szCs w:val="24"/>
        </w:rPr>
        <w:t xml:space="preserve">Parts </w:t>
      </w:r>
      <w:r w:rsidR="00791B5D" w:rsidRPr="00F848F0">
        <w:rPr>
          <w:b/>
          <w:bCs/>
          <w:sz w:val="24"/>
          <w:szCs w:val="24"/>
        </w:rPr>
        <w:t xml:space="preserve">and System </w:t>
      </w:r>
      <w:r w:rsidRPr="00F848F0">
        <w:rPr>
          <w:b/>
          <w:bCs/>
          <w:sz w:val="24"/>
          <w:szCs w:val="24"/>
        </w:rPr>
        <w:t>Reliability</w:t>
      </w:r>
      <w:bookmarkEnd w:id="1"/>
    </w:p>
    <w:p w14:paraId="78C1784A" w14:textId="199F7889" w:rsidR="00F43E36" w:rsidRPr="00540EB6" w:rsidRDefault="006B6EFB" w:rsidP="00CE08A4">
      <w:pPr>
        <w:pStyle w:val="Text"/>
        <w:spacing w:line="480" w:lineRule="auto"/>
        <w:ind w:firstLine="0"/>
        <w:rPr>
          <w:sz w:val="24"/>
          <w:szCs w:val="24"/>
        </w:rPr>
      </w:pPr>
      <w:r>
        <w:rPr>
          <w:sz w:val="24"/>
          <w:szCs w:val="24"/>
        </w:rPr>
        <w:t>Because of extreme costs, development times, the different environment from that on Earth, and the inability to address most problems once in operation, it is essential to assure reliability of the system prior to launching</w:t>
      </w:r>
      <w:r w:rsidR="00F43E36" w:rsidRPr="00540EB6">
        <w:rPr>
          <w:sz w:val="24"/>
          <w:szCs w:val="24"/>
        </w:rPr>
        <w:t>.</w:t>
      </w:r>
      <w:r w:rsidR="00025EDD">
        <w:rPr>
          <w:sz w:val="24"/>
          <w:szCs w:val="24"/>
        </w:rPr>
        <w:t xml:space="preserve"> </w:t>
      </w:r>
      <w:r w:rsidR="00F43E36" w:rsidRPr="00540EB6">
        <w:rPr>
          <w:sz w:val="24"/>
          <w:szCs w:val="24"/>
        </w:rPr>
        <w:t xml:space="preserve">The </w:t>
      </w:r>
      <w:r w:rsidR="00931299" w:rsidRPr="00540EB6">
        <w:rPr>
          <w:sz w:val="24"/>
          <w:szCs w:val="24"/>
        </w:rPr>
        <w:t xml:space="preserve">relevant </w:t>
      </w:r>
      <w:r w:rsidR="00F43E36" w:rsidRPr="00540EB6">
        <w:rPr>
          <w:sz w:val="24"/>
          <w:szCs w:val="24"/>
        </w:rPr>
        <w:t xml:space="preserve">reliability </w:t>
      </w:r>
      <w:r w:rsidR="00931299" w:rsidRPr="00540EB6">
        <w:rPr>
          <w:sz w:val="24"/>
          <w:szCs w:val="24"/>
        </w:rPr>
        <w:t xml:space="preserve">here </w:t>
      </w:r>
      <w:r w:rsidR="00F43E36" w:rsidRPr="00540EB6">
        <w:rPr>
          <w:sz w:val="24"/>
          <w:szCs w:val="24"/>
        </w:rPr>
        <w:t>in a space mission is the reliability of the system</w:t>
      </w:r>
      <w:r>
        <w:rPr>
          <w:sz w:val="24"/>
          <w:szCs w:val="24"/>
        </w:rPr>
        <w:t>, which is a function of the reliability of the parts within</w:t>
      </w:r>
      <w:r w:rsidR="00F43E36" w:rsidRPr="00540EB6">
        <w:rPr>
          <w:sz w:val="24"/>
          <w:szCs w:val="24"/>
        </w:rPr>
        <w:t>.</w:t>
      </w:r>
      <w:r w:rsidR="00025EDD">
        <w:rPr>
          <w:sz w:val="24"/>
          <w:szCs w:val="24"/>
        </w:rPr>
        <w:t xml:space="preserve"> </w:t>
      </w:r>
      <w:proofErr w:type="gramStart"/>
      <w:r w:rsidR="00F43E36" w:rsidRPr="00540EB6">
        <w:rPr>
          <w:sz w:val="24"/>
          <w:szCs w:val="24"/>
        </w:rPr>
        <w:t>The vast majority of</w:t>
      </w:r>
      <w:proofErr w:type="gramEnd"/>
      <w:r w:rsidR="00F43E36" w:rsidRPr="00540EB6">
        <w:rPr>
          <w:sz w:val="24"/>
          <w:szCs w:val="24"/>
        </w:rPr>
        <w:t xml:space="preserve"> parts that do not have limited life features, such as depletable or degrading elements, will last virtually forever if operated at a low enough stress level, barring any environmental disturbance that the part cannot withstand or a latent manufacturing defect.</w:t>
      </w:r>
      <w:r w:rsidR="00025EDD">
        <w:rPr>
          <w:sz w:val="24"/>
          <w:szCs w:val="24"/>
        </w:rPr>
        <w:t xml:space="preserve"> </w:t>
      </w:r>
      <w:r w:rsidR="00F43E36" w:rsidRPr="00540EB6">
        <w:rPr>
          <w:sz w:val="24"/>
          <w:szCs w:val="24"/>
        </w:rPr>
        <w:t xml:space="preserve">Latent manufacturing defects are </w:t>
      </w:r>
      <w:proofErr w:type="gramStart"/>
      <w:r w:rsidR="00F43E36" w:rsidRPr="00540EB6">
        <w:rPr>
          <w:sz w:val="24"/>
          <w:szCs w:val="24"/>
        </w:rPr>
        <w:t>uncommon</w:t>
      </w:r>
      <w:proofErr w:type="gramEnd"/>
      <w:r w:rsidR="00F43E36" w:rsidRPr="00540EB6">
        <w:rPr>
          <w:sz w:val="24"/>
          <w:szCs w:val="24"/>
        </w:rPr>
        <w:t xml:space="preserve"> and they affect </w:t>
      </w:r>
      <w:r w:rsidR="004426DF">
        <w:rPr>
          <w:sz w:val="24"/>
          <w:szCs w:val="24"/>
        </w:rPr>
        <w:t>military specification</w:t>
      </w:r>
      <w:r w:rsidR="00F43E36" w:rsidRPr="00540EB6">
        <w:rPr>
          <w:sz w:val="24"/>
          <w:szCs w:val="24"/>
        </w:rPr>
        <w:t xml:space="preserve"> and commercial parts.</w:t>
      </w:r>
      <w:r w:rsidR="00025EDD">
        <w:rPr>
          <w:sz w:val="24"/>
          <w:szCs w:val="24"/>
        </w:rPr>
        <w:t xml:space="preserve"> </w:t>
      </w:r>
      <w:r w:rsidR="00F43E36" w:rsidRPr="00540EB6">
        <w:rPr>
          <w:sz w:val="24"/>
          <w:szCs w:val="24"/>
        </w:rPr>
        <w:t>Nonetheless, they must be taken seriously.</w:t>
      </w:r>
      <w:r w:rsidR="00025EDD">
        <w:rPr>
          <w:sz w:val="24"/>
          <w:szCs w:val="24"/>
        </w:rPr>
        <w:t xml:space="preserve"> </w:t>
      </w:r>
      <w:r w:rsidR="00F43E36" w:rsidRPr="00540EB6">
        <w:rPr>
          <w:sz w:val="24"/>
          <w:szCs w:val="24"/>
        </w:rPr>
        <w:t xml:space="preserve">A single manufacturing defect that eludes the most stringent standard screening processes, affecting the highest grade of </w:t>
      </w:r>
      <w:r w:rsidR="004426DF">
        <w:rPr>
          <w:sz w:val="24"/>
          <w:szCs w:val="24"/>
        </w:rPr>
        <w:t>military specification</w:t>
      </w:r>
      <w:r w:rsidR="00F43E36" w:rsidRPr="00540EB6">
        <w:rPr>
          <w:sz w:val="24"/>
          <w:szCs w:val="24"/>
        </w:rPr>
        <w:t xml:space="preserve"> parts, has caused failures or serious anomalies on at least four separate spacecraft</w:t>
      </w:r>
      <w:r w:rsidR="00105104">
        <w:rPr>
          <w:sz w:val="24"/>
          <w:szCs w:val="24"/>
        </w:rPr>
        <w:t xml:space="preserve"> </w:t>
      </w:r>
      <w:r w:rsidR="00FC4B38" w:rsidRPr="00540EB6">
        <w:rPr>
          <w:sz w:val="24"/>
          <w:szCs w:val="24"/>
        </w:rPr>
        <w:fldChar w:fldCharType="begin"/>
      </w:r>
      <w:r w:rsidR="00FC4B38" w:rsidRPr="00540EB6">
        <w:rPr>
          <w:sz w:val="24"/>
          <w:szCs w:val="24"/>
        </w:rPr>
        <w:instrText xml:space="preserve"> REF _Ref79561976 \r \h </w:instrText>
      </w:r>
      <w:r w:rsidR="00E261E3" w:rsidRPr="00540EB6">
        <w:rPr>
          <w:sz w:val="24"/>
          <w:szCs w:val="24"/>
        </w:rPr>
        <w:instrText xml:space="preserve"> \* MERGEFORMAT </w:instrText>
      </w:r>
      <w:r w:rsidR="00FC4B38" w:rsidRPr="00540EB6">
        <w:rPr>
          <w:sz w:val="24"/>
          <w:szCs w:val="24"/>
        </w:rPr>
      </w:r>
      <w:r w:rsidR="00FC4B38" w:rsidRPr="00540EB6">
        <w:rPr>
          <w:sz w:val="24"/>
          <w:szCs w:val="24"/>
        </w:rPr>
        <w:fldChar w:fldCharType="separate"/>
      </w:r>
      <w:r w:rsidR="003102F4" w:rsidRPr="00540EB6">
        <w:rPr>
          <w:sz w:val="24"/>
          <w:szCs w:val="24"/>
        </w:rPr>
        <w:t>[16]</w:t>
      </w:r>
      <w:r w:rsidR="00FC4B38" w:rsidRPr="00540EB6">
        <w:rPr>
          <w:sz w:val="24"/>
          <w:szCs w:val="24"/>
        </w:rPr>
        <w:fldChar w:fldCharType="end"/>
      </w:r>
      <w:r w:rsidR="007D486E" w:rsidRPr="00540EB6">
        <w:rPr>
          <w:sz w:val="24"/>
          <w:szCs w:val="24"/>
        </w:rPr>
        <w:t>.</w:t>
      </w:r>
      <w:r w:rsidR="00025EDD">
        <w:rPr>
          <w:sz w:val="24"/>
          <w:szCs w:val="24"/>
        </w:rPr>
        <w:t xml:space="preserve"> </w:t>
      </w:r>
      <w:r w:rsidR="00F43E36" w:rsidRPr="00540EB6">
        <w:rPr>
          <w:sz w:val="24"/>
          <w:szCs w:val="24"/>
        </w:rPr>
        <w:t>Any part that is taken outside of its design limits is one that is likely to cause a failure or anomaly, whether there is a flaw or not, and no matter what the screening level is.</w:t>
      </w:r>
      <w:r w:rsidR="00025EDD">
        <w:rPr>
          <w:sz w:val="24"/>
          <w:szCs w:val="24"/>
        </w:rPr>
        <w:t xml:space="preserve"> </w:t>
      </w:r>
    </w:p>
    <w:p w14:paraId="31309F94" w14:textId="77777777" w:rsidR="00F43E36" w:rsidRPr="00540EB6" w:rsidRDefault="00F43E36" w:rsidP="00E261E3">
      <w:pPr>
        <w:pStyle w:val="Text"/>
        <w:spacing w:line="480" w:lineRule="auto"/>
        <w:rPr>
          <w:sz w:val="24"/>
          <w:szCs w:val="24"/>
        </w:rPr>
      </w:pPr>
    </w:p>
    <w:p w14:paraId="3166AB70" w14:textId="15DFD68C" w:rsidR="00931299" w:rsidRPr="00540EB6" w:rsidRDefault="00F43E36" w:rsidP="00E261E3">
      <w:pPr>
        <w:pStyle w:val="Text"/>
        <w:spacing w:line="480" w:lineRule="auto"/>
        <w:rPr>
          <w:sz w:val="24"/>
          <w:szCs w:val="24"/>
        </w:rPr>
      </w:pPr>
      <w:r w:rsidRPr="00540EB6">
        <w:rPr>
          <w:sz w:val="24"/>
          <w:szCs w:val="24"/>
        </w:rPr>
        <w:t xml:space="preserve">Assuring reliability of electronics going into space consists of several high-level elements that occur at </w:t>
      </w:r>
      <w:r w:rsidRPr="00540EB6">
        <w:rPr>
          <w:sz w:val="24"/>
          <w:szCs w:val="24"/>
        </w:rPr>
        <w:lastRenderedPageBreak/>
        <w:t>multiple levels of integration (piece-part through observatory).</w:t>
      </w:r>
      <w:r w:rsidR="00025EDD">
        <w:rPr>
          <w:sz w:val="24"/>
          <w:szCs w:val="24"/>
        </w:rPr>
        <w:t xml:space="preserve"> </w:t>
      </w:r>
      <w:r w:rsidRPr="00540EB6">
        <w:rPr>
          <w:sz w:val="24"/>
          <w:szCs w:val="24"/>
        </w:rPr>
        <w:t xml:space="preserve">These elements are </w:t>
      </w:r>
    </w:p>
    <w:p w14:paraId="4600DB53" w14:textId="77777777" w:rsidR="00C348D3" w:rsidRPr="00540EB6" w:rsidRDefault="00C348D3" w:rsidP="00E261E3">
      <w:pPr>
        <w:spacing w:line="480" w:lineRule="auto"/>
        <w:rPr>
          <w:sz w:val="24"/>
          <w:szCs w:val="24"/>
        </w:rPr>
      </w:pPr>
    </w:p>
    <w:p w14:paraId="29EAE954" w14:textId="767D6391" w:rsidR="00C348D3" w:rsidRPr="00540EB6" w:rsidRDefault="00C348D3" w:rsidP="00E261E3">
      <w:pPr>
        <w:spacing w:line="480" w:lineRule="auto"/>
        <w:rPr>
          <w:sz w:val="24"/>
          <w:szCs w:val="24"/>
        </w:rPr>
      </w:pPr>
      <w:r w:rsidRPr="00540EB6">
        <w:rPr>
          <w:sz w:val="24"/>
          <w:szCs w:val="24"/>
        </w:rPr>
        <w:t>1. Robust design</w:t>
      </w:r>
      <w:r w:rsidR="006C0835">
        <w:rPr>
          <w:sz w:val="24"/>
          <w:szCs w:val="24"/>
        </w:rPr>
        <w:t xml:space="preserve"> (a practice </w:t>
      </w:r>
      <w:r w:rsidR="006C0835" w:rsidRPr="006C0835">
        <w:rPr>
          <w:sz w:val="24"/>
          <w:szCs w:val="24"/>
        </w:rPr>
        <w:t xml:space="preserve">that reduces </w:t>
      </w:r>
      <w:r w:rsidR="006C0835">
        <w:rPr>
          <w:sz w:val="24"/>
          <w:szCs w:val="24"/>
        </w:rPr>
        <w:t xml:space="preserve">the </w:t>
      </w:r>
      <w:r w:rsidR="006C0835" w:rsidRPr="006C0835">
        <w:rPr>
          <w:sz w:val="24"/>
          <w:szCs w:val="24"/>
        </w:rPr>
        <w:t>sensitivity of the design to sources of variation</w:t>
      </w:r>
      <w:r w:rsidR="006C0835">
        <w:rPr>
          <w:sz w:val="24"/>
          <w:szCs w:val="24"/>
        </w:rPr>
        <w:t xml:space="preserve">) </w:t>
      </w:r>
    </w:p>
    <w:p w14:paraId="3405FDC1" w14:textId="3F273542" w:rsidR="00C348D3" w:rsidRPr="00540EB6" w:rsidRDefault="00C348D3" w:rsidP="00E261E3">
      <w:pPr>
        <w:pStyle w:val="ListParagraph"/>
        <w:numPr>
          <w:ilvl w:val="0"/>
          <w:numId w:val="3"/>
        </w:numPr>
        <w:spacing w:line="480" w:lineRule="auto"/>
        <w:rPr>
          <w:sz w:val="24"/>
          <w:szCs w:val="24"/>
        </w:rPr>
      </w:pPr>
      <w:r w:rsidRPr="00540EB6">
        <w:rPr>
          <w:sz w:val="24"/>
          <w:szCs w:val="24"/>
        </w:rPr>
        <w:t xml:space="preserve">Assessment of </w:t>
      </w:r>
      <w:r w:rsidR="00AC272F">
        <w:rPr>
          <w:sz w:val="24"/>
          <w:szCs w:val="24"/>
        </w:rPr>
        <w:t>the most significant development challenges</w:t>
      </w:r>
      <w:r w:rsidRPr="00540EB6">
        <w:rPr>
          <w:sz w:val="24"/>
          <w:szCs w:val="24"/>
        </w:rPr>
        <w:t>, critical items</w:t>
      </w:r>
      <w:r w:rsidR="00AC272F">
        <w:rPr>
          <w:sz w:val="24"/>
          <w:szCs w:val="24"/>
        </w:rPr>
        <w:t xml:space="preserve"> (those that may be single points of failure to the system)</w:t>
      </w:r>
      <w:r w:rsidRPr="00540EB6">
        <w:rPr>
          <w:sz w:val="24"/>
          <w:szCs w:val="24"/>
        </w:rPr>
        <w:t>, and credible faults</w:t>
      </w:r>
    </w:p>
    <w:p w14:paraId="64E49E77" w14:textId="77777777" w:rsidR="00C348D3" w:rsidRPr="00540EB6" w:rsidRDefault="00C348D3" w:rsidP="00E261E3">
      <w:pPr>
        <w:pStyle w:val="ListParagraph"/>
        <w:numPr>
          <w:ilvl w:val="0"/>
          <w:numId w:val="3"/>
        </w:numPr>
        <w:spacing w:line="480" w:lineRule="auto"/>
        <w:rPr>
          <w:sz w:val="24"/>
          <w:szCs w:val="24"/>
        </w:rPr>
      </w:pPr>
      <w:r w:rsidRPr="00540EB6">
        <w:rPr>
          <w:sz w:val="24"/>
          <w:szCs w:val="24"/>
        </w:rPr>
        <w:t>Part stress and derating analysis</w:t>
      </w:r>
    </w:p>
    <w:p w14:paraId="31A034C4" w14:textId="77777777" w:rsidR="00C348D3" w:rsidRPr="00540EB6" w:rsidRDefault="00C348D3" w:rsidP="00E261E3">
      <w:pPr>
        <w:pStyle w:val="ListParagraph"/>
        <w:numPr>
          <w:ilvl w:val="0"/>
          <w:numId w:val="3"/>
        </w:numPr>
        <w:spacing w:line="480" w:lineRule="auto"/>
        <w:rPr>
          <w:sz w:val="24"/>
          <w:szCs w:val="24"/>
        </w:rPr>
      </w:pPr>
      <w:r w:rsidRPr="00540EB6">
        <w:rPr>
          <w:sz w:val="24"/>
          <w:szCs w:val="24"/>
        </w:rPr>
        <w:t>Worst case circuit analysis</w:t>
      </w:r>
    </w:p>
    <w:p w14:paraId="6A150E81" w14:textId="5E32EF3B" w:rsidR="00C348D3" w:rsidRPr="00540EB6" w:rsidRDefault="00C348D3" w:rsidP="00E261E3">
      <w:pPr>
        <w:pStyle w:val="ListParagraph"/>
        <w:numPr>
          <w:ilvl w:val="0"/>
          <w:numId w:val="3"/>
        </w:numPr>
        <w:spacing w:line="480" w:lineRule="auto"/>
        <w:rPr>
          <w:sz w:val="24"/>
          <w:szCs w:val="24"/>
        </w:rPr>
      </w:pPr>
      <w:r w:rsidRPr="00540EB6">
        <w:rPr>
          <w:sz w:val="24"/>
          <w:szCs w:val="24"/>
        </w:rPr>
        <w:t>For high</w:t>
      </w:r>
      <w:r w:rsidR="006740CB">
        <w:rPr>
          <w:sz w:val="24"/>
          <w:szCs w:val="24"/>
        </w:rPr>
        <w:t>-</w:t>
      </w:r>
      <w:r w:rsidRPr="00540EB6">
        <w:rPr>
          <w:sz w:val="24"/>
          <w:szCs w:val="24"/>
        </w:rPr>
        <w:t>speed boards and/or interfaces: Signal integrity analysis</w:t>
      </w:r>
    </w:p>
    <w:p w14:paraId="44DA59C2" w14:textId="6310847F" w:rsidR="00C348D3" w:rsidRPr="00540EB6" w:rsidRDefault="00C348D3" w:rsidP="00E261E3">
      <w:pPr>
        <w:pStyle w:val="ListParagraph"/>
        <w:numPr>
          <w:ilvl w:val="0"/>
          <w:numId w:val="3"/>
        </w:numPr>
        <w:spacing w:line="480" w:lineRule="auto"/>
        <w:rPr>
          <w:sz w:val="24"/>
          <w:szCs w:val="24"/>
        </w:rPr>
      </w:pPr>
      <w:r w:rsidRPr="00540EB6">
        <w:rPr>
          <w:sz w:val="24"/>
          <w:szCs w:val="24"/>
        </w:rPr>
        <w:t>For low voltage / high current designs that may have sensitivity to power supply fluctuations:</w:t>
      </w:r>
      <w:r w:rsidR="00025EDD">
        <w:rPr>
          <w:sz w:val="24"/>
          <w:szCs w:val="24"/>
        </w:rPr>
        <w:t xml:space="preserve"> </w:t>
      </w:r>
      <w:r w:rsidRPr="00540EB6">
        <w:rPr>
          <w:sz w:val="24"/>
          <w:szCs w:val="24"/>
        </w:rPr>
        <w:t>Power integrity analysis</w:t>
      </w:r>
    </w:p>
    <w:p w14:paraId="07B23ABA" w14:textId="77777777" w:rsidR="00C348D3" w:rsidRPr="00540EB6" w:rsidRDefault="00C348D3" w:rsidP="00E261E3">
      <w:pPr>
        <w:pStyle w:val="ListParagraph"/>
        <w:numPr>
          <w:ilvl w:val="0"/>
          <w:numId w:val="3"/>
        </w:numPr>
        <w:spacing w:line="480" w:lineRule="auto"/>
        <w:rPr>
          <w:sz w:val="24"/>
          <w:szCs w:val="24"/>
        </w:rPr>
      </w:pPr>
      <w:r w:rsidRPr="00540EB6">
        <w:rPr>
          <w:sz w:val="24"/>
          <w:szCs w:val="24"/>
        </w:rPr>
        <w:t>Avionics packaging and thermal design synchronized with other analyses</w:t>
      </w:r>
    </w:p>
    <w:p w14:paraId="5B839D7A" w14:textId="77777777" w:rsidR="00C348D3" w:rsidRPr="00540EB6" w:rsidRDefault="00C348D3" w:rsidP="00E261E3">
      <w:pPr>
        <w:pStyle w:val="ListParagraph"/>
        <w:numPr>
          <w:ilvl w:val="0"/>
          <w:numId w:val="3"/>
        </w:numPr>
        <w:spacing w:line="480" w:lineRule="auto"/>
        <w:rPr>
          <w:sz w:val="24"/>
          <w:szCs w:val="24"/>
        </w:rPr>
      </w:pPr>
      <w:r w:rsidRPr="00540EB6">
        <w:rPr>
          <w:sz w:val="24"/>
          <w:szCs w:val="24"/>
        </w:rPr>
        <w:t xml:space="preserve">Design for manufacturability </w:t>
      </w:r>
    </w:p>
    <w:p w14:paraId="633D3C17" w14:textId="77777777" w:rsidR="00C348D3" w:rsidRPr="00540EB6" w:rsidRDefault="00C348D3" w:rsidP="00E261E3">
      <w:pPr>
        <w:pStyle w:val="ListParagraph"/>
        <w:numPr>
          <w:ilvl w:val="0"/>
          <w:numId w:val="3"/>
        </w:numPr>
        <w:spacing w:line="480" w:lineRule="auto"/>
        <w:rPr>
          <w:sz w:val="24"/>
          <w:szCs w:val="24"/>
        </w:rPr>
      </w:pPr>
      <w:r w:rsidRPr="00540EB6">
        <w:rPr>
          <w:sz w:val="24"/>
          <w:szCs w:val="24"/>
        </w:rPr>
        <w:t>Fault and radiation tolerant design</w:t>
      </w:r>
    </w:p>
    <w:p w14:paraId="3F373857" w14:textId="77777777" w:rsidR="00C348D3" w:rsidRPr="00540EB6" w:rsidRDefault="00C348D3" w:rsidP="00E261E3">
      <w:pPr>
        <w:pStyle w:val="ListParagraph"/>
        <w:numPr>
          <w:ilvl w:val="1"/>
          <w:numId w:val="3"/>
        </w:numPr>
        <w:spacing w:line="480" w:lineRule="auto"/>
        <w:rPr>
          <w:sz w:val="24"/>
          <w:szCs w:val="24"/>
        </w:rPr>
      </w:pPr>
      <w:r w:rsidRPr="00540EB6">
        <w:rPr>
          <w:sz w:val="24"/>
          <w:szCs w:val="24"/>
        </w:rPr>
        <w:t>(selective) redundancy</w:t>
      </w:r>
    </w:p>
    <w:p w14:paraId="4479305B" w14:textId="77777777" w:rsidR="00C348D3" w:rsidRPr="00540EB6" w:rsidRDefault="00C348D3" w:rsidP="00E261E3">
      <w:pPr>
        <w:pStyle w:val="ListParagraph"/>
        <w:numPr>
          <w:ilvl w:val="1"/>
          <w:numId w:val="3"/>
        </w:numPr>
        <w:spacing w:line="480" w:lineRule="auto"/>
        <w:rPr>
          <w:sz w:val="24"/>
          <w:szCs w:val="24"/>
        </w:rPr>
      </w:pPr>
      <w:r w:rsidRPr="00540EB6">
        <w:rPr>
          <w:sz w:val="24"/>
          <w:szCs w:val="24"/>
        </w:rPr>
        <w:t>Fault-tolerant design</w:t>
      </w:r>
    </w:p>
    <w:p w14:paraId="7840E939" w14:textId="77777777" w:rsidR="00C348D3" w:rsidRPr="00540EB6" w:rsidRDefault="00C348D3" w:rsidP="00E261E3">
      <w:pPr>
        <w:pStyle w:val="ListParagraph"/>
        <w:numPr>
          <w:ilvl w:val="1"/>
          <w:numId w:val="3"/>
        </w:numPr>
        <w:spacing w:line="480" w:lineRule="auto"/>
        <w:rPr>
          <w:sz w:val="24"/>
          <w:szCs w:val="24"/>
        </w:rPr>
      </w:pPr>
      <w:r w:rsidRPr="00540EB6">
        <w:rPr>
          <w:sz w:val="24"/>
          <w:szCs w:val="24"/>
        </w:rPr>
        <w:t>Design for minimum risk</w:t>
      </w:r>
    </w:p>
    <w:p w14:paraId="6D402B90" w14:textId="77777777" w:rsidR="00C348D3" w:rsidRPr="00540EB6" w:rsidRDefault="00C348D3" w:rsidP="00E261E3">
      <w:pPr>
        <w:pStyle w:val="ListParagraph"/>
        <w:numPr>
          <w:ilvl w:val="1"/>
          <w:numId w:val="3"/>
        </w:numPr>
        <w:spacing w:line="480" w:lineRule="auto"/>
        <w:rPr>
          <w:sz w:val="24"/>
          <w:szCs w:val="24"/>
        </w:rPr>
      </w:pPr>
      <w:r w:rsidRPr="00540EB6">
        <w:rPr>
          <w:sz w:val="24"/>
          <w:szCs w:val="24"/>
        </w:rPr>
        <w:t>Ability to reset</w:t>
      </w:r>
    </w:p>
    <w:p w14:paraId="51D416E4" w14:textId="5FFE91EA" w:rsidR="00C348D3" w:rsidRPr="00540EB6" w:rsidRDefault="00C348D3" w:rsidP="00E261E3">
      <w:pPr>
        <w:pStyle w:val="ListParagraph"/>
        <w:numPr>
          <w:ilvl w:val="1"/>
          <w:numId w:val="3"/>
        </w:numPr>
        <w:spacing w:line="480" w:lineRule="auto"/>
        <w:rPr>
          <w:sz w:val="24"/>
          <w:szCs w:val="24"/>
        </w:rPr>
      </w:pPr>
      <w:r w:rsidRPr="00540EB6">
        <w:rPr>
          <w:sz w:val="24"/>
          <w:szCs w:val="24"/>
        </w:rPr>
        <w:t>Design for graceful degradation</w:t>
      </w:r>
      <w:r w:rsidR="00AC272F">
        <w:rPr>
          <w:sz w:val="24"/>
          <w:szCs w:val="24"/>
        </w:rPr>
        <w:t xml:space="preserve"> (the ability to tolerate some failures with only a minimal effect on system performance)</w:t>
      </w:r>
      <w:r w:rsidRPr="00540EB6">
        <w:rPr>
          <w:sz w:val="24"/>
          <w:szCs w:val="24"/>
        </w:rPr>
        <w:t xml:space="preserve"> </w:t>
      </w:r>
    </w:p>
    <w:p w14:paraId="507F121A" w14:textId="77777777" w:rsidR="00C348D3" w:rsidRPr="00540EB6" w:rsidRDefault="00C348D3" w:rsidP="00E261E3">
      <w:pPr>
        <w:spacing w:line="480" w:lineRule="auto"/>
        <w:rPr>
          <w:sz w:val="24"/>
          <w:szCs w:val="24"/>
        </w:rPr>
      </w:pPr>
      <w:r w:rsidRPr="00540EB6">
        <w:rPr>
          <w:sz w:val="24"/>
          <w:szCs w:val="24"/>
        </w:rPr>
        <w:t>2.</w:t>
      </w:r>
      <w:r w:rsidRPr="00540EB6">
        <w:rPr>
          <w:sz w:val="24"/>
          <w:szCs w:val="24"/>
        </w:rPr>
        <w:tab/>
        <w:t>Workmanship</w:t>
      </w:r>
    </w:p>
    <w:p w14:paraId="35E65127" w14:textId="0BB7E2B8" w:rsidR="00C348D3" w:rsidRPr="00540EB6" w:rsidRDefault="00C348D3" w:rsidP="00E261E3">
      <w:pPr>
        <w:pStyle w:val="ListParagraph"/>
        <w:numPr>
          <w:ilvl w:val="0"/>
          <w:numId w:val="4"/>
        </w:numPr>
        <w:spacing w:line="480" w:lineRule="auto"/>
        <w:rPr>
          <w:sz w:val="24"/>
          <w:szCs w:val="24"/>
        </w:rPr>
      </w:pPr>
      <w:r w:rsidRPr="00540EB6">
        <w:rPr>
          <w:sz w:val="24"/>
          <w:szCs w:val="24"/>
        </w:rPr>
        <w:t xml:space="preserve">Use of </w:t>
      </w:r>
      <w:r w:rsidR="005C0662">
        <w:rPr>
          <w:sz w:val="24"/>
          <w:szCs w:val="24"/>
        </w:rPr>
        <w:t>proven</w:t>
      </w:r>
      <w:r w:rsidR="005C0662" w:rsidRPr="00540EB6">
        <w:rPr>
          <w:sz w:val="24"/>
          <w:szCs w:val="24"/>
        </w:rPr>
        <w:t xml:space="preserve"> </w:t>
      </w:r>
      <w:r w:rsidRPr="00540EB6">
        <w:rPr>
          <w:sz w:val="24"/>
          <w:szCs w:val="24"/>
        </w:rPr>
        <w:t>workmanship standards</w:t>
      </w:r>
    </w:p>
    <w:p w14:paraId="5FC4199C" w14:textId="77777777" w:rsidR="00C348D3" w:rsidRPr="00540EB6" w:rsidRDefault="00C348D3" w:rsidP="00E261E3">
      <w:pPr>
        <w:pStyle w:val="ListParagraph"/>
        <w:numPr>
          <w:ilvl w:val="0"/>
          <w:numId w:val="4"/>
        </w:numPr>
        <w:spacing w:line="480" w:lineRule="auto"/>
        <w:rPr>
          <w:sz w:val="24"/>
          <w:szCs w:val="24"/>
        </w:rPr>
      </w:pPr>
      <w:r w:rsidRPr="00540EB6">
        <w:rPr>
          <w:sz w:val="24"/>
          <w:szCs w:val="24"/>
        </w:rPr>
        <w:t xml:space="preserve">Use of trained and experienced technicians </w:t>
      </w:r>
    </w:p>
    <w:p w14:paraId="01176AB7" w14:textId="77777777" w:rsidR="00C348D3" w:rsidRPr="00540EB6" w:rsidRDefault="00C348D3" w:rsidP="00E261E3">
      <w:pPr>
        <w:pStyle w:val="ListParagraph"/>
        <w:numPr>
          <w:ilvl w:val="0"/>
          <w:numId w:val="4"/>
        </w:numPr>
        <w:spacing w:line="480" w:lineRule="auto"/>
        <w:rPr>
          <w:sz w:val="24"/>
          <w:szCs w:val="24"/>
        </w:rPr>
      </w:pPr>
      <w:r w:rsidRPr="00540EB6">
        <w:rPr>
          <w:sz w:val="24"/>
          <w:szCs w:val="24"/>
        </w:rPr>
        <w:t>Risk-based quality inspection by trained inspectors</w:t>
      </w:r>
    </w:p>
    <w:p w14:paraId="7A659750" w14:textId="77777777" w:rsidR="00C348D3" w:rsidRPr="00540EB6" w:rsidRDefault="00C348D3" w:rsidP="00E261E3">
      <w:pPr>
        <w:spacing w:line="480" w:lineRule="auto"/>
        <w:rPr>
          <w:sz w:val="24"/>
          <w:szCs w:val="24"/>
        </w:rPr>
      </w:pPr>
      <w:r w:rsidRPr="00540EB6">
        <w:rPr>
          <w:sz w:val="24"/>
          <w:szCs w:val="24"/>
        </w:rPr>
        <w:t>3.</w:t>
      </w:r>
      <w:r w:rsidRPr="00540EB6">
        <w:rPr>
          <w:sz w:val="24"/>
          <w:szCs w:val="24"/>
        </w:rPr>
        <w:tab/>
        <w:t>Part and component selection and design application</w:t>
      </w:r>
    </w:p>
    <w:p w14:paraId="266AD80B" w14:textId="28815382" w:rsidR="00C348D3" w:rsidRPr="00540EB6" w:rsidRDefault="00C348D3" w:rsidP="00E261E3">
      <w:pPr>
        <w:pStyle w:val="ListParagraph"/>
        <w:numPr>
          <w:ilvl w:val="0"/>
          <w:numId w:val="5"/>
        </w:numPr>
        <w:spacing w:line="480" w:lineRule="auto"/>
        <w:rPr>
          <w:sz w:val="24"/>
          <w:szCs w:val="24"/>
        </w:rPr>
      </w:pPr>
      <w:r w:rsidRPr="00540EB6">
        <w:rPr>
          <w:sz w:val="24"/>
          <w:szCs w:val="24"/>
        </w:rPr>
        <w:lastRenderedPageBreak/>
        <w:t xml:space="preserve">EEE part selection based on known history or extended knowledge of the part (which may come from being a </w:t>
      </w:r>
      <w:r w:rsidR="004426DF">
        <w:rPr>
          <w:sz w:val="24"/>
          <w:szCs w:val="24"/>
        </w:rPr>
        <w:t>military specification</w:t>
      </w:r>
      <w:r w:rsidRPr="00540EB6">
        <w:rPr>
          <w:sz w:val="24"/>
          <w:szCs w:val="24"/>
        </w:rPr>
        <w:t xml:space="preserve"> part)</w:t>
      </w:r>
    </w:p>
    <w:p w14:paraId="4705FCAD" w14:textId="77777777" w:rsidR="00C348D3" w:rsidRPr="00540EB6" w:rsidRDefault="00C348D3" w:rsidP="00E261E3">
      <w:pPr>
        <w:pStyle w:val="ListParagraph"/>
        <w:numPr>
          <w:ilvl w:val="0"/>
          <w:numId w:val="5"/>
        </w:numPr>
        <w:spacing w:line="480" w:lineRule="auto"/>
        <w:rPr>
          <w:sz w:val="24"/>
          <w:szCs w:val="24"/>
        </w:rPr>
      </w:pPr>
      <w:r w:rsidRPr="00540EB6">
        <w:rPr>
          <w:sz w:val="24"/>
          <w:szCs w:val="24"/>
        </w:rPr>
        <w:t xml:space="preserve">Proper derating </w:t>
      </w:r>
    </w:p>
    <w:p w14:paraId="4BBB577B" w14:textId="77777777" w:rsidR="00C348D3" w:rsidRPr="00540EB6" w:rsidRDefault="00C348D3" w:rsidP="00E261E3">
      <w:pPr>
        <w:pStyle w:val="ListParagraph"/>
        <w:numPr>
          <w:ilvl w:val="0"/>
          <w:numId w:val="5"/>
        </w:numPr>
        <w:spacing w:line="480" w:lineRule="auto"/>
        <w:rPr>
          <w:sz w:val="24"/>
          <w:szCs w:val="24"/>
        </w:rPr>
      </w:pPr>
      <w:r w:rsidRPr="00540EB6">
        <w:rPr>
          <w:sz w:val="24"/>
          <w:szCs w:val="24"/>
        </w:rPr>
        <w:t xml:space="preserve">Component selection based on previous applications, e.g., </w:t>
      </w:r>
      <w:r w:rsidR="00931299" w:rsidRPr="00540EB6">
        <w:rPr>
          <w:sz w:val="24"/>
          <w:szCs w:val="24"/>
        </w:rPr>
        <w:t>inertial measurement units (IMU)</w:t>
      </w:r>
      <w:r w:rsidRPr="00540EB6">
        <w:rPr>
          <w:sz w:val="24"/>
          <w:szCs w:val="24"/>
        </w:rPr>
        <w:t xml:space="preserve">, </w:t>
      </w:r>
      <w:r w:rsidR="00931299" w:rsidRPr="00540EB6">
        <w:rPr>
          <w:sz w:val="24"/>
          <w:szCs w:val="24"/>
        </w:rPr>
        <w:t>reaction wheel assemblies (RWA)</w:t>
      </w:r>
      <w:r w:rsidRPr="00540EB6">
        <w:rPr>
          <w:sz w:val="24"/>
          <w:szCs w:val="24"/>
        </w:rPr>
        <w:t xml:space="preserve">, </w:t>
      </w:r>
      <w:proofErr w:type="spellStart"/>
      <w:r w:rsidRPr="00540EB6">
        <w:rPr>
          <w:sz w:val="24"/>
          <w:szCs w:val="24"/>
        </w:rPr>
        <w:t>torquerods</w:t>
      </w:r>
      <w:proofErr w:type="spellEnd"/>
      <w:r w:rsidRPr="00540EB6">
        <w:rPr>
          <w:sz w:val="24"/>
          <w:szCs w:val="24"/>
        </w:rPr>
        <w:t>, solar arrays, etc. or appropriate qualification for new components</w:t>
      </w:r>
    </w:p>
    <w:p w14:paraId="6D17F354" w14:textId="77777777" w:rsidR="00C348D3" w:rsidRPr="00540EB6" w:rsidRDefault="00C348D3" w:rsidP="00E261E3">
      <w:pPr>
        <w:pStyle w:val="ListParagraph"/>
        <w:numPr>
          <w:ilvl w:val="0"/>
          <w:numId w:val="5"/>
        </w:numPr>
        <w:spacing w:line="480" w:lineRule="auto"/>
        <w:rPr>
          <w:sz w:val="24"/>
          <w:szCs w:val="24"/>
        </w:rPr>
      </w:pPr>
      <w:r w:rsidRPr="00540EB6">
        <w:rPr>
          <w:sz w:val="24"/>
          <w:szCs w:val="24"/>
        </w:rPr>
        <w:t>Radiation assessment and radiation tolerant design, possibly including screening and testing in vulnerable environments with critical parts with limited radiation understanding</w:t>
      </w:r>
    </w:p>
    <w:p w14:paraId="4ADEE210" w14:textId="19D0943B" w:rsidR="00C348D3" w:rsidRPr="00540EB6" w:rsidRDefault="00C348D3" w:rsidP="00E261E3">
      <w:pPr>
        <w:spacing w:line="480" w:lineRule="auto"/>
        <w:rPr>
          <w:sz w:val="24"/>
          <w:szCs w:val="24"/>
        </w:rPr>
      </w:pPr>
      <w:r w:rsidRPr="00540EB6">
        <w:rPr>
          <w:sz w:val="24"/>
          <w:szCs w:val="24"/>
        </w:rPr>
        <w:t>4.</w:t>
      </w:r>
      <w:r w:rsidRPr="00540EB6">
        <w:rPr>
          <w:sz w:val="24"/>
          <w:szCs w:val="24"/>
        </w:rPr>
        <w:tab/>
        <w:t>Testing with margins (finding the right balance between testing above expected levels and limiting stress on hardware before launch), per GSFC-STD-1000</w:t>
      </w:r>
      <w:r w:rsidR="00660E19" w:rsidRPr="00540EB6">
        <w:rPr>
          <w:sz w:val="24"/>
          <w:szCs w:val="24"/>
        </w:rPr>
        <w:t xml:space="preserve"> (GSFC, Goddard Open Learning Design Rules or GOLD Rules, 2016)</w:t>
      </w:r>
      <w:r w:rsidRPr="00540EB6">
        <w:rPr>
          <w:sz w:val="24"/>
          <w:szCs w:val="24"/>
        </w:rPr>
        <w:t xml:space="preserve"> </w:t>
      </w:r>
      <w:r w:rsidR="00660E19" w:rsidRPr="00540EB6">
        <w:rPr>
          <w:sz w:val="24"/>
          <w:szCs w:val="24"/>
        </w:rPr>
        <w:fldChar w:fldCharType="begin"/>
      </w:r>
      <w:r w:rsidR="00660E19" w:rsidRPr="00540EB6">
        <w:rPr>
          <w:sz w:val="24"/>
          <w:szCs w:val="24"/>
        </w:rPr>
        <w:instrText xml:space="preserve"> REF _Ref67576744 \r \h </w:instrText>
      </w:r>
      <w:r w:rsidR="00E261E3" w:rsidRPr="00540EB6">
        <w:rPr>
          <w:sz w:val="24"/>
          <w:szCs w:val="24"/>
        </w:rPr>
        <w:instrText xml:space="preserve"> \* MERGEFORMAT </w:instrText>
      </w:r>
      <w:r w:rsidR="00660E19" w:rsidRPr="00540EB6">
        <w:rPr>
          <w:sz w:val="24"/>
          <w:szCs w:val="24"/>
        </w:rPr>
      </w:r>
      <w:r w:rsidR="00660E19" w:rsidRPr="00540EB6">
        <w:rPr>
          <w:sz w:val="24"/>
          <w:szCs w:val="24"/>
        </w:rPr>
        <w:fldChar w:fldCharType="separate"/>
      </w:r>
      <w:r w:rsidR="003102F4" w:rsidRPr="00540EB6">
        <w:rPr>
          <w:sz w:val="24"/>
          <w:szCs w:val="24"/>
        </w:rPr>
        <w:t>[5]</w:t>
      </w:r>
      <w:r w:rsidR="00660E19" w:rsidRPr="00540EB6">
        <w:rPr>
          <w:sz w:val="24"/>
          <w:szCs w:val="24"/>
        </w:rPr>
        <w:fldChar w:fldCharType="end"/>
      </w:r>
      <w:r w:rsidRPr="00540EB6">
        <w:rPr>
          <w:sz w:val="24"/>
          <w:szCs w:val="24"/>
        </w:rPr>
        <w:t xml:space="preserve"> and GSFC-STD-7000 (GSFC</w:t>
      </w:r>
      <w:r w:rsidR="00660E19" w:rsidRPr="00540EB6">
        <w:rPr>
          <w:sz w:val="24"/>
          <w:szCs w:val="24"/>
        </w:rPr>
        <w:t xml:space="preserve"> </w:t>
      </w:r>
      <w:r w:rsidRPr="00540EB6">
        <w:rPr>
          <w:sz w:val="24"/>
          <w:szCs w:val="24"/>
        </w:rPr>
        <w:t>General Environmental Verification Standard</w:t>
      </w:r>
      <w:r w:rsidR="00660E19" w:rsidRPr="00540EB6">
        <w:rPr>
          <w:sz w:val="24"/>
          <w:szCs w:val="24"/>
        </w:rPr>
        <w:t xml:space="preserve"> GEVS</w:t>
      </w:r>
      <w:r w:rsidRPr="00540EB6">
        <w:rPr>
          <w:sz w:val="24"/>
          <w:szCs w:val="24"/>
        </w:rPr>
        <w:t>, 2013)</w:t>
      </w:r>
      <w:r w:rsidR="00660E19" w:rsidRPr="00540EB6">
        <w:rPr>
          <w:sz w:val="24"/>
          <w:szCs w:val="24"/>
        </w:rPr>
        <w:t xml:space="preserve"> </w:t>
      </w:r>
      <w:r w:rsidR="00660E19" w:rsidRPr="00540EB6">
        <w:rPr>
          <w:sz w:val="24"/>
          <w:szCs w:val="24"/>
        </w:rPr>
        <w:fldChar w:fldCharType="begin"/>
      </w:r>
      <w:r w:rsidR="00660E19" w:rsidRPr="00540EB6">
        <w:rPr>
          <w:sz w:val="24"/>
          <w:szCs w:val="24"/>
        </w:rPr>
        <w:instrText xml:space="preserve"> REF _Ref67576809 \r \h </w:instrText>
      </w:r>
      <w:r w:rsidR="00E261E3" w:rsidRPr="00540EB6">
        <w:rPr>
          <w:sz w:val="24"/>
          <w:szCs w:val="24"/>
        </w:rPr>
        <w:instrText xml:space="preserve"> \* MERGEFORMAT </w:instrText>
      </w:r>
      <w:r w:rsidR="00660E19" w:rsidRPr="00540EB6">
        <w:rPr>
          <w:sz w:val="24"/>
          <w:szCs w:val="24"/>
        </w:rPr>
      </w:r>
      <w:r w:rsidR="00660E19" w:rsidRPr="00540EB6">
        <w:rPr>
          <w:sz w:val="24"/>
          <w:szCs w:val="24"/>
        </w:rPr>
        <w:fldChar w:fldCharType="separate"/>
      </w:r>
      <w:r w:rsidR="003102F4" w:rsidRPr="00540EB6">
        <w:rPr>
          <w:sz w:val="24"/>
          <w:szCs w:val="24"/>
        </w:rPr>
        <w:t>[4]</w:t>
      </w:r>
      <w:r w:rsidR="00660E19" w:rsidRPr="00540EB6">
        <w:rPr>
          <w:sz w:val="24"/>
          <w:szCs w:val="24"/>
        </w:rPr>
        <w:fldChar w:fldCharType="end"/>
      </w:r>
      <w:r w:rsidR="00660E19" w:rsidRPr="00540EB6">
        <w:rPr>
          <w:sz w:val="24"/>
          <w:szCs w:val="24"/>
        </w:rPr>
        <w:t>.</w:t>
      </w:r>
    </w:p>
    <w:p w14:paraId="63936616" w14:textId="77777777" w:rsidR="00C348D3" w:rsidRPr="00540EB6" w:rsidRDefault="00C348D3" w:rsidP="00E261E3">
      <w:pPr>
        <w:pStyle w:val="ListParagraph"/>
        <w:numPr>
          <w:ilvl w:val="0"/>
          <w:numId w:val="6"/>
        </w:numPr>
        <w:spacing w:line="480" w:lineRule="auto"/>
        <w:rPr>
          <w:sz w:val="24"/>
          <w:szCs w:val="24"/>
        </w:rPr>
      </w:pPr>
      <w:r w:rsidRPr="00540EB6">
        <w:rPr>
          <w:sz w:val="24"/>
          <w:szCs w:val="24"/>
        </w:rPr>
        <w:t>Testing as you fly (closest match possible to flight configuration)</w:t>
      </w:r>
    </w:p>
    <w:p w14:paraId="28C057E0" w14:textId="58BC1FBB" w:rsidR="003665B8" w:rsidRPr="00540EB6" w:rsidRDefault="006740CB" w:rsidP="00E261E3">
      <w:pPr>
        <w:pStyle w:val="ListParagraph"/>
        <w:numPr>
          <w:ilvl w:val="0"/>
          <w:numId w:val="6"/>
        </w:numPr>
        <w:spacing w:line="480" w:lineRule="auto"/>
        <w:rPr>
          <w:sz w:val="24"/>
          <w:szCs w:val="24"/>
        </w:rPr>
      </w:pPr>
      <w:r>
        <w:rPr>
          <w:sz w:val="24"/>
          <w:szCs w:val="24"/>
        </w:rPr>
        <w:t>Mechanical</w:t>
      </w:r>
      <w:r w:rsidRPr="00540EB6">
        <w:rPr>
          <w:sz w:val="24"/>
          <w:szCs w:val="24"/>
        </w:rPr>
        <w:t xml:space="preserve"> </w:t>
      </w:r>
      <w:r w:rsidR="00C348D3" w:rsidRPr="00540EB6">
        <w:rPr>
          <w:sz w:val="24"/>
          <w:szCs w:val="24"/>
        </w:rPr>
        <w:t>vibration</w:t>
      </w:r>
      <w:r>
        <w:rPr>
          <w:sz w:val="24"/>
          <w:szCs w:val="24"/>
        </w:rPr>
        <w:t xml:space="preserve"> testing</w:t>
      </w:r>
      <w:r w:rsidR="00025EDD">
        <w:rPr>
          <w:sz w:val="24"/>
          <w:szCs w:val="24"/>
        </w:rPr>
        <w:t xml:space="preserve"> </w:t>
      </w:r>
      <w:r w:rsidR="00C348D3" w:rsidRPr="00540EB6">
        <w:rPr>
          <w:sz w:val="24"/>
          <w:szCs w:val="24"/>
        </w:rPr>
        <w:t>(</w:t>
      </w:r>
      <w:r>
        <w:rPr>
          <w:sz w:val="24"/>
          <w:szCs w:val="24"/>
        </w:rPr>
        <w:t xml:space="preserve">random or </w:t>
      </w:r>
      <w:r w:rsidR="00C348D3" w:rsidRPr="00540EB6">
        <w:rPr>
          <w:sz w:val="24"/>
          <w:szCs w:val="24"/>
        </w:rPr>
        <w:t>sine vibe, shock testing/strength verification)</w:t>
      </w:r>
      <w:r w:rsidR="003665B8" w:rsidRPr="00540EB6">
        <w:rPr>
          <w:sz w:val="24"/>
          <w:szCs w:val="24"/>
        </w:rPr>
        <w:t xml:space="preserve"> </w:t>
      </w:r>
    </w:p>
    <w:p w14:paraId="75F7E5D8" w14:textId="77777777" w:rsidR="003665B8" w:rsidRPr="00540EB6" w:rsidRDefault="00C348D3" w:rsidP="00E261E3">
      <w:pPr>
        <w:pStyle w:val="ListParagraph"/>
        <w:numPr>
          <w:ilvl w:val="1"/>
          <w:numId w:val="6"/>
        </w:numPr>
        <w:spacing w:line="480" w:lineRule="auto"/>
        <w:rPr>
          <w:sz w:val="24"/>
          <w:szCs w:val="24"/>
        </w:rPr>
      </w:pPr>
      <w:r w:rsidRPr="00540EB6">
        <w:rPr>
          <w:sz w:val="24"/>
          <w:szCs w:val="24"/>
        </w:rPr>
        <w:t xml:space="preserve">Design verification </w:t>
      </w:r>
    </w:p>
    <w:p w14:paraId="42397585" w14:textId="77777777" w:rsidR="00C348D3" w:rsidRPr="00540EB6" w:rsidRDefault="003665B8" w:rsidP="00E261E3">
      <w:pPr>
        <w:pStyle w:val="ListParagraph"/>
        <w:numPr>
          <w:ilvl w:val="1"/>
          <w:numId w:val="6"/>
        </w:numPr>
        <w:spacing w:line="480" w:lineRule="auto"/>
        <w:rPr>
          <w:sz w:val="24"/>
          <w:szCs w:val="24"/>
        </w:rPr>
      </w:pPr>
      <w:r w:rsidRPr="00540EB6">
        <w:rPr>
          <w:sz w:val="24"/>
          <w:szCs w:val="24"/>
        </w:rPr>
        <w:t>W</w:t>
      </w:r>
      <w:r w:rsidR="00C348D3" w:rsidRPr="00540EB6">
        <w:rPr>
          <w:sz w:val="24"/>
          <w:szCs w:val="24"/>
        </w:rPr>
        <w:t>orkmanship verification</w:t>
      </w:r>
    </w:p>
    <w:p w14:paraId="315E5871" w14:textId="77777777" w:rsidR="003665B8" w:rsidRPr="00540EB6" w:rsidRDefault="00C348D3" w:rsidP="00E261E3">
      <w:pPr>
        <w:pStyle w:val="ListParagraph"/>
        <w:numPr>
          <w:ilvl w:val="0"/>
          <w:numId w:val="6"/>
        </w:numPr>
        <w:spacing w:line="480" w:lineRule="auto"/>
        <w:rPr>
          <w:sz w:val="24"/>
          <w:szCs w:val="24"/>
        </w:rPr>
      </w:pPr>
      <w:r w:rsidRPr="00540EB6">
        <w:rPr>
          <w:sz w:val="24"/>
          <w:szCs w:val="24"/>
        </w:rPr>
        <w:t>c.</w:t>
      </w:r>
      <w:r w:rsidRPr="00540EB6">
        <w:rPr>
          <w:sz w:val="24"/>
          <w:szCs w:val="24"/>
        </w:rPr>
        <w:tab/>
        <w:t>Thermal ambient and vacuum testing</w:t>
      </w:r>
    </w:p>
    <w:p w14:paraId="0B73BAD3" w14:textId="77777777" w:rsidR="003665B8" w:rsidRPr="00540EB6" w:rsidRDefault="00C348D3" w:rsidP="00E261E3">
      <w:pPr>
        <w:pStyle w:val="ListParagraph"/>
        <w:numPr>
          <w:ilvl w:val="1"/>
          <w:numId w:val="6"/>
        </w:numPr>
        <w:spacing w:line="480" w:lineRule="auto"/>
        <w:rPr>
          <w:sz w:val="24"/>
          <w:szCs w:val="24"/>
        </w:rPr>
      </w:pPr>
      <w:r w:rsidRPr="00540EB6">
        <w:rPr>
          <w:sz w:val="24"/>
          <w:szCs w:val="24"/>
        </w:rPr>
        <w:t>Probably most effective means to wring out large class of defects</w:t>
      </w:r>
    </w:p>
    <w:p w14:paraId="71D2E6F9" w14:textId="77777777" w:rsidR="00C348D3" w:rsidRPr="00540EB6" w:rsidRDefault="00C348D3" w:rsidP="00E261E3">
      <w:pPr>
        <w:pStyle w:val="ListParagraph"/>
        <w:numPr>
          <w:ilvl w:val="1"/>
          <w:numId w:val="6"/>
        </w:numPr>
        <w:spacing w:line="480" w:lineRule="auto"/>
        <w:rPr>
          <w:sz w:val="24"/>
          <w:szCs w:val="24"/>
        </w:rPr>
      </w:pPr>
      <w:r w:rsidRPr="00540EB6">
        <w:rPr>
          <w:sz w:val="24"/>
          <w:szCs w:val="24"/>
        </w:rPr>
        <w:t>Verify performance of vacuum-sensitive components</w:t>
      </w:r>
    </w:p>
    <w:p w14:paraId="42F3D2BF" w14:textId="441A307C" w:rsidR="00C348D3" w:rsidRPr="00540EB6" w:rsidRDefault="00C348D3" w:rsidP="00E261E3">
      <w:pPr>
        <w:pStyle w:val="ListParagraph"/>
        <w:numPr>
          <w:ilvl w:val="0"/>
          <w:numId w:val="6"/>
        </w:numPr>
        <w:spacing w:line="480" w:lineRule="auto"/>
        <w:rPr>
          <w:sz w:val="24"/>
          <w:szCs w:val="24"/>
        </w:rPr>
      </w:pPr>
      <w:r w:rsidRPr="00540EB6">
        <w:rPr>
          <w:sz w:val="24"/>
          <w:szCs w:val="24"/>
        </w:rPr>
        <w:t>d.</w:t>
      </w:r>
      <w:r w:rsidRPr="00540EB6">
        <w:rPr>
          <w:sz w:val="24"/>
          <w:szCs w:val="24"/>
        </w:rPr>
        <w:tab/>
        <w:t>E</w:t>
      </w:r>
      <w:r w:rsidR="00105104">
        <w:rPr>
          <w:sz w:val="24"/>
          <w:szCs w:val="24"/>
        </w:rPr>
        <w:t>lectromagnetic interference (EMI) and Electromagnetic Compatibility (</w:t>
      </w:r>
      <w:r w:rsidRPr="00540EB6">
        <w:rPr>
          <w:sz w:val="24"/>
          <w:szCs w:val="24"/>
        </w:rPr>
        <w:t>EMC</w:t>
      </w:r>
      <w:r w:rsidR="00105104">
        <w:rPr>
          <w:sz w:val="24"/>
          <w:szCs w:val="24"/>
        </w:rPr>
        <w:t>)</w:t>
      </w:r>
    </w:p>
    <w:p w14:paraId="1EE8BFA2" w14:textId="3BC2DFEF" w:rsidR="00C348D3" w:rsidRPr="00540EB6" w:rsidRDefault="00C348D3" w:rsidP="00E261E3">
      <w:pPr>
        <w:pStyle w:val="ListParagraph"/>
        <w:numPr>
          <w:ilvl w:val="1"/>
          <w:numId w:val="7"/>
        </w:numPr>
        <w:spacing w:line="480" w:lineRule="auto"/>
        <w:rPr>
          <w:sz w:val="24"/>
          <w:szCs w:val="24"/>
        </w:rPr>
      </w:pPr>
      <w:r w:rsidRPr="00540EB6">
        <w:rPr>
          <w:sz w:val="24"/>
          <w:szCs w:val="24"/>
        </w:rPr>
        <w:t xml:space="preserve">Projection against “foreign” </w:t>
      </w:r>
      <w:r w:rsidR="00105104">
        <w:rPr>
          <w:sz w:val="24"/>
          <w:szCs w:val="24"/>
        </w:rPr>
        <w:t>electromagnetic</w:t>
      </w:r>
      <w:r w:rsidR="00105104" w:rsidRPr="00540EB6">
        <w:rPr>
          <w:sz w:val="24"/>
          <w:szCs w:val="24"/>
        </w:rPr>
        <w:t xml:space="preserve"> </w:t>
      </w:r>
      <w:r w:rsidRPr="00540EB6">
        <w:rPr>
          <w:sz w:val="24"/>
          <w:szCs w:val="24"/>
        </w:rPr>
        <w:t>culprits</w:t>
      </w:r>
    </w:p>
    <w:p w14:paraId="620C5FF3" w14:textId="77777777" w:rsidR="00C348D3" w:rsidRPr="00540EB6" w:rsidRDefault="00C348D3" w:rsidP="00E261E3">
      <w:pPr>
        <w:pStyle w:val="ListParagraph"/>
        <w:numPr>
          <w:ilvl w:val="0"/>
          <w:numId w:val="8"/>
        </w:numPr>
        <w:spacing w:line="480" w:lineRule="auto"/>
        <w:rPr>
          <w:sz w:val="24"/>
          <w:szCs w:val="24"/>
        </w:rPr>
      </w:pPr>
      <w:r w:rsidRPr="00540EB6">
        <w:rPr>
          <w:sz w:val="24"/>
          <w:szCs w:val="24"/>
        </w:rPr>
        <w:t>Conducted and radiated susceptibility</w:t>
      </w:r>
    </w:p>
    <w:p w14:paraId="0FC9CCAA" w14:textId="77777777" w:rsidR="00C348D3" w:rsidRPr="00540EB6" w:rsidRDefault="00C348D3" w:rsidP="00E261E3">
      <w:pPr>
        <w:pStyle w:val="ListParagraph"/>
        <w:numPr>
          <w:ilvl w:val="0"/>
          <w:numId w:val="8"/>
        </w:numPr>
        <w:spacing w:line="480" w:lineRule="auto"/>
        <w:rPr>
          <w:sz w:val="24"/>
          <w:szCs w:val="24"/>
        </w:rPr>
      </w:pPr>
      <w:r w:rsidRPr="00540EB6">
        <w:rPr>
          <w:sz w:val="24"/>
          <w:szCs w:val="24"/>
        </w:rPr>
        <w:t>Conducted and radiated emissions</w:t>
      </w:r>
    </w:p>
    <w:p w14:paraId="4BBD5200" w14:textId="77777777" w:rsidR="00C348D3" w:rsidRPr="00540EB6" w:rsidRDefault="00C348D3" w:rsidP="00E261E3">
      <w:pPr>
        <w:pStyle w:val="ListParagraph"/>
        <w:numPr>
          <w:ilvl w:val="1"/>
          <w:numId w:val="7"/>
        </w:numPr>
        <w:spacing w:line="480" w:lineRule="auto"/>
        <w:rPr>
          <w:sz w:val="24"/>
          <w:szCs w:val="24"/>
        </w:rPr>
      </w:pPr>
      <w:r w:rsidRPr="00540EB6">
        <w:rPr>
          <w:sz w:val="24"/>
          <w:szCs w:val="24"/>
        </w:rPr>
        <w:t xml:space="preserve">Self-compatibility </w:t>
      </w:r>
    </w:p>
    <w:p w14:paraId="38FFA557" w14:textId="77777777" w:rsidR="00795CF4" w:rsidRPr="00540EB6" w:rsidRDefault="00C348D3" w:rsidP="00E261E3">
      <w:pPr>
        <w:pStyle w:val="ListParagraph"/>
        <w:numPr>
          <w:ilvl w:val="0"/>
          <w:numId w:val="6"/>
        </w:numPr>
        <w:spacing w:line="480" w:lineRule="auto"/>
        <w:rPr>
          <w:sz w:val="24"/>
          <w:szCs w:val="24"/>
        </w:rPr>
      </w:pPr>
      <w:r w:rsidRPr="00540EB6">
        <w:rPr>
          <w:sz w:val="24"/>
          <w:szCs w:val="24"/>
        </w:rPr>
        <w:t>Trending</w:t>
      </w:r>
    </w:p>
    <w:p w14:paraId="4276BE31" w14:textId="77777777" w:rsidR="00C348D3" w:rsidRPr="00540EB6" w:rsidRDefault="00C348D3" w:rsidP="00E261E3">
      <w:pPr>
        <w:pStyle w:val="ListParagraph"/>
        <w:numPr>
          <w:ilvl w:val="1"/>
          <w:numId w:val="6"/>
        </w:numPr>
        <w:spacing w:line="480" w:lineRule="auto"/>
        <w:rPr>
          <w:sz w:val="24"/>
          <w:szCs w:val="24"/>
        </w:rPr>
      </w:pPr>
      <w:r w:rsidRPr="00540EB6">
        <w:rPr>
          <w:sz w:val="24"/>
          <w:szCs w:val="24"/>
        </w:rPr>
        <w:lastRenderedPageBreak/>
        <w:t>Does the system perform consistently over time?</w:t>
      </w:r>
    </w:p>
    <w:p w14:paraId="606B317E" w14:textId="77777777" w:rsidR="00C348D3" w:rsidRPr="00540EB6" w:rsidRDefault="00795CF4" w:rsidP="00E261E3">
      <w:pPr>
        <w:pStyle w:val="ListParagraph"/>
        <w:numPr>
          <w:ilvl w:val="0"/>
          <w:numId w:val="6"/>
        </w:numPr>
        <w:spacing w:line="480" w:lineRule="auto"/>
        <w:rPr>
          <w:sz w:val="24"/>
          <w:szCs w:val="24"/>
        </w:rPr>
      </w:pPr>
      <w:r w:rsidRPr="00540EB6">
        <w:rPr>
          <w:sz w:val="24"/>
          <w:szCs w:val="24"/>
        </w:rPr>
        <w:t xml:space="preserve">One thousand or more </w:t>
      </w:r>
      <w:r w:rsidR="00C348D3" w:rsidRPr="00540EB6">
        <w:rPr>
          <w:sz w:val="24"/>
          <w:szCs w:val="24"/>
        </w:rPr>
        <w:t>testing hours hitting all corner cases</w:t>
      </w:r>
    </w:p>
    <w:p w14:paraId="0B56AADC" w14:textId="4204BE93" w:rsidR="00C348D3" w:rsidRPr="00540EB6" w:rsidRDefault="00EA41AA" w:rsidP="00E261E3">
      <w:pPr>
        <w:pStyle w:val="ListParagraph"/>
        <w:numPr>
          <w:ilvl w:val="0"/>
          <w:numId w:val="6"/>
        </w:numPr>
        <w:spacing w:line="480" w:lineRule="auto"/>
        <w:rPr>
          <w:sz w:val="24"/>
          <w:szCs w:val="24"/>
        </w:rPr>
      </w:pPr>
      <w:r>
        <w:rPr>
          <w:sz w:val="24"/>
          <w:szCs w:val="24"/>
        </w:rPr>
        <w:t>Several hundred</w:t>
      </w:r>
      <w:r w:rsidR="00795CF4" w:rsidRPr="00540EB6">
        <w:rPr>
          <w:sz w:val="24"/>
          <w:szCs w:val="24"/>
        </w:rPr>
        <w:t xml:space="preserve"> </w:t>
      </w:r>
      <w:r w:rsidR="00C348D3" w:rsidRPr="00540EB6">
        <w:rPr>
          <w:sz w:val="24"/>
          <w:szCs w:val="24"/>
        </w:rPr>
        <w:t xml:space="preserve">hours failure free at the end, </w:t>
      </w:r>
      <w:r>
        <w:rPr>
          <w:sz w:val="24"/>
          <w:szCs w:val="24"/>
        </w:rPr>
        <w:t>and one hundred hours minimum</w:t>
      </w:r>
      <w:r w:rsidR="00025EDD">
        <w:rPr>
          <w:sz w:val="24"/>
          <w:szCs w:val="24"/>
        </w:rPr>
        <w:t xml:space="preserve"> </w:t>
      </w:r>
      <w:r w:rsidR="00C348D3" w:rsidRPr="00540EB6">
        <w:rPr>
          <w:sz w:val="24"/>
          <w:szCs w:val="24"/>
        </w:rPr>
        <w:t>in vacuum</w:t>
      </w:r>
      <w:r w:rsidR="00025EDD">
        <w:rPr>
          <w:sz w:val="24"/>
          <w:szCs w:val="24"/>
        </w:rPr>
        <w:t xml:space="preserve">. This is based on guidelines surrounding the </w:t>
      </w:r>
      <w:r w:rsidR="00025EDD" w:rsidRPr="00025EDD">
        <w:rPr>
          <w:sz w:val="24"/>
          <w:szCs w:val="24"/>
        </w:rPr>
        <w:t>design, development, verification, and operation of flight systems</w:t>
      </w:r>
      <w:r w:rsidR="005321F3">
        <w:rPr>
          <w:sz w:val="24"/>
          <w:szCs w:val="24"/>
        </w:rPr>
        <w:t>,</w:t>
      </w:r>
      <w:r w:rsidR="00025EDD" w:rsidRPr="00025EDD">
        <w:rPr>
          <w:sz w:val="24"/>
          <w:szCs w:val="24"/>
        </w:rPr>
        <w:t xml:space="preserve"> </w:t>
      </w:r>
      <w:r w:rsidR="00025EDD">
        <w:rPr>
          <w:sz w:val="24"/>
          <w:szCs w:val="24"/>
        </w:rPr>
        <w:t>which</w:t>
      </w:r>
      <w:r w:rsidR="00025EDD" w:rsidRPr="00025EDD">
        <w:rPr>
          <w:sz w:val="24"/>
          <w:szCs w:val="24"/>
        </w:rPr>
        <w:t xml:space="preserve"> specif</w:t>
      </w:r>
      <w:r w:rsidR="00025EDD">
        <w:rPr>
          <w:sz w:val="24"/>
          <w:szCs w:val="24"/>
        </w:rPr>
        <w:t>ies</w:t>
      </w:r>
      <w:r w:rsidR="00025EDD" w:rsidRPr="00025EDD">
        <w:rPr>
          <w:sz w:val="24"/>
          <w:szCs w:val="24"/>
        </w:rPr>
        <w:t xml:space="preserve"> </w:t>
      </w:r>
      <w:r w:rsidR="00025EDD">
        <w:rPr>
          <w:sz w:val="24"/>
          <w:szCs w:val="24"/>
        </w:rPr>
        <w:t>three hundred and fifty</w:t>
      </w:r>
      <w:r w:rsidR="00025EDD" w:rsidRPr="00025EDD">
        <w:rPr>
          <w:sz w:val="24"/>
          <w:szCs w:val="24"/>
        </w:rPr>
        <w:t xml:space="preserve"> failure free hours at the end and </w:t>
      </w:r>
      <w:r w:rsidR="00025EDD">
        <w:rPr>
          <w:sz w:val="24"/>
          <w:szCs w:val="24"/>
        </w:rPr>
        <w:t>two hundred</w:t>
      </w:r>
      <w:r w:rsidR="00025EDD" w:rsidRPr="00025EDD">
        <w:rPr>
          <w:sz w:val="24"/>
          <w:szCs w:val="24"/>
        </w:rPr>
        <w:t xml:space="preserve"> hours minimum in vacuum, but these are not based on any actual mathematical determination.</w:t>
      </w:r>
    </w:p>
    <w:p w14:paraId="16E5659C" w14:textId="77777777" w:rsidR="00C348D3" w:rsidRPr="00540EB6" w:rsidRDefault="00C348D3" w:rsidP="00E261E3">
      <w:pPr>
        <w:spacing w:line="480" w:lineRule="auto"/>
        <w:rPr>
          <w:sz w:val="24"/>
          <w:szCs w:val="24"/>
        </w:rPr>
      </w:pPr>
      <w:r w:rsidRPr="00540EB6">
        <w:rPr>
          <w:sz w:val="24"/>
          <w:szCs w:val="24"/>
        </w:rPr>
        <w:t>5.</w:t>
      </w:r>
      <w:r w:rsidRPr="00540EB6">
        <w:rPr>
          <w:sz w:val="24"/>
          <w:szCs w:val="24"/>
        </w:rPr>
        <w:tab/>
        <w:t>Use of engineering models, engineering design units, and engineering test units</w:t>
      </w:r>
    </w:p>
    <w:p w14:paraId="7977C12C" w14:textId="77777777" w:rsidR="00C348D3" w:rsidRPr="00540EB6" w:rsidRDefault="00C348D3" w:rsidP="00E261E3">
      <w:pPr>
        <w:pStyle w:val="ListParagraph"/>
        <w:numPr>
          <w:ilvl w:val="0"/>
          <w:numId w:val="9"/>
        </w:numPr>
        <w:spacing w:line="480" w:lineRule="auto"/>
        <w:rPr>
          <w:sz w:val="24"/>
          <w:szCs w:val="24"/>
        </w:rPr>
      </w:pPr>
      <w:r w:rsidRPr="00540EB6">
        <w:rPr>
          <w:sz w:val="24"/>
          <w:szCs w:val="24"/>
        </w:rPr>
        <w:t>Flesh out problems in a low-cost and low-risk way</w:t>
      </w:r>
    </w:p>
    <w:p w14:paraId="023ABB56" w14:textId="77777777" w:rsidR="00C348D3" w:rsidRPr="00540EB6" w:rsidRDefault="00C348D3" w:rsidP="00E261E3">
      <w:pPr>
        <w:spacing w:line="480" w:lineRule="auto"/>
        <w:rPr>
          <w:sz w:val="24"/>
          <w:szCs w:val="24"/>
        </w:rPr>
      </w:pPr>
      <w:r w:rsidRPr="00540EB6">
        <w:rPr>
          <w:sz w:val="24"/>
          <w:szCs w:val="24"/>
        </w:rPr>
        <w:t>6.</w:t>
      </w:r>
      <w:r w:rsidRPr="00540EB6">
        <w:rPr>
          <w:sz w:val="24"/>
          <w:szCs w:val="24"/>
        </w:rPr>
        <w:tab/>
        <w:t xml:space="preserve">Rigorous problem resolution </w:t>
      </w:r>
    </w:p>
    <w:p w14:paraId="22317995" w14:textId="77777777" w:rsidR="00C348D3" w:rsidRPr="00540EB6" w:rsidRDefault="00C348D3" w:rsidP="00E261E3">
      <w:pPr>
        <w:pStyle w:val="ListParagraph"/>
        <w:numPr>
          <w:ilvl w:val="0"/>
          <w:numId w:val="10"/>
        </w:numPr>
        <w:spacing w:line="480" w:lineRule="auto"/>
        <w:rPr>
          <w:sz w:val="24"/>
          <w:szCs w:val="24"/>
        </w:rPr>
      </w:pPr>
      <w:r w:rsidRPr="00540EB6">
        <w:rPr>
          <w:sz w:val="24"/>
          <w:szCs w:val="24"/>
        </w:rPr>
        <w:t>Resolve all anomalies, failures, and out of family unexpected events to root cause to the extent possible</w:t>
      </w:r>
    </w:p>
    <w:p w14:paraId="5F120A78" w14:textId="77777777" w:rsidR="00C348D3" w:rsidRPr="00540EB6" w:rsidRDefault="00C348D3" w:rsidP="00E261E3">
      <w:pPr>
        <w:pStyle w:val="ListParagraph"/>
        <w:numPr>
          <w:ilvl w:val="0"/>
          <w:numId w:val="10"/>
        </w:numPr>
        <w:spacing w:line="480" w:lineRule="auto"/>
        <w:rPr>
          <w:sz w:val="24"/>
          <w:szCs w:val="24"/>
        </w:rPr>
      </w:pPr>
      <w:r w:rsidRPr="00540EB6">
        <w:rPr>
          <w:sz w:val="24"/>
          <w:szCs w:val="24"/>
        </w:rPr>
        <w:t xml:space="preserve">Bound the risk when not able to correct root cause </w:t>
      </w:r>
    </w:p>
    <w:p w14:paraId="5228770F" w14:textId="77777777" w:rsidR="00C348D3" w:rsidRPr="00540EB6" w:rsidRDefault="00C348D3" w:rsidP="00E261E3">
      <w:pPr>
        <w:spacing w:line="480" w:lineRule="auto"/>
        <w:rPr>
          <w:sz w:val="24"/>
          <w:szCs w:val="24"/>
        </w:rPr>
      </w:pPr>
      <w:r w:rsidRPr="00540EB6">
        <w:rPr>
          <w:sz w:val="24"/>
          <w:szCs w:val="24"/>
        </w:rPr>
        <w:t>7.</w:t>
      </w:r>
      <w:r w:rsidRPr="00540EB6">
        <w:rPr>
          <w:sz w:val="24"/>
          <w:szCs w:val="24"/>
        </w:rPr>
        <w:tab/>
        <w:t>Sound risk management</w:t>
      </w:r>
    </w:p>
    <w:p w14:paraId="756C4FA4" w14:textId="77777777" w:rsidR="00C348D3" w:rsidRPr="00540EB6" w:rsidRDefault="00C348D3" w:rsidP="00E261E3">
      <w:pPr>
        <w:pStyle w:val="ListParagraph"/>
        <w:numPr>
          <w:ilvl w:val="0"/>
          <w:numId w:val="11"/>
        </w:numPr>
        <w:spacing w:line="480" w:lineRule="auto"/>
        <w:rPr>
          <w:sz w:val="24"/>
          <w:szCs w:val="24"/>
        </w:rPr>
      </w:pPr>
      <w:r w:rsidRPr="00540EB6">
        <w:rPr>
          <w:sz w:val="24"/>
          <w:szCs w:val="24"/>
        </w:rPr>
        <w:t xml:space="preserve">Capture risks based on existing threats to performance and reliability </w:t>
      </w:r>
    </w:p>
    <w:p w14:paraId="57383492" w14:textId="77777777" w:rsidR="00C348D3" w:rsidRPr="00540EB6" w:rsidRDefault="00C348D3" w:rsidP="00E261E3">
      <w:pPr>
        <w:pStyle w:val="ListParagraph"/>
        <w:numPr>
          <w:ilvl w:val="0"/>
          <w:numId w:val="11"/>
        </w:numPr>
        <w:spacing w:line="480" w:lineRule="auto"/>
        <w:rPr>
          <w:sz w:val="24"/>
          <w:szCs w:val="24"/>
        </w:rPr>
      </w:pPr>
      <w:r w:rsidRPr="00540EB6">
        <w:rPr>
          <w:sz w:val="24"/>
          <w:szCs w:val="24"/>
        </w:rPr>
        <w:t>Consider all possible sides of each risk and trade risks in a balanced way</w:t>
      </w:r>
    </w:p>
    <w:p w14:paraId="2245B7C2" w14:textId="77777777" w:rsidR="00C348D3" w:rsidRPr="00540EB6" w:rsidRDefault="00C348D3" w:rsidP="00E261E3">
      <w:pPr>
        <w:spacing w:line="480" w:lineRule="auto"/>
        <w:rPr>
          <w:sz w:val="24"/>
          <w:szCs w:val="24"/>
        </w:rPr>
      </w:pPr>
      <w:r w:rsidRPr="00540EB6">
        <w:rPr>
          <w:sz w:val="24"/>
          <w:szCs w:val="24"/>
        </w:rPr>
        <w:t>8.</w:t>
      </w:r>
      <w:r w:rsidRPr="00540EB6">
        <w:rPr>
          <w:sz w:val="24"/>
          <w:szCs w:val="24"/>
        </w:rPr>
        <w:tab/>
        <w:t>Peer review and system review</w:t>
      </w:r>
    </w:p>
    <w:p w14:paraId="67A74479" w14:textId="77777777" w:rsidR="00196509" w:rsidRPr="00540EB6" w:rsidRDefault="00C348D3" w:rsidP="00E261E3">
      <w:pPr>
        <w:pStyle w:val="ListParagraph"/>
        <w:numPr>
          <w:ilvl w:val="0"/>
          <w:numId w:val="12"/>
        </w:numPr>
        <w:spacing w:line="480" w:lineRule="auto"/>
        <w:rPr>
          <w:sz w:val="24"/>
          <w:szCs w:val="24"/>
        </w:rPr>
      </w:pPr>
      <w:r w:rsidRPr="00540EB6">
        <w:rPr>
          <w:sz w:val="24"/>
          <w:szCs w:val="24"/>
        </w:rPr>
        <w:t>Engineering peer reviews perform deep dives into engineering designs</w:t>
      </w:r>
      <w:r w:rsidR="00196509" w:rsidRPr="00540EB6">
        <w:rPr>
          <w:sz w:val="24"/>
          <w:szCs w:val="24"/>
        </w:rPr>
        <w:t xml:space="preserve"> </w:t>
      </w:r>
    </w:p>
    <w:p w14:paraId="16FABC3D" w14:textId="77777777" w:rsidR="005D72BB" w:rsidRPr="00540EB6" w:rsidRDefault="00C348D3" w:rsidP="00E261E3">
      <w:pPr>
        <w:pStyle w:val="ListParagraph"/>
        <w:numPr>
          <w:ilvl w:val="0"/>
          <w:numId w:val="12"/>
        </w:numPr>
        <w:spacing w:line="480" w:lineRule="auto"/>
        <w:rPr>
          <w:sz w:val="24"/>
          <w:szCs w:val="24"/>
        </w:rPr>
      </w:pPr>
      <w:r w:rsidRPr="00540EB6">
        <w:rPr>
          <w:sz w:val="24"/>
          <w:szCs w:val="24"/>
        </w:rPr>
        <w:t>Milestone reviews evaluate overall project performance, dealing with issues, and managing risks</w:t>
      </w:r>
    </w:p>
    <w:p w14:paraId="2C142151" w14:textId="77777777" w:rsidR="00C348D3" w:rsidRPr="00540EB6" w:rsidRDefault="00C348D3" w:rsidP="00E261E3">
      <w:pPr>
        <w:spacing w:line="480" w:lineRule="auto"/>
        <w:rPr>
          <w:sz w:val="24"/>
          <w:szCs w:val="24"/>
        </w:rPr>
      </w:pPr>
    </w:p>
    <w:p w14:paraId="1B4ED9E6" w14:textId="3EA80A5B" w:rsidR="00400E29" w:rsidRPr="00540EB6" w:rsidRDefault="00A243F8" w:rsidP="00E261E3">
      <w:pPr>
        <w:spacing w:line="480" w:lineRule="auto"/>
        <w:rPr>
          <w:sz w:val="24"/>
          <w:szCs w:val="24"/>
        </w:rPr>
      </w:pPr>
      <w:r w:rsidRPr="00540EB6">
        <w:rPr>
          <w:sz w:val="24"/>
          <w:szCs w:val="24"/>
        </w:rPr>
        <w:t>Out of these, items 1(b) and (h), 3(b), 4(f) and (g)</w:t>
      </w:r>
      <w:r w:rsidR="00400E29" w:rsidRPr="00540EB6">
        <w:rPr>
          <w:sz w:val="24"/>
          <w:szCs w:val="24"/>
        </w:rPr>
        <w:t xml:space="preserve"> </w:t>
      </w:r>
      <w:r w:rsidRPr="00540EB6">
        <w:rPr>
          <w:sz w:val="24"/>
          <w:szCs w:val="24"/>
        </w:rPr>
        <w:t xml:space="preserve">and 6(a) </w:t>
      </w:r>
      <w:r w:rsidR="00400E29" w:rsidRPr="00540EB6">
        <w:rPr>
          <w:sz w:val="24"/>
          <w:szCs w:val="24"/>
        </w:rPr>
        <w:t>are the most critical to assure that we are flying reliable systems. There is no legitimate way to “bake in” reliability, short of implementing fault tolerance through redundant, dissimilar, and proven systems (many of which are not always possible).</w:t>
      </w:r>
      <w:r w:rsidR="00025EDD">
        <w:rPr>
          <w:sz w:val="24"/>
          <w:szCs w:val="24"/>
        </w:rPr>
        <w:t xml:space="preserve"> </w:t>
      </w:r>
      <w:r w:rsidR="00400E29" w:rsidRPr="00540EB6">
        <w:rPr>
          <w:sz w:val="24"/>
          <w:szCs w:val="24"/>
        </w:rPr>
        <w:t xml:space="preserve">Reliability is established over time, and maintained through appropriate quality controls and </w:t>
      </w:r>
      <w:proofErr w:type="gramStart"/>
      <w:r w:rsidR="00400E29" w:rsidRPr="00540EB6">
        <w:rPr>
          <w:sz w:val="24"/>
          <w:szCs w:val="24"/>
        </w:rPr>
        <w:t>control</w:t>
      </w:r>
      <w:proofErr w:type="gramEnd"/>
      <w:r w:rsidR="00400E29" w:rsidRPr="00540EB6">
        <w:rPr>
          <w:sz w:val="24"/>
          <w:szCs w:val="24"/>
        </w:rPr>
        <w:t xml:space="preserve"> over the configuration and material elements, to ensure that the current version of the component is similar enough to previous versions, or that we understand and mitigate the risks associated with the differences.</w:t>
      </w:r>
      <w:r w:rsidR="00025EDD">
        <w:rPr>
          <w:sz w:val="24"/>
          <w:szCs w:val="24"/>
        </w:rPr>
        <w:t xml:space="preserve"> </w:t>
      </w:r>
    </w:p>
    <w:p w14:paraId="3B0A0C3F" w14:textId="77777777" w:rsidR="00400E29" w:rsidRPr="00540EB6" w:rsidRDefault="00400E29" w:rsidP="00E261E3">
      <w:pPr>
        <w:spacing w:line="480" w:lineRule="auto"/>
        <w:rPr>
          <w:sz w:val="24"/>
          <w:szCs w:val="24"/>
        </w:rPr>
      </w:pPr>
    </w:p>
    <w:p w14:paraId="0B848F80" w14:textId="77777777" w:rsidR="00400E29" w:rsidRPr="00F848F0" w:rsidRDefault="00400E29" w:rsidP="00E261E3">
      <w:pPr>
        <w:pStyle w:val="Heading1"/>
        <w:spacing w:line="480" w:lineRule="auto"/>
        <w:rPr>
          <w:b/>
          <w:bCs/>
          <w:sz w:val="24"/>
          <w:szCs w:val="24"/>
        </w:rPr>
      </w:pPr>
      <w:r w:rsidRPr="00F848F0">
        <w:rPr>
          <w:b/>
          <w:bCs/>
          <w:sz w:val="24"/>
          <w:szCs w:val="24"/>
        </w:rPr>
        <w:t>EEE parts and risk</w:t>
      </w:r>
    </w:p>
    <w:p w14:paraId="7781E755" w14:textId="74385BBA" w:rsidR="00400E29" w:rsidRPr="00540EB6" w:rsidRDefault="00400E29" w:rsidP="00E261E3">
      <w:pPr>
        <w:spacing w:line="480" w:lineRule="auto"/>
        <w:rPr>
          <w:sz w:val="24"/>
          <w:szCs w:val="24"/>
        </w:rPr>
      </w:pPr>
      <w:r w:rsidRPr="00540EB6">
        <w:rPr>
          <w:sz w:val="24"/>
          <w:szCs w:val="24"/>
        </w:rPr>
        <w:t xml:space="preserve">The EEE parts community does not, in general, employ the risk management processes or risk definitions consistent with NASA’s command media </w:t>
      </w:r>
      <w:r w:rsidR="00591285" w:rsidRPr="00540EB6">
        <w:rPr>
          <w:sz w:val="24"/>
          <w:szCs w:val="24"/>
        </w:rPr>
        <w:fldChar w:fldCharType="begin"/>
      </w:r>
      <w:r w:rsidR="00591285" w:rsidRPr="00540EB6">
        <w:rPr>
          <w:sz w:val="24"/>
          <w:szCs w:val="24"/>
        </w:rPr>
        <w:instrText xml:space="preserve"> REF _Ref78870914 \r \h </w:instrText>
      </w:r>
      <w:r w:rsidR="00E261E3" w:rsidRPr="00540EB6">
        <w:rPr>
          <w:sz w:val="24"/>
          <w:szCs w:val="24"/>
        </w:rPr>
        <w:instrText xml:space="preserve"> \* MERGEFORMAT </w:instrText>
      </w:r>
      <w:r w:rsidR="00591285" w:rsidRPr="00540EB6">
        <w:rPr>
          <w:sz w:val="24"/>
          <w:szCs w:val="24"/>
        </w:rPr>
      </w:r>
      <w:r w:rsidR="00591285" w:rsidRPr="00540EB6">
        <w:rPr>
          <w:sz w:val="24"/>
          <w:szCs w:val="24"/>
        </w:rPr>
        <w:fldChar w:fldCharType="separate"/>
      </w:r>
      <w:r w:rsidR="003102F4" w:rsidRPr="00540EB6">
        <w:rPr>
          <w:sz w:val="24"/>
          <w:szCs w:val="24"/>
        </w:rPr>
        <w:t>[6]</w:t>
      </w:r>
      <w:r w:rsidR="00591285" w:rsidRPr="00540EB6">
        <w:rPr>
          <w:sz w:val="24"/>
          <w:szCs w:val="24"/>
        </w:rPr>
        <w:fldChar w:fldCharType="end"/>
      </w:r>
      <w:r w:rsidRPr="00540EB6">
        <w:rPr>
          <w:sz w:val="24"/>
          <w:szCs w:val="24"/>
        </w:rPr>
        <w:t xml:space="preserve">, </w:t>
      </w:r>
      <w:r w:rsidR="00591285" w:rsidRPr="00540EB6">
        <w:rPr>
          <w:sz w:val="24"/>
          <w:szCs w:val="24"/>
        </w:rPr>
        <w:fldChar w:fldCharType="begin"/>
      </w:r>
      <w:r w:rsidR="00591285" w:rsidRPr="00540EB6">
        <w:rPr>
          <w:sz w:val="24"/>
          <w:szCs w:val="24"/>
        </w:rPr>
        <w:instrText xml:space="preserve"> REF _Ref78870946 \r \h </w:instrText>
      </w:r>
      <w:r w:rsidR="00E261E3" w:rsidRPr="00540EB6">
        <w:rPr>
          <w:sz w:val="24"/>
          <w:szCs w:val="24"/>
        </w:rPr>
        <w:instrText xml:space="preserve"> \* MERGEFORMAT </w:instrText>
      </w:r>
      <w:r w:rsidR="00591285" w:rsidRPr="00540EB6">
        <w:rPr>
          <w:sz w:val="24"/>
          <w:szCs w:val="24"/>
        </w:rPr>
      </w:r>
      <w:r w:rsidR="00591285" w:rsidRPr="00540EB6">
        <w:rPr>
          <w:sz w:val="24"/>
          <w:szCs w:val="24"/>
        </w:rPr>
        <w:fldChar w:fldCharType="separate"/>
      </w:r>
      <w:r w:rsidR="003102F4" w:rsidRPr="00540EB6">
        <w:rPr>
          <w:sz w:val="24"/>
          <w:szCs w:val="24"/>
        </w:rPr>
        <w:t>[13]</w:t>
      </w:r>
      <w:r w:rsidR="00591285" w:rsidRPr="00540EB6">
        <w:rPr>
          <w:sz w:val="24"/>
          <w:szCs w:val="24"/>
        </w:rPr>
        <w:fldChar w:fldCharType="end"/>
      </w:r>
      <w:r w:rsidRPr="00540EB6">
        <w:rPr>
          <w:sz w:val="24"/>
          <w:szCs w:val="24"/>
        </w:rPr>
        <w:t>.</w:t>
      </w:r>
      <w:r w:rsidR="00025EDD">
        <w:rPr>
          <w:sz w:val="24"/>
          <w:szCs w:val="24"/>
        </w:rPr>
        <w:t xml:space="preserve"> </w:t>
      </w:r>
      <w:r w:rsidRPr="00540EB6">
        <w:rPr>
          <w:sz w:val="24"/>
          <w:szCs w:val="24"/>
        </w:rPr>
        <w:t>Notwithstanding variations among the different NASA Centers, per NASA risk management policy, risks are defined by a context (or scenario), a likelihood, and a consequence, relative to mission performance, programmatic, or safety requirements.</w:t>
      </w:r>
      <w:r w:rsidR="00025EDD">
        <w:rPr>
          <w:sz w:val="24"/>
          <w:szCs w:val="24"/>
        </w:rPr>
        <w:t xml:space="preserve"> </w:t>
      </w:r>
      <w:r w:rsidRPr="00540EB6">
        <w:rPr>
          <w:sz w:val="24"/>
          <w:szCs w:val="24"/>
        </w:rPr>
        <w:t>In the next section, we will expand our discussion of risk.</w:t>
      </w:r>
      <w:r w:rsidR="00025EDD">
        <w:rPr>
          <w:sz w:val="24"/>
          <w:szCs w:val="24"/>
        </w:rPr>
        <w:t xml:space="preserve"> </w:t>
      </w:r>
      <w:r w:rsidRPr="00540EB6">
        <w:rPr>
          <w:sz w:val="24"/>
          <w:szCs w:val="24"/>
        </w:rPr>
        <w:t xml:space="preserve">Within the EEE parts community, the term risk is used to define the extent of screening and qualification processes applied or the level of nonconformance an individual part has relative to the requirements in EEE-INST-002 and the </w:t>
      </w:r>
      <w:r w:rsidR="004426DF">
        <w:rPr>
          <w:sz w:val="24"/>
          <w:szCs w:val="24"/>
        </w:rPr>
        <w:t>military specifications</w:t>
      </w:r>
      <w:r w:rsidRPr="00540EB6">
        <w:rPr>
          <w:sz w:val="24"/>
          <w:szCs w:val="24"/>
        </w:rPr>
        <w:t>.</w:t>
      </w:r>
      <w:r w:rsidR="00025EDD">
        <w:rPr>
          <w:sz w:val="24"/>
          <w:szCs w:val="24"/>
        </w:rPr>
        <w:t xml:space="preserve"> </w:t>
      </w:r>
      <w:r w:rsidRPr="00540EB6">
        <w:rPr>
          <w:sz w:val="24"/>
          <w:szCs w:val="24"/>
        </w:rPr>
        <w:t xml:space="preserve">Since neither EEE-INST-002 or the </w:t>
      </w:r>
      <w:r w:rsidR="004426DF">
        <w:rPr>
          <w:sz w:val="24"/>
          <w:szCs w:val="24"/>
        </w:rPr>
        <w:t>military specifications</w:t>
      </w:r>
      <w:r w:rsidRPr="00540EB6">
        <w:rPr>
          <w:sz w:val="24"/>
          <w:szCs w:val="24"/>
        </w:rPr>
        <w:t xml:space="preserve"> are necessary or sufficient for reducing mission risk in general, this EEE parts definition of risk does not correlate with mission risk.</w:t>
      </w:r>
      <w:r w:rsidR="00025EDD">
        <w:rPr>
          <w:sz w:val="24"/>
          <w:szCs w:val="24"/>
        </w:rPr>
        <w:t xml:space="preserve"> </w:t>
      </w:r>
      <w:r w:rsidRPr="00540EB6">
        <w:rPr>
          <w:sz w:val="24"/>
          <w:szCs w:val="24"/>
        </w:rPr>
        <w:t>This is apparent during the frequent situations when part screening anomalies and failures are experienced, in which the engineering team struggles to determine whether the anomaly has any direct or potential impact on mission performance.</w:t>
      </w:r>
      <w:r w:rsidR="00025EDD">
        <w:rPr>
          <w:sz w:val="24"/>
          <w:szCs w:val="24"/>
        </w:rPr>
        <w:t xml:space="preserve"> </w:t>
      </w:r>
      <w:r w:rsidRPr="00540EB6">
        <w:rPr>
          <w:sz w:val="24"/>
          <w:szCs w:val="24"/>
        </w:rPr>
        <w:t xml:space="preserve">If parts are not yet installed and there are plenty of spares, then part replacement (discarding the nonconforming part) is a straightforward endeavor, as the process does not </w:t>
      </w:r>
      <w:proofErr w:type="gramStart"/>
      <w:r w:rsidRPr="00540EB6">
        <w:rPr>
          <w:sz w:val="24"/>
          <w:szCs w:val="24"/>
        </w:rPr>
        <w:t>drive up</w:t>
      </w:r>
      <w:proofErr w:type="gramEnd"/>
      <w:r w:rsidRPr="00540EB6">
        <w:rPr>
          <w:sz w:val="24"/>
          <w:szCs w:val="24"/>
        </w:rPr>
        <w:t xml:space="preserve"> risk.</w:t>
      </w:r>
      <w:r w:rsidR="00025EDD">
        <w:rPr>
          <w:sz w:val="24"/>
          <w:szCs w:val="24"/>
        </w:rPr>
        <w:t xml:space="preserve"> </w:t>
      </w:r>
      <w:r w:rsidRPr="00540EB6">
        <w:rPr>
          <w:sz w:val="24"/>
          <w:szCs w:val="24"/>
        </w:rPr>
        <w:t>However, if parts are installed, have a long lead for delivery, and/or have limited spares, the replacement will drive up risk.</w:t>
      </w:r>
      <w:r w:rsidR="00025EDD">
        <w:rPr>
          <w:sz w:val="24"/>
          <w:szCs w:val="24"/>
        </w:rPr>
        <w:t xml:space="preserve"> </w:t>
      </w:r>
      <w:r w:rsidRPr="00540EB6">
        <w:rPr>
          <w:sz w:val="24"/>
          <w:szCs w:val="24"/>
        </w:rPr>
        <w:t>Unfortunately, the net result of screening processes in many cases is to increase the overall level of risk.</w:t>
      </w:r>
      <w:r w:rsidR="00025EDD">
        <w:rPr>
          <w:sz w:val="24"/>
          <w:szCs w:val="24"/>
        </w:rPr>
        <w:t xml:space="preserve"> </w:t>
      </w:r>
      <w:r w:rsidRPr="00540EB6">
        <w:rPr>
          <w:sz w:val="24"/>
          <w:szCs w:val="24"/>
        </w:rPr>
        <w:t>This is particularly the case for highly</w:t>
      </w:r>
      <w:r w:rsidR="00352D6B">
        <w:rPr>
          <w:sz w:val="24"/>
          <w:szCs w:val="24"/>
        </w:rPr>
        <w:t>-resource-</w:t>
      </w:r>
      <w:r w:rsidRPr="00540EB6">
        <w:rPr>
          <w:sz w:val="24"/>
          <w:szCs w:val="24"/>
        </w:rPr>
        <w:t>constrained missions</w:t>
      </w:r>
      <w:r w:rsidR="00352D6B">
        <w:rPr>
          <w:sz w:val="24"/>
          <w:szCs w:val="24"/>
        </w:rPr>
        <w:t xml:space="preserve"> (those with low resource margins or low to moderate importance with limited ability to tolerate a cost or schedule overrun)</w:t>
      </w:r>
      <w:r w:rsidR="00025EDD" w:rsidRPr="00025EDD">
        <w:rPr>
          <w:sz w:val="24"/>
          <w:szCs w:val="24"/>
        </w:rPr>
        <w:t xml:space="preserve">. </w:t>
      </w:r>
      <w:r w:rsidR="00791B5D" w:rsidRPr="00540EB6">
        <w:rPr>
          <w:sz w:val="24"/>
          <w:szCs w:val="24"/>
        </w:rPr>
        <w:t>Hence</w:t>
      </w:r>
      <w:r w:rsidRPr="00540EB6">
        <w:rPr>
          <w:sz w:val="24"/>
          <w:szCs w:val="24"/>
        </w:rPr>
        <w:t xml:space="preserve"> it is best not to select part screening levels above those commensurate with the given recommendation for </w:t>
      </w:r>
      <w:r w:rsidR="00033275" w:rsidRPr="00540EB6">
        <w:rPr>
          <w:sz w:val="24"/>
          <w:szCs w:val="24"/>
        </w:rPr>
        <w:t xml:space="preserve">the </w:t>
      </w:r>
      <w:proofErr w:type="gramStart"/>
      <w:r w:rsidRPr="00540EB6">
        <w:rPr>
          <w:sz w:val="24"/>
          <w:szCs w:val="24"/>
        </w:rPr>
        <w:t>particular mission</w:t>
      </w:r>
      <w:proofErr w:type="gramEnd"/>
      <w:r w:rsidRPr="00540EB6">
        <w:rPr>
          <w:sz w:val="24"/>
          <w:szCs w:val="24"/>
        </w:rPr>
        <w:t xml:space="preserve"> </w:t>
      </w:r>
      <w:r w:rsidR="00033275" w:rsidRPr="00540EB6">
        <w:rPr>
          <w:sz w:val="24"/>
          <w:szCs w:val="24"/>
        </w:rPr>
        <w:t>risk classification</w:t>
      </w:r>
      <w:r w:rsidRPr="00540EB6">
        <w:rPr>
          <w:sz w:val="24"/>
          <w:szCs w:val="24"/>
        </w:rPr>
        <w:t>.</w:t>
      </w:r>
      <w:r w:rsidR="00025EDD">
        <w:rPr>
          <w:sz w:val="24"/>
          <w:szCs w:val="24"/>
        </w:rPr>
        <w:t xml:space="preserve"> </w:t>
      </w:r>
      <w:r w:rsidRPr="00540EB6">
        <w:rPr>
          <w:sz w:val="24"/>
          <w:szCs w:val="24"/>
        </w:rPr>
        <w:t xml:space="preserve">(If </w:t>
      </w:r>
      <w:r w:rsidR="004426DF">
        <w:rPr>
          <w:sz w:val="24"/>
          <w:szCs w:val="24"/>
        </w:rPr>
        <w:t>military specification</w:t>
      </w:r>
      <w:r w:rsidRPr="00540EB6">
        <w:rPr>
          <w:sz w:val="24"/>
          <w:szCs w:val="24"/>
        </w:rPr>
        <w:t xml:space="preserve"> parts at a higher level are available on the shelf, their use is an exception that is not covered by the typical imposition of EEE parts requirements within the Agency, and it is certainly a good practice.).</w:t>
      </w:r>
      <w:r w:rsidR="00025EDD">
        <w:rPr>
          <w:sz w:val="24"/>
          <w:szCs w:val="24"/>
        </w:rPr>
        <w:t xml:space="preserve"> </w:t>
      </w:r>
      <w:r w:rsidRPr="00540EB6">
        <w:rPr>
          <w:sz w:val="24"/>
          <w:szCs w:val="24"/>
        </w:rPr>
        <w:t xml:space="preserve">One common point of confusion for users outside of the parts community is the misconception that the use of a document such as EEE-INST-002 or equivalent ensures that the highest quality parts are used or that </w:t>
      </w:r>
      <w:r w:rsidR="004426DF">
        <w:rPr>
          <w:sz w:val="24"/>
          <w:szCs w:val="24"/>
        </w:rPr>
        <w:t xml:space="preserve">military </w:t>
      </w:r>
      <w:r w:rsidR="004426DF">
        <w:rPr>
          <w:sz w:val="24"/>
          <w:szCs w:val="24"/>
        </w:rPr>
        <w:lastRenderedPageBreak/>
        <w:t>specification</w:t>
      </w:r>
      <w:r w:rsidRPr="00540EB6">
        <w:rPr>
          <w:sz w:val="24"/>
          <w:szCs w:val="24"/>
        </w:rPr>
        <w:t xml:space="preserve"> parts will be used.</w:t>
      </w:r>
      <w:r w:rsidR="00025EDD">
        <w:rPr>
          <w:sz w:val="24"/>
          <w:szCs w:val="24"/>
        </w:rPr>
        <w:t xml:space="preserve"> </w:t>
      </w:r>
      <w:r w:rsidRPr="00540EB6">
        <w:rPr>
          <w:sz w:val="24"/>
          <w:szCs w:val="24"/>
        </w:rPr>
        <w:t xml:space="preserve">In fact, one of the primary purposes of the document is to take parts of any quality level or grade and apply screening tests that are comparable to those applied to the various quality levels of </w:t>
      </w:r>
      <w:r w:rsidR="004426DF">
        <w:rPr>
          <w:sz w:val="24"/>
          <w:szCs w:val="24"/>
        </w:rPr>
        <w:t>military specification</w:t>
      </w:r>
      <w:r w:rsidRPr="00540EB6">
        <w:rPr>
          <w:sz w:val="24"/>
          <w:szCs w:val="24"/>
        </w:rPr>
        <w:t xml:space="preserve"> parts, which does not change the manufacturing quality or grade of the part.</w:t>
      </w:r>
      <w:r w:rsidR="00025EDD">
        <w:rPr>
          <w:sz w:val="24"/>
          <w:szCs w:val="24"/>
        </w:rPr>
        <w:t xml:space="preserve"> </w:t>
      </w:r>
      <w:r w:rsidRPr="00540EB6">
        <w:rPr>
          <w:sz w:val="24"/>
          <w:szCs w:val="24"/>
        </w:rPr>
        <w:t>Nor does it reduce their susceptibility to a poor design.</w:t>
      </w:r>
      <w:r w:rsidR="00025EDD">
        <w:rPr>
          <w:sz w:val="24"/>
          <w:szCs w:val="24"/>
        </w:rPr>
        <w:t xml:space="preserve"> </w:t>
      </w:r>
      <w:r w:rsidRPr="00540EB6">
        <w:rPr>
          <w:sz w:val="24"/>
          <w:szCs w:val="24"/>
        </w:rPr>
        <w:t>It is this view of risk that prompts the perspective that commercial parts can only be used in high</w:t>
      </w:r>
      <w:r w:rsidR="00AA42BB">
        <w:rPr>
          <w:sz w:val="24"/>
          <w:szCs w:val="24"/>
        </w:rPr>
        <w:t>-</w:t>
      </w:r>
      <w:r w:rsidRPr="00540EB6">
        <w:rPr>
          <w:sz w:val="24"/>
          <w:szCs w:val="24"/>
        </w:rPr>
        <w:t>risk applications, whereas very low</w:t>
      </w:r>
      <w:r w:rsidR="00352D6B">
        <w:rPr>
          <w:sz w:val="24"/>
          <w:szCs w:val="24"/>
        </w:rPr>
        <w:t>-</w:t>
      </w:r>
      <w:r w:rsidRPr="00540EB6">
        <w:rPr>
          <w:sz w:val="24"/>
          <w:szCs w:val="24"/>
        </w:rPr>
        <w:t>risk applications demand parts that are screened to the highest level (Level 1).</w:t>
      </w:r>
      <w:r w:rsidR="00025EDD">
        <w:rPr>
          <w:sz w:val="24"/>
          <w:szCs w:val="24"/>
        </w:rPr>
        <w:t xml:space="preserve"> </w:t>
      </w:r>
      <w:r w:rsidRPr="00540EB6">
        <w:rPr>
          <w:sz w:val="24"/>
          <w:szCs w:val="24"/>
        </w:rPr>
        <w:t xml:space="preserve">While it is true the blind selection of any unknown commercial part from either an unknown vendor or one that has consistently produced unreliable products (products that have not performed their necessary function when properly used in proven designs) will certainly entail elevated and/or uncertain levels of risk compared to any </w:t>
      </w:r>
      <w:r w:rsidR="004426DF">
        <w:rPr>
          <w:sz w:val="24"/>
          <w:szCs w:val="24"/>
        </w:rPr>
        <w:t>military specification</w:t>
      </w:r>
      <w:r w:rsidRPr="00540EB6">
        <w:rPr>
          <w:sz w:val="24"/>
          <w:szCs w:val="24"/>
        </w:rPr>
        <w:t xml:space="preserve"> part, the market-driven reliability determination that is based on knowledge of a vendor’s practices and performance history and history of the particular part would be no less than that of an arbitrary part that has been </w:t>
      </w:r>
      <w:proofErr w:type="spellStart"/>
      <w:r w:rsidRPr="00540EB6">
        <w:rPr>
          <w:sz w:val="24"/>
          <w:szCs w:val="24"/>
        </w:rPr>
        <w:t>upscreened</w:t>
      </w:r>
      <w:proofErr w:type="spellEnd"/>
      <w:r w:rsidRPr="00540EB6">
        <w:rPr>
          <w:sz w:val="24"/>
          <w:szCs w:val="24"/>
        </w:rPr>
        <w:t xml:space="preserve"> to any screening level</w:t>
      </w:r>
      <w:r w:rsidR="00033275" w:rsidRPr="00540EB6">
        <w:rPr>
          <w:sz w:val="24"/>
          <w:szCs w:val="24"/>
        </w:rPr>
        <w:t>.</w:t>
      </w:r>
      <w:r w:rsidRPr="00540EB6">
        <w:rPr>
          <w:sz w:val="24"/>
          <w:szCs w:val="24"/>
        </w:rPr>
        <w:t xml:space="preserve"> </w:t>
      </w:r>
      <w:r w:rsidR="00033275" w:rsidRPr="00540EB6">
        <w:rPr>
          <w:sz w:val="24"/>
          <w:szCs w:val="24"/>
        </w:rPr>
        <w:t>L</w:t>
      </w:r>
      <w:r w:rsidRPr="00540EB6">
        <w:rPr>
          <w:sz w:val="24"/>
          <w:szCs w:val="24"/>
        </w:rPr>
        <w:t xml:space="preserve">ikely a similar comparison can be made to a </w:t>
      </w:r>
      <w:r w:rsidR="004426DF">
        <w:rPr>
          <w:sz w:val="24"/>
          <w:szCs w:val="24"/>
        </w:rPr>
        <w:t>military specification</w:t>
      </w:r>
      <w:r w:rsidRPr="00540EB6">
        <w:rPr>
          <w:sz w:val="24"/>
          <w:szCs w:val="24"/>
        </w:rPr>
        <w:t xml:space="preserve"> part, whose reliability is a by-product of strong government controls and oversight, testing and failure rate verification at extreme conditions, but whose usage is dwarfed by the volume of usage of the commercial part in the broad market.</w:t>
      </w:r>
      <w:r w:rsidR="00025EDD">
        <w:rPr>
          <w:sz w:val="24"/>
          <w:szCs w:val="24"/>
        </w:rPr>
        <w:t xml:space="preserve"> </w:t>
      </w:r>
      <w:r w:rsidRPr="00540EB6">
        <w:rPr>
          <w:sz w:val="24"/>
          <w:szCs w:val="24"/>
        </w:rPr>
        <w:t xml:space="preserve">The “high risk” assessment is mainly driven by the fact that the approach is vastly different from the current approach, as opposed to </w:t>
      </w:r>
      <w:r w:rsidR="00033275" w:rsidRPr="00540EB6">
        <w:rPr>
          <w:sz w:val="24"/>
          <w:szCs w:val="24"/>
        </w:rPr>
        <w:t xml:space="preserve">being based on </w:t>
      </w:r>
      <w:r w:rsidRPr="00540EB6">
        <w:rPr>
          <w:sz w:val="24"/>
          <w:szCs w:val="24"/>
        </w:rPr>
        <w:t>a substantive assessment of risk, which we will discuss in the next section.</w:t>
      </w:r>
      <w:r w:rsidR="00025EDD">
        <w:rPr>
          <w:sz w:val="24"/>
          <w:szCs w:val="24"/>
        </w:rPr>
        <w:t xml:space="preserve"> </w:t>
      </w:r>
      <w:r w:rsidRPr="00540EB6">
        <w:rPr>
          <w:sz w:val="24"/>
          <w:szCs w:val="24"/>
        </w:rPr>
        <w:t>An assessment of part failure data at GSFC over the most recent decade has shown no greater rate of failure of commercial parts</w:t>
      </w:r>
      <w:r w:rsidR="00033275" w:rsidRPr="00540EB6">
        <w:rPr>
          <w:sz w:val="24"/>
          <w:szCs w:val="24"/>
        </w:rPr>
        <w:t xml:space="preserve"> without government screening</w:t>
      </w:r>
      <w:r w:rsidRPr="00540EB6">
        <w:rPr>
          <w:sz w:val="24"/>
          <w:szCs w:val="24"/>
        </w:rPr>
        <w:t xml:space="preserve"> vs </w:t>
      </w:r>
      <w:r w:rsidR="004426DF">
        <w:rPr>
          <w:sz w:val="24"/>
          <w:szCs w:val="24"/>
        </w:rPr>
        <w:t>military specification</w:t>
      </w:r>
      <w:r w:rsidRPr="00540EB6">
        <w:rPr>
          <w:sz w:val="24"/>
          <w:szCs w:val="24"/>
        </w:rPr>
        <w:t xml:space="preserve"> parts vs </w:t>
      </w:r>
      <w:proofErr w:type="spellStart"/>
      <w:r w:rsidRPr="00540EB6">
        <w:rPr>
          <w:sz w:val="24"/>
          <w:szCs w:val="24"/>
        </w:rPr>
        <w:t>upscreened</w:t>
      </w:r>
      <w:proofErr w:type="spellEnd"/>
      <w:r w:rsidRPr="00540EB6">
        <w:rPr>
          <w:sz w:val="24"/>
          <w:szCs w:val="24"/>
        </w:rPr>
        <w:t xml:space="preserve"> parts of any type, and the most serious on-orbit</w:t>
      </w:r>
      <w:r w:rsidR="00457B16">
        <w:rPr>
          <w:rStyle w:val="FootnoteReference"/>
          <w:sz w:val="24"/>
          <w:szCs w:val="24"/>
        </w:rPr>
        <w:footnoteReference w:id="4"/>
      </w:r>
      <w:r w:rsidRPr="00540EB6">
        <w:rPr>
          <w:sz w:val="24"/>
          <w:szCs w:val="24"/>
        </w:rPr>
        <w:t xml:space="preserve"> failures </w:t>
      </w:r>
      <w:r w:rsidR="00033275" w:rsidRPr="00540EB6">
        <w:rPr>
          <w:sz w:val="24"/>
          <w:szCs w:val="24"/>
        </w:rPr>
        <w:t xml:space="preserve">traced to part failures </w:t>
      </w:r>
      <w:r w:rsidRPr="00540EB6">
        <w:rPr>
          <w:sz w:val="24"/>
          <w:szCs w:val="24"/>
        </w:rPr>
        <w:t xml:space="preserve">in the last decade have come from the “highest reliability” </w:t>
      </w:r>
      <w:r w:rsidR="004426DF">
        <w:rPr>
          <w:sz w:val="24"/>
          <w:szCs w:val="24"/>
        </w:rPr>
        <w:t>military specification</w:t>
      </w:r>
      <w:r w:rsidRPr="00540EB6">
        <w:rPr>
          <w:sz w:val="24"/>
          <w:szCs w:val="24"/>
        </w:rPr>
        <w:t xml:space="preserve"> parts and parts that have been </w:t>
      </w:r>
      <w:proofErr w:type="spellStart"/>
      <w:r w:rsidRPr="00540EB6">
        <w:rPr>
          <w:sz w:val="24"/>
          <w:szCs w:val="24"/>
        </w:rPr>
        <w:t>upscreened</w:t>
      </w:r>
      <w:proofErr w:type="spellEnd"/>
      <w:r w:rsidRPr="00540EB6">
        <w:rPr>
          <w:sz w:val="24"/>
          <w:szCs w:val="24"/>
        </w:rPr>
        <w:t xml:space="preserve"> to the highest level.</w:t>
      </w:r>
      <w:r w:rsidR="00025EDD">
        <w:rPr>
          <w:sz w:val="24"/>
          <w:szCs w:val="24"/>
        </w:rPr>
        <w:t xml:space="preserve"> </w:t>
      </w:r>
    </w:p>
    <w:p w14:paraId="4D948CCF" w14:textId="77777777" w:rsidR="00400E29" w:rsidRPr="00F848F0" w:rsidRDefault="00400E29" w:rsidP="00E261E3">
      <w:pPr>
        <w:pStyle w:val="Heading1"/>
        <w:spacing w:line="480" w:lineRule="auto"/>
        <w:rPr>
          <w:b/>
          <w:bCs/>
          <w:sz w:val="24"/>
          <w:szCs w:val="24"/>
        </w:rPr>
      </w:pPr>
      <w:r w:rsidRPr="00F848F0">
        <w:rPr>
          <w:b/>
          <w:bCs/>
          <w:sz w:val="24"/>
          <w:szCs w:val="24"/>
        </w:rPr>
        <w:lastRenderedPageBreak/>
        <w:t xml:space="preserve">Substantive considerations about risks associated with the use of </w:t>
      </w:r>
      <w:r w:rsidR="000F117D" w:rsidRPr="00F848F0">
        <w:rPr>
          <w:b/>
          <w:bCs/>
          <w:sz w:val="24"/>
          <w:szCs w:val="24"/>
        </w:rPr>
        <w:t xml:space="preserve">Commercial Off the Shelf (COTS) </w:t>
      </w:r>
      <w:r w:rsidRPr="00F848F0">
        <w:rPr>
          <w:b/>
          <w:bCs/>
          <w:sz w:val="24"/>
          <w:szCs w:val="24"/>
        </w:rPr>
        <w:t>parts</w:t>
      </w:r>
    </w:p>
    <w:p w14:paraId="56EAAE73" w14:textId="07E8C76D" w:rsidR="00400E29" w:rsidRPr="00540EB6" w:rsidRDefault="00400E29" w:rsidP="00E261E3">
      <w:pPr>
        <w:spacing w:line="480" w:lineRule="auto"/>
        <w:rPr>
          <w:sz w:val="24"/>
          <w:szCs w:val="24"/>
        </w:rPr>
      </w:pPr>
      <w:r w:rsidRPr="00540EB6">
        <w:rPr>
          <w:sz w:val="24"/>
          <w:szCs w:val="24"/>
        </w:rPr>
        <w:t>Before jumping farther into risks associated with usage of parts, we start by laying out a</w:t>
      </w:r>
      <w:r w:rsidR="00A243F8" w:rsidRPr="00540EB6">
        <w:rPr>
          <w:sz w:val="24"/>
          <w:szCs w:val="24"/>
        </w:rPr>
        <w:t xml:space="preserve"> detailed understanding of risk </w:t>
      </w:r>
      <w:r w:rsidR="00A243F8" w:rsidRPr="00540EB6">
        <w:rPr>
          <w:sz w:val="24"/>
          <w:szCs w:val="24"/>
        </w:rPr>
        <w:fldChar w:fldCharType="begin"/>
      </w:r>
      <w:r w:rsidR="00A243F8" w:rsidRPr="00540EB6">
        <w:rPr>
          <w:sz w:val="24"/>
          <w:szCs w:val="24"/>
        </w:rPr>
        <w:instrText xml:space="preserve"> REF _Ref67577134 \r \h </w:instrText>
      </w:r>
      <w:r w:rsidR="00E261E3" w:rsidRPr="00540EB6">
        <w:rPr>
          <w:sz w:val="24"/>
          <w:szCs w:val="24"/>
        </w:rPr>
        <w:instrText xml:space="preserve"> \* MERGEFORMAT </w:instrText>
      </w:r>
      <w:r w:rsidR="00A243F8" w:rsidRPr="00540EB6">
        <w:rPr>
          <w:sz w:val="24"/>
          <w:szCs w:val="24"/>
        </w:rPr>
      </w:r>
      <w:r w:rsidR="00A243F8" w:rsidRPr="00540EB6">
        <w:rPr>
          <w:sz w:val="24"/>
          <w:szCs w:val="24"/>
        </w:rPr>
        <w:fldChar w:fldCharType="separate"/>
      </w:r>
      <w:r w:rsidR="003102F4" w:rsidRPr="00540EB6">
        <w:rPr>
          <w:sz w:val="24"/>
          <w:szCs w:val="24"/>
        </w:rPr>
        <w:t>[9]</w:t>
      </w:r>
      <w:r w:rsidR="00A243F8" w:rsidRPr="00540EB6">
        <w:rPr>
          <w:sz w:val="24"/>
          <w:szCs w:val="24"/>
        </w:rPr>
        <w:fldChar w:fldCharType="end"/>
      </w:r>
      <w:r w:rsidR="00A243F8" w:rsidRPr="00540EB6">
        <w:rPr>
          <w:sz w:val="24"/>
          <w:szCs w:val="24"/>
        </w:rPr>
        <w:t xml:space="preserve">. </w:t>
      </w:r>
      <w:r w:rsidRPr="00540EB6">
        <w:rPr>
          <w:sz w:val="24"/>
          <w:szCs w:val="24"/>
        </w:rPr>
        <w:t>At the core of risk is a concern, defined as a logical determination that an undesired event may occur or that the protections against such an event may not be sufficiently well understood based on available data</w:t>
      </w:r>
      <w:r w:rsidR="00A243F8" w:rsidRPr="00540EB6">
        <w:rPr>
          <w:sz w:val="24"/>
          <w:szCs w:val="24"/>
        </w:rPr>
        <w:t xml:space="preserve">. </w:t>
      </w:r>
      <w:r w:rsidRPr="00540EB6">
        <w:rPr>
          <w:sz w:val="24"/>
          <w:szCs w:val="24"/>
        </w:rPr>
        <w:t xml:space="preserve">This is the </w:t>
      </w:r>
      <w:r w:rsidR="00033275" w:rsidRPr="00540EB6">
        <w:rPr>
          <w:sz w:val="24"/>
          <w:szCs w:val="24"/>
        </w:rPr>
        <w:t xml:space="preserve">central </w:t>
      </w:r>
      <w:r w:rsidRPr="00540EB6">
        <w:rPr>
          <w:sz w:val="24"/>
          <w:szCs w:val="24"/>
        </w:rPr>
        <w:t>element upon which a risk is founded</w:t>
      </w:r>
      <w:r w:rsidR="00A243F8" w:rsidRPr="00540EB6">
        <w:rPr>
          <w:sz w:val="24"/>
          <w:szCs w:val="24"/>
        </w:rPr>
        <w:t xml:space="preserve">. </w:t>
      </w:r>
      <w:r w:rsidRPr="00540EB6">
        <w:rPr>
          <w:sz w:val="24"/>
          <w:szCs w:val="24"/>
        </w:rPr>
        <w:t xml:space="preserve">In some sense, it is the risk without the context, </w:t>
      </w:r>
      <w:proofErr w:type="gramStart"/>
      <w:r w:rsidRPr="00540EB6">
        <w:rPr>
          <w:sz w:val="24"/>
          <w:szCs w:val="24"/>
        </w:rPr>
        <w:t>likelihood</w:t>
      </w:r>
      <w:proofErr w:type="gramEnd"/>
      <w:r w:rsidRPr="00540EB6">
        <w:rPr>
          <w:sz w:val="24"/>
          <w:szCs w:val="24"/>
        </w:rPr>
        <w:t xml:space="preserve"> or consequence.</w:t>
      </w:r>
      <w:r w:rsidR="00A243F8" w:rsidRPr="00540EB6">
        <w:rPr>
          <w:sz w:val="24"/>
          <w:szCs w:val="24"/>
        </w:rPr>
        <w:t xml:space="preserve"> </w:t>
      </w:r>
      <w:r w:rsidR="0042361D" w:rsidRPr="00540EB6">
        <w:rPr>
          <w:sz w:val="24"/>
          <w:szCs w:val="24"/>
        </w:rPr>
        <w:t>Concerns can</w:t>
      </w:r>
      <w:r w:rsidR="00A243F8" w:rsidRPr="00540EB6">
        <w:rPr>
          <w:sz w:val="24"/>
          <w:szCs w:val="24"/>
        </w:rPr>
        <w:t xml:space="preserve"> be categorized as t</w:t>
      </w:r>
      <w:r w:rsidRPr="00540EB6">
        <w:rPr>
          <w:sz w:val="24"/>
          <w:szCs w:val="24"/>
        </w:rPr>
        <w:t>echnical</w:t>
      </w:r>
      <w:r w:rsidR="00A243F8" w:rsidRPr="00540EB6">
        <w:rPr>
          <w:sz w:val="24"/>
          <w:szCs w:val="24"/>
        </w:rPr>
        <w:t>, if a part may fail</w:t>
      </w:r>
      <w:r w:rsidR="00033275" w:rsidRPr="00540EB6">
        <w:rPr>
          <w:sz w:val="24"/>
          <w:szCs w:val="24"/>
        </w:rPr>
        <w:t xml:space="preserve"> on-orbit</w:t>
      </w:r>
      <w:r w:rsidR="0042361D" w:rsidRPr="00540EB6">
        <w:rPr>
          <w:sz w:val="24"/>
          <w:szCs w:val="24"/>
        </w:rPr>
        <w:t>;</w:t>
      </w:r>
      <w:r w:rsidR="00A243F8" w:rsidRPr="00540EB6">
        <w:rPr>
          <w:sz w:val="24"/>
          <w:szCs w:val="24"/>
        </w:rPr>
        <w:t xml:space="preserve"> c</w:t>
      </w:r>
      <w:r w:rsidRPr="00540EB6">
        <w:rPr>
          <w:sz w:val="24"/>
          <w:szCs w:val="24"/>
        </w:rPr>
        <w:t>ost</w:t>
      </w:r>
      <w:r w:rsidR="0042361D" w:rsidRPr="00540EB6">
        <w:rPr>
          <w:sz w:val="24"/>
          <w:szCs w:val="24"/>
        </w:rPr>
        <w:t>,</w:t>
      </w:r>
      <w:r w:rsidR="00025EDD">
        <w:rPr>
          <w:sz w:val="24"/>
          <w:szCs w:val="24"/>
        </w:rPr>
        <w:t xml:space="preserve"> </w:t>
      </w:r>
      <w:r w:rsidR="0042361D" w:rsidRPr="00540EB6">
        <w:rPr>
          <w:sz w:val="24"/>
          <w:szCs w:val="24"/>
        </w:rPr>
        <w:t>representing the potential for needing more money;</w:t>
      </w:r>
      <w:r w:rsidR="00A243F8" w:rsidRPr="00540EB6">
        <w:rPr>
          <w:sz w:val="24"/>
          <w:szCs w:val="24"/>
        </w:rPr>
        <w:t xml:space="preserve"> schedule</w:t>
      </w:r>
      <w:r w:rsidR="0042361D" w:rsidRPr="00540EB6">
        <w:rPr>
          <w:sz w:val="24"/>
          <w:szCs w:val="24"/>
        </w:rPr>
        <w:t xml:space="preserve">, if delivery of an item may be delayed; </w:t>
      </w:r>
      <w:r w:rsidR="00A243F8" w:rsidRPr="00540EB6">
        <w:rPr>
          <w:sz w:val="24"/>
          <w:szCs w:val="24"/>
        </w:rPr>
        <w:t>or s</w:t>
      </w:r>
      <w:r w:rsidRPr="00540EB6">
        <w:rPr>
          <w:sz w:val="24"/>
          <w:szCs w:val="24"/>
        </w:rPr>
        <w:t>afety</w:t>
      </w:r>
      <w:r w:rsidR="0042361D" w:rsidRPr="00540EB6">
        <w:rPr>
          <w:sz w:val="24"/>
          <w:szCs w:val="24"/>
        </w:rPr>
        <w:t xml:space="preserve">, </w:t>
      </w:r>
      <w:r w:rsidR="00A243F8" w:rsidRPr="00540EB6">
        <w:rPr>
          <w:sz w:val="24"/>
          <w:szCs w:val="24"/>
        </w:rPr>
        <w:t>a</w:t>
      </w:r>
      <w:r w:rsidRPr="00540EB6">
        <w:rPr>
          <w:sz w:val="24"/>
          <w:szCs w:val="24"/>
        </w:rPr>
        <w:t xml:space="preserve"> spacecraft may fall off the cr</w:t>
      </w:r>
      <w:r w:rsidR="00A243F8" w:rsidRPr="00540EB6">
        <w:rPr>
          <w:sz w:val="24"/>
          <w:szCs w:val="24"/>
        </w:rPr>
        <w:t>ane.</w:t>
      </w:r>
    </w:p>
    <w:p w14:paraId="04335609" w14:textId="77777777" w:rsidR="00400E29" w:rsidRPr="00540EB6" w:rsidRDefault="00400E29" w:rsidP="00E261E3">
      <w:pPr>
        <w:spacing w:line="480" w:lineRule="auto"/>
        <w:rPr>
          <w:sz w:val="24"/>
          <w:szCs w:val="24"/>
        </w:rPr>
      </w:pPr>
    </w:p>
    <w:p w14:paraId="40784C18" w14:textId="2BD101DB" w:rsidR="00400E29" w:rsidRPr="00540EB6" w:rsidRDefault="00400E29" w:rsidP="00E261E3">
      <w:pPr>
        <w:spacing w:line="480" w:lineRule="auto"/>
        <w:rPr>
          <w:sz w:val="24"/>
          <w:szCs w:val="24"/>
        </w:rPr>
      </w:pPr>
      <w:r w:rsidRPr="00540EB6">
        <w:rPr>
          <w:sz w:val="24"/>
          <w:szCs w:val="24"/>
        </w:rPr>
        <w:t>A risk is t</w:t>
      </w:r>
      <w:r w:rsidR="00D34F59" w:rsidRPr="00540EB6">
        <w:rPr>
          <w:sz w:val="24"/>
          <w:szCs w:val="24"/>
        </w:rPr>
        <w:t xml:space="preserve">he concern put into a context. A risk is a </w:t>
      </w:r>
      <w:r w:rsidRPr="00540EB6">
        <w:rPr>
          <w:sz w:val="24"/>
          <w:szCs w:val="24"/>
        </w:rPr>
        <w:t>combination of</w:t>
      </w:r>
      <w:r w:rsidR="00D34F59" w:rsidRPr="00540EB6">
        <w:rPr>
          <w:sz w:val="24"/>
          <w:szCs w:val="24"/>
        </w:rPr>
        <w:t xml:space="preserve"> </w:t>
      </w:r>
      <w:r w:rsidRPr="00540EB6">
        <w:rPr>
          <w:sz w:val="24"/>
          <w:szCs w:val="24"/>
        </w:rPr>
        <w:t>the probability (qualitative or quantitative) that an undesired event will occur, the consequence or impact of the undesired event</w:t>
      </w:r>
      <w:r w:rsidR="00D34F59" w:rsidRPr="00540EB6">
        <w:rPr>
          <w:sz w:val="24"/>
          <w:szCs w:val="24"/>
        </w:rPr>
        <w:t xml:space="preserve">, </w:t>
      </w:r>
      <w:r w:rsidR="00033275" w:rsidRPr="00540EB6">
        <w:rPr>
          <w:sz w:val="24"/>
          <w:szCs w:val="24"/>
        </w:rPr>
        <w:t xml:space="preserve">and </w:t>
      </w:r>
      <w:r w:rsidRPr="00540EB6">
        <w:rPr>
          <w:sz w:val="24"/>
          <w:szCs w:val="24"/>
        </w:rPr>
        <w:t>a factual context or scenario that exists to cause the risk to be present</w:t>
      </w:r>
      <w:r w:rsidR="00D34F59" w:rsidRPr="00540EB6">
        <w:rPr>
          <w:sz w:val="24"/>
          <w:szCs w:val="24"/>
        </w:rPr>
        <w:t xml:space="preserve">. </w:t>
      </w:r>
      <w:r w:rsidRPr="00540EB6">
        <w:rPr>
          <w:sz w:val="24"/>
          <w:szCs w:val="24"/>
        </w:rPr>
        <w:t xml:space="preserve">In short, risk is an expectation of loss in statistical terms </w:t>
      </w:r>
      <w:r w:rsidR="00A6567E" w:rsidRPr="00540EB6">
        <w:rPr>
          <w:sz w:val="24"/>
          <w:szCs w:val="24"/>
        </w:rPr>
        <w:t xml:space="preserve">based on an existing condition. </w:t>
      </w:r>
      <w:r w:rsidRPr="00540EB6">
        <w:rPr>
          <w:sz w:val="24"/>
          <w:szCs w:val="24"/>
        </w:rPr>
        <w:t xml:space="preserve">Figure </w:t>
      </w:r>
      <w:r w:rsidR="00FB4998">
        <w:rPr>
          <w:sz w:val="24"/>
          <w:szCs w:val="24"/>
        </w:rPr>
        <w:t>1</w:t>
      </w:r>
      <w:r w:rsidRPr="00540EB6">
        <w:rPr>
          <w:sz w:val="24"/>
          <w:szCs w:val="24"/>
        </w:rPr>
        <w:t xml:space="preserve"> shows the anatomy of a risk.</w:t>
      </w:r>
      <w:r w:rsidR="00025EDD">
        <w:rPr>
          <w:sz w:val="24"/>
          <w:szCs w:val="24"/>
        </w:rPr>
        <w:t xml:space="preserve"> </w:t>
      </w:r>
    </w:p>
    <w:p w14:paraId="620C10BB" w14:textId="77777777" w:rsidR="00A6567E" w:rsidRPr="00540EB6" w:rsidRDefault="00A6567E" w:rsidP="00E261E3">
      <w:pPr>
        <w:spacing w:line="480" w:lineRule="auto"/>
        <w:rPr>
          <w:sz w:val="24"/>
          <w:szCs w:val="24"/>
        </w:rPr>
      </w:pPr>
      <w:r w:rsidRPr="00540EB6">
        <w:rPr>
          <w:noProof/>
          <w:sz w:val="24"/>
          <w:szCs w:val="24"/>
        </w:rPr>
        <mc:AlternateContent>
          <mc:Choice Requires="wps">
            <w:drawing>
              <wp:anchor distT="0" distB="0" distL="114300" distR="114300" simplePos="0" relativeHeight="251661824" behindDoc="0" locked="0" layoutInCell="1" allowOverlap="1" wp14:anchorId="151DF075" wp14:editId="389E80E3">
                <wp:simplePos x="0" y="0"/>
                <wp:positionH relativeFrom="margin">
                  <wp:posOffset>45085</wp:posOffset>
                </wp:positionH>
                <wp:positionV relativeFrom="paragraph">
                  <wp:posOffset>148590</wp:posOffset>
                </wp:positionV>
                <wp:extent cx="3154680" cy="1923415"/>
                <wp:effectExtent l="0" t="0" r="7620" b="635"/>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92341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C123376" w14:textId="144DAA22" w:rsidR="00F83FBE" w:rsidRDefault="00F83FBE" w:rsidP="00CF7187">
                            <w:pPr>
                              <w:pStyle w:val="FootnoteText"/>
                              <w:keepNext/>
                              <w:ind w:firstLine="0"/>
                            </w:pPr>
                          </w:p>
                          <w:p w14:paraId="014CFD81" w14:textId="27A5BAF1" w:rsidR="00F83FBE" w:rsidRDefault="00F83FBE" w:rsidP="00F83FBE">
                            <w:pPr>
                              <w:pStyle w:val="Caption"/>
                            </w:pPr>
                            <w:bookmarkStart w:id="2" w:name="_Ref67643229"/>
                            <w:r>
                              <w:t xml:space="preserve">Figure </w:t>
                            </w:r>
                            <w:bookmarkEnd w:id="2"/>
                            <w:r w:rsidR="00FB4998">
                              <w:t>1</w:t>
                            </w:r>
                            <w:r>
                              <w:t>.</w:t>
                            </w:r>
                            <w:r w:rsidR="00025EDD">
                              <w:t xml:space="preserve">  </w:t>
                            </w:r>
                            <w:r>
                              <w:t>Anatomy of a Risk</w:t>
                            </w:r>
                          </w:p>
                          <w:p w14:paraId="64806984" w14:textId="0D32573B" w:rsidR="00F96054" w:rsidRDefault="00FB4998" w:rsidP="00A6567E">
                            <w:pPr>
                              <w:pStyle w:val="FootnoteText"/>
                              <w:ind w:firstLine="0"/>
                            </w:pPr>
                            <w:r>
                              <w:rPr>
                                <w:noProof/>
                              </w:rPr>
                              <w:drawing>
                                <wp:inline distT="0" distB="0" distL="0" distR="0" wp14:anchorId="78CE78A0" wp14:editId="23F67BED">
                                  <wp:extent cx="3152775" cy="1771650"/>
                                  <wp:effectExtent l="0" t="0" r="9525" b="0"/>
                                  <wp:docPr id="5" name="Picture 5" descr="C:\Users\bsood\Documents\EEE Parts\Parts Assurance Paper\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ood\Documents\EEE Parts\Parts Assurance Paper\fig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1771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DF075" id="_x0000_t202" coordsize="21600,21600" o:spt="202" path="m,l,21600r21600,l21600,xe">
                <v:stroke joinstyle="miter"/>
                <v:path gradientshapeok="t" o:connecttype="rect"/>
              </v:shapetype>
              <v:shape id="Text Box 5" o:spid="_x0000_s1026" type="#_x0000_t202" style="position:absolute;left:0;text-align:left;margin-left:3.55pt;margin-top:11.7pt;width:248.4pt;height:151.4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" stroked="f">
                <v:textbox inset="0,0,0,0">
                  <w:txbxContent>
                    <w:p w14:paraId="1C123376" w14:textId="144DAA22" w:rsidR="00F83FBE" w:rsidRDefault="00F83FBE" w:rsidP="00CF7187">
                      <w:pPr>
                        <w:pStyle w:val="FootnoteText"/>
                        <w:keepNext/>
                        <w:ind w:firstLine="0"/>
                      </w:pPr>
                    </w:p>
                    <w:p w14:paraId="014CFD81" w14:textId="27A5BAF1" w:rsidR="00F83FBE" w:rsidRDefault="00F83FBE" w:rsidP="00F83FBE">
                      <w:pPr>
                        <w:pStyle w:val="Caption"/>
                      </w:pPr>
                      <w:bookmarkStart w:id="3" w:name="_Ref67643229"/>
                      <w:r>
                        <w:t xml:space="preserve">Figure </w:t>
                      </w:r>
                      <w:bookmarkEnd w:id="3"/>
                      <w:r w:rsidR="00FB4998">
                        <w:t>1</w:t>
                      </w:r>
                      <w:r>
                        <w:t>.</w:t>
                      </w:r>
                      <w:r w:rsidR="00025EDD">
                        <w:t xml:space="preserve">  </w:t>
                      </w:r>
                      <w:r>
                        <w:t>Anatomy of a Risk</w:t>
                      </w:r>
                    </w:p>
                    <w:p w14:paraId="64806984" w14:textId="0D32573B" w:rsidR="00F96054" w:rsidRDefault="00FB4998" w:rsidP="00A6567E">
                      <w:pPr>
                        <w:pStyle w:val="FootnoteText"/>
                        <w:ind w:firstLine="0"/>
                      </w:pPr>
                      <w:r>
                        <w:rPr>
                          <w:noProof/>
                        </w:rPr>
                        <w:drawing>
                          <wp:inline distT="0" distB="0" distL="0" distR="0" wp14:anchorId="78CE78A0" wp14:editId="23F67BED">
                            <wp:extent cx="3152775" cy="1771650"/>
                            <wp:effectExtent l="0" t="0" r="9525" b="0"/>
                            <wp:docPr id="5" name="Picture 5" descr="C:\Users\bsood\Documents\EEE Parts\Parts Assurance Paper\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ood\Documents\EEE Parts\Parts Assurance Paper\fig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2775" cy="1771650"/>
                                    </a:xfrm>
                                    <a:prstGeom prst="rect">
                                      <a:avLst/>
                                    </a:prstGeom>
                                    <a:noFill/>
                                    <a:ln>
                                      <a:noFill/>
                                    </a:ln>
                                  </pic:spPr>
                                </pic:pic>
                              </a:graphicData>
                            </a:graphic>
                          </wp:inline>
                        </w:drawing>
                      </w:r>
                    </w:p>
                  </w:txbxContent>
                </v:textbox>
                <w10:wrap type="square" anchorx="margin"/>
              </v:shape>
            </w:pict>
          </mc:Fallback>
        </mc:AlternateContent>
      </w:r>
    </w:p>
    <w:p w14:paraId="03EAB1E0" w14:textId="208526C6" w:rsidR="00A6567E" w:rsidRDefault="00E704B4" w:rsidP="00E261E3">
      <w:pPr>
        <w:spacing w:line="480" w:lineRule="auto"/>
        <w:rPr>
          <w:sz w:val="24"/>
          <w:szCs w:val="24"/>
        </w:rPr>
      </w:pPr>
      <w:proofErr w:type="gramStart"/>
      <w:r>
        <w:rPr>
          <w:sz w:val="24"/>
          <w:szCs w:val="24"/>
        </w:rPr>
        <w:t>While,</w:t>
      </w:r>
      <w:proofErr w:type="gramEnd"/>
      <w:r>
        <w:rPr>
          <w:sz w:val="24"/>
          <w:szCs w:val="24"/>
        </w:rPr>
        <w:t xml:space="preserve"> i</w:t>
      </w:r>
      <w:r w:rsidR="009A4282" w:rsidRPr="00540EB6">
        <w:rPr>
          <w:sz w:val="24"/>
          <w:szCs w:val="24"/>
        </w:rPr>
        <w:t xml:space="preserve">t </w:t>
      </w:r>
      <w:r>
        <w:rPr>
          <w:sz w:val="24"/>
          <w:szCs w:val="24"/>
        </w:rPr>
        <w:t>may be</w:t>
      </w:r>
      <w:r w:rsidR="009A4282" w:rsidRPr="00540EB6">
        <w:rPr>
          <w:sz w:val="24"/>
          <w:szCs w:val="24"/>
        </w:rPr>
        <w:t xml:space="preserve"> common </w:t>
      </w:r>
      <w:r w:rsidR="002A6BDB">
        <w:rPr>
          <w:sz w:val="24"/>
          <w:szCs w:val="24"/>
        </w:rPr>
        <w:t>among</w:t>
      </w:r>
      <w:r w:rsidR="002A6BDB" w:rsidRPr="00540EB6">
        <w:rPr>
          <w:sz w:val="24"/>
          <w:szCs w:val="24"/>
        </w:rPr>
        <w:t xml:space="preserve"> </w:t>
      </w:r>
      <w:r>
        <w:rPr>
          <w:sz w:val="24"/>
          <w:szCs w:val="24"/>
        </w:rPr>
        <w:t>some</w:t>
      </w:r>
      <w:r w:rsidRPr="00540EB6">
        <w:rPr>
          <w:sz w:val="24"/>
          <w:szCs w:val="24"/>
        </w:rPr>
        <w:t xml:space="preserve"> </w:t>
      </w:r>
      <w:r w:rsidR="009A4282" w:rsidRPr="00540EB6">
        <w:rPr>
          <w:sz w:val="24"/>
          <w:szCs w:val="24"/>
        </w:rPr>
        <w:t xml:space="preserve">quality </w:t>
      </w:r>
      <w:r>
        <w:rPr>
          <w:sz w:val="24"/>
          <w:szCs w:val="24"/>
        </w:rPr>
        <w:t xml:space="preserve">engineering </w:t>
      </w:r>
      <w:r w:rsidRPr="00E704B4">
        <w:rPr>
          <w:sz w:val="24"/>
          <w:szCs w:val="24"/>
        </w:rPr>
        <w:t>practitioners</w:t>
      </w:r>
      <w:r>
        <w:rPr>
          <w:sz w:val="24"/>
          <w:szCs w:val="24"/>
        </w:rPr>
        <w:t xml:space="preserve"> </w:t>
      </w:r>
      <w:r w:rsidR="009A4282" w:rsidRPr="00540EB6">
        <w:rPr>
          <w:sz w:val="24"/>
          <w:szCs w:val="24"/>
        </w:rPr>
        <w:t>to denote any situation where a product is nonconforming with spec</w:t>
      </w:r>
      <w:r>
        <w:rPr>
          <w:sz w:val="24"/>
          <w:szCs w:val="24"/>
        </w:rPr>
        <w:t>ifications</w:t>
      </w:r>
      <w:r w:rsidR="009A4282" w:rsidRPr="00540EB6">
        <w:rPr>
          <w:sz w:val="24"/>
          <w:szCs w:val="24"/>
        </w:rPr>
        <w:t xml:space="preserve"> as </w:t>
      </w:r>
      <w:r>
        <w:rPr>
          <w:sz w:val="24"/>
          <w:szCs w:val="24"/>
        </w:rPr>
        <w:t>“</w:t>
      </w:r>
      <w:r w:rsidR="009A4282" w:rsidRPr="00540EB6">
        <w:rPr>
          <w:sz w:val="24"/>
          <w:szCs w:val="24"/>
        </w:rPr>
        <w:t>defective</w:t>
      </w:r>
      <w:r>
        <w:rPr>
          <w:sz w:val="24"/>
          <w:szCs w:val="24"/>
        </w:rPr>
        <w:t>”, such instances of non-conformance to a specification are often labelled as “</w:t>
      </w:r>
      <w:r w:rsidR="009A4282" w:rsidRPr="00540EB6">
        <w:rPr>
          <w:sz w:val="24"/>
          <w:szCs w:val="24"/>
        </w:rPr>
        <w:t>failure</w:t>
      </w:r>
      <w:r>
        <w:rPr>
          <w:sz w:val="24"/>
          <w:szCs w:val="24"/>
        </w:rPr>
        <w:t>” amongst many parts engineering practitioners</w:t>
      </w:r>
      <w:r w:rsidR="009A4282" w:rsidRPr="00540EB6">
        <w:rPr>
          <w:sz w:val="24"/>
          <w:szCs w:val="24"/>
        </w:rPr>
        <w:t>.</w:t>
      </w:r>
      <w:r>
        <w:rPr>
          <w:sz w:val="24"/>
          <w:szCs w:val="24"/>
        </w:rPr>
        <w:t xml:space="preserve"> When strictly looking at a definition of failure as “the inability of a part to perform the function it was designed”, i</w:t>
      </w:r>
      <w:r w:rsidR="009A4282" w:rsidRPr="00540EB6">
        <w:rPr>
          <w:sz w:val="24"/>
          <w:szCs w:val="24"/>
        </w:rPr>
        <w:t xml:space="preserve">n most cases, a </w:t>
      </w:r>
      <w:r>
        <w:rPr>
          <w:sz w:val="24"/>
          <w:szCs w:val="24"/>
        </w:rPr>
        <w:t xml:space="preserve">non-conformance to specifications </w:t>
      </w:r>
      <w:r w:rsidR="009A4282" w:rsidRPr="00540EB6">
        <w:rPr>
          <w:sz w:val="24"/>
          <w:szCs w:val="24"/>
        </w:rPr>
        <w:t>would not lead to failure, although in some cases it implies that one of multiple barriers against failure has weakened or that a sign exists of a historical type of anomalous condition.</w:t>
      </w:r>
      <w:r w:rsidR="00025EDD">
        <w:rPr>
          <w:sz w:val="24"/>
          <w:szCs w:val="24"/>
        </w:rPr>
        <w:t xml:space="preserve"> </w:t>
      </w:r>
      <w:r w:rsidR="009A4282" w:rsidRPr="00540EB6">
        <w:rPr>
          <w:sz w:val="24"/>
          <w:szCs w:val="24"/>
        </w:rPr>
        <w:t>It is thus important to distinguish a failure of a part on its own merits from a nonconformance to the specification.</w:t>
      </w:r>
      <w:r w:rsidR="00025EDD">
        <w:rPr>
          <w:sz w:val="24"/>
          <w:szCs w:val="24"/>
        </w:rPr>
        <w:t xml:space="preserve"> </w:t>
      </w:r>
      <w:r w:rsidR="009A4282" w:rsidRPr="00540EB6">
        <w:rPr>
          <w:sz w:val="24"/>
          <w:szCs w:val="24"/>
        </w:rPr>
        <w:t xml:space="preserve">The nonconformance is an indicator that a </w:t>
      </w:r>
      <w:r w:rsidR="009A4282" w:rsidRPr="00540EB6">
        <w:rPr>
          <w:sz w:val="24"/>
          <w:szCs w:val="24"/>
        </w:rPr>
        <w:lastRenderedPageBreak/>
        <w:t>closer look should be taken on the part to see if failure or a performance issue is imminent.</w:t>
      </w:r>
      <w:r w:rsidR="00C56897">
        <w:rPr>
          <w:sz w:val="24"/>
          <w:szCs w:val="24"/>
        </w:rPr>
        <w:t xml:space="preserve">  </w:t>
      </w:r>
      <w:proofErr w:type="gramStart"/>
      <w:r w:rsidR="00C56897">
        <w:rPr>
          <w:sz w:val="24"/>
          <w:szCs w:val="24"/>
        </w:rPr>
        <w:t>Thus</w:t>
      </w:r>
      <w:proofErr w:type="gramEnd"/>
      <w:r w:rsidR="00C56897">
        <w:rPr>
          <w:sz w:val="24"/>
          <w:szCs w:val="24"/>
        </w:rPr>
        <w:t xml:space="preserve"> a nonconformance in itself does not constitute a risk of failure of the part or the mission, although it may certainly fit into the </w:t>
      </w:r>
      <w:r w:rsidR="00C56897" w:rsidRPr="00CE08A4">
        <w:rPr>
          <w:i/>
          <w:iCs/>
          <w:sz w:val="24"/>
          <w:szCs w:val="24"/>
        </w:rPr>
        <w:t>concern</w:t>
      </w:r>
      <w:r w:rsidR="00C56897">
        <w:rPr>
          <w:sz w:val="24"/>
          <w:szCs w:val="24"/>
        </w:rPr>
        <w:t xml:space="preserve"> category.  </w:t>
      </w:r>
      <w:r w:rsidR="004953BC">
        <w:rPr>
          <w:sz w:val="24"/>
          <w:szCs w:val="24"/>
        </w:rPr>
        <w:t xml:space="preserve">We’ll move into substantive parts-related risk statements to illustrate complete views of risk from the existing context to the </w:t>
      </w:r>
      <w:proofErr w:type="gramStart"/>
      <w:r w:rsidR="004953BC">
        <w:rPr>
          <w:sz w:val="24"/>
          <w:szCs w:val="24"/>
        </w:rPr>
        <w:t>mission, and</w:t>
      </w:r>
      <w:proofErr w:type="gramEnd"/>
      <w:r w:rsidR="004953BC">
        <w:rPr>
          <w:sz w:val="24"/>
          <w:szCs w:val="24"/>
        </w:rPr>
        <w:t xml:space="preserve"> segue into risks associated with the use of COTS parts.</w:t>
      </w:r>
    </w:p>
    <w:p w14:paraId="2B53B9FB" w14:textId="77777777" w:rsidR="002A6BDB" w:rsidRPr="00540EB6" w:rsidRDefault="002A6BDB" w:rsidP="002A6BDB">
      <w:pPr>
        <w:spacing w:line="480" w:lineRule="auto"/>
        <w:rPr>
          <w:sz w:val="24"/>
          <w:szCs w:val="24"/>
        </w:rPr>
      </w:pPr>
      <w:r w:rsidRPr="00540EB6">
        <w:rPr>
          <w:sz w:val="24"/>
          <w:szCs w:val="24"/>
        </w:rPr>
        <w:t>A common parts-related risk emanates from an advisory that warns of a problem that has occurred in some location and context.</w:t>
      </w:r>
      <w:r>
        <w:rPr>
          <w:sz w:val="24"/>
          <w:szCs w:val="24"/>
        </w:rPr>
        <w:t xml:space="preserve"> </w:t>
      </w:r>
      <w:r w:rsidRPr="00540EB6">
        <w:rPr>
          <w:sz w:val="24"/>
          <w:szCs w:val="24"/>
        </w:rPr>
        <w:t>If the context from the advisory overlaps with the current project context, the overlap can define a context for a new risk.</w:t>
      </w:r>
      <w:r>
        <w:rPr>
          <w:sz w:val="24"/>
          <w:szCs w:val="24"/>
        </w:rPr>
        <w:t xml:space="preserve"> </w:t>
      </w:r>
      <w:r w:rsidRPr="00540EB6">
        <w:rPr>
          <w:sz w:val="24"/>
          <w:szCs w:val="24"/>
        </w:rPr>
        <w:t>Example follows.</w:t>
      </w:r>
    </w:p>
    <w:p w14:paraId="461292FF" w14:textId="77777777" w:rsidR="002A6BDB" w:rsidRPr="00540EB6" w:rsidRDefault="002A6BDB" w:rsidP="002A6BDB">
      <w:pPr>
        <w:spacing w:line="480" w:lineRule="auto"/>
        <w:rPr>
          <w:sz w:val="24"/>
          <w:szCs w:val="24"/>
        </w:rPr>
      </w:pPr>
    </w:p>
    <w:p w14:paraId="519E1F0C" w14:textId="77777777" w:rsidR="002A6BDB" w:rsidRPr="00540EB6" w:rsidRDefault="002A6BDB" w:rsidP="002A6BDB">
      <w:pPr>
        <w:spacing w:line="480" w:lineRule="auto"/>
        <w:rPr>
          <w:sz w:val="24"/>
          <w:szCs w:val="24"/>
        </w:rPr>
      </w:pPr>
      <w:r w:rsidRPr="00540EB6">
        <w:rPr>
          <w:b/>
          <w:i/>
          <w:sz w:val="24"/>
          <w:szCs w:val="24"/>
        </w:rPr>
        <w:t>Given</w:t>
      </w:r>
      <w:r w:rsidRPr="00540EB6">
        <w:rPr>
          <w:sz w:val="24"/>
          <w:szCs w:val="24"/>
        </w:rPr>
        <w:t>:</w:t>
      </w:r>
      <w:r>
        <w:rPr>
          <w:sz w:val="24"/>
          <w:szCs w:val="24"/>
        </w:rPr>
        <w:t xml:space="preserve"> </w:t>
      </w:r>
      <w:r w:rsidRPr="00540EB6">
        <w:rPr>
          <w:sz w:val="24"/>
          <w:szCs w:val="24"/>
        </w:rPr>
        <w:t>The usage of twenty MIL-PRF-55681 multi-layered ceramic chip capacitors (MLCC) within the affected scope of Government Industry data exchange program (GIDEP) number XYZ on the project</w:t>
      </w:r>
    </w:p>
    <w:p w14:paraId="3A19E41B" w14:textId="77777777" w:rsidR="002A6BDB" w:rsidRPr="00540EB6" w:rsidRDefault="002A6BDB" w:rsidP="002A6BDB">
      <w:pPr>
        <w:spacing w:line="480" w:lineRule="auto"/>
        <w:rPr>
          <w:sz w:val="24"/>
          <w:szCs w:val="24"/>
        </w:rPr>
      </w:pPr>
      <w:r w:rsidRPr="00540EB6">
        <w:rPr>
          <w:b/>
          <w:i/>
          <w:sz w:val="24"/>
          <w:szCs w:val="24"/>
        </w:rPr>
        <w:t>It is possible that</w:t>
      </w:r>
      <w:r w:rsidRPr="00540EB6">
        <w:rPr>
          <w:sz w:val="24"/>
          <w:szCs w:val="24"/>
        </w:rPr>
        <w:t>:</w:t>
      </w:r>
      <w:r>
        <w:rPr>
          <w:sz w:val="24"/>
          <w:szCs w:val="24"/>
        </w:rPr>
        <w:t xml:space="preserve"> </w:t>
      </w:r>
      <w:r w:rsidRPr="00540EB6">
        <w:rPr>
          <w:sz w:val="24"/>
          <w:szCs w:val="24"/>
        </w:rPr>
        <w:t>three parts will fail in the combined critical locations after successful completion of I&amp;T with no apparent problems, and subsequent launch</w:t>
      </w:r>
    </w:p>
    <w:p w14:paraId="0E50A3FF" w14:textId="77777777" w:rsidR="002A6BDB" w:rsidRPr="00540EB6" w:rsidRDefault="002A6BDB" w:rsidP="002A6BDB">
      <w:pPr>
        <w:spacing w:line="480" w:lineRule="auto"/>
        <w:rPr>
          <w:sz w:val="24"/>
          <w:szCs w:val="24"/>
        </w:rPr>
      </w:pPr>
      <w:r w:rsidRPr="00540EB6">
        <w:rPr>
          <w:b/>
          <w:i/>
          <w:sz w:val="24"/>
          <w:szCs w:val="24"/>
        </w:rPr>
        <w:t>Resulting in</w:t>
      </w:r>
      <w:r w:rsidRPr="00540EB6">
        <w:rPr>
          <w:sz w:val="24"/>
          <w:szCs w:val="24"/>
        </w:rPr>
        <w:t>:</w:t>
      </w:r>
      <w:r>
        <w:rPr>
          <w:sz w:val="24"/>
          <w:szCs w:val="24"/>
        </w:rPr>
        <w:t xml:space="preserve"> </w:t>
      </w:r>
      <w:r w:rsidRPr="00540EB6">
        <w:rPr>
          <w:sz w:val="24"/>
          <w:szCs w:val="24"/>
        </w:rPr>
        <w:t xml:space="preserve">Mission failure </w:t>
      </w:r>
    </w:p>
    <w:p w14:paraId="46B02C5A" w14:textId="77777777" w:rsidR="002A6BDB" w:rsidRPr="00540EB6" w:rsidRDefault="002A6BDB" w:rsidP="002A6BDB">
      <w:pPr>
        <w:spacing w:line="480" w:lineRule="auto"/>
        <w:rPr>
          <w:sz w:val="24"/>
          <w:szCs w:val="24"/>
        </w:rPr>
      </w:pPr>
    </w:p>
    <w:p w14:paraId="6FA253CE" w14:textId="77777777" w:rsidR="002A6BDB" w:rsidRPr="00540EB6" w:rsidRDefault="002A6BDB" w:rsidP="002A6BDB">
      <w:pPr>
        <w:spacing w:line="480" w:lineRule="auto"/>
        <w:rPr>
          <w:sz w:val="24"/>
          <w:szCs w:val="24"/>
        </w:rPr>
      </w:pPr>
      <w:r w:rsidRPr="00540EB6">
        <w:rPr>
          <w:sz w:val="24"/>
          <w:szCs w:val="24"/>
        </w:rPr>
        <w:t>In this case, we’ll say that GIDEP XYZ identifies a problem that affects some percentage of lots over a 10-year period and some percentage of parts within the affected lots.</w:t>
      </w:r>
      <w:r>
        <w:rPr>
          <w:sz w:val="24"/>
          <w:szCs w:val="24"/>
        </w:rPr>
        <w:t xml:space="preserve"> </w:t>
      </w:r>
      <w:r w:rsidRPr="00540EB6">
        <w:rPr>
          <w:sz w:val="24"/>
          <w:szCs w:val="24"/>
        </w:rPr>
        <w:t>We can review the data provided and estimate the likelihood of getting a problematic lot, then the likelihood of having a part failure if a problematic lot is encountered.</w:t>
      </w:r>
      <w:r>
        <w:rPr>
          <w:sz w:val="24"/>
          <w:szCs w:val="24"/>
        </w:rPr>
        <w:t xml:space="preserve"> </w:t>
      </w:r>
      <w:r w:rsidRPr="00540EB6">
        <w:rPr>
          <w:sz w:val="24"/>
          <w:szCs w:val="24"/>
        </w:rPr>
        <w:t xml:space="preserve">In the example above we assume that </w:t>
      </w:r>
      <w:proofErr w:type="gramStart"/>
      <w:r w:rsidRPr="00540EB6">
        <w:rPr>
          <w:sz w:val="24"/>
          <w:szCs w:val="24"/>
        </w:rPr>
        <w:t>three part</w:t>
      </w:r>
      <w:proofErr w:type="gramEnd"/>
      <w:r w:rsidRPr="00540EB6">
        <w:rPr>
          <w:sz w:val="24"/>
          <w:szCs w:val="24"/>
        </w:rPr>
        <w:t xml:space="preserve"> failures are required to cause a mission failure.</w:t>
      </w:r>
      <w:r>
        <w:rPr>
          <w:sz w:val="24"/>
          <w:szCs w:val="24"/>
        </w:rPr>
        <w:t xml:space="preserve"> </w:t>
      </w:r>
      <w:r w:rsidRPr="00540EB6">
        <w:rPr>
          <w:sz w:val="24"/>
          <w:szCs w:val="24"/>
        </w:rPr>
        <w:t xml:space="preserve">For this type of part problem, we can include </w:t>
      </w:r>
      <w:r w:rsidRPr="00540EB6">
        <w:rPr>
          <w:i/>
          <w:iCs/>
          <w:sz w:val="24"/>
          <w:szCs w:val="24"/>
        </w:rPr>
        <w:t>common mode</w:t>
      </w:r>
      <w:r w:rsidRPr="00540EB6">
        <w:rPr>
          <w:sz w:val="24"/>
          <w:szCs w:val="24"/>
        </w:rPr>
        <w:t xml:space="preserve"> effects in a failure likelihood for each part, so that we can treat each failure as independent.</w:t>
      </w:r>
      <w:r>
        <w:rPr>
          <w:sz w:val="24"/>
          <w:szCs w:val="24"/>
        </w:rPr>
        <w:t xml:space="preserve"> </w:t>
      </w:r>
      <w:r w:rsidRPr="00540EB6">
        <w:rPr>
          <w:sz w:val="24"/>
          <w:szCs w:val="24"/>
        </w:rPr>
        <w:t>The conditions (and supporting data behind them) lead directly to the likelihood of realizing the “it is possible that …” event, while the “resulting in …” provides the ultimate threat to level 1 requirements or mission success criteria.</w:t>
      </w:r>
      <w:r>
        <w:rPr>
          <w:sz w:val="24"/>
          <w:szCs w:val="24"/>
        </w:rPr>
        <w:t xml:space="preserve"> </w:t>
      </w:r>
    </w:p>
    <w:p w14:paraId="4176013E" w14:textId="77777777" w:rsidR="002A6BDB" w:rsidRPr="00540EB6" w:rsidRDefault="002A6BDB" w:rsidP="002A6BDB">
      <w:pPr>
        <w:spacing w:line="480" w:lineRule="auto"/>
        <w:rPr>
          <w:sz w:val="24"/>
          <w:szCs w:val="24"/>
        </w:rPr>
      </w:pPr>
    </w:p>
    <w:p w14:paraId="671A87A8" w14:textId="77777777" w:rsidR="002A6BDB" w:rsidRPr="00540EB6" w:rsidRDefault="002A6BDB" w:rsidP="002A6BDB">
      <w:pPr>
        <w:spacing w:line="480" w:lineRule="auto"/>
        <w:rPr>
          <w:sz w:val="24"/>
          <w:szCs w:val="24"/>
        </w:rPr>
      </w:pPr>
      <w:r w:rsidRPr="00540EB6">
        <w:rPr>
          <w:sz w:val="24"/>
          <w:szCs w:val="24"/>
        </w:rPr>
        <w:lastRenderedPageBreak/>
        <w:t>If we assume that there are twenty parts in the application (out of which any three can cause failure), there is a 10% chance of encountering a problematic lot and all parts in the application are from the same lot, 10% of the parts in a problematic lot are affected as discussed in GIDEP XYZ, and there is a 20% chance of latent (after extended usage in application) part failure for an affected part, the likelihood of mission failure due to this area of concern, if we don’t know if we have an affected lot, becomes approximately C(20,3)*(0.1)*[(0.1)*(0.2)]</w:t>
      </w:r>
      <w:r w:rsidRPr="00540EB6">
        <w:rPr>
          <w:sz w:val="24"/>
          <w:szCs w:val="24"/>
          <w:vertAlign w:val="superscript"/>
        </w:rPr>
        <w:t xml:space="preserve">3 </w:t>
      </w:r>
      <w:r w:rsidRPr="00540EB6">
        <w:rPr>
          <w:sz w:val="24"/>
          <w:szCs w:val="24"/>
        </w:rPr>
        <w:t>= 9e-4 = 0.09%, where C(20,3) represents the number of combinations of 20 items taken 3 at a time.</w:t>
      </w:r>
      <w:r>
        <w:rPr>
          <w:sz w:val="24"/>
          <w:szCs w:val="24"/>
        </w:rPr>
        <w:t xml:space="preserve"> </w:t>
      </w:r>
      <w:r w:rsidRPr="00540EB6">
        <w:rPr>
          <w:sz w:val="24"/>
          <w:szCs w:val="24"/>
        </w:rPr>
        <w:t>On the GSFC risk scale, this would be just below the lowest likelihood on the scale, and thus would be declared “noncredible”, or since it is close enough to the floor of 0.1%, it would be reasonable to assume that uncertainty moves it above the floor.</w:t>
      </w:r>
      <w:r>
        <w:rPr>
          <w:sz w:val="24"/>
          <w:szCs w:val="24"/>
        </w:rPr>
        <w:t xml:space="preserve"> </w:t>
      </w:r>
      <w:r w:rsidRPr="00540EB6">
        <w:rPr>
          <w:sz w:val="24"/>
          <w:szCs w:val="24"/>
        </w:rPr>
        <w:t>It should be noted that latent part failures are very unusual.</w:t>
      </w:r>
      <w:r>
        <w:rPr>
          <w:sz w:val="24"/>
          <w:szCs w:val="24"/>
        </w:rPr>
        <w:t xml:space="preserve"> </w:t>
      </w:r>
      <w:r w:rsidRPr="00540EB6">
        <w:rPr>
          <w:sz w:val="24"/>
          <w:szCs w:val="24"/>
        </w:rPr>
        <w:t>In most cases, part failures are wrung out through extensive system-level testing, whether based on a manufacturing flaw with the part or a design issue.</w:t>
      </w:r>
      <w:r>
        <w:rPr>
          <w:sz w:val="24"/>
          <w:szCs w:val="24"/>
        </w:rPr>
        <w:t xml:space="preserve"> </w:t>
      </w:r>
      <w:r w:rsidRPr="00540EB6">
        <w:rPr>
          <w:sz w:val="24"/>
          <w:szCs w:val="24"/>
        </w:rPr>
        <w:t>One of the historical examples of a part latent defect is a single ceramic capacitor issue that has now caused failure or serious anomalies (two of which were complete mission failures) for four separate spacecraft, in which the anomalous behavior did not start to appear until months after launch.</w:t>
      </w:r>
      <w:r>
        <w:rPr>
          <w:sz w:val="24"/>
          <w:szCs w:val="24"/>
        </w:rPr>
        <w:t xml:space="preserve"> </w:t>
      </w:r>
      <w:r w:rsidRPr="00540EB6">
        <w:rPr>
          <w:sz w:val="24"/>
          <w:szCs w:val="24"/>
        </w:rPr>
        <w:t xml:space="preserve">This problem affected </w:t>
      </w:r>
      <w:r>
        <w:rPr>
          <w:sz w:val="24"/>
          <w:szCs w:val="24"/>
        </w:rPr>
        <w:t>military specification</w:t>
      </w:r>
      <w:r w:rsidRPr="00540EB6">
        <w:rPr>
          <w:sz w:val="24"/>
          <w:szCs w:val="24"/>
        </w:rPr>
        <w:t xml:space="preserve"> level 1 capacitors.</w:t>
      </w:r>
      <w:r>
        <w:rPr>
          <w:sz w:val="24"/>
          <w:szCs w:val="24"/>
        </w:rPr>
        <w:t xml:space="preserve"> </w:t>
      </w:r>
      <w:r w:rsidRPr="00540EB6">
        <w:rPr>
          <w:sz w:val="24"/>
          <w:szCs w:val="24"/>
        </w:rPr>
        <w:t>In either case, latent defects are so unusual that the risk of such would only practically be defined when it is known that a specific latent defect risk applies.</w:t>
      </w:r>
      <w:r>
        <w:rPr>
          <w:sz w:val="24"/>
          <w:szCs w:val="24"/>
        </w:rPr>
        <w:t xml:space="preserve"> </w:t>
      </w:r>
      <w:r w:rsidRPr="00540EB6">
        <w:rPr>
          <w:sz w:val="24"/>
          <w:szCs w:val="24"/>
        </w:rPr>
        <w:t xml:space="preserve">(It is important to distinguish a latent defect from a failure that is caused by a design corner case that was not encountered in testing or an environmental, </w:t>
      </w:r>
      <w:proofErr w:type="spellStart"/>
      <w:r w:rsidRPr="00540EB6">
        <w:rPr>
          <w:sz w:val="24"/>
          <w:szCs w:val="24"/>
        </w:rPr>
        <w:t>e.g</w:t>
      </w:r>
      <w:proofErr w:type="spellEnd"/>
      <w:r w:rsidRPr="00540EB6">
        <w:rPr>
          <w:sz w:val="24"/>
          <w:szCs w:val="24"/>
        </w:rPr>
        <w:t>, radiation, hit).</w:t>
      </w:r>
    </w:p>
    <w:p w14:paraId="7FD31397" w14:textId="77777777" w:rsidR="002A6BDB" w:rsidRPr="00540EB6" w:rsidRDefault="002A6BDB" w:rsidP="002A6BDB">
      <w:pPr>
        <w:spacing w:line="480" w:lineRule="auto"/>
        <w:rPr>
          <w:sz w:val="24"/>
          <w:szCs w:val="24"/>
        </w:rPr>
      </w:pPr>
    </w:p>
    <w:p w14:paraId="5FA386B5" w14:textId="77777777" w:rsidR="002A6BDB" w:rsidRPr="00540EB6" w:rsidRDefault="002A6BDB" w:rsidP="002A6BDB">
      <w:pPr>
        <w:spacing w:line="480" w:lineRule="auto"/>
        <w:rPr>
          <w:sz w:val="24"/>
          <w:szCs w:val="24"/>
        </w:rPr>
      </w:pPr>
      <w:r w:rsidRPr="00540EB6">
        <w:rPr>
          <w:sz w:val="24"/>
          <w:szCs w:val="24"/>
        </w:rPr>
        <w:t>Given that, robust system-level testing assures that most failures of parts occur in I&amp;T and the pertinent risk statement would be programmatic, as follows for the example above.</w:t>
      </w:r>
      <w:r>
        <w:rPr>
          <w:sz w:val="24"/>
          <w:szCs w:val="24"/>
        </w:rPr>
        <w:t xml:space="preserve"> </w:t>
      </w:r>
      <w:r w:rsidRPr="00540EB6">
        <w:rPr>
          <w:sz w:val="24"/>
          <w:szCs w:val="24"/>
        </w:rPr>
        <w:t>The difference, however, is that it only takes one capacitor failure in ground testing to prompt rework, and in this case, we would be looking at a failure in I&amp;T.</w:t>
      </w:r>
      <w:r>
        <w:rPr>
          <w:sz w:val="24"/>
          <w:szCs w:val="24"/>
        </w:rPr>
        <w:t xml:space="preserve"> </w:t>
      </w:r>
      <w:r w:rsidRPr="00540EB6">
        <w:rPr>
          <w:sz w:val="24"/>
          <w:szCs w:val="24"/>
        </w:rPr>
        <w:t xml:space="preserve">Furthermore, for this </w:t>
      </w:r>
      <w:proofErr w:type="gramStart"/>
      <w:r w:rsidRPr="00540EB6">
        <w:rPr>
          <w:sz w:val="24"/>
          <w:szCs w:val="24"/>
        </w:rPr>
        <w:t>particular type of part</w:t>
      </w:r>
      <w:proofErr w:type="gramEnd"/>
      <w:r w:rsidRPr="00540EB6">
        <w:rPr>
          <w:sz w:val="24"/>
          <w:szCs w:val="24"/>
        </w:rPr>
        <w:t xml:space="preserve"> defect, there is a lower likelihood of part failure during I&amp;T, since time and continuous operation are factors.</w:t>
      </w:r>
      <w:r>
        <w:rPr>
          <w:sz w:val="24"/>
          <w:szCs w:val="24"/>
        </w:rPr>
        <w:t xml:space="preserve"> </w:t>
      </w:r>
      <w:r w:rsidRPr="00540EB6">
        <w:rPr>
          <w:sz w:val="24"/>
          <w:szCs w:val="24"/>
        </w:rPr>
        <w:t>Lastly, for an I&amp;T failure, we need not only be concerned with the capacitors that will cause mission failure, so there are more that may require replacement.</w:t>
      </w:r>
      <w:r>
        <w:rPr>
          <w:sz w:val="24"/>
          <w:szCs w:val="24"/>
        </w:rPr>
        <w:t xml:space="preserve"> </w:t>
      </w:r>
      <w:r w:rsidRPr="00540EB6">
        <w:rPr>
          <w:sz w:val="24"/>
          <w:szCs w:val="24"/>
        </w:rPr>
        <w:t>We end up with a risk statement as follows:</w:t>
      </w:r>
    </w:p>
    <w:p w14:paraId="1F73BB87" w14:textId="77777777" w:rsidR="002A6BDB" w:rsidRPr="00540EB6" w:rsidRDefault="002A6BDB" w:rsidP="002A6BDB">
      <w:pPr>
        <w:spacing w:line="480" w:lineRule="auto"/>
        <w:rPr>
          <w:sz w:val="24"/>
          <w:szCs w:val="24"/>
        </w:rPr>
      </w:pPr>
    </w:p>
    <w:p w14:paraId="35EDE17E" w14:textId="77777777" w:rsidR="002A6BDB" w:rsidRPr="00540EB6" w:rsidRDefault="002A6BDB" w:rsidP="002A6BDB">
      <w:pPr>
        <w:spacing w:line="480" w:lineRule="auto"/>
        <w:rPr>
          <w:sz w:val="24"/>
          <w:szCs w:val="24"/>
        </w:rPr>
      </w:pPr>
      <w:r w:rsidRPr="00540EB6">
        <w:rPr>
          <w:b/>
          <w:i/>
          <w:sz w:val="24"/>
          <w:szCs w:val="24"/>
        </w:rPr>
        <w:t>Given</w:t>
      </w:r>
      <w:r w:rsidRPr="00540EB6">
        <w:rPr>
          <w:sz w:val="24"/>
          <w:szCs w:val="24"/>
        </w:rPr>
        <w:t>:</w:t>
      </w:r>
      <w:r>
        <w:rPr>
          <w:sz w:val="24"/>
          <w:szCs w:val="24"/>
        </w:rPr>
        <w:t xml:space="preserve"> </w:t>
      </w:r>
      <w:r w:rsidRPr="00540EB6">
        <w:rPr>
          <w:sz w:val="24"/>
          <w:szCs w:val="24"/>
        </w:rPr>
        <w:t>The usage of a hundred MIL-PRF-55681 MLCCs within the affected scope of GIDEP XYZ on the project</w:t>
      </w:r>
    </w:p>
    <w:p w14:paraId="01F06223" w14:textId="77777777" w:rsidR="002A6BDB" w:rsidRPr="00540EB6" w:rsidRDefault="002A6BDB" w:rsidP="002A6BDB">
      <w:pPr>
        <w:spacing w:line="480" w:lineRule="auto"/>
        <w:rPr>
          <w:sz w:val="24"/>
          <w:szCs w:val="24"/>
        </w:rPr>
      </w:pPr>
      <w:r w:rsidRPr="00540EB6">
        <w:rPr>
          <w:b/>
          <w:i/>
          <w:sz w:val="24"/>
          <w:szCs w:val="24"/>
        </w:rPr>
        <w:t>It is possible that</w:t>
      </w:r>
      <w:r w:rsidRPr="00540EB6">
        <w:rPr>
          <w:sz w:val="24"/>
          <w:szCs w:val="24"/>
        </w:rPr>
        <w:t>:</w:t>
      </w:r>
      <w:r>
        <w:rPr>
          <w:sz w:val="24"/>
          <w:szCs w:val="24"/>
        </w:rPr>
        <w:t xml:space="preserve"> </w:t>
      </w:r>
      <w:r w:rsidRPr="00540EB6">
        <w:rPr>
          <w:sz w:val="24"/>
          <w:szCs w:val="24"/>
        </w:rPr>
        <w:t>a part will fail in I&amp;T, requiring replacement</w:t>
      </w:r>
    </w:p>
    <w:p w14:paraId="7DF19780" w14:textId="77777777" w:rsidR="002A6BDB" w:rsidRPr="00540EB6" w:rsidRDefault="002A6BDB" w:rsidP="002A6BDB">
      <w:pPr>
        <w:spacing w:line="480" w:lineRule="auto"/>
        <w:rPr>
          <w:sz w:val="24"/>
          <w:szCs w:val="24"/>
        </w:rPr>
      </w:pPr>
      <w:r w:rsidRPr="00540EB6">
        <w:rPr>
          <w:b/>
          <w:i/>
          <w:sz w:val="24"/>
          <w:szCs w:val="24"/>
        </w:rPr>
        <w:t>Resulting in:</w:t>
      </w:r>
      <w:r>
        <w:rPr>
          <w:sz w:val="24"/>
          <w:szCs w:val="24"/>
        </w:rPr>
        <w:t xml:space="preserve"> </w:t>
      </w:r>
      <w:r w:rsidRPr="00540EB6">
        <w:rPr>
          <w:sz w:val="24"/>
          <w:szCs w:val="24"/>
        </w:rPr>
        <w:t>Cost and schedule for replacement and regression testing</w:t>
      </w:r>
    </w:p>
    <w:p w14:paraId="384E11F3" w14:textId="77777777" w:rsidR="002A6BDB" w:rsidRPr="00540EB6" w:rsidRDefault="002A6BDB" w:rsidP="002A6BDB">
      <w:pPr>
        <w:spacing w:line="480" w:lineRule="auto"/>
        <w:rPr>
          <w:sz w:val="24"/>
          <w:szCs w:val="24"/>
        </w:rPr>
      </w:pPr>
    </w:p>
    <w:p w14:paraId="261358D7" w14:textId="77777777" w:rsidR="002A6BDB" w:rsidRPr="00540EB6" w:rsidRDefault="002A6BDB" w:rsidP="002A6BDB">
      <w:pPr>
        <w:spacing w:line="480" w:lineRule="auto"/>
        <w:rPr>
          <w:sz w:val="24"/>
          <w:szCs w:val="24"/>
        </w:rPr>
      </w:pPr>
      <w:r w:rsidRPr="00540EB6">
        <w:rPr>
          <w:sz w:val="24"/>
          <w:szCs w:val="24"/>
        </w:rPr>
        <w:t>Here we will assume the same likelihood of encountering a problematic lot (10%), but the chance of having a failure in I&amp;T is 5%, and there are 100 parts that are affected.</w:t>
      </w:r>
      <w:r>
        <w:rPr>
          <w:sz w:val="24"/>
          <w:szCs w:val="24"/>
        </w:rPr>
        <w:t xml:space="preserve"> </w:t>
      </w:r>
      <w:r w:rsidRPr="00540EB6">
        <w:rPr>
          <w:sz w:val="24"/>
          <w:szCs w:val="24"/>
        </w:rPr>
        <w:t>This gives a failure likelihood of approximately [100*(</w:t>
      </w:r>
      <w:proofErr w:type="gramStart"/>
      <w:r w:rsidRPr="00540EB6">
        <w:rPr>
          <w:sz w:val="24"/>
          <w:szCs w:val="24"/>
        </w:rPr>
        <w:t>0.1)*</w:t>
      </w:r>
      <w:proofErr w:type="gramEnd"/>
      <w:r w:rsidRPr="00540EB6">
        <w:rPr>
          <w:sz w:val="24"/>
          <w:szCs w:val="24"/>
        </w:rPr>
        <w:t>(0.05)] = 0.5, or 50%.</w:t>
      </w:r>
      <w:r>
        <w:rPr>
          <w:sz w:val="24"/>
          <w:szCs w:val="24"/>
        </w:rPr>
        <w:t xml:space="preserve"> </w:t>
      </w:r>
      <w:r w:rsidRPr="00540EB6">
        <w:rPr>
          <w:sz w:val="24"/>
          <w:szCs w:val="24"/>
        </w:rPr>
        <w:t>The consequence of having to perform such a replacement, which would almost certainly be late in I&amp;T based on this type of problem, we can estimate as a 3 on the GSFC scale, “Impact to schedule milestones; accommodates within reserves; moderate impact to critical path”, thus a 3x3 programmatic risk (also yellow).</w:t>
      </w:r>
      <w:r>
        <w:rPr>
          <w:sz w:val="24"/>
          <w:szCs w:val="24"/>
        </w:rPr>
        <w:t xml:space="preserve"> </w:t>
      </w:r>
    </w:p>
    <w:p w14:paraId="4F440779" w14:textId="77777777" w:rsidR="002A6BDB" w:rsidRPr="00540EB6" w:rsidRDefault="002A6BDB" w:rsidP="002A6BDB">
      <w:pPr>
        <w:spacing w:line="480" w:lineRule="auto"/>
        <w:rPr>
          <w:sz w:val="24"/>
          <w:szCs w:val="24"/>
        </w:rPr>
      </w:pPr>
    </w:p>
    <w:p w14:paraId="7FDF7EDA" w14:textId="77777777" w:rsidR="002A6BDB" w:rsidRPr="00540EB6" w:rsidRDefault="002A6BDB" w:rsidP="002A6BDB">
      <w:pPr>
        <w:spacing w:line="480" w:lineRule="auto"/>
        <w:rPr>
          <w:sz w:val="24"/>
          <w:szCs w:val="24"/>
        </w:rPr>
      </w:pPr>
      <w:r w:rsidRPr="00540EB6">
        <w:rPr>
          <w:sz w:val="24"/>
          <w:szCs w:val="24"/>
        </w:rPr>
        <w:t xml:space="preserve">Now if we want to think about framing a risk for the use of COTS parts, we </w:t>
      </w:r>
      <w:proofErr w:type="gramStart"/>
      <w:r w:rsidRPr="00540EB6">
        <w:rPr>
          <w:sz w:val="24"/>
          <w:szCs w:val="24"/>
        </w:rPr>
        <w:t>have to</w:t>
      </w:r>
      <w:proofErr w:type="gramEnd"/>
      <w:r w:rsidRPr="00540EB6">
        <w:rPr>
          <w:sz w:val="24"/>
          <w:szCs w:val="24"/>
        </w:rPr>
        <w:t xml:space="preserve"> think about the attributes in a </w:t>
      </w:r>
      <w:r w:rsidRPr="00540EB6">
        <w:rPr>
          <w:i/>
          <w:iCs/>
          <w:sz w:val="24"/>
          <w:szCs w:val="24"/>
        </w:rPr>
        <w:t xml:space="preserve">Given </w:t>
      </w:r>
      <w:r w:rsidRPr="00540EB6">
        <w:rPr>
          <w:sz w:val="24"/>
          <w:szCs w:val="24"/>
        </w:rPr>
        <w:t>statement that provide the context for a part failure.</w:t>
      </w:r>
      <w:r>
        <w:rPr>
          <w:sz w:val="24"/>
          <w:szCs w:val="24"/>
        </w:rPr>
        <w:t xml:space="preserve"> </w:t>
      </w:r>
      <w:r w:rsidRPr="00540EB6">
        <w:rPr>
          <w:sz w:val="24"/>
          <w:szCs w:val="24"/>
        </w:rPr>
        <w:t>What comes to mind for some is the fact that the government does not control the production of COTS parts.</w:t>
      </w:r>
      <w:r>
        <w:rPr>
          <w:sz w:val="24"/>
          <w:szCs w:val="24"/>
        </w:rPr>
        <w:t xml:space="preserve"> </w:t>
      </w:r>
      <w:r w:rsidRPr="00540EB6">
        <w:rPr>
          <w:sz w:val="24"/>
          <w:szCs w:val="24"/>
        </w:rPr>
        <w:t>However, there really is no evidence that government control reduces rates of failure of parts (a review of parts failures going back to the early 2000’s shows no elevated failure rates for COTS against any screening level, nor is there a correlation of failures with screening level).</w:t>
      </w:r>
      <w:r>
        <w:rPr>
          <w:sz w:val="24"/>
          <w:szCs w:val="24"/>
        </w:rPr>
        <w:t xml:space="preserve"> </w:t>
      </w:r>
      <w:r w:rsidRPr="00540EB6">
        <w:rPr>
          <w:sz w:val="24"/>
          <w:szCs w:val="24"/>
        </w:rPr>
        <w:t xml:space="preserve">Furthermore, current Agency requirements do not specify the use of </w:t>
      </w:r>
      <w:r>
        <w:rPr>
          <w:sz w:val="24"/>
          <w:szCs w:val="24"/>
        </w:rPr>
        <w:t>military specification</w:t>
      </w:r>
      <w:r w:rsidRPr="00540EB6">
        <w:rPr>
          <w:sz w:val="24"/>
          <w:szCs w:val="24"/>
        </w:rPr>
        <w:t xml:space="preserve"> parts except as a first choice, so the baseline risk for Agency parts requirements does not assume government control of part production. Therefore, there is no viable elevated risk associated with the lack of government control of production for COTS parts usage, compared to current Agency requirements (even up to Class A, or Level 1).</w:t>
      </w:r>
      <w:r>
        <w:rPr>
          <w:sz w:val="24"/>
          <w:szCs w:val="24"/>
        </w:rPr>
        <w:t xml:space="preserve"> </w:t>
      </w:r>
    </w:p>
    <w:p w14:paraId="3C125F7E" w14:textId="77777777" w:rsidR="002A6BDB" w:rsidRPr="00540EB6" w:rsidRDefault="002A6BDB" w:rsidP="002A6BDB">
      <w:pPr>
        <w:spacing w:line="480" w:lineRule="auto"/>
        <w:rPr>
          <w:sz w:val="24"/>
          <w:szCs w:val="24"/>
        </w:rPr>
      </w:pPr>
    </w:p>
    <w:p w14:paraId="27E626A3" w14:textId="77777777" w:rsidR="002A6BDB" w:rsidRPr="00540EB6" w:rsidRDefault="002A6BDB" w:rsidP="002A6BDB">
      <w:pPr>
        <w:spacing w:line="480" w:lineRule="auto"/>
        <w:rPr>
          <w:sz w:val="24"/>
          <w:szCs w:val="24"/>
        </w:rPr>
      </w:pPr>
      <w:r w:rsidRPr="00540EB6">
        <w:rPr>
          <w:sz w:val="24"/>
          <w:szCs w:val="24"/>
        </w:rPr>
        <w:lastRenderedPageBreak/>
        <w:t>The next point of consideration for elevated risk based on use of COTS would be that infant mortality screening may not be performed (which would only apply to a certain subset of COTS parts).</w:t>
      </w:r>
      <w:r>
        <w:rPr>
          <w:sz w:val="24"/>
          <w:szCs w:val="24"/>
        </w:rPr>
        <w:t xml:space="preserve"> </w:t>
      </w:r>
      <w:r w:rsidRPr="00540EB6">
        <w:rPr>
          <w:sz w:val="24"/>
          <w:szCs w:val="24"/>
        </w:rPr>
        <w:t>Any escapes due to the lack of this screening would typically result in early failures, caught well within I&amp;T, and thus constitute programmatic risk:</w:t>
      </w:r>
    </w:p>
    <w:p w14:paraId="43650817" w14:textId="77777777" w:rsidR="002A6BDB" w:rsidRPr="00540EB6" w:rsidRDefault="002A6BDB" w:rsidP="002A6BDB">
      <w:pPr>
        <w:spacing w:line="480" w:lineRule="auto"/>
        <w:rPr>
          <w:sz w:val="24"/>
          <w:szCs w:val="24"/>
        </w:rPr>
      </w:pPr>
    </w:p>
    <w:p w14:paraId="15F44222" w14:textId="77777777" w:rsidR="002A6BDB" w:rsidRPr="00540EB6" w:rsidRDefault="002A6BDB" w:rsidP="002A6BDB">
      <w:pPr>
        <w:spacing w:line="480" w:lineRule="auto"/>
        <w:rPr>
          <w:sz w:val="24"/>
          <w:szCs w:val="24"/>
        </w:rPr>
      </w:pPr>
      <w:r w:rsidRPr="00540EB6">
        <w:rPr>
          <w:b/>
          <w:bCs/>
          <w:i/>
          <w:iCs/>
          <w:sz w:val="24"/>
          <w:szCs w:val="24"/>
        </w:rPr>
        <w:t>Given</w:t>
      </w:r>
      <w:r w:rsidRPr="00540EB6">
        <w:rPr>
          <w:sz w:val="24"/>
          <w:szCs w:val="24"/>
        </w:rPr>
        <w:t>:</w:t>
      </w:r>
      <w:r>
        <w:rPr>
          <w:sz w:val="24"/>
          <w:szCs w:val="24"/>
        </w:rPr>
        <w:t xml:space="preserve"> </w:t>
      </w:r>
      <w:r w:rsidRPr="00540EB6">
        <w:rPr>
          <w:sz w:val="24"/>
          <w:szCs w:val="24"/>
        </w:rPr>
        <w:t>Use of COTS parts with no piece-part level infant mortality screening</w:t>
      </w:r>
    </w:p>
    <w:p w14:paraId="5699DBC8" w14:textId="77777777" w:rsidR="002A6BDB" w:rsidRPr="00540EB6" w:rsidRDefault="002A6BDB" w:rsidP="002A6BDB">
      <w:pPr>
        <w:spacing w:line="480" w:lineRule="auto"/>
        <w:rPr>
          <w:sz w:val="24"/>
          <w:szCs w:val="24"/>
        </w:rPr>
      </w:pPr>
      <w:r w:rsidRPr="00540EB6">
        <w:rPr>
          <w:b/>
          <w:bCs/>
          <w:i/>
          <w:iCs/>
          <w:sz w:val="24"/>
          <w:szCs w:val="24"/>
        </w:rPr>
        <w:t>It is possible that</w:t>
      </w:r>
      <w:r w:rsidRPr="00540EB6">
        <w:rPr>
          <w:sz w:val="24"/>
          <w:szCs w:val="24"/>
        </w:rPr>
        <w:t>:</w:t>
      </w:r>
      <w:r>
        <w:rPr>
          <w:sz w:val="24"/>
          <w:szCs w:val="24"/>
        </w:rPr>
        <w:t xml:space="preserve"> </w:t>
      </w:r>
      <w:r w:rsidRPr="00540EB6">
        <w:rPr>
          <w:sz w:val="24"/>
          <w:szCs w:val="24"/>
        </w:rPr>
        <w:t>A part failure will occur in I&amp;T</w:t>
      </w:r>
    </w:p>
    <w:p w14:paraId="679161CB" w14:textId="77777777" w:rsidR="002A6BDB" w:rsidRPr="00540EB6" w:rsidRDefault="002A6BDB" w:rsidP="002A6BDB">
      <w:pPr>
        <w:spacing w:line="480" w:lineRule="auto"/>
        <w:rPr>
          <w:sz w:val="24"/>
          <w:szCs w:val="24"/>
        </w:rPr>
      </w:pPr>
      <w:r w:rsidRPr="00540EB6">
        <w:rPr>
          <w:b/>
          <w:bCs/>
          <w:i/>
          <w:iCs/>
          <w:sz w:val="24"/>
          <w:szCs w:val="24"/>
        </w:rPr>
        <w:t xml:space="preserve">Resulting </w:t>
      </w:r>
      <w:proofErr w:type="gramStart"/>
      <w:r w:rsidRPr="00540EB6">
        <w:rPr>
          <w:b/>
          <w:bCs/>
          <w:i/>
          <w:iCs/>
          <w:sz w:val="24"/>
          <w:szCs w:val="24"/>
        </w:rPr>
        <w:t>in</w:t>
      </w:r>
      <w:r w:rsidRPr="00540EB6">
        <w:rPr>
          <w:sz w:val="24"/>
          <w:szCs w:val="24"/>
        </w:rPr>
        <w:t>:</w:t>
      </w:r>
      <w:proofErr w:type="gramEnd"/>
      <w:r w:rsidRPr="00540EB6">
        <w:rPr>
          <w:sz w:val="24"/>
          <w:szCs w:val="24"/>
        </w:rPr>
        <w:t xml:space="preserve"> cost and schedule required for rework and regression testing</w:t>
      </w:r>
    </w:p>
    <w:p w14:paraId="4F61964A" w14:textId="77777777" w:rsidR="002A6BDB" w:rsidRPr="00540EB6" w:rsidRDefault="002A6BDB" w:rsidP="002A6BDB">
      <w:pPr>
        <w:spacing w:line="480" w:lineRule="auto"/>
        <w:rPr>
          <w:sz w:val="24"/>
          <w:szCs w:val="24"/>
        </w:rPr>
      </w:pPr>
    </w:p>
    <w:p w14:paraId="6DCF8426" w14:textId="77777777" w:rsidR="002A6BDB" w:rsidRPr="00540EB6" w:rsidRDefault="002A6BDB" w:rsidP="002A6BDB">
      <w:pPr>
        <w:spacing w:line="480" w:lineRule="auto"/>
        <w:rPr>
          <w:sz w:val="24"/>
          <w:szCs w:val="24"/>
        </w:rPr>
      </w:pPr>
      <w:r w:rsidRPr="00540EB6">
        <w:rPr>
          <w:sz w:val="24"/>
          <w:szCs w:val="24"/>
        </w:rPr>
        <w:t>Given the rarity of infant mortality problems on parts, this likelihood would be very low in most cases.</w:t>
      </w:r>
      <w:r>
        <w:rPr>
          <w:sz w:val="24"/>
          <w:szCs w:val="24"/>
        </w:rPr>
        <w:t xml:space="preserve"> </w:t>
      </w:r>
      <w:r w:rsidRPr="00540EB6">
        <w:rPr>
          <w:sz w:val="24"/>
          <w:szCs w:val="24"/>
        </w:rPr>
        <w:t>A “1” likelihood on GSFC’s programmatic scale is 2-10%.</w:t>
      </w:r>
      <w:r>
        <w:rPr>
          <w:sz w:val="24"/>
          <w:szCs w:val="24"/>
        </w:rPr>
        <w:t xml:space="preserve"> </w:t>
      </w:r>
      <w:r w:rsidRPr="00540EB6">
        <w:rPr>
          <w:sz w:val="24"/>
          <w:szCs w:val="24"/>
        </w:rPr>
        <w:t xml:space="preserve">In some cases, extensive use of COTS that have no part level screening whatsoever (which is somewhat rare), would lead to a risk based only on the fact that the parts are COTS at most 1x3 (green), but in most cases, without further context that indicates an increased likelihood of failures, the risk would still be within the baseline when compared to the current </w:t>
      </w:r>
      <w:proofErr w:type="spellStart"/>
      <w:r w:rsidRPr="00540EB6">
        <w:rPr>
          <w:sz w:val="24"/>
          <w:szCs w:val="24"/>
        </w:rPr>
        <w:t>upscreening</w:t>
      </w:r>
      <w:proofErr w:type="spellEnd"/>
      <w:r w:rsidRPr="00540EB6">
        <w:rPr>
          <w:sz w:val="24"/>
          <w:szCs w:val="24"/>
        </w:rPr>
        <w:t xml:space="preserve"> process.</w:t>
      </w:r>
      <w:r>
        <w:rPr>
          <w:sz w:val="24"/>
          <w:szCs w:val="24"/>
        </w:rPr>
        <w:t xml:space="preserve"> </w:t>
      </w:r>
      <w:r w:rsidRPr="00540EB6">
        <w:rPr>
          <w:sz w:val="24"/>
          <w:szCs w:val="24"/>
        </w:rPr>
        <w:t>Of course, in any application with a high volume of parts (as with any spacecraft or instrument), there are always possibilities for the use of specific parts with elevated risk.</w:t>
      </w:r>
      <w:r>
        <w:rPr>
          <w:sz w:val="24"/>
          <w:szCs w:val="24"/>
        </w:rPr>
        <w:t xml:space="preserve"> </w:t>
      </w:r>
      <w:r w:rsidRPr="00540EB6">
        <w:rPr>
          <w:sz w:val="24"/>
          <w:szCs w:val="24"/>
        </w:rPr>
        <w:t xml:space="preserve">This can apply to the use of the most </w:t>
      </w:r>
      <w:proofErr w:type="gramStart"/>
      <w:r w:rsidRPr="00540EB6">
        <w:rPr>
          <w:sz w:val="24"/>
          <w:szCs w:val="24"/>
        </w:rPr>
        <w:t>highly-screened</w:t>
      </w:r>
      <w:proofErr w:type="gramEnd"/>
      <w:r w:rsidRPr="00540EB6">
        <w:rPr>
          <w:sz w:val="24"/>
          <w:szCs w:val="24"/>
        </w:rPr>
        <w:t xml:space="preserve"> </w:t>
      </w:r>
      <w:r>
        <w:rPr>
          <w:sz w:val="24"/>
          <w:szCs w:val="24"/>
        </w:rPr>
        <w:t>military specification</w:t>
      </w:r>
      <w:r w:rsidRPr="00540EB6">
        <w:rPr>
          <w:sz w:val="24"/>
          <w:szCs w:val="24"/>
        </w:rPr>
        <w:t xml:space="preserve"> parts or with COTS.</w:t>
      </w:r>
      <w:r>
        <w:rPr>
          <w:sz w:val="24"/>
          <w:szCs w:val="24"/>
        </w:rPr>
        <w:t xml:space="preserve"> </w:t>
      </w:r>
      <w:r w:rsidRPr="00540EB6">
        <w:rPr>
          <w:sz w:val="24"/>
          <w:szCs w:val="24"/>
        </w:rPr>
        <w:t>For this reason, it is best to avoid making broad statements about risk, solely based on COTS.</w:t>
      </w:r>
      <w:r>
        <w:rPr>
          <w:sz w:val="24"/>
          <w:szCs w:val="24"/>
        </w:rPr>
        <w:t xml:space="preserve"> </w:t>
      </w:r>
      <w:r w:rsidRPr="00540EB6">
        <w:rPr>
          <w:sz w:val="24"/>
          <w:szCs w:val="24"/>
        </w:rPr>
        <w:t xml:space="preserve">For example, Class K hybrids, such as DC/DC converters, or hybrids </w:t>
      </w:r>
      <w:proofErr w:type="spellStart"/>
      <w:r w:rsidRPr="00540EB6">
        <w:rPr>
          <w:sz w:val="24"/>
          <w:szCs w:val="24"/>
        </w:rPr>
        <w:t>upscreened</w:t>
      </w:r>
      <w:proofErr w:type="spellEnd"/>
      <w:r w:rsidRPr="00540EB6">
        <w:rPr>
          <w:sz w:val="24"/>
          <w:szCs w:val="24"/>
        </w:rPr>
        <w:t xml:space="preserve"> to Level 1 are much more likely to exhibit an early failure than most COTS passive parts, with or without </w:t>
      </w:r>
      <w:proofErr w:type="spellStart"/>
      <w:r w:rsidRPr="00540EB6">
        <w:rPr>
          <w:sz w:val="24"/>
          <w:szCs w:val="24"/>
        </w:rPr>
        <w:t>upscreening</w:t>
      </w:r>
      <w:proofErr w:type="spellEnd"/>
      <w:r w:rsidRPr="00540EB6">
        <w:rPr>
          <w:sz w:val="24"/>
          <w:szCs w:val="24"/>
        </w:rPr>
        <w:t>.</w:t>
      </w:r>
      <w:r>
        <w:rPr>
          <w:sz w:val="24"/>
          <w:szCs w:val="24"/>
        </w:rPr>
        <w:t xml:space="preserve"> </w:t>
      </w:r>
      <w:r w:rsidRPr="00540EB6">
        <w:rPr>
          <w:sz w:val="24"/>
          <w:szCs w:val="24"/>
        </w:rPr>
        <w:t xml:space="preserve">One reason may be that the burn-in testing levels in MIL-PRF-38534 overstress many part types, such as the 3000 g constant acceleration test. </w:t>
      </w:r>
    </w:p>
    <w:p w14:paraId="4D0D9BE4" w14:textId="77777777" w:rsidR="002A6BDB" w:rsidRPr="00540EB6" w:rsidRDefault="002A6BDB" w:rsidP="002A6BDB">
      <w:pPr>
        <w:spacing w:line="480" w:lineRule="auto"/>
        <w:rPr>
          <w:sz w:val="24"/>
          <w:szCs w:val="24"/>
        </w:rPr>
      </w:pPr>
    </w:p>
    <w:p w14:paraId="1E225DDC" w14:textId="77777777" w:rsidR="002A6BDB" w:rsidRPr="00540EB6" w:rsidRDefault="002A6BDB" w:rsidP="002A6BDB">
      <w:pPr>
        <w:spacing w:line="480" w:lineRule="auto"/>
        <w:rPr>
          <w:sz w:val="24"/>
          <w:szCs w:val="24"/>
        </w:rPr>
      </w:pPr>
      <w:r w:rsidRPr="00540EB6">
        <w:rPr>
          <w:sz w:val="24"/>
          <w:szCs w:val="24"/>
        </w:rPr>
        <w:t>So outside of parts that have been identified as known problematic parts, what gives rise to elevated risk of use of COTS parts, when they are properly used within the bounds? The following cases point to special circumstances that may prompt elevated risk (although the risk is not because the parts are COTS):</w:t>
      </w:r>
    </w:p>
    <w:p w14:paraId="27778735" w14:textId="77777777" w:rsidR="002A6BDB" w:rsidRPr="00540EB6" w:rsidRDefault="002A6BDB" w:rsidP="002A6BDB">
      <w:pPr>
        <w:spacing w:line="480" w:lineRule="auto"/>
        <w:rPr>
          <w:sz w:val="24"/>
          <w:szCs w:val="24"/>
        </w:rPr>
      </w:pPr>
    </w:p>
    <w:p w14:paraId="2F8ABE44" w14:textId="3E46C1AA" w:rsidR="002A6BDB" w:rsidRPr="00540EB6" w:rsidRDefault="002A6BDB" w:rsidP="002A6BDB">
      <w:pPr>
        <w:pStyle w:val="ListParagraph"/>
        <w:numPr>
          <w:ilvl w:val="0"/>
          <w:numId w:val="13"/>
        </w:numPr>
        <w:spacing w:line="480" w:lineRule="auto"/>
        <w:rPr>
          <w:sz w:val="24"/>
          <w:szCs w:val="24"/>
        </w:rPr>
      </w:pPr>
      <w:r w:rsidRPr="00540EB6">
        <w:rPr>
          <w:sz w:val="24"/>
          <w:szCs w:val="24"/>
        </w:rPr>
        <w:t xml:space="preserve"> </w:t>
      </w:r>
      <w:proofErr w:type="gramStart"/>
      <w:r w:rsidRPr="00540EB6">
        <w:rPr>
          <w:sz w:val="24"/>
          <w:szCs w:val="24"/>
        </w:rPr>
        <w:t>Highly</w:t>
      </w:r>
      <w:r w:rsidR="004953BC">
        <w:rPr>
          <w:sz w:val="24"/>
          <w:szCs w:val="24"/>
        </w:rPr>
        <w:t>-</w:t>
      </w:r>
      <w:r w:rsidRPr="00540EB6">
        <w:rPr>
          <w:sz w:val="24"/>
          <w:szCs w:val="24"/>
        </w:rPr>
        <w:t>specialized</w:t>
      </w:r>
      <w:proofErr w:type="gramEnd"/>
      <w:r w:rsidRPr="00540EB6">
        <w:rPr>
          <w:sz w:val="24"/>
          <w:szCs w:val="24"/>
        </w:rPr>
        <w:t xml:space="preserve"> or high</w:t>
      </w:r>
      <w:r w:rsidR="004953BC">
        <w:rPr>
          <w:sz w:val="24"/>
          <w:szCs w:val="24"/>
        </w:rPr>
        <w:t>-</w:t>
      </w:r>
      <w:r w:rsidRPr="00540EB6">
        <w:rPr>
          <w:sz w:val="24"/>
          <w:szCs w:val="24"/>
        </w:rPr>
        <w:t xml:space="preserve">performance parts that go well outside of the capability of anything in the </w:t>
      </w:r>
      <w:r>
        <w:rPr>
          <w:sz w:val="24"/>
          <w:szCs w:val="24"/>
        </w:rPr>
        <w:t>military specification</w:t>
      </w:r>
      <w:r w:rsidRPr="00540EB6">
        <w:rPr>
          <w:sz w:val="24"/>
          <w:szCs w:val="24"/>
        </w:rPr>
        <w:t>- not only do the performance aspects often provide unpredicted stresses to the part (and as a side effect making derating guidelines a challenge), but the parts have features that make it difficult to provide effective screens.</w:t>
      </w:r>
      <w:r>
        <w:rPr>
          <w:sz w:val="24"/>
          <w:szCs w:val="24"/>
        </w:rPr>
        <w:t xml:space="preserve"> </w:t>
      </w:r>
      <w:r w:rsidRPr="00540EB6">
        <w:rPr>
          <w:sz w:val="24"/>
          <w:szCs w:val="24"/>
        </w:rPr>
        <w:t>An example would be ceramic capacitors that have exceptionally low ESR or ESL.</w:t>
      </w:r>
      <w:r>
        <w:rPr>
          <w:sz w:val="24"/>
          <w:szCs w:val="24"/>
        </w:rPr>
        <w:t xml:space="preserve"> </w:t>
      </w:r>
      <w:r w:rsidRPr="00540EB6">
        <w:rPr>
          <w:sz w:val="24"/>
          <w:szCs w:val="24"/>
        </w:rPr>
        <w:t>The low ESR and ESL requirements give rise to extremely sensitive features in the parts that can react to even the slightest manufacturing variations.</w:t>
      </w:r>
      <w:r>
        <w:rPr>
          <w:sz w:val="24"/>
          <w:szCs w:val="24"/>
        </w:rPr>
        <w:t xml:space="preserve"> </w:t>
      </w:r>
    </w:p>
    <w:p w14:paraId="78B21183" w14:textId="77777777" w:rsidR="002A6BDB" w:rsidRPr="00540EB6" w:rsidRDefault="002A6BDB" w:rsidP="002A6BDB">
      <w:pPr>
        <w:pStyle w:val="ListParagraph"/>
        <w:numPr>
          <w:ilvl w:val="0"/>
          <w:numId w:val="13"/>
        </w:numPr>
        <w:spacing w:line="480" w:lineRule="auto"/>
        <w:rPr>
          <w:sz w:val="24"/>
          <w:szCs w:val="24"/>
        </w:rPr>
      </w:pPr>
      <w:r w:rsidRPr="00540EB6">
        <w:rPr>
          <w:sz w:val="24"/>
          <w:szCs w:val="24"/>
        </w:rPr>
        <w:t>Hand-produced parts that are subject to human factor variations.</w:t>
      </w:r>
      <w:r>
        <w:rPr>
          <w:sz w:val="24"/>
          <w:szCs w:val="24"/>
        </w:rPr>
        <w:t xml:space="preserve"> </w:t>
      </w:r>
      <w:r w:rsidRPr="00540EB6">
        <w:rPr>
          <w:sz w:val="24"/>
          <w:szCs w:val="24"/>
        </w:rPr>
        <w:t>Risks can be further elevated when a project requires production at a higher rate than the manufacturer typically maintains because (1) it may give rise to a rush in production and (2) it may require new, less experienced technicians to be brought in.</w:t>
      </w:r>
    </w:p>
    <w:p w14:paraId="6256D47C" w14:textId="47C8C223" w:rsidR="002A6BDB" w:rsidRPr="00540EB6" w:rsidRDefault="002A6BDB" w:rsidP="002A6BDB">
      <w:pPr>
        <w:pStyle w:val="ListParagraph"/>
        <w:numPr>
          <w:ilvl w:val="0"/>
          <w:numId w:val="13"/>
        </w:numPr>
        <w:spacing w:line="480" w:lineRule="auto"/>
        <w:rPr>
          <w:sz w:val="24"/>
          <w:szCs w:val="24"/>
        </w:rPr>
      </w:pPr>
      <w:r w:rsidRPr="00540EB6">
        <w:rPr>
          <w:sz w:val="24"/>
          <w:szCs w:val="24"/>
        </w:rPr>
        <w:t>High</w:t>
      </w:r>
      <w:r w:rsidR="004953BC">
        <w:rPr>
          <w:sz w:val="24"/>
          <w:szCs w:val="24"/>
        </w:rPr>
        <w:t>-</w:t>
      </w:r>
      <w:r w:rsidRPr="00540EB6">
        <w:rPr>
          <w:sz w:val="24"/>
          <w:szCs w:val="24"/>
        </w:rPr>
        <w:t xml:space="preserve">voltage and cryogenic-specific parts tend to be only available as COTS, and </w:t>
      </w:r>
      <w:proofErr w:type="gramStart"/>
      <w:r w:rsidRPr="00540EB6">
        <w:rPr>
          <w:sz w:val="24"/>
          <w:szCs w:val="24"/>
        </w:rPr>
        <w:t>both of these</w:t>
      </w:r>
      <w:proofErr w:type="gramEnd"/>
      <w:r w:rsidRPr="00540EB6">
        <w:rPr>
          <w:sz w:val="24"/>
          <w:szCs w:val="24"/>
        </w:rPr>
        <w:t xml:space="preserve"> aspects involve conditions that are very difficult to model and that have inherent material breakdown and extreme sensitivity to workmanship. Furthermore, derating guidance is elusive.</w:t>
      </w:r>
      <w:r>
        <w:rPr>
          <w:sz w:val="24"/>
          <w:szCs w:val="24"/>
        </w:rPr>
        <w:t xml:space="preserve"> </w:t>
      </w:r>
    </w:p>
    <w:p w14:paraId="071AD46B" w14:textId="77777777" w:rsidR="002A6BDB" w:rsidRPr="00540EB6" w:rsidRDefault="002A6BDB" w:rsidP="00E261E3">
      <w:pPr>
        <w:spacing w:line="480" w:lineRule="auto"/>
        <w:rPr>
          <w:sz w:val="24"/>
          <w:szCs w:val="24"/>
        </w:rPr>
      </w:pPr>
    </w:p>
    <w:p w14:paraId="5DB68CFB" w14:textId="77777777" w:rsidR="00A6567E" w:rsidRPr="00540EB6" w:rsidRDefault="00A6567E" w:rsidP="00E261E3">
      <w:pPr>
        <w:spacing w:line="480" w:lineRule="auto"/>
        <w:rPr>
          <w:sz w:val="24"/>
          <w:szCs w:val="24"/>
        </w:rPr>
      </w:pPr>
    </w:p>
    <w:p w14:paraId="3F4B5246" w14:textId="77777777" w:rsidR="00480ED6" w:rsidRPr="00F848F0" w:rsidRDefault="00480ED6" w:rsidP="00E261E3">
      <w:pPr>
        <w:pStyle w:val="Heading1"/>
        <w:spacing w:line="480" w:lineRule="auto"/>
        <w:rPr>
          <w:b/>
          <w:bCs/>
          <w:sz w:val="24"/>
          <w:szCs w:val="24"/>
        </w:rPr>
      </w:pPr>
      <w:r w:rsidRPr="00F848F0">
        <w:rPr>
          <w:b/>
          <w:bCs/>
          <w:sz w:val="24"/>
          <w:szCs w:val="24"/>
        </w:rPr>
        <w:t>Reliability and Screening Levels</w:t>
      </w:r>
    </w:p>
    <w:p w14:paraId="47A02025" w14:textId="26C28417" w:rsidR="00480ED6" w:rsidRPr="00540EB6" w:rsidRDefault="00480ED6" w:rsidP="00E261E3">
      <w:pPr>
        <w:spacing w:line="480" w:lineRule="auto"/>
        <w:rPr>
          <w:sz w:val="24"/>
          <w:szCs w:val="24"/>
        </w:rPr>
      </w:pPr>
      <w:r w:rsidRPr="00540EB6">
        <w:rPr>
          <w:sz w:val="24"/>
          <w:szCs w:val="24"/>
        </w:rPr>
        <w:t>It is important to point out that in the grand scheme of electronics usage, space application is but a tiny share of the overall volume of electronic parts usage.</w:t>
      </w:r>
      <w:r w:rsidR="00025EDD">
        <w:rPr>
          <w:sz w:val="24"/>
          <w:szCs w:val="24"/>
        </w:rPr>
        <w:t xml:space="preserve"> </w:t>
      </w:r>
      <w:r w:rsidRPr="00540EB6">
        <w:rPr>
          <w:sz w:val="24"/>
          <w:szCs w:val="24"/>
        </w:rPr>
        <w:t xml:space="preserve">Furthermore, </w:t>
      </w:r>
      <w:r w:rsidR="00E90AFA" w:rsidRPr="00540EB6">
        <w:rPr>
          <w:sz w:val="24"/>
          <w:szCs w:val="24"/>
        </w:rPr>
        <w:t xml:space="preserve">very </w:t>
      </w:r>
      <w:r w:rsidRPr="00540EB6">
        <w:rPr>
          <w:sz w:val="24"/>
          <w:szCs w:val="24"/>
        </w:rPr>
        <w:t xml:space="preserve">few part failures are encountered for parts in normal usage conditions, so very limited data are available to establish part reliability predictions when solely looking at usage in space </w:t>
      </w:r>
      <w:proofErr w:type="gramStart"/>
      <w:r w:rsidRPr="00540EB6">
        <w:rPr>
          <w:sz w:val="24"/>
          <w:szCs w:val="24"/>
        </w:rPr>
        <w:t>applications, or</w:t>
      </w:r>
      <w:proofErr w:type="gramEnd"/>
      <w:r w:rsidRPr="00540EB6">
        <w:rPr>
          <w:sz w:val="24"/>
          <w:szCs w:val="24"/>
        </w:rPr>
        <w:t xml:space="preserve"> testing for space applications.</w:t>
      </w:r>
      <w:r w:rsidR="00025EDD">
        <w:rPr>
          <w:sz w:val="24"/>
          <w:szCs w:val="24"/>
        </w:rPr>
        <w:t xml:space="preserve"> </w:t>
      </w:r>
      <w:r w:rsidRPr="00540EB6">
        <w:rPr>
          <w:sz w:val="24"/>
          <w:szCs w:val="24"/>
        </w:rPr>
        <w:t xml:space="preserve">This has left the community to use accelerated testing techniques to estimate failure rates, </w:t>
      </w:r>
      <w:r w:rsidR="00033275" w:rsidRPr="00540EB6">
        <w:rPr>
          <w:sz w:val="24"/>
          <w:szCs w:val="24"/>
        </w:rPr>
        <w:t xml:space="preserve">but </w:t>
      </w:r>
      <w:r w:rsidRPr="00540EB6">
        <w:rPr>
          <w:sz w:val="24"/>
          <w:szCs w:val="24"/>
        </w:rPr>
        <w:t>such techniques do not provide realistic predictions for parts used at properly derated levels.</w:t>
      </w:r>
      <w:r w:rsidR="00025EDD">
        <w:rPr>
          <w:sz w:val="24"/>
          <w:szCs w:val="24"/>
        </w:rPr>
        <w:t xml:space="preserve"> </w:t>
      </w:r>
      <w:proofErr w:type="gramStart"/>
      <w:r w:rsidRPr="00540EB6">
        <w:rPr>
          <w:sz w:val="24"/>
          <w:szCs w:val="24"/>
        </w:rPr>
        <w:t>Thus</w:t>
      </w:r>
      <w:proofErr w:type="gramEnd"/>
      <w:r w:rsidRPr="00540EB6">
        <w:rPr>
          <w:sz w:val="24"/>
          <w:szCs w:val="24"/>
        </w:rPr>
        <w:t xml:space="preserve"> for assessment of part reliability we must focus on actual failure experience data from applications in space and in integration and test, being careful to discern </w:t>
      </w:r>
      <w:r w:rsidRPr="00540EB6">
        <w:rPr>
          <w:sz w:val="24"/>
          <w:szCs w:val="24"/>
        </w:rPr>
        <w:lastRenderedPageBreak/>
        <w:t xml:space="preserve">between failure of a part due to </w:t>
      </w:r>
      <w:r w:rsidR="00BD6CF8">
        <w:rPr>
          <w:sz w:val="24"/>
          <w:szCs w:val="24"/>
        </w:rPr>
        <w:t>manufacturing flaws</w:t>
      </w:r>
      <w:r w:rsidRPr="00540EB6">
        <w:rPr>
          <w:sz w:val="24"/>
          <w:szCs w:val="24"/>
        </w:rPr>
        <w:t xml:space="preserve"> and failure of a part due to extraneous factors such as a </w:t>
      </w:r>
      <w:r w:rsidR="00E90AFA" w:rsidRPr="00540EB6">
        <w:rPr>
          <w:sz w:val="24"/>
          <w:szCs w:val="24"/>
        </w:rPr>
        <w:t xml:space="preserve">circuit </w:t>
      </w:r>
      <w:r w:rsidRPr="00540EB6">
        <w:rPr>
          <w:sz w:val="24"/>
          <w:szCs w:val="24"/>
        </w:rPr>
        <w:t>design flaw or exogenous input.</w:t>
      </w:r>
      <w:r w:rsidR="00025EDD">
        <w:rPr>
          <w:sz w:val="24"/>
          <w:szCs w:val="24"/>
        </w:rPr>
        <w:t xml:space="preserve"> </w:t>
      </w:r>
      <w:r w:rsidR="00BD6CF8">
        <w:rPr>
          <w:sz w:val="24"/>
          <w:szCs w:val="24"/>
        </w:rPr>
        <w:t xml:space="preserve">In other words, we cannot establish a part as unreliable if we have experienced failures because we </w:t>
      </w:r>
      <w:proofErr w:type="spellStart"/>
      <w:r w:rsidR="00BD6CF8">
        <w:rPr>
          <w:sz w:val="24"/>
          <w:szCs w:val="24"/>
        </w:rPr>
        <w:t>overtested</w:t>
      </w:r>
      <w:proofErr w:type="spellEnd"/>
      <w:r w:rsidR="00BD6CF8">
        <w:rPr>
          <w:sz w:val="24"/>
          <w:szCs w:val="24"/>
        </w:rPr>
        <w:t xml:space="preserve"> it or used it improperly.</w:t>
      </w:r>
      <w:r w:rsidR="00025EDD">
        <w:rPr>
          <w:sz w:val="24"/>
          <w:szCs w:val="24"/>
        </w:rPr>
        <w:t xml:space="preserve"> </w:t>
      </w:r>
      <w:r w:rsidRPr="00540EB6">
        <w:rPr>
          <w:sz w:val="24"/>
          <w:szCs w:val="24"/>
        </w:rPr>
        <w:t>We must establish an effective means of accessing and incorporating data from applications outside of the space community to estimate part failure rates.</w:t>
      </w:r>
      <w:r w:rsidR="00025EDD">
        <w:rPr>
          <w:sz w:val="24"/>
          <w:szCs w:val="24"/>
        </w:rPr>
        <w:t xml:space="preserve"> </w:t>
      </w:r>
      <w:r w:rsidRPr="00540EB6">
        <w:rPr>
          <w:sz w:val="24"/>
          <w:szCs w:val="24"/>
        </w:rPr>
        <w:t>More on this will be covered in later sections.</w:t>
      </w:r>
      <w:r w:rsidR="00025EDD">
        <w:rPr>
          <w:sz w:val="24"/>
          <w:szCs w:val="24"/>
        </w:rPr>
        <w:t xml:space="preserve"> </w:t>
      </w:r>
    </w:p>
    <w:p w14:paraId="64FE07AD" w14:textId="77777777" w:rsidR="00480ED6" w:rsidRPr="00540EB6" w:rsidRDefault="00480ED6" w:rsidP="00E261E3">
      <w:pPr>
        <w:spacing w:line="480" w:lineRule="auto"/>
        <w:rPr>
          <w:sz w:val="24"/>
          <w:szCs w:val="24"/>
        </w:rPr>
      </w:pPr>
    </w:p>
    <w:p w14:paraId="007968B2" w14:textId="089022E3" w:rsidR="00480ED6" w:rsidRPr="00540EB6" w:rsidRDefault="00480ED6" w:rsidP="00E261E3">
      <w:pPr>
        <w:spacing w:line="480" w:lineRule="auto"/>
        <w:rPr>
          <w:sz w:val="24"/>
          <w:szCs w:val="24"/>
        </w:rPr>
      </w:pPr>
      <w:proofErr w:type="gramStart"/>
      <w:r w:rsidRPr="00540EB6">
        <w:rPr>
          <w:sz w:val="24"/>
          <w:szCs w:val="24"/>
        </w:rPr>
        <w:t>In reviewing the collection of part failure data at GSFC, there</w:t>
      </w:r>
      <w:proofErr w:type="gramEnd"/>
      <w:r w:rsidRPr="00540EB6">
        <w:rPr>
          <w:sz w:val="24"/>
          <w:szCs w:val="24"/>
        </w:rPr>
        <w:t xml:space="preserve"> has been no distinguishable difference in on-orbit performance for parts screened at any level, or commercial parts without additional screening.</w:t>
      </w:r>
      <w:r w:rsidR="00025EDD">
        <w:rPr>
          <w:sz w:val="24"/>
          <w:szCs w:val="24"/>
        </w:rPr>
        <w:t xml:space="preserve"> </w:t>
      </w:r>
      <w:r w:rsidRPr="00540EB6">
        <w:rPr>
          <w:sz w:val="24"/>
          <w:szCs w:val="24"/>
        </w:rPr>
        <w:t xml:space="preserve">Well-designed circuits with fault and radiation-tolerant attributes employing commercial parts (i.e., with reset capability) have proven to withstand the radiation environment, while circuits employing poor design practices and insufficient testing, outfitted with rad-hard </w:t>
      </w:r>
      <w:r w:rsidR="004426DF">
        <w:rPr>
          <w:sz w:val="24"/>
          <w:szCs w:val="24"/>
        </w:rPr>
        <w:t>military specification</w:t>
      </w:r>
      <w:r w:rsidRPr="00540EB6">
        <w:rPr>
          <w:sz w:val="24"/>
          <w:szCs w:val="24"/>
        </w:rPr>
        <w:t xml:space="preserve"> parts have failed prematurely.</w:t>
      </w:r>
      <w:r w:rsidR="00025EDD">
        <w:rPr>
          <w:sz w:val="24"/>
          <w:szCs w:val="24"/>
        </w:rPr>
        <w:t xml:space="preserve"> </w:t>
      </w:r>
      <w:r w:rsidRPr="00540EB6">
        <w:rPr>
          <w:sz w:val="24"/>
          <w:szCs w:val="24"/>
        </w:rPr>
        <w:t xml:space="preserve">Some recommendations within NASA have suggested that lack of fault-tolerance of circuits can be mitigated </w:t>
      </w:r>
      <w:proofErr w:type="gramStart"/>
      <w:r w:rsidRPr="00540EB6">
        <w:rPr>
          <w:sz w:val="24"/>
          <w:szCs w:val="24"/>
        </w:rPr>
        <w:t>through the use of</w:t>
      </w:r>
      <w:proofErr w:type="gramEnd"/>
      <w:r w:rsidRPr="00540EB6">
        <w:rPr>
          <w:sz w:val="24"/>
          <w:szCs w:val="24"/>
        </w:rPr>
        <w:t xml:space="preserve"> “high-reliability” parts, but this is a fallacy in many ways, and this fallacy is a key driver for this paper. </w:t>
      </w:r>
    </w:p>
    <w:p w14:paraId="4CB216E8" w14:textId="77777777" w:rsidR="00480ED6" w:rsidRPr="00540EB6" w:rsidRDefault="00480ED6" w:rsidP="00E261E3">
      <w:pPr>
        <w:spacing w:line="480" w:lineRule="auto"/>
        <w:rPr>
          <w:sz w:val="24"/>
          <w:szCs w:val="24"/>
        </w:rPr>
      </w:pPr>
    </w:p>
    <w:p w14:paraId="67259C7E" w14:textId="77777777" w:rsidR="00480ED6" w:rsidRPr="00F848F0" w:rsidRDefault="00480ED6" w:rsidP="00E261E3">
      <w:pPr>
        <w:pStyle w:val="Heading1"/>
        <w:spacing w:line="480" w:lineRule="auto"/>
        <w:rPr>
          <w:b/>
          <w:bCs/>
          <w:sz w:val="24"/>
          <w:szCs w:val="24"/>
        </w:rPr>
      </w:pPr>
      <w:r w:rsidRPr="00F848F0">
        <w:rPr>
          <w:b/>
          <w:bCs/>
          <w:sz w:val="24"/>
          <w:szCs w:val="24"/>
        </w:rPr>
        <w:t>Influence of Derating</w:t>
      </w:r>
    </w:p>
    <w:p w14:paraId="28F18DC1" w14:textId="0A68A9E1" w:rsidR="00480ED6" w:rsidRPr="00540EB6" w:rsidRDefault="00815FB5" w:rsidP="00E261E3">
      <w:pPr>
        <w:spacing w:line="480" w:lineRule="auto"/>
        <w:rPr>
          <w:sz w:val="24"/>
          <w:szCs w:val="24"/>
        </w:rPr>
      </w:pPr>
      <w:r w:rsidRPr="00815FB5">
        <w:rPr>
          <w:sz w:val="24"/>
          <w:szCs w:val="24"/>
        </w:rPr>
        <w:t xml:space="preserve">Derating is when a component is </w:t>
      </w:r>
      <w:r>
        <w:rPr>
          <w:sz w:val="24"/>
          <w:szCs w:val="24"/>
        </w:rPr>
        <w:t>designed to o</w:t>
      </w:r>
      <w:r w:rsidRPr="00815FB5">
        <w:rPr>
          <w:sz w:val="24"/>
          <w:szCs w:val="24"/>
        </w:rPr>
        <w:t xml:space="preserve">perate </w:t>
      </w:r>
      <w:r>
        <w:rPr>
          <w:sz w:val="24"/>
          <w:szCs w:val="24"/>
        </w:rPr>
        <w:t xml:space="preserve">at </w:t>
      </w:r>
      <w:r w:rsidRPr="00815FB5">
        <w:rPr>
          <w:sz w:val="24"/>
          <w:szCs w:val="24"/>
        </w:rPr>
        <w:t>limit</w:t>
      </w:r>
      <w:r>
        <w:rPr>
          <w:sz w:val="24"/>
          <w:szCs w:val="24"/>
        </w:rPr>
        <w:t>s that are below the normal limits for that component</w:t>
      </w:r>
      <w:r w:rsidRPr="00815FB5">
        <w:rPr>
          <w:sz w:val="24"/>
          <w:szCs w:val="24"/>
        </w:rPr>
        <w:t xml:space="preserve">. </w:t>
      </w:r>
      <w:r>
        <w:rPr>
          <w:sz w:val="24"/>
          <w:szCs w:val="24"/>
        </w:rPr>
        <w:t>Typically, derating</w:t>
      </w:r>
      <w:r w:rsidRPr="00815FB5">
        <w:rPr>
          <w:sz w:val="24"/>
          <w:szCs w:val="24"/>
        </w:rPr>
        <w:t xml:space="preserve"> reduces the </w:t>
      </w:r>
      <w:r>
        <w:rPr>
          <w:sz w:val="24"/>
          <w:szCs w:val="24"/>
        </w:rPr>
        <w:t>degradation</w:t>
      </w:r>
      <w:r w:rsidRPr="00815FB5">
        <w:rPr>
          <w:sz w:val="24"/>
          <w:szCs w:val="24"/>
        </w:rPr>
        <w:t xml:space="preserve"> rate of </w:t>
      </w:r>
      <w:r>
        <w:rPr>
          <w:sz w:val="24"/>
          <w:szCs w:val="24"/>
        </w:rPr>
        <w:t>the</w:t>
      </w:r>
      <w:r w:rsidRPr="00815FB5">
        <w:rPr>
          <w:sz w:val="24"/>
          <w:szCs w:val="24"/>
        </w:rPr>
        <w:t xml:space="preserve"> component. </w:t>
      </w:r>
      <w:r w:rsidR="00480ED6" w:rsidRPr="00540EB6">
        <w:rPr>
          <w:sz w:val="24"/>
          <w:szCs w:val="24"/>
        </w:rPr>
        <w:t>The role of derating to reliability is illustrated in</w:t>
      </w:r>
      <w:r w:rsidR="00F83FBE" w:rsidRPr="00540EB6">
        <w:rPr>
          <w:sz w:val="24"/>
          <w:szCs w:val="24"/>
        </w:rPr>
        <w:t xml:space="preserve"> </w:t>
      </w:r>
      <w:r w:rsidR="00F83FBE" w:rsidRPr="00540EB6">
        <w:rPr>
          <w:sz w:val="24"/>
          <w:szCs w:val="24"/>
        </w:rPr>
        <w:fldChar w:fldCharType="begin"/>
      </w:r>
      <w:r w:rsidR="00F83FBE" w:rsidRPr="00540EB6">
        <w:rPr>
          <w:sz w:val="24"/>
          <w:szCs w:val="24"/>
        </w:rPr>
        <w:instrText xml:space="preserve"> REF _Ref67643327 \h </w:instrText>
      </w:r>
      <w:r w:rsidR="00E261E3" w:rsidRPr="00540EB6">
        <w:rPr>
          <w:sz w:val="24"/>
          <w:szCs w:val="24"/>
        </w:rPr>
        <w:instrText xml:space="preserve"> \* MERGEFORMAT </w:instrText>
      </w:r>
      <w:r w:rsidR="00F83FBE" w:rsidRPr="00540EB6">
        <w:rPr>
          <w:sz w:val="24"/>
          <w:szCs w:val="24"/>
        </w:rPr>
      </w:r>
      <w:r w:rsidR="00F83FBE" w:rsidRPr="00540EB6">
        <w:rPr>
          <w:sz w:val="24"/>
          <w:szCs w:val="24"/>
        </w:rPr>
        <w:fldChar w:fldCharType="separate"/>
      </w:r>
      <w:r w:rsidR="003102F4" w:rsidRPr="00540EB6">
        <w:rPr>
          <w:sz w:val="24"/>
          <w:szCs w:val="24"/>
        </w:rPr>
        <w:t xml:space="preserve">Figure </w:t>
      </w:r>
      <w:r w:rsidR="003102F4" w:rsidRPr="00540EB6">
        <w:rPr>
          <w:noProof/>
          <w:sz w:val="24"/>
          <w:szCs w:val="24"/>
        </w:rPr>
        <w:t>3</w:t>
      </w:r>
      <w:r w:rsidR="00F83FBE" w:rsidRPr="00540EB6">
        <w:rPr>
          <w:sz w:val="24"/>
          <w:szCs w:val="24"/>
        </w:rPr>
        <w:fldChar w:fldCharType="end"/>
      </w:r>
      <w:r w:rsidR="00480ED6" w:rsidRPr="00540EB6">
        <w:rPr>
          <w:sz w:val="24"/>
          <w:szCs w:val="24"/>
        </w:rPr>
        <w:t xml:space="preserve">. </w:t>
      </w:r>
      <w:r w:rsidR="00BD6CF8">
        <w:rPr>
          <w:sz w:val="24"/>
          <w:szCs w:val="24"/>
        </w:rPr>
        <w:t>Passive parts such as capacitors can especially benefit from derating.</w:t>
      </w:r>
      <w:r w:rsidR="00025EDD">
        <w:rPr>
          <w:sz w:val="24"/>
          <w:szCs w:val="24"/>
        </w:rPr>
        <w:t xml:space="preserve"> </w:t>
      </w:r>
      <w:r w:rsidR="00BD6CF8">
        <w:rPr>
          <w:sz w:val="24"/>
          <w:szCs w:val="24"/>
        </w:rPr>
        <w:t>We can illustrate how derating can affect reliability based on testing performed with tantalum capacitors.</w:t>
      </w:r>
      <w:r w:rsidR="00025EDD">
        <w:rPr>
          <w:sz w:val="24"/>
          <w:szCs w:val="24"/>
        </w:rPr>
        <w:t xml:space="preserve"> </w:t>
      </w:r>
      <w:r w:rsidR="00480ED6" w:rsidRPr="00540EB6">
        <w:rPr>
          <w:sz w:val="24"/>
          <w:szCs w:val="24"/>
        </w:rPr>
        <w:t>While it is a bit of a misnomer to define a “rating” for Tantalum capacitors</w:t>
      </w:r>
      <w:r>
        <w:rPr>
          <w:sz w:val="24"/>
          <w:szCs w:val="24"/>
        </w:rPr>
        <w:t xml:space="preserve"> that are installed in a reverse configuration</w:t>
      </w:r>
      <w:r w:rsidR="00480ED6" w:rsidRPr="00540EB6">
        <w:rPr>
          <w:sz w:val="24"/>
          <w:szCs w:val="24"/>
        </w:rPr>
        <w:t xml:space="preserve">, it is useful in a situation in which the capacitors are installed and being used operationally and where they would be extremely costly and risky to replace. In this case, the capacitors are installed in </w:t>
      </w:r>
      <w:proofErr w:type="spellStart"/>
      <w:r w:rsidR="00480ED6" w:rsidRPr="00540EB6">
        <w:rPr>
          <w:sz w:val="24"/>
          <w:szCs w:val="24"/>
        </w:rPr>
        <w:t>ExPRESS</w:t>
      </w:r>
      <w:proofErr w:type="spellEnd"/>
      <w:r w:rsidR="00480ED6" w:rsidRPr="00540EB6">
        <w:rPr>
          <w:sz w:val="24"/>
          <w:szCs w:val="24"/>
        </w:rPr>
        <w:t xml:space="preserve"> Logistics Carriers on the International Space Station, in reverse polarity due to the use of an old </w:t>
      </w:r>
      <w:r w:rsidR="00480ED6" w:rsidRPr="00540EB6">
        <w:rPr>
          <w:sz w:val="24"/>
          <w:szCs w:val="24"/>
        </w:rPr>
        <w:lastRenderedPageBreak/>
        <w:t>drawing without polarity markings</w:t>
      </w:r>
      <w:r w:rsidR="007B58A0" w:rsidRPr="00540EB6">
        <w:rPr>
          <w:sz w:val="24"/>
          <w:szCs w:val="24"/>
        </w:rPr>
        <w:t xml:space="preserve"> </w:t>
      </w:r>
      <w:r w:rsidR="007B58A0" w:rsidRPr="00540EB6">
        <w:rPr>
          <w:sz w:val="24"/>
          <w:szCs w:val="24"/>
        </w:rPr>
        <w:fldChar w:fldCharType="begin"/>
      </w:r>
      <w:r w:rsidR="007B58A0" w:rsidRPr="00540EB6">
        <w:rPr>
          <w:sz w:val="24"/>
          <w:szCs w:val="24"/>
        </w:rPr>
        <w:instrText xml:space="preserve"> REF _Ref67577459 \r \h </w:instrText>
      </w:r>
      <w:r w:rsidR="00E261E3" w:rsidRPr="00540EB6">
        <w:rPr>
          <w:sz w:val="24"/>
          <w:szCs w:val="24"/>
        </w:rPr>
        <w:instrText xml:space="preserve"> \* MERGEFORMAT </w:instrText>
      </w:r>
      <w:r w:rsidR="007B58A0" w:rsidRPr="00540EB6">
        <w:rPr>
          <w:sz w:val="24"/>
          <w:szCs w:val="24"/>
        </w:rPr>
      </w:r>
      <w:r w:rsidR="007B58A0" w:rsidRPr="00540EB6">
        <w:rPr>
          <w:sz w:val="24"/>
          <w:szCs w:val="24"/>
        </w:rPr>
        <w:fldChar w:fldCharType="separate"/>
      </w:r>
      <w:r w:rsidR="003102F4" w:rsidRPr="00540EB6">
        <w:rPr>
          <w:sz w:val="24"/>
          <w:szCs w:val="24"/>
        </w:rPr>
        <w:t>[8]</w:t>
      </w:r>
      <w:r w:rsidR="007B58A0" w:rsidRPr="00540EB6">
        <w:rPr>
          <w:sz w:val="24"/>
          <w:szCs w:val="24"/>
        </w:rPr>
        <w:fldChar w:fldCharType="end"/>
      </w:r>
      <w:r w:rsidR="00480ED6" w:rsidRPr="00540EB6">
        <w:rPr>
          <w:sz w:val="24"/>
          <w:szCs w:val="24"/>
        </w:rPr>
        <w:t>. Here we consider a 25</w:t>
      </w:r>
      <w:r w:rsidR="007B58A0" w:rsidRPr="00540EB6">
        <w:rPr>
          <w:sz w:val="24"/>
          <w:szCs w:val="24"/>
        </w:rPr>
        <w:t xml:space="preserve">volt (V) </w:t>
      </w:r>
      <w:r w:rsidR="00480ED6" w:rsidRPr="00540EB6">
        <w:rPr>
          <w:sz w:val="24"/>
          <w:szCs w:val="24"/>
        </w:rPr>
        <w:t xml:space="preserve">rated </w:t>
      </w:r>
      <w:r w:rsidR="007B58A0" w:rsidRPr="00540EB6">
        <w:rPr>
          <w:sz w:val="24"/>
          <w:szCs w:val="24"/>
        </w:rPr>
        <w:t xml:space="preserve">tantalum capacitor </w:t>
      </w:r>
      <w:r w:rsidR="00480ED6" w:rsidRPr="00540EB6">
        <w:rPr>
          <w:sz w:val="24"/>
          <w:szCs w:val="24"/>
        </w:rPr>
        <w:t xml:space="preserve">operated at </w:t>
      </w:r>
      <w:r w:rsidR="002A6BDB">
        <w:rPr>
          <w:sz w:val="24"/>
          <w:szCs w:val="24"/>
        </w:rPr>
        <w:t xml:space="preserve">  </w:t>
      </w:r>
      <w:r w:rsidR="00480ED6" w:rsidRPr="00540EB6">
        <w:rPr>
          <w:sz w:val="24"/>
          <w:szCs w:val="24"/>
        </w:rPr>
        <w:t>-5.1V.</w:t>
      </w:r>
      <w:r w:rsidR="00025EDD">
        <w:rPr>
          <w:sz w:val="24"/>
          <w:szCs w:val="24"/>
        </w:rPr>
        <w:t xml:space="preserve"> </w:t>
      </w:r>
      <w:r w:rsidR="00480ED6" w:rsidRPr="00540EB6">
        <w:rPr>
          <w:sz w:val="24"/>
          <w:szCs w:val="24"/>
        </w:rPr>
        <w:t>Then we assess the temperature effect on one of the most common failure modes – a shorting condition indicated by increasing leakage current.</w:t>
      </w:r>
      <w:r w:rsidR="00025EDD">
        <w:rPr>
          <w:sz w:val="24"/>
          <w:szCs w:val="24"/>
        </w:rPr>
        <w:t xml:space="preserve"> </w:t>
      </w:r>
      <w:r w:rsidR="00480ED6" w:rsidRPr="00540EB6">
        <w:rPr>
          <w:sz w:val="24"/>
          <w:szCs w:val="24"/>
        </w:rPr>
        <w:t>While it is beyond the scope of this paper to discuss the full range of experiments, suffice it to say that at this voltage level, most such caps would fail within hours or days, but when operating in vacuum or otherwise without the presence of even traces of moisture, the caps behave nominally except with an elevated, but stable, leakage current on the order of mA, within a reasonable temperature range.</w:t>
      </w:r>
      <w:r w:rsidR="00025EDD">
        <w:rPr>
          <w:sz w:val="24"/>
          <w:szCs w:val="24"/>
        </w:rPr>
        <w:t xml:space="preserve"> </w:t>
      </w:r>
      <w:r w:rsidR="00BD6CF8">
        <w:rPr>
          <w:sz w:val="24"/>
          <w:szCs w:val="24"/>
        </w:rPr>
        <w:t xml:space="preserve">We can monitor the stability of the leakage currents to determine whether the parts are on a path to failure or </w:t>
      </w:r>
      <w:proofErr w:type="gramStart"/>
      <w:r w:rsidR="00BD6CF8">
        <w:rPr>
          <w:sz w:val="24"/>
          <w:szCs w:val="24"/>
        </w:rPr>
        <w:t>continue on</w:t>
      </w:r>
      <w:proofErr w:type="gramEnd"/>
      <w:r w:rsidR="00BD6CF8">
        <w:rPr>
          <w:sz w:val="24"/>
          <w:szCs w:val="24"/>
        </w:rPr>
        <w:t xml:space="preserve"> for the foreseeable future.</w:t>
      </w:r>
      <w:r w:rsidR="00025EDD">
        <w:rPr>
          <w:sz w:val="24"/>
          <w:szCs w:val="24"/>
        </w:rPr>
        <w:t xml:space="preserve"> </w:t>
      </w:r>
    </w:p>
    <w:p w14:paraId="55D7E1E1" w14:textId="000FC2FF" w:rsidR="00480ED6" w:rsidRPr="00540EB6" w:rsidRDefault="00FB4998" w:rsidP="00E261E3">
      <w:pPr>
        <w:spacing w:line="480" w:lineRule="auto"/>
        <w:rPr>
          <w:sz w:val="24"/>
          <w:szCs w:val="24"/>
        </w:rPr>
      </w:pPr>
      <w:r w:rsidRPr="00540EB6">
        <w:rPr>
          <w:noProof/>
          <w:sz w:val="24"/>
          <w:szCs w:val="24"/>
        </w:rPr>
        <mc:AlternateContent>
          <mc:Choice Requires="wps">
            <w:drawing>
              <wp:anchor distT="0" distB="0" distL="114300" distR="114300" simplePos="0" relativeHeight="251665920" behindDoc="0" locked="0" layoutInCell="1" allowOverlap="1" wp14:anchorId="047B7BDB" wp14:editId="20E8EF18">
                <wp:simplePos x="0" y="0"/>
                <wp:positionH relativeFrom="column">
                  <wp:posOffset>-1270</wp:posOffset>
                </wp:positionH>
                <wp:positionV relativeFrom="paragraph">
                  <wp:posOffset>1612900</wp:posOffset>
                </wp:positionV>
                <wp:extent cx="3154680" cy="635"/>
                <wp:effectExtent l="0" t="0" r="0" b="12065"/>
                <wp:wrapSquare wrapText="bothSides"/>
                <wp:docPr id="4" name="Text Box 4"/>
                <wp:cNvGraphicFramePr/>
                <a:graphic xmlns:a="http://schemas.openxmlformats.org/drawingml/2006/main">
                  <a:graphicData uri="http://schemas.microsoft.com/office/word/2010/wordprocessingShape">
                    <wps:wsp>
                      <wps:cNvSpPr txBox="1"/>
                      <wps:spPr>
                        <a:xfrm>
                          <a:off x="0" y="0"/>
                          <a:ext cx="3154680" cy="635"/>
                        </a:xfrm>
                        <a:prstGeom prst="rect">
                          <a:avLst/>
                        </a:prstGeom>
                        <a:solidFill>
                          <a:prstClr val="white"/>
                        </a:solidFill>
                        <a:ln>
                          <a:noFill/>
                        </a:ln>
                      </wps:spPr>
                      <wps:txbx>
                        <w:txbxContent>
                          <w:p w14:paraId="45D2F6C9" w14:textId="1545C18D" w:rsidR="00F83FBE" w:rsidRPr="005E5A2A" w:rsidRDefault="00F83FBE" w:rsidP="00CF7187">
                            <w:pPr>
                              <w:pStyle w:val="Caption"/>
                              <w:rPr>
                                <w:noProof/>
                                <w:sz w:val="20"/>
                                <w:szCs w:val="20"/>
                              </w:rPr>
                            </w:pPr>
                            <w:bookmarkStart w:id="3" w:name="_Ref67643327"/>
                            <w:r>
                              <w:t xml:space="preserve">Figure </w:t>
                            </w:r>
                            <w:bookmarkEnd w:id="3"/>
                            <w:r w:rsidR="00FB4998">
                              <w:t>2</w:t>
                            </w:r>
                            <w:r>
                              <w:t>.</w:t>
                            </w:r>
                            <w:r w:rsidR="00025EDD">
                              <w:t xml:space="preserve">  </w:t>
                            </w:r>
                            <w:r>
                              <w:t>Relationship of derating and reliability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47B7BDB" id="Text Box 4" o:spid="_x0000_s1027" type="#_x0000_t202" style="position:absolute;left:0;text-align:left;margin-left:-.1pt;margin-top:127pt;width:248.4pt;height:.0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" stroked="f">
                <v:textbox style="mso-fit-shape-to-text:t" inset="0,0,0,0">
                  <w:txbxContent>
                    <w:p w14:paraId="45D2F6C9" w14:textId="1545C18D" w:rsidR="00F83FBE" w:rsidRPr="005E5A2A" w:rsidRDefault="00F83FBE" w:rsidP="00CF7187">
                      <w:pPr>
                        <w:pStyle w:val="Caption"/>
                        <w:rPr>
                          <w:noProof/>
                          <w:sz w:val="20"/>
                          <w:szCs w:val="20"/>
                        </w:rPr>
                      </w:pPr>
                      <w:bookmarkStart w:id="5" w:name="_Ref67643327"/>
                      <w:r>
                        <w:t xml:space="preserve">Figure </w:t>
                      </w:r>
                      <w:bookmarkEnd w:id="5"/>
                      <w:r w:rsidR="00FB4998">
                        <w:t>2</w:t>
                      </w:r>
                      <w:r>
                        <w:t>.</w:t>
                      </w:r>
                      <w:r w:rsidR="00025EDD">
                        <w:t xml:space="preserve">  </w:t>
                      </w:r>
                      <w:r>
                        <w:t>Relationship of derating and reliability</w:t>
                      </w:r>
                    </w:p>
                  </w:txbxContent>
                </v:textbox>
                <w10:wrap type="square"/>
              </v:shape>
            </w:pict>
          </mc:Fallback>
        </mc:AlternateContent>
      </w:r>
      <w:r>
        <w:rPr>
          <w:noProof/>
        </w:rPr>
        <w:drawing>
          <wp:inline distT="0" distB="0" distL="0" distR="0" wp14:anchorId="32D6BD43" wp14:editId="7327732D">
            <wp:extent cx="2597150" cy="1565828"/>
            <wp:effectExtent l="0" t="0" r="0" b="0"/>
            <wp:docPr id="6" name="Picture 6" descr="C:\Users\bsood\Documents\EEE Parts\Parts Assurance Paper\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sood\Documents\EEE Parts\Parts Assurance Paper\fig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0446" cy="1597960"/>
                    </a:xfrm>
                    <a:prstGeom prst="rect">
                      <a:avLst/>
                    </a:prstGeom>
                    <a:noFill/>
                    <a:ln>
                      <a:noFill/>
                    </a:ln>
                  </pic:spPr>
                </pic:pic>
              </a:graphicData>
            </a:graphic>
          </wp:inline>
        </w:drawing>
      </w:r>
    </w:p>
    <w:p w14:paraId="56015A7D" w14:textId="14C97554" w:rsidR="00480ED6" w:rsidRPr="00540EB6" w:rsidRDefault="00480ED6" w:rsidP="00E261E3">
      <w:pPr>
        <w:spacing w:line="480" w:lineRule="auto"/>
        <w:rPr>
          <w:sz w:val="24"/>
          <w:szCs w:val="24"/>
        </w:rPr>
      </w:pPr>
    </w:p>
    <w:p w14:paraId="0CF960E1" w14:textId="552744D9" w:rsidR="00480ED6" w:rsidRPr="00540EB6" w:rsidRDefault="00480ED6" w:rsidP="00E261E3">
      <w:pPr>
        <w:spacing w:line="480" w:lineRule="auto"/>
        <w:rPr>
          <w:sz w:val="24"/>
          <w:szCs w:val="24"/>
        </w:rPr>
      </w:pPr>
      <w:r w:rsidRPr="00540EB6">
        <w:rPr>
          <w:sz w:val="24"/>
          <w:szCs w:val="24"/>
        </w:rPr>
        <w:t>At 85</w:t>
      </w:r>
      <w:r w:rsidR="00931299" w:rsidRPr="00540EB6">
        <w:rPr>
          <w:sz w:val="24"/>
          <w:szCs w:val="24"/>
        </w:rPr>
        <w:t>°</w:t>
      </w:r>
      <w:r w:rsidRPr="00540EB6">
        <w:rPr>
          <w:sz w:val="24"/>
          <w:szCs w:val="24"/>
        </w:rPr>
        <w:t>C as shown, the leakage currents increase exponentially over a month, on their way to imminent failure.</w:t>
      </w:r>
      <w:r w:rsidR="00025EDD">
        <w:rPr>
          <w:sz w:val="24"/>
          <w:szCs w:val="24"/>
        </w:rPr>
        <w:t xml:space="preserve"> </w:t>
      </w:r>
      <w:r w:rsidRPr="00540EB6">
        <w:rPr>
          <w:sz w:val="24"/>
          <w:szCs w:val="24"/>
        </w:rPr>
        <w:t>When the temperature is reduced to 58</w:t>
      </w:r>
      <w:r w:rsidR="00931299" w:rsidRPr="00540EB6">
        <w:rPr>
          <w:sz w:val="24"/>
          <w:szCs w:val="24"/>
        </w:rPr>
        <w:t>°</w:t>
      </w:r>
      <w:r w:rsidRPr="00540EB6">
        <w:rPr>
          <w:sz w:val="24"/>
          <w:szCs w:val="24"/>
        </w:rPr>
        <w:t>C, the leakage current levels off and remains essentially constant (or slightly decreasing).</w:t>
      </w:r>
      <w:r w:rsidR="00025EDD">
        <w:rPr>
          <w:sz w:val="24"/>
          <w:szCs w:val="24"/>
        </w:rPr>
        <w:t xml:space="preserve"> </w:t>
      </w:r>
      <w:r w:rsidRPr="00540EB6">
        <w:rPr>
          <w:sz w:val="24"/>
          <w:szCs w:val="24"/>
        </w:rPr>
        <w:t>Adjustments of temperature and associated time to stabilize indicate a temperature of around 60</w:t>
      </w:r>
      <w:r w:rsidR="00931299" w:rsidRPr="00540EB6">
        <w:rPr>
          <w:sz w:val="24"/>
          <w:szCs w:val="24"/>
        </w:rPr>
        <w:t>°</w:t>
      </w:r>
      <w:r w:rsidRPr="00540EB6">
        <w:rPr>
          <w:sz w:val="24"/>
          <w:szCs w:val="24"/>
        </w:rPr>
        <w:t>C, above which, leakage current steadily increases (ultimately leading to failure), and below which, current is steady or decreasing, indicating that the parts will continue to perform steadily unless disturbed by an exogenous input.</w:t>
      </w:r>
      <w:r w:rsidR="00025EDD">
        <w:rPr>
          <w:sz w:val="24"/>
          <w:szCs w:val="24"/>
        </w:rPr>
        <w:t xml:space="preserve"> </w:t>
      </w:r>
      <w:r w:rsidRPr="00540EB6">
        <w:rPr>
          <w:sz w:val="24"/>
          <w:szCs w:val="24"/>
        </w:rPr>
        <w:t>This chart depicts the process of part degradation above a “rated” value, and the lack of degradation below the rated value.</w:t>
      </w:r>
      <w:r w:rsidR="00025EDD">
        <w:rPr>
          <w:sz w:val="24"/>
          <w:szCs w:val="24"/>
        </w:rPr>
        <w:t xml:space="preserve"> </w:t>
      </w:r>
      <w:r w:rsidRPr="00540EB6">
        <w:rPr>
          <w:sz w:val="24"/>
          <w:szCs w:val="24"/>
        </w:rPr>
        <w:t xml:space="preserve">It should be noted that the parts at higher temperatures </w:t>
      </w:r>
      <w:r w:rsidR="002A6BDB">
        <w:rPr>
          <w:sz w:val="24"/>
          <w:szCs w:val="24"/>
        </w:rPr>
        <w:t xml:space="preserve">were </w:t>
      </w:r>
      <w:r w:rsidRPr="00540EB6">
        <w:rPr>
          <w:sz w:val="24"/>
          <w:szCs w:val="24"/>
        </w:rPr>
        <w:t xml:space="preserve">approaching the point of imminent failure, and an Arrhenius relationship would have </w:t>
      </w:r>
      <w:r w:rsidR="002A6BDB">
        <w:rPr>
          <w:sz w:val="24"/>
          <w:szCs w:val="24"/>
        </w:rPr>
        <w:t xml:space="preserve">subsequently </w:t>
      </w:r>
      <w:r w:rsidRPr="00540EB6">
        <w:rPr>
          <w:sz w:val="24"/>
          <w:szCs w:val="24"/>
        </w:rPr>
        <w:t>predicted finite failure times for the parts being used at low stress levels.</w:t>
      </w:r>
      <w:r w:rsidR="00025EDD">
        <w:rPr>
          <w:sz w:val="24"/>
          <w:szCs w:val="24"/>
        </w:rPr>
        <w:t xml:space="preserve"> </w:t>
      </w:r>
      <w:r w:rsidRPr="00540EB6">
        <w:rPr>
          <w:sz w:val="24"/>
          <w:szCs w:val="24"/>
        </w:rPr>
        <w:t xml:space="preserve">However, as is apparent in these tests and other long duration testing, the mechanism that was needed to degrade the parts was not activated at the </w:t>
      </w:r>
      <w:r w:rsidR="002A6BDB">
        <w:rPr>
          <w:sz w:val="24"/>
          <w:szCs w:val="24"/>
        </w:rPr>
        <w:t xml:space="preserve">actual (low) </w:t>
      </w:r>
      <w:r w:rsidRPr="00540EB6">
        <w:rPr>
          <w:sz w:val="24"/>
          <w:szCs w:val="24"/>
        </w:rPr>
        <w:t>stress levels imparted, and hence any finite prediction of end of life would be inaccurate.</w:t>
      </w:r>
      <w:r w:rsidR="00025EDD">
        <w:rPr>
          <w:sz w:val="24"/>
          <w:szCs w:val="24"/>
        </w:rPr>
        <w:t xml:space="preserve"> </w:t>
      </w:r>
      <w:r w:rsidRPr="00540EB6">
        <w:rPr>
          <w:sz w:val="24"/>
          <w:szCs w:val="24"/>
        </w:rPr>
        <w:lastRenderedPageBreak/>
        <w:t>It is interesting to note also that even after operation for over 2000 hours in extremely stressing conditions, the parts returned to benign operation when reduced to within the discovered “rated values.”</w:t>
      </w:r>
      <w:r w:rsidR="00025EDD">
        <w:rPr>
          <w:sz w:val="24"/>
          <w:szCs w:val="24"/>
        </w:rPr>
        <w:t xml:space="preserve"> </w:t>
      </w:r>
      <w:r w:rsidRPr="00540EB6">
        <w:rPr>
          <w:sz w:val="24"/>
          <w:szCs w:val="24"/>
        </w:rPr>
        <w:t>Further details are outside of the scope of this paper.</w:t>
      </w:r>
      <w:r w:rsidR="00025EDD">
        <w:rPr>
          <w:sz w:val="24"/>
          <w:szCs w:val="24"/>
        </w:rPr>
        <w:t xml:space="preserve"> </w:t>
      </w:r>
    </w:p>
    <w:p w14:paraId="560647B1" w14:textId="77777777" w:rsidR="007B58A0" w:rsidRPr="00540EB6" w:rsidRDefault="007B58A0" w:rsidP="00E261E3">
      <w:pPr>
        <w:spacing w:line="480" w:lineRule="auto"/>
        <w:rPr>
          <w:smallCaps/>
          <w:kern w:val="28"/>
          <w:sz w:val="24"/>
          <w:szCs w:val="24"/>
        </w:rPr>
      </w:pPr>
    </w:p>
    <w:p w14:paraId="6ADA6315" w14:textId="2C0A98FD" w:rsidR="008A3A95" w:rsidRPr="00F848F0" w:rsidRDefault="008A3A95" w:rsidP="00E261E3">
      <w:pPr>
        <w:pStyle w:val="Heading1"/>
        <w:spacing w:line="480" w:lineRule="auto"/>
        <w:rPr>
          <w:b/>
          <w:bCs/>
          <w:sz w:val="24"/>
          <w:szCs w:val="24"/>
        </w:rPr>
      </w:pPr>
      <w:r w:rsidRPr="00F848F0">
        <w:rPr>
          <w:b/>
          <w:bCs/>
          <w:sz w:val="24"/>
          <w:szCs w:val="24"/>
        </w:rPr>
        <w:t xml:space="preserve">COTS Factors that reduce risk relative to </w:t>
      </w:r>
      <w:r w:rsidR="004426DF">
        <w:rPr>
          <w:b/>
          <w:bCs/>
          <w:sz w:val="24"/>
          <w:szCs w:val="24"/>
        </w:rPr>
        <w:t>military specification</w:t>
      </w:r>
      <w:r w:rsidRPr="00F848F0">
        <w:rPr>
          <w:b/>
          <w:bCs/>
          <w:sz w:val="24"/>
          <w:szCs w:val="24"/>
        </w:rPr>
        <w:t xml:space="preserve"> parts</w:t>
      </w:r>
    </w:p>
    <w:p w14:paraId="571801DB" w14:textId="68EC62EA" w:rsidR="008A3A95" w:rsidRPr="00540EB6" w:rsidRDefault="008A3A95" w:rsidP="00E261E3">
      <w:pPr>
        <w:spacing w:line="480" w:lineRule="auto"/>
        <w:rPr>
          <w:sz w:val="24"/>
          <w:szCs w:val="24"/>
        </w:rPr>
      </w:pPr>
      <w:r w:rsidRPr="00540EB6">
        <w:rPr>
          <w:sz w:val="24"/>
          <w:szCs w:val="24"/>
        </w:rPr>
        <w:t xml:space="preserve">It should be noted that there is a different philosophy in COTS that in many cases reduces risk in COTS as compared to </w:t>
      </w:r>
      <w:r w:rsidR="004426DF">
        <w:rPr>
          <w:sz w:val="24"/>
          <w:szCs w:val="24"/>
        </w:rPr>
        <w:t>military specification</w:t>
      </w:r>
      <w:r w:rsidRPr="00540EB6">
        <w:rPr>
          <w:sz w:val="24"/>
          <w:szCs w:val="24"/>
        </w:rPr>
        <w:t xml:space="preserve"> parts, but context is very important, so knowing the background of the part you are </w:t>
      </w:r>
      <w:proofErr w:type="gramStart"/>
      <w:r w:rsidRPr="00540EB6">
        <w:rPr>
          <w:sz w:val="24"/>
          <w:szCs w:val="24"/>
        </w:rPr>
        <w:t>using</w:t>
      </w:r>
      <w:proofErr w:type="gramEnd"/>
      <w:r w:rsidRPr="00540EB6">
        <w:rPr>
          <w:sz w:val="24"/>
          <w:szCs w:val="24"/>
        </w:rPr>
        <w:t xml:space="preserve"> and the manufacturer can get you to lower risk.</w:t>
      </w:r>
      <w:r w:rsidR="00025EDD">
        <w:rPr>
          <w:sz w:val="24"/>
          <w:szCs w:val="24"/>
        </w:rPr>
        <w:t xml:space="preserve"> </w:t>
      </w:r>
      <w:r w:rsidRPr="00540EB6">
        <w:rPr>
          <w:sz w:val="24"/>
          <w:szCs w:val="24"/>
        </w:rPr>
        <w:t xml:space="preserve">The </w:t>
      </w:r>
      <w:r w:rsidR="004426DF">
        <w:rPr>
          <w:sz w:val="24"/>
          <w:szCs w:val="24"/>
        </w:rPr>
        <w:t>military specification</w:t>
      </w:r>
      <w:r w:rsidRPr="00540EB6">
        <w:rPr>
          <w:sz w:val="24"/>
          <w:szCs w:val="24"/>
        </w:rPr>
        <w:t xml:space="preserve"> manufacturing system (for lack of a better term) is a very low volume system that relies on extremely stressful testing and scrutiny over many minute features on parts that are intended to weed out “weaker” parts and flesh out failure modes and mechanisms that are often highly unlikely to occur in any type of well-</w:t>
      </w:r>
      <w:proofErr w:type="gramStart"/>
      <w:r w:rsidRPr="00540EB6">
        <w:rPr>
          <w:sz w:val="24"/>
          <w:szCs w:val="24"/>
        </w:rPr>
        <w:t>thought out</w:t>
      </w:r>
      <w:proofErr w:type="gramEnd"/>
      <w:r w:rsidRPr="00540EB6">
        <w:rPr>
          <w:sz w:val="24"/>
          <w:szCs w:val="24"/>
        </w:rPr>
        <w:t xml:space="preserve"> circuit applications.</w:t>
      </w:r>
      <w:r w:rsidR="00025EDD">
        <w:rPr>
          <w:sz w:val="24"/>
          <w:szCs w:val="24"/>
        </w:rPr>
        <w:t xml:space="preserve"> </w:t>
      </w:r>
      <w:r w:rsidRPr="00540EB6">
        <w:rPr>
          <w:sz w:val="24"/>
          <w:szCs w:val="24"/>
        </w:rPr>
        <w:t xml:space="preserve">This is why when a screening failure occurs when employing a </w:t>
      </w:r>
      <w:r w:rsidR="004426DF">
        <w:rPr>
          <w:sz w:val="24"/>
          <w:szCs w:val="24"/>
        </w:rPr>
        <w:t>military specification</w:t>
      </w:r>
      <w:r w:rsidRPr="00540EB6">
        <w:rPr>
          <w:sz w:val="24"/>
          <w:szCs w:val="24"/>
        </w:rPr>
        <w:t xml:space="preserve"> (e.g., in implementing EEE-INST-002) process, an </w:t>
      </w:r>
      <w:r w:rsidR="008F26D1" w:rsidRPr="00540EB6">
        <w:rPr>
          <w:sz w:val="24"/>
          <w:szCs w:val="24"/>
        </w:rPr>
        <w:t xml:space="preserve">extensive </w:t>
      </w:r>
      <w:r w:rsidRPr="00540EB6">
        <w:rPr>
          <w:sz w:val="24"/>
          <w:szCs w:val="24"/>
        </w:rPr>
        <w:t xml:space="preserve">number of questions </w:t>
      </w:r>
      <w:r w:rsidR="008F26D1" w:rsidRPr="00540EB6">
        <w:rPr>
          <w:sz w:val="24"/>
          <w:szCs w:val="24"/>
        </w:rPr>
        <w:t xml:space="preserve">is </w:t>
      </w:r>
      <w:r w:rsidRPr="00540EB6">
        <w:rPr>
          <w:sz w:val="24"/>
          <w:szCs w:val="24"/>
        </w:rPr>
        <w:t xml:space="preserve">often raised as to whether there actually </w:t>
      </w:r>
      <w:proofErr w:type="gramStart"/>
      <w:r w:rsidRPr="00540EB6">
        <w:rPr>
          <w:sz w:val="24"/>
          <w:szCs w:val="24"/>
        </w:rPr>
        <w:t>is any risk in the application</w:t>
      </w:r>
      <w:proofErr w:type="gramEnd"/>
      <w:r w:rsidRPr="00540EB6">
        <w:rPr>
          <w:sz w:val="24"/>
          <w:szCs w:val="24"/>
        </w:rPr>
        <w:t>, particularly if parts are already installed and circuits have been tested successfully.</w:t>
      </w:r>
      <w:r w:rsidR="00025EDD">
        <w:rPr>
          <w:sz w:val="24"/>
          <w:szCs w:val="24"/>
        </w:rPr>
        <w:t xml:space="preserve"> </w:t>
      </w:r>
      <w:r w:rsidRPr="00540EB6">
        <w:rPr>
          <w:sz w:val="24"/>
          <w:szCs w:val="24"/>
        </w:rPr>
        <w:t>With many COTS parts, the philosophy is to use extensive, but relevant testing, and field usage at exceptionally high volume to determine whether there are hidden failure modes and mechanisms that could emerge when properly used.</w:t>
      </w:r>
      <w:r w:rsidR="00025EDD">
        <w:rPr>
          <w:sz w:val="24"/>
          <w:szCs w:val="24"/>
        </w:rPr>
        <w:t xml:space="preserve"> </w:t>
      </w:r>
      <w:r w:rsidRPr="00540EB6">
        <w:rPr>
          <w:sz w:val="24"/>
          <w:szCs w:val="24"/>
        </w:rPr>
        <w:t>This uncovers pertinent failure modes and mechanisms that do not appear in low volume testing and usage.</w:t>
      </w:r>
      <w:r w:rsidR="00025EDD">
        <w:rPr>
          <w:sz w:val="24"/>
          <w:szCs w:val="24"/>
        </w:rPr>
        <w:t xml:space="preserve"> </w:t>
      </w:r>
      <w:r w:rsidR="004953BC">
        <w:rPr>
          <w:sz w:val="24"/>
          <w:szCs w:val="24"/>
        </w:rPr>
        <w:t>M</w:t>
      </w:r>
      <w:r w:rsidR="004426DF">
        <w:rPr>
          <w:sz w:val="24"/>
          <w:szCs w:val="24"/>
        </w:rPr>
        <w:t>ilitary specification</w:t>
      </w:r>
      <w:r w:rsidR="008F26D1" w:rsidRPr="00540EB6">
        <w:rPr>
          <w:sz w:val="24"/>
          <w:szCs w:val="24"/>
        </w:rPr>
        <w:t xml:space="preserve"> part reliability is indirectly obtained as a by-product of numerous stringent specifications, while COTS reliability is directly based on volume and actual usage.</w:t>
      </w:r>
      <w:r w:rsidR="00025EDD">
        <w:rPr>
          <w:sz w:val="24"/>
          <w:szCs w:val="24"/>
        </w:rPr>
        <w:t xml:space="preserve"> </w:t>
      </w:r>
      <w:r w:rsidR="008F26D1" w:rsidRPr="00540EB6">
        <w:rPr>
          <w:sz w:val="24"/>
          <w:szCs w:val="24"/>
        </w:rPr>
        <w:t xml:space="preserve">(Thus low-volume COTS parts require alternate, and likely indirect, means as well to establish reliability.) </w:t>
      </w:r>
    </w:p>
    <w:p w14:paraId="4F0C17AF" w14:textId="77777777" w:rsidR="008A3A95" w:rsidRPr="00540EB6" w:rsidRDefault="008A3A95" w:rsidP="00E261E3">
      <w:pPr>
        <w:spacing w:line="480" w:lineRule="auto"/>
        <w:rPr>
          <w:sz w:val="24"/>
          <w:szCs w:val="24"/>
        </w:rPr>
      </w:pPr>
    </w:p>
    <w:p w14:paraId="1DF56859" w14:textId="3F75289F" w:rsidR="008A3A95" w:rsidRPr="00540EB6" w:rsidRDefault="008A3A95" w:rsidP="00E261E3">
      <w:pPr>
        <w:spacing w:line="480" w:lineRule="auto"/>
        <w:rPr>
          <w:sz w:val="24"/>
          <w:szCs w:val="24"/>
        </w:rPr>
      </w:pPr>
      <w:r w:rsidRPr="00540EB6">
        <w:rPr>
          <w:sz w:val="24"/>
          <w:szCs w:val="24"/>
        </w:rPr>
        <w:t>In summary, there is nothing about COTS itself, other than the fact that without any other stipulations, there are no boundaries, that prompts elevated risk for failure.</w:t>
      </w:r>
      <w:r w:rsidR="00025EDD">
        <w:rPr>
          <w:sz w:val="24"/>
          <w:szCs w:val="24"/>
        </w:rPr>
        <w:t xml:space="preserve"> </w:t>
      </w:r>
      <w:r w:rsidRPr="00540EB6">
        <w:rPr>
          <w:sz w:val="24"/>
          <w:szCs w:val="24"/>
        </w:rPr>
        <w:t xml:space="preserve">Just as with the use of </w:t>
      </w:r>
      <w:proofErr w:type="spellStart"/>
      <w:r w:rsidRPr="00540EB6">
        <w:rPr>
          <w:sz w:val="24"/>
          <w:szCs w:val="24"/>
        </w:rPr>
        <w:t>upscreened</w:t>
      </w:r>
      <w:proofErr w:type="spellEnd"/>
      <w:r w:rsidRPr="00540EB6">
        <w:rPr>
          <w:sz w:val="24"/>
          <w:szCs w:val="24"/>
        </w:rPr>
        <w:t xml:space="preserve"> parts (as used employing standard Agency requirements) or </w:t>
      </w:r>
      <w:r w:rsidR="004426DF">
        <w:rPr>
          <w:sz w:val="24"/>
          <w:szCs w:val="24"/>
        </w:rPr>
        <w:t>military specification</w:t>
      </w:r>
      <w:r w:rsidRPr="00540EB6">
        <w:rPr>
          <w:sz w:val="24"/>
          <w:szCs w:val="24"/>
        </w:rPr>
        <w:t xml:space="preserve"> parts, characterizing risk for a given </w:t>
      </w:r>
      <w:r w:rsidRPr="00540EB6">
        <w:rPr>
          <w:sz w:val="24"/>
          <w:szCs w:val="24"/>
        </w:rPr>
        <w:lastRenderedPageBreak/>
        <w:t>scenario requires the specific context.</w:t>
      </w:r>
      <w:r w:rsidR="00025EDD">
        <w:rPr>
          <w:sz w:val="24"/>
          <w:szCs w:val="24"/>
        </w:rPr>
        <w:t xml:space="preserve"> </w:t>
      </w:r>
      <w:r w:rsidRPr="00540EB6">
        <w:rPr>
          <w:sz w:val="24"/>
          <w:szCs w:val="24"/>
        </w:rPr>
        <w:t xml:space="preserve">Smart and aware usage of COTS can enable a much lower risk </w:t>
      </w:r>
      <w:proofErr w:type="gramStart"/>
      <w:r w:rsidRPr="00540EB6">
        <w:rPr>
          <w:sz w:val="24"/>
          <w:szCs w:val="24"/>
        </w:rPr>
        <w:t>posture, and</w:t>
      </w:r>
      <w:proofErr w:type="gramEnd"/>
      <w:r w:rsidRPr="00540EB6">
        <w:rPr>
          <w:sz w:val="24"/>
          <w:szCs w:val="24"/>
        </w:rPr>
        <w:t xml:space="preserve"> ensure for constrained projects that sufficient resources will be available for system-level testing and problem resolution. </w:t>
      </w:r>
    </w:p>
    <w:p w14:paraId="6AB0D4A7" w14:textId="77777777" w:rsidR="008A3A95" w:rsidRPr="00540EB6" w:rsidRDefault="008A3A95" w:rsidP="00E261E3">
      <w:pPr>
        <w:spacing w:line="480" w:lineRule="auto"/>
        <w:rPr>
          <w:sz w:val="24"/>
          <w:szCs w:val="24"/>
        </w:rPr>
      </w:pPr>
    </w:p>
    <w:p w14:paraId="1CDAFEF6" w14:textId="77777777" w:rsidR="008A3A95" w:rsidRPr="00F848F0" w:rsidRDefault="008A3A95" w:rsidP="00E261E3">
      <w:pPr>
        <w:pStyle w:val="Heading1"/>
        <w:spacing w:line="480" w:lineRule="auto"/>
        <w:rPr>
          <w:b/>
          <w:bCs/>
          <w:sz w:val="24"/>
          <w:szCs w:val="24"/>
        </w:rPr>
      </w:pPr>
      <w:r w:rsidRPr="00F848F0">
        <w:rPr>
          <w:b/>
          <w:bCs/>
          <w:sz w:val="24"/>
          <w:szCs w:val="24"/>
        </w:rPr>
        <w:t>Systems engineering practices and test like you fly vs part-level screens</w:t>
      </w:r>
    </w:p>
    <w:p w14:paraId="1873D340" w14:textId="0B09DFB7" w:rsidR="008A3A95" w:rsidRPr="00540EB6" w:rsidRDefault="008A3A95" w:rsidP="00E261E3">
      <w:pPr>
        <w:spacing w:line="480" w:lineRule="auto"/>
        <w:rPr>
          <w:sz w:val="24"/>
          <w:szCs w:val="24"/>
        </w:rPr>
      </w:pPr>
      <w:r w:rsidRPr="00540EB6">
        <w:rPr>
          <w:sz w:val="24"/>
          <w:szCs w:val="24"/>
        </w:rPr>
        <w:t xml:space="preserve">In general, </w:t>
      </w:r>
      <w:r w:rsidR="004953BC">
        <w:rPr>
          <w:sz w:val="24"/>
          <w:szCs w:val="24"/>
        </w:rPr>
        <w:t>military-specification-</w:t>
      </w:r>
      <w:r w:rsidRPr="00540EB6">
        <w:rPr>
          <w:sz w:val="24"/>
          <w:szCs w:val="24"/>
        </w:rPr>
        <w:t>based part-level screening tests are designed to flesh out problematic conditions that may be present in parts based on historical indicators that a failure mechanism may be present.</w:t>
      </w:r>
      <w:r w:rsidR="00025EDD">
        <w:rPr>
          <w:sz w:val="24"/>
          <w:szCs w:val="24"/>
        </w:rPr>
        <w:t xml:space="preserve"> </w:t>
      </w:r>
      <w:r w:rsidRPr="00540EB6">
        <w:rPr>
          <w:sz w:val="24"/>
          <w:szCs w:val="24"/>
        </w:rPr>
        <w:t xml:space="preserve">In </w:t>
      </w:r>
      <w:proofErr w:type="gramStart"/>
      <w:r w:rsidRPr="00540EB6">
        <w:rPr>
          <w:sz w:val="24"/>
          <w:szCs w:val="24"/>
        </w:rPr>
        <w:t>the majority of</w:t>
      </w:r>
      <w:proofErr w:type="gramEnd"/>
      <w:r w:rsidRPr="00540EB6">
        <w:rPr>
          <w:sz w:val="24"/>
          <w:szCs w:val="24"/>
        </w:rPr>
        <w:t xml:space="preserve"> cases, the screening tests performed are unrelated to the operational environment the part is exposed to in a particular circuit, and it is far beyond the stress level that the part would be exposed to in even worst-case operations.</w:t>
      </w:r>
      <w:r w:rsidR="00025EDD">
        <w:rPr>
          <w:sz w:val="24"/>
          <w:szCs w:val="24"/>
        </w:rPr>
        <w:t xml:space="preserve"> </w:t>
      </w:r>
      <w:r w:rsidRPr="00540EB6">
        <w:rPr>
          <w:sz w:val="24"/>
          <w:szCs w:val="24"/>
        </w:rPr>
        <w:t>This is common practice in accelerated testing, in which the intent is to perform testing at test levels far above nominal to prompt a failure or degradation, then use an Arrhenius relationship to back out when the part would have failed under nominal conditions. This approach also is designed to identify various failure mechanisms that the parts may exhibit.</w:t>
      </w:r>
      <w:r w:rsidR="00025EDD">
        <w:rPr>
          <w:sz w:val="24"/>
          <w:szCs w:val="24"/>
        </w:rPr>
        <w:t xml:space="preserve"> </w:t>
      </w:r>
      <w:r w:rsidRPr="00540EB6">
        <w:rPr>
          <w:sz w:val="24"/>
          <w:szCs w:val="24"/>
        </w:rPr>
        <w:t>In most cases parts are properly derated and they are operated at a low stress level such that the activation energy needed to induce the failure or degradation mechanism is not achieved in operational use (and thus the parts would basically last forever for all practical purposes), and the resulting prediction is not valid (this is also one of the many fatal flaws of the MIL-HDBK-217 approach at reliability, as well as from similar handbooks that are supposed to improve upon 217).</w:t>
      </w:r>
      <w:r w:rsidR="00025EDD">
        <w:rPr>
          <w:sz w:val="24"/>
          <w:szCs w:val="24"/>
        </w:rPr>
        <w:t xml:space="preserve"> </w:t>
      </w:r>
      <w:r w:rsidRPr="00540EB6">
        <w:rPr>
          <w:sz w:val="24"/>
          <w:szCs w:val="24"/>
        </w:rPr>
        <w:t>Years ago, when the market was limited and the material and packaging approach for common part technologies had not been perfected, it was necessary to exercise the parts (or parts in the lot) in extreme ways to ensure that over time, the part was not going to degrade to the point where the condition may become present.</w:t>
      </w:r>
      <w:r w:rsidR="00025EDD">
        <w:rPr>
          <w:sz w:val="24"/>
          <w:szCs w:val="24"/>
        </w:rPr>
        <w:t xml:space="preserve"> </w:t>
      </w:r>
      <w:r w:rsidRPr="00540EB6">
        <w:rPr>
          <w:sz w:val="24"/>
          <w:szCs w:val="24"/>
        </w:rPr>
        <w:t xml:space="preserve">However, parts technologies are in a different place today, driven by enormous volume and serious commercial impacts of regular field failures in high volumes, so the value is not clear of many of the screens. This is borne out by the fact that even with a large volume of usage of commercial parts, there is no notable difference in failures between COTS commercially-screened, COTS </w:t>
      </w:r>
      <w:proofErr w:type="spellStart"/>
      <w:r w:rsidRPr="00540EB6">
        <w:rPr>
          <w:sz w:val="24"/>
          <w:szCs w:val="24"/>
        </w:rPr>
        <w:t>upscreened</w:t>
      </w:r>
      <w:proofErr w:type="spellEnd"/>
      <w:r w:rsidRPr="00540EB6">
        <w:rPr>
          <w:sz w:val="24"/>
          <w:szCs w:val="24"/>
        </w:rPr>
        <w:t xml:space="preserve"> (any level), or </w:t>
      </w:r>
      <w:r w:rsidR="004426DF">
        <w:rPr>
          <w:sz w:val="24"/>
          <w:szCs w:val="24"/>
        </w:rPr>
        <w:t xml:space="preserve">military </w:t>
      </w:r>
      <w:r w:rsidR="004426DF">
        <w:rPr>
          <w:sz w:val="24"/>
          <w:szCs w:val="24"/>
        </w:rPr>
        <w:lastRenderedPageBreak/>
        <w:t>specification</w:t>
      </w:r>
      <w:r w:rsidRPr="00540EB6">
        <w:rPr>
          <w:sz w:val="24"/>
          <w:szCs w:val="24"/>
        </w:rPr>
        <w:t xml:space="preserve"> parts, tracing back to the early 2000’s, in space applications at GSFC.</w:t>
      </w:r>
      <w:r w:rsidR="00025EDD">
        <w:rPr>
          <w:sz w:val="24"/>
          <w:szCs w:val="24"/>
        </w:rPr>
        <w:t xml:space="preserve"> </w:t>
      </w:r>
      <w:r w:rsidRPr="00540EB6">
        <w:rPr>
          <w:sz w:val="24"/>
          <w:szCs w:val="24"/>
        </w:rPr>
        <w:t xml:space="preserve">(Note: it is important not to confuse EEE parts failures that occur based on a flaw in the part with failures of </w:t>
      </w:r>
      <w:proofErr w:type="gramStart"/>
      <w:r w:rsidR="00B108B2" w:rsidRPr="00540EB6">
        <w:rPr>
          <w:sz w:val="24"/>
          <w:szCs w:val="24"/>
        </w:rPr>
        <w:t>high level</w:t>
      </w:r>
      <w:proofErr w:type="gramEnd"/>
      <w:r w:rsidR="00B108B2" w:rsidRPr="00540EB6">
        <w:rPr>
          <w:sz w:val="24"/>
          <w:szCs w:val="24"/>
        </w:rPr>
        <w:t xml:space="preserve"> component</w:t>
      </w:r>
      <w:r w:rsidRPr="00540EB6">
        <w:rPr>
          <w:sz w:val="24"/>
          <w:szCs w:val="24"/>
        </w:rPr>
        <w:t xml:space="preserve">, such as those designed for </w:t>
      </w:r>
      <w:proofErr w:type="spellStart"/>
      <w:r w:rsidRPr="00540EB6">
        <w:rPr>
          <w:sz w:val="24"/>
          <w:szCs w:val="24"/>
        </w:rPr>
        <w:t>cubesats</w:t>
      </w:r>
      <w:proofErr w:type="spellEnd"/>
      <w:r w:rsidRPr="00540EB6">
        <w:rPr>
          <w:sz w:val="24"/>
          <w:szCs w:val="24"/>
        </w:rPr>
        <w:t xml:space="preserve">, that have not been adequately qualified or tested, or with </w:t>
      </w:r>
      <w:r w:rsidR="00B108B2" w:rsidRPr="00540EB6">
        <w:rPr>
          <w:sz w:val="24"/>
          <w:szCs w:val="24"/>
        </w:rPr>
        <w:t xml:space="preserve">EEE </w:t>
      </w:r>
      <w:r w:rsidRPr="00540EB6">
        <w:rPr>
          <w:sz w:val="24"/>
          <w:szCs w:val="24"/>
        </w:rPr>
        <w:t>parts that have failed a screening or qualification process.)</w:t>
      </w:r>
      <w:r w:rsidR="00025EDD">
        <w:rPr>
          <w:sz w:val="24"/>
          <w:szCs w:val="24"/>
        </w:rPr>
        <w:t xml:space="preserve"> </w:t>
      </w:r>
      <w:r w:rsidRPr="00540EB6">
        <w:rPr>
          <w:sz w:val="24"/>
          <w:szCs w:val="24"/>
        </w:rPr>
        <w:t>A pertinent question is, “can standard systems engineering practices based on “test as you fly” be employed to assure reliable electronics without extra screening processes at the part level?</w:t>
      </w:r>
      <w:r w:rsidR="00025EDD">
        <w:rPr>
          <w:sz w:val="24"/>
          <w:szCs w:val="24"/>
        </w:rPr>
        <w:t xml:space="preserve"> </w:t>
      </w:r>
      <w:r w:rsidRPr="00540EB6">
        <w:rPr>
          <w:sz w:val="24"/>
          <w:szCs w:val="24"/>
        </w:rPr>
        <w:t xml:space="preserve">The answer to this question is “yes”, but if the question is “what kind of guarantees are there to prevent a latent defect in </w:t>
      </w:r>
      <w:proofErr w:type="gramStart"/>
      <w:r w:rsidRPr="00540EB6">
        <w:rPr>
          <w:sz w:val="24"/>
          <w:szCs w:val="24"/>
        </w:rPr>
        <w:t>a part from</w:t>
      </w:r>
      <w:proofErr w:type="gramEnd"/>
      <w:r w:rsidRPr="00540EB6">
        <w:rPr>
          <w:sz w:val="24"/>
          <w:szCs w:val="24"/>
        </w:rPr>
        <w:t xml:space="preserve"> escaping a robust, system-level, test as you fly program?”, then the answer is “none”.</w:t>
      </w:r>
      <w:r w:rsidR="00025EDD">
        <w:rPr>
          <w:sz w:val="24"/>
          <w:szCs w:val="24"/>
        </w:rPr>
        <w:t xml:space="preserve"> </w:t>
      </w:r>
      <w:r w:rsidRPr="00540EB6">
        <w:rPr>
          <w:sz w:val="24"/>
          <w:szCs w:val="24"/>
        </w:rPr>
        <w:t xml:space="preserve">But that answer applies just as well to the most </w:t>
      </w:r>
      <w:proofErr w:type="gramStart"/>
      <w:r w:rsidRPr="00540EB6">
        <w:rPr>
          <w:sz w:val="24"/>
          <w:szCs w:val="24"/>
        </w:rPr>
        <w:t>highly-screened</w:t>
      </w:r>
      <w:proofErr w:type="gramEnd"/>
      <w:r w:rsidRPr="00540EB6">
        <w:rPr>
          <w:sz w:val="24"/>
          <w:szCs w:val="24"/>
        </w:rPr>
        <w:t xml:space="preserve"> and qualified </w:t>
      </w:r>
      <w:r w:rsidR="004426DF">
        <w:rPr>
          <w:sz w:val="24"/>
          <w:szCs w:val="24"/>
        </w:rPr>
        <w:t>military specification</w:t>
      </w:r>
      <w:r w:rsidRPr="00540EB6">
        <w:rPr>
          <w:sz w:val="24"/>
          <w:szCs w:val="24"/>
        </w:rPr>
        <w:t xml:space="preserve"> parts, as we have seen from the latent failures in four missions associated with a single </w:t>
      </w:r>
      <w:r w:rsidR="004426DF">
        <w:rPr>
          <w:sz w:val="24"/>
          <w:szCs w:val="24"/>
        </w:rPr>
        <w:t>military specification</w:t>
      </w:r>
      <w:r w:rsidRPr="00540EB6">
        <w:rPr>
          <w:sz w:val="24"/>
          <w:szCs w:val="24"/>
        </w:rPr>
        <w:t xml:space="preserve"> part problem.</w:t>
      </w:r>
      <w:r w:rsidR="00025EDD">
        <w:rPr>
          <w:sz w:val="24"/>
          <w:szCs w:val="24"/>
        </w:rPr>
        <w:t xml:space="preserve"> </w:t>
      </w:r>
      <w:r w:rsidRPr="00540EB6">
        <w:rPr>
          <w:sz w:val="24"/>
          <w:szCs w:val="24"/>
        </w:rPr>
        <w:t xml:space="preserve">In the next section we will propose methods to obtain a comparable level of confidence in using COTS parts in applications compared to our current </w:t>
      </w:r>
      <w:proofErr w:type="spellStart"/>
      <w:r w:rsidRPr="00540EB6">
        <w:rPr>
          <w:sz w:val="24"/>
          <w:szCs w:val="24"/>
        </w:rPr>
        <w:t>upscreening</w:t>
      </w:r>
      <w:proofErr w:type="spellEnd"/>
      <w:r w:rsidRPr="00540EB6">
        <w:rPr>
          <w:sz w:val="24"/>
          <w:szCs w:val="24"/>
        </w:rPr>
        <w:t xml:space="preserve"> processes.</w:t>
      </w:r>
      <w:r w:rsidR="00025EDD">
        <w:rPr>
          <w:sz w:val="24"/>
          <w:szCs w:val="24"/>
        </w:rPr>
        <w:t xml:space="preserve"> </w:t>
      </w:r>
    </w:p>
    <w:p w14:paraId="2E7BF45A" w14:textId="77777777" w:rsidR="008A3A95" w:rsidRPr="00F848F0" w:rsidRDefault="008A3A95" w:rsidP="00E261E3">
      <w:pPr>
        <w:pStyle w:val="Heading1"/>
        <w:spacing w:line="480" w:lineRule="auto"/>
        <w:rPr>
          <w:b/>
          <w:bCs/>
          <w:sz w:val="24"/>
          <w:szCs w:val="24"/>
        </w:rPr>
      </w:pPr>
      <w:r w:rsidRPr="00F848F0">
        <w:rPr>
          <w:b/>
          <w:bCs/>
          <w:sz w:val="24"/>
          <w:szCs w:val="24"/>
        </w:rPr>
        <w:t>Assurance of COTS parts in critical applications</w:t>
      </w:r>
    </w:p>
    <w:p w14:paraId="6459D9B7" w14:textId="321700C4" w:rsidR="008A3A95" w:rsidRPr="00540EB6" w:rsidRDefault="00EA41AA" w:rsidP="00E261E3">
      <w:pPr>
        <w:spacing w:line="480" w:lineRule="auto"/>
        <w:rPr>
          <w:sz w:val="24"/>
          <w:szCs w:val="24"/>
        </w:rPr>
      </w:pPr>
      <w:r>
        <w:rPr>
          <w:sz w:val="24"/>
          <w:szCs w:val="24"/>
        </w:rPr>
        <w:t>We</w:t>
      </w:r>
      <w:r w:rsidR="008A3A95" w:rsidRPr="00540EB6">
        <w:rPr>
          <w:sz w:val="24"/>
          <w:szCs w:val="24"/>
        </w:rPr>
        <w:t xml:space="preserve"> will define </w:t>
      </w:r>
      <w:r>
        <w:rPr>
          <w:sz w:val="24"/>
          <w:szCs w:val="24"/>
        </w:rPr>
        <w:t xml:space="preserve">the term </w:t>
      </w:r>
      <w:r w:rsidRPr="00CE08A4">
        <w:rPr>
          <w:i/>
          <w:iCs/>
          <w:sz w:val="24"/>
          <w:szCs w:val="24"/>
        </w:rPr>
        <w:t>critical</w:t>
      </w:r>
      <w:r w:rsidRPr="00540EB6">
        <w:rPr>
          <w:sz w:val="24"/>
          <w:szCs w:val="24"/>
        </w:rPr>
        <w:t xml:space="preserve"> </w:t>
      </w:r>
      <w:r w:rsidR="008A3A95" w:rsidRPr="00540EB6">
        <w:rPr>
          <w:sz w:val="24"/>
          <w:szCs w:val="24"/>
        </w:rPr>
        <w:t xml:space="preserve">to mean an element, the loss or failure of which would have severe adverse consequences, such as a mission is ended </w:t>
      </w:r>
      <w:proofErr w:type="gramStart"/>
      <w:r w:rsidR="008A3A95" w:rsidRPr="00540EB6">
        <w:rPr>
          <w:sz w:val="24"/>
          <w:szCs w:val="24"/>
        </w:rPr>
        <w:t>prematurely</w:t>
      </w:r>
      <w:proofErr w:type="gramEnd"/>
      <w:r w:rsidR="008A3A95" w:rsidRPr="00540EB6">
        <w:rPr>
          <w:sz w:val="24"/>
          <w:szCs w:val="24"/>
        </w:rPr>
        <w:t xml:space="preserve"> or a person is injured.</w:t>
      </w:r>
      <w:r w:rsidR="00025EDD">
        <w:rPr>
          <w:sz w:val="24"/>
          <w:szCs w:val="24"/>
        </w:rPr>
        <w:t xml:space="preserve"> </w:t>
      </w:r>
      <w:r w:rsidR="008A3A95" w:rsidRPr="00540EB6">
        <w:rPr>
          <w:sz w:val="24"/>
          <w:szCs w:val="24"/>
        </w:rPr>
        <w:t>A critical element may or may not have critical parts within. A critical part is one that will cause, e.g., a mission to fail or a person to be injured if it fails.</w:t>
      </w:r>
      <w:r w:rsidR="00025EDD">
        <w:rPr>
          <w:sz w:val="24"/>
          <w:szCs w:val="24"/>
        </w:rPr>
        <w:t xml:space="preserve"> </w:t>
      </w:r>
      <w:r w:rsidR="008A3A95" w:rsidRPr="00540EB6">
        <w:rPr>
          <w:sz w:val="24"/>
          <w:szCs w:val="24"/>
        </w:rPr>
        <w:t>In a good fault-tolerant design, a critical application may have few or no critical parts.</w:t>
      </w:r>
      <w:r w:rsidR="00025EDD">
        <w:rPr>
          <w:sz w:val="24"/>
          <w:szCs w:val="24"/>
        </w:rPr>
        <w:t xml:space="preserve"> </w:t>
      </w:r>
      <w:r w:rsidR="008A3A95" w:rsidRPr="00540EB6">
        <w:rPr>
          <w:sz w:val="24"/>
          <w:szCs w:val="24"/>
        </w:rPr>
        <w:t>However, in a critical application, individual part criticality may not matter because the outcome relies on the collective approach.</w:t>
      </w:r>
      <w:r w:rsidR="00025EDD">
        <w:rPr>
          <w:sz w:val="24"/>
          <w:szCs w:val="24"/>
        </w:rPr>
        <w:t xml:space="preserve"> </w:t>
      </w:r>
      <w:r w:rsidR="008A3A95" w:rsidRPr="00540EB6">
        <w:rPr>
          <w:sz w:val="24"/>
          <w:szCs w:val="24"/>
        </w:rPr>
        <w:t>Decades ago, infant mortality failures and field failures were common in COTS parts, but now both are a rarity.</w:t>
      </w:r>
      <w:r w:rsidR="00025EDD">
        <w:rPr>
          <w:sz w:val="24"/>
          <w:szCs w:val="24"/>
        </w:rPr>
        <w:t xml:space="preserve"> </w:t>
      </w:r>
      <w:r w:rsidR="008A3A95" w:rsidRPr="00540EB6">
        <w:rPr>
          <w:sz w:val="24"/>
          <w:szCs w:val="24"/>
        </w:rPr>
        <w:t>Typical failures of COTS parts in space applications or in integration and test for space applications are due to circuit design weaknesses or misuse of the parts (which in many cases are one in the same).</w:t>
      </w:r>
      <w:r w:rsidR="00025EDD">
        <w:rPr>
          <w:sz w:val="24"/>
          <w:szCs w:val="24"/>
        </w:rPr>
        <w:t xml:space="preserve"> </w:t>
      </w:r>
      <w:r w:rsidR="008A3A95" w:rsidRPr="00540EB6">
        <w:rPr>
          <w:sz w:val="24"/>
          <w:szCs w:val="24"/>
        </w:rPr>
        <w:t xml:space="preserve">In some cases, they trace to failure to understand the differences between COTS and </w:t>
      </w:r>
      <w:r w:rsidR="004426DF">
        <w:rPr>
          <w:sz w:val="24"/>
          <w:szCs w:val="24"/>
        </w:rPr>
        <w:t>military specification</w:t>
      </w:r>
      <w:r w:rsidR="008A3A95" w:rsidRPr="00540EB6">
        <w:rPr>
          <w:sz w:val="24"/>
          <w:szCs w:val="24"/>
        </w:rPr>
        <w:t xml:space="preserve"> parts, such as the inherent derating in </w:t>
      </w:r>
      <w:r w:rsidR="004426DF">
        <w:rPr>
          <w:sz w:val="24"/>
          <w:szCs w:val="24"/>
        </w:rPr>
        <w:t>military specification</w:t>
      </w:r>
      <w:r w:rsidR="008A3A95" w:rsidRPr="00540EB6">
        <w:rPr>
          <w:sz w:val="24"/>
          <w:szCs w:val="24"/>
        </w:rPr>
        <w:t xml:space="preserve"> parts that is not present in many COTS parts.</w:t>
      </w:r>
      <w:r w:rsidR="00025EDD">
        <w:rPr>
          <w:sz w:val="24"/>
          <w:szCs w:val="24"/>
        </w:rPr>
        <w:t xml:space="preserve"> </w:t>
      </w:r>
      <w:r w:rsidR="008A3A95" w:rsidRPr="00540EB6">
        <w:rPr>
          <w:sz w:val="24"/>
          <w:szCs w:val="24"/>
        </w:rPr>
        <w:t xml:space="preserve">In other cases, high performance is required that is unavailable from any </w:t>
      </w:r>
      <w:r w:rsidR="004426DF">
        <w:rPr>
          <w:sz w:val="24"/>
          <w:szCs w:val="24"/>
        </w:rPr>
        <w:t>military specification</w:t>
      </w:r>
      <w:r w:rsidR="008A3A95" w:rsidRPr="00540EB6">
        <w:rPr>
          <w:sz w:val="24"/>
          <w:szCs w:val="24"/>
        </w:rPr>
        <w:t xml:space="preserve"> part, and with the performance comes sensitivity, such as in high voltage or cryogenic </w:t>
      </w:r>
      <w:r w:rsidR="008A3A95" w:rsidRPr="00540EB6">
        <w:rPr>
          <w:sz w:val="24"/>
          <w:szCs w:val="24"/>
        </w:rPr>
        <w:lastRenderedPageBreak/>
        <w:t>applications.</w:t>
      </w:r>
      <w:r w:rsidR="00025EDD">
        <w:rPr>
          <w:sz w:val="24"/>
          <w:szCs w:val="24"/>
        </w:rPr>
        <w:t xml:space="preserve"> </w:t>
      </w:r>
      <w:r w:rsidR="008A3A95" w:rsidRPr="00540EB6">
        <w:rPr>
          <w:sz w:val="24"/>
          <w:szCs w:val="24"/>
        </w:rPr>
        <w:t xml:space="preserve">Such high-performance situations should prompt a detailed analysis on the prior history of using such parts or applications, and a careful characterization of risks based on </w:t>
      </w:r>
      <w:proofErr w:type="gramStart"/>
      <w:r w:rsidR="008A3A95" w:rsidRPr="00540EB6">
        <w:rPr>
          <w:sz w:val="24"/>
          <w:szCs w:val="24"/>
        </w:rPr>
        <w:t>past history</w:t>
      </w:r>
      <w:proofErr w:type="gramEnd"/>
      <w:r w:rsidR="008A3A95" w:rsidRPr="00540EB6">
        <w:rPr>
          <w:sz w:val="24"/>
          <w:szCs w:val="24"/>
        </w:rPr>
        <w:t xml:space="preserve"> and changes that have occurred from previous usage.</w:t>
      </w:r>
      <w:r w:rsidR="00025EDD">
        <w:rPr>
          <w:sz w:val="24"/>
          <w:szCs w:val="24"/>
        </w:rPr>
        <w:t xml:space="preserve"> </w:t>
      </w:r>
      <w:r w:rsidR="008A3A95" w:rsidRPr="00540EB6">
        <w:rPr>
          <w:sz w:val="24"/>
          <w:szCs w:val="24"/>
        </w:rPr>
        <w:t>Reliable application of any part requires using the part well within its specified environmental and operational limits (to include radiation) as well as understanding of any nuances (and in some cases weaknesses) in the specification sheet.</w:t>
      </w:r>
      <w:r w:rsidR="00025EDD">
        <w:rPr>
          <w:sz w:val="24"/>
          <w:szCs w:val="24"/>
        </w:rPr>
        <w:t xml:space="preserve"> </w:t>
      </w:r>
      <w:proofErr w:type="gramStart"/>
      <w:r w:rsidR="008A3A95" w:rsidRPr="00540EB6">
        <w:rPr>
          <w:sz w:val="24"/>
          <w:szCs w:val="24"/>
        </w:rPr>
        <w:t>As a means to</w:t>
      </w:r>
      <w:proofErr w:type="gramEnd"/>
      <w:r w:rsidR="008A3A95" w:rsidRPr="00540EB6">
        <w:rPr>
          <w:sz w:val="24"/>
          <w:szCs w:val="24"/>
        </w:rPr>
        <w:t xml:space="preserve"> define a path forward for the usage of COTS parts in critical applications, we need to define some boundaries on the COTS parts that are based on:</w:t>
      </w:r>
    </w:p>
    <w:p w14:paraId="66022416" w14:textId="77777777" w:rsidR="008A3A95" w:rsidRPr="00540EB6" w:rsidRDefault="008A3A95" w:rsidP="00E261E3">
      <w:pPr>
        <w:pStyle w:val="ListParagraph"/>
        <w:numPr>
          <w:ilvl w:val="0"/>
          <w:numId w:val="14"/>
        </w:numPr>
        <w:spacing w:line="480" w:lineRule="auto"/>
        <w:rPr>
          <w:sz w:val="24"/>
          <w:szCs w:val="24"/>
        </w:rPr>
      </w:pPr>
      <w:r w:rsidRPr="00540EB6">
        <w:rPr>
          <w:sz w:val="24"/>
          <w:szCs w:val="24"/>
        </w:rPr>
        <w:t xml:space="preserve"> Manufacturer capabilities and experience</w:t>
      </w:r>
    </w:p>
    <w:p w14:paraId="7B2F3B54" w14:textId="77777777" w:rsidR="008A3A95" w:rsidRPr="00540EB6" w:rsidRDefault="008A3A95" w:rsidP="00E261E3">
      <w:pPr>
        <w:pStyle w:val="ListParagraph"/>
        <w:numPr>
          <w:ilvl w:val="0"/>
          <w:numId w:val="14"/>
        </w:numPr>
        <w:spacing w:line="480" w:lineRule="auto"/>
        <w:rPr>
          <w:sz w:val="24"/>
          <w:szCs w:val="24"/>
        </w:rPr>
      </w:pPr>
      <w:r w:rsidRPr="00540EB6">
        <w:rPr>
          <w:sz w:val="24"/>
          <w:szCs w:val="24"/>
        </w:rPr>
        <w:t>Availability of pertinent information to characterize part reliability including internal screening processes and allowable defect rates</w:t>
      </w:r>
    </w:p>
    <w:p w14:paraId="5E03EF76" w14:textId="77777777" w:rsidR="008A3A95" w:rsidRPr="00540EB6" w:rsidRDefault="008A3A95" w:rsidP="00E261E3">
      <w:pPr>
        <w:pStyle w:val="ListParagraph"/>
        <w:numPr>
          <w:ilvl w:val="0"/>
          <w:numId w:val="14"/>
        </w:numPr>
        <w:spacing w:line="480" w:lineRule="auto"/>
        <w:rPr>
          <w:sz w:val="24"/>
          <w:szCs w:val="24"/>
        </w:rPr>
      </w:pPr>
      <w:r w:rsidRPr="00540EB6">
        <w:rPr>
          <w:sz w:val="24"/>
          <w:szCs w:val="24"/>
        </w:rPr>
        <w:t>Volume of production</w:t>
      </w:r>
    </w:p>
    <w:p w14:paraId="58067C13" w14:textId="77777777" w:rsidR="008A3A95" w:rsidRPr="00540EB6" w:rsidRDefault="008A3A95" w:rsidP="00E261E3">
      <w:pPr>
        <w:pStyle w:val="ListParagraph"/>
        <w:numPr>
          <w:ilvl w:val="0"/>
          <w:numId w:val="14"/>
        </w:numPr>
        <w:spacing w:line="480" w:lineRule="auto"/>
        <w:rPr>
          <w:sz w:val="24"/>
          <w:szCs w:val="24"/>
        </w:rPr>
      </w:pPr>
      <w:r w:rsidRPr="00540EB6">
        <w:rPr>
          <w:sz w:val="24"/>
          <w:szCs w:val="24"/>
        </w:rPr>
        <w:t>History of the part in the application environment</w:t>
      </w:r>
    </w:p>
    <w:p w14:paraId="0BD2C88F" w14:textId="77777777" w:rsidR="008A3A95" w:rsidRPr="00540EB6" w:rsidRDefault="008A3A95" w:rsidP="00E261E3">
      <w:pPr>
        <w:spacing w:line="480" w:lineRule="auto"/>
        <w:rPr>
          <w:sz w:val="24"/>
          <w:szCs w:val="24"/>
        </w:rPr>
      </w:pPr>
    </w:p>
    <w:p w14:paraId="3064DFC1" w14:textId="70DDC026" w:rsidR="008A3A95" w:rsidRPr="00540EB6" w:rsidRDefault="008A3A95" w:rsidP="00E261E3">
      <w:pPr>
        <w:spacing w:line="480" w:lineRule="auto"/>
        <w:rPr>
          <w:sz w:val="24"/>
          <w:szCs w:val="24"/>
        </w:rPr>
      </w:pPr>
      <w:r w:rsidRPr="00540EB6">
        <w:rPr>
          <w:sz w:val="24"/>
          <w:szCs w:val="24"/>
        </w:rPr>
        <w:t>In a recent study</w:t>
      </w:r>
      <w:r w:rsidR="000F117D" w:rsidRPr="00540EB6">
        <w:rPr>
          <w:sz w:val="24"/>
          <w:szCs w:val="24"/>
        </w:rPr>
        <w:t xml:space="preserve"> </w:t>
      </w:r>
      <w:r w:rsidR="000F117D" w:rsidRPr="00540EB6">
        <w:rPr>
          <w:sz w:val="24"/>
          <w:szCs w:val="24"/>
        </w:rPr>
        <w:fldChar w:fldCharType="begin"/>
      </w:r>
      <w:r w:rsidR="000F117D" w:rsidRPr="00540EB6">
        <w:rPr>
          <w:sz w:val="24"/>
          <w:szCs w:val="24"/>
        </w:rPr>
        <w:instrText xml:space="preserve"> REF _Ref67578905 \r \h </w:instrText>
      </w:r>
      <w:r w:rsidR="00E261E3" w:rsidRPr="00540EB6">
        <w:rPr>
          <w:sz w:val="24"/>
          <w:szCs w:val="24"/>
        </w:rPr>
        <w:instrText xml:space="preserve"> \* MERGEFORMAT </w:instrText>
      </w:r>
      <w:r w:rsidR="000F117D" w:rsidRPr="00540EB6">
        <w:rPr>
          <w:sz w:val="24"/>
          <w:szCs w:val="24"/>
        </w:rPr>
      </w:r>
      <w:r w:rsidR="000F117D" w:rsidRPr="00540EB6">
        <w:rPr>
          <w:sz w:val="24"/>
          <w:szCs w:val="24"/>
        </w:rPr>
        <w:fldChar w:fldCharType="separate"/>
      </w:r>
      <w:r w:rsidR="003102F4" w:rsidRPr="00540EB6">
        <w:rPr>
          <w:sz w:val="24"/>
          <w:szCs w:val="24"/>
        </w:rPr>
        <w:t>[1]</w:t>
      </w:r>
      <w:r w:rsidR="000F117D" w:rsidRPr="00540EB6">
        <w:rPr>
          <w:sz w:val="24"/>
          <w:szCs w:val="24"/>
        </w:rPr>
        <w:fldChar w:fldCharType="end"/>
      </w:r>
      <w:r w:rsidRPr="00540EB6">
        <w:rPr>
          <w:sz w:val="24"/>
          <w:szCs w:val="24"/>
        </w:rPr>
        <w:t xml:space="preserve">, the term </w:t>
      </w:r>
      <w:r w:rsidRPr="00540EB6">
        <w:rPr>
          <w:i/>
          <w:iCs/>
          <w:sz w:val="24"/>
          <w:szCs w:val="24"/>
        </w:rPr>
        <w:t>Industry Leading Parts Manufacturer</w:t>
      </w:r>
      <w:r w:rsidRPr="00540EB6">
        <w:rPr>
          <w:sz w:val="24"/>
          <w:szCs w:val="24"/>
        </w:rPr>
        <w:t xml:space="preserve"> (ILPM) has been coined to represent a manufacturer that has many qualities that would be considered necessary to produce reliable parts.</w:t>
      </w:r>
      <w:r w:rsidR="00025EDD">
        <w:rPr>
          <w:sz w:val="24"/>
          <w:szCs w:val="24"/>
        </w:rPr>
        <w:t xml:space="preserve"> </w:t>
      </w:r>
      <w:r w:rsidRPr="00540EB6">
        <w:rPr>
          <w:sz w:val="24"/>
          <w:szCs w:val="24"/>
        </w:rPr>
        <w:t>A second phase of that study is working to expand the concept and defining characteristics of the ILPM.</w:t>
      </w:r>
      <w:r w:rsidR="00025EDD">
        <w:rPr>
          <w:sz w:val="24"/>
          <w:szCs w:val="24"/>
        </w:rPr>
        <w:t xml:space="preserve"> </w:t>
      </w:r>
      <w:r w:rsidRPr="00540EB6">
        <w:rPr>
          <w:sz w:val="24"/>
          <w:szCs w:val="24"/>
        </w:rPr>
        <w:t xml:space="preserve">We propose the following table to establish risk comparisons among </w:t>
      </w:r>
      <w:r w:rsidR="00513717">
        <w:rPr>
          <w:sz w:val="24"/>
          <w:szCs w:val="24"/>
        </w:rPr>
        <w:t xml:space="preserve">(1) </w:t>
      </w:r>
      <w:r w:rsidRPr="00540EB6">
        <w:rPr>
          <w:sz w:val="24"/>
          <w:szCs w:val="24"/>
        </w:rPr>
        <w:t xml:space="preserve">COTS parts, </w:t>
      </w:r>
      <w:r w:rsidR="00513717">
        <w:rPr>
          <w:sz w:val="24"/>
          <w:szCs w:val="24"/>
        </w:rPr>
        <w:t xml:space="preserve">(2) </w:t>
      </w:r>
      <w:proofErr w:type="spellStart"/>
      <w:r w:rsidRPr="00540EB6">
        <w:rPr>
          <w:sz w:val="24"/>
          <w:szCs w:val="24"/>
        </w:rPr>
        <w:t>upscreened</w:t>
      </w:r>
      <w:proofErr w:type="spellEnd"/>
      <w:r w:rsidRPr="00540EB6">
        <w:rPr>
          <w:sz w:val="24"/>
          <w:szCs w:val="24"/>
        </w:rPr>
        <w:t xml:space="preserve"> COTS parts (denoted “NASA-screened COTS”) per </w:t>
      </w:r>
      <w:r w:rsidR="001123F6">
        <w:rPr>
          <w:sz w:val="24"/>
          <w:szCs w:val="24"/>
        </w:rPr>
        <w:t xml:space="preserve">the NASA Goddard </w:t>
      </w:r>
      <w:r w:rsidR="00513717">
        <w:rPr>
          <w:sz w:val="24"/>
          <w:szCs w:val="24"/>
        </w:rPr>
        <w:t xml:space="preserve">Space Flight </w:t>
      </w:r>
      <w:r w:rsidR="001123F6">
        <w:rPr>
          <w:sz w:val="24"/>
          <w:szCs w:val="24"/>
        </w:rPr>
        <w:t xml:space="preserve">Center document, </w:t>
      </w:r>
      <w:r w:rsidR="004426DF">
        <w:rPr>
          <w:sz w:val="24"/>
          <w:szCs w:val="24"/>
        </w:rPr>
        <w:t>I</w:t>
      </w:r>
      <w:r w:rsidR="004426DF" w:rsidRPr="004426DF">
        <w:rPr>
          <w:sz w:val="24"/>
          <w:szCs w:val="24"/>
        </w:rPr>
        <w:t xml:space="preserve">nstructions for EEE Parts Selection, Screening, Qualification, and Derating </w:t>
      </w:r>
      <w:r w:rsidR="004426DF">
        <w:rPr>
          <w:sz w:val="24"/>
          <w:szCs w:val="24"/>
        </w:rPr>
        <w:t>(</w:t>
      </w:r>
      <w:r w:rsidRPr="00540EB6">
        <w:rPr>
          <w:sz w:val="24"/>
          <w:szCs w:val="24"/>
        </w:rPr>
        <w:t>EEE-INST-002</w:t>
      </w:r>
      <w:r w:rsidR="004426DF">
        <w:rPr>
          <w:sz w:val="24"/>
          <w:szCs w:val="24"/>
        </w:rPr>
        <w:t>)</w:t>
      </w:r>
      <w:r w:rsidRPr="00540EB6">
        <w:rPr>
          <w:sz w:val="24"/>
          <w:szCs w:val="24"/>
        </w:rPr>
        <w:t xml:space="preserve">, and </w:t>
      </w:r>
      <w:r w:rsidR="00513717">
        <w:rPr>
          <w:sz w:val="24"/>
          <w:szCs w:val="24"/>
        </w:rPr>
        <w:t xml:space="preserve">(3) </w:t>
      </w:r>
      <w:r w:rsidRPr="00540EB6">
        <w:rPr>
          <w:sz w:val="24"/>
          <w:szCs w:val="24"/>
        </w:rPr>
        <w:t>parts</w:t>
      </w:r>
      <w:r w:rsidR="004426DF">
        <w:rPr>
          <w:sz w:val="24"/>
          <w:szCs w:val="24"/>
        </w:rPr>
        <w:t xml:space="preserve"> qualified </w:t>
      </w:r>
      <w:r w:rsidR="00513717">
        <w:rPr>
          <w:sz w:val="24"/>
          <w:szCs w:val="24"/>
        </w:rPr>
        <w:t>and</w:t>
      </w:r>
      <w:r w:rsidR="004426DF">
        <w:rPr>
          <w:sz w:val="24"/>
          <w:szCs w:val="24"/>
        </w:rPr>
        <w:t xml:space="preserve"> tested</w:t>
      </w:r>
      <w:r w:rsidRPr="00540EB6">
        <w:rPr>
          <w:sz w:val="24"/>
          <w:szCs w:val="24"/>
        </w:rPr>
        <w:t xml:space="preserve"> to </w:t>
      </w:r>
      <w:r w:rsidR="004426DF">
        <w:rPr>
          <w:sz w:val="24"/>
          <w:szCs w:val="24"/>
        </w:rPr>
        <w:t xml:space="preserve">military specifications </w:t>
      </w:r>
      <w:r w:rsidRPr="00540EB6">
        <w:rPr>
          <w:sz w:val="24"/>
          <w:szCs w:val="24"/>
        </w:rPr>
        <w:t>compare expected early failure likelihoods</w:t>
      </w:r>
      <w:r w:rsidR="000F117D" w:rsidRPr="00540EB6">
        <w:rPr>
          <w:sz w:val="24"/>
          <w:szCs w:val="24"/>
        </w:rPr>
        <w:t xml:space="preserve"> (EFL)</w:t>
      </w:r>
      <w:r w:rsidRPr="00540EB6">
        <w:rPr>
          <w:sz w:val="24"/>
          <w:szCs w:val="24"/>
        </w:rPr>
        <w:t xml:space="preserve"> based on these and other various attributes.</w:t>
      </w:r>
    </w:p>
    <w:p w14:paraId="28E8C5BB" w14:textId="77777777" w:rsidR="008A3A95" w:rsidRPr="00540EB6" w:rsidRDefault="008A3A95" w:rsidP="008A3A95">
      <w:pPr>
        <w:rPr>
          <w:sz w:val="24"/>
          <w:szCs w:val="24"/>
        </w:rPr>
      </w:pPr>
    </w:p>
    <w:p w14:paraId="3C3C6BFD" w14:textId="77777777" w:rsidR="005B7B91" w:rsidRPr="00540EB6" w:rsidRDefault="005B7B91" w:rsidP="005B7B91">
      <w:pPr>
        <w:pStyle w:val="TableTitle"/>
        <w:rPr>
          <w:sz w:val="24"/>
          <w:szCs w:val="24"/>
        </w:rPr>
      </w:pPr>
    </w:p>
    <w:p w14:paraId="1D08EC62" w14:textId="06216520" w:rsidR="00517E5B" w:rsidRDefault="00517E5B" w:rsidP="00D92557">
      <w:pPr>
        <w:pStyle w:val="Caption"/>
        <w:keepNext/>
        <w:jc w:val="center"/>
        <w:rPr>
          <w:sz w:val="24"/>
          <w:szCs w:val="24"/>
        </w:rPr>
      </w:pPr>
      <w:bookmarkStart w:id="4" w:name="_Ref78874936"/>
      <w:bookmarkStart w:id="5" w:name="_Ref78874915"/>
      <w:r w:rsidRPr="00540EB6">
        <w:rPr>
          <w:sz w:val="24"/>
          <w:szCs w:val="24"/>
        </w:rPr>
        <w:lastRenderedPageBreak/>
        <w:t xml:space="preserve">Table </w:t>
      </w:r>
      <w:r w:rsidR="00852654" w:rsidRPr="00540EB6">
        <w:rPr>
          <w:sz w:val="24"/>
          <w:szCs w:val="24"/>
        </w:rPr>
        <w:fldChar w:fldCharType="begin"/>
      </w:r>
      <w:r w:rsidR="00852654" w:rsidRPr="00540EB6">
        <w:rPr>
          <w:sz w:val="24"/>
          <w:szCs w:val="24"/>
        </w:rPr>
        <w:instrText xml:space="preserve"> SEQ Table \* ARABIC </w:instrText>
      </w:r>
      <w:r w:rsidR="00852654" w:rsidRPr="00540EB6">
        <w:rPr>
          <w:sz w:val="24"/>
          <w:szCs w:val="24"/>
        </w:rPr>
        <w:fldChar w:fldCharType="separate"/>
      </w:r>
      <w:r w:rsidR="003102F4" w:rsidRPr="00540EB6">
        <w:rPr>
          <w:noProof/>
          <w:sz w:val="24"/>
          <w:szCs w:val="24"/>
        </w:rPr>
        <w:t>1</w:t>
      </w:r>
      <w:r w:rsidR="00852654" w:rsidRPr="00540EB6">
        <w:rPr>
          <w:noProof/>
          <w:sz w:val="24"/>
          <w:szCs w:val="24"/>
        </w:rPr>
        <w:fldChar w:fldCharType="end"/>
      </w:r>
      <w:bookmarkEnd w:id="4"/>
      <w:r w:rsidR="00025EDD">
        <w:rPr>
          <w:sz w:val="24"/>
          <w:szCs w:val="24"/>
        </w:rPr>
        <w:t xml:space="preserve"> </w:t>
      </w:r>
      <w:r w:rsidRPr="00540EB6">
        <w:rPr>
          <w:sz w:val="24"/>
          <w:szCs w:val="24"/>
        </w:rPr>
        <w:t>Proposed Early Failure Likelihood Comparison for Various Approaches for Part Selection and Screening</w:t>
      </w:r>
      <w:bookmarkEnd w:id="5"/>
    </w:p>
    <w:tbl>
      <w:tblPr>
        <w:tblStyle w:val="TableGrid"/>
        <w:tblpPr w:bottomFromText="288" w:vertAnchor="text" w:horzAnchor="margin" w:tblpYSpec="bottom"/>
        <w:tblOverlap w:val="never"/>
        <w:tblW w:w="10075" w:type="dxa"/>
        <w:tblCellMar>
          <w:left w:w="0" w:type="dxa"/>
          <w:right w:w="0" w:type="dxa"/>
        </w:tblCellMar>
        <w:tblLook w:val="04A0" w:firstRow="1" w:lastRow="0" w:firstColumn="1" w:lastColumn="0" w:noHBand="0" w:noVBand="1"/>
      </w:tblPr>
      <w:tblGrid>
        <w:gridCol w:w="810"/>
        <w:gridCol w:w="1890"/>
        <w:gridCol w:w="1710"/>
        <w:gridCol w:w="1890"/>
        <w:gridCol w:w="2160"/>
        <w:gridCol w:w="1615"/>
      </w:tblGrid>
      <w:tr w:rsidR="00FB4998" w:rsidRPr="00C85F58" w14:paraId="31279001" w14:textId="77777777" w:rsidTr="00162F71">
        <w:trPr>
          <w:trHeight w:val="906"/>
        </w:trPr>
        <w:tc>
          <w:tcPr>
            <w:tcW w:w="810" w:type="dxa"/>
          </w:tcPr>
          <w:p w14:paraId="3E6EE5A3" w14:textId="77777777" w:rsidR="00FB4998" w:rsidRPr="00C85F58" w:rsidRDefault="00FB4998" w:rsidP="00162F71">
            <w:pPr>
              <w:rPr>
                <w:rFonts w:ascii="Times New Roman" w:hAnsi="Times New Roman" w:cs="Times New Roman"/>
                <w:sz w:val="16"/>
                <w:szCs w:val="16"/>
              </w:rPr>
            </w:pPr>
          </w:p>
        </w:tc>
        <w:tc>
          <w:tcPr>
            <w:tcW w:w="1890" w:type="dxa"/>
          </w:tcPr>
          <w:p w14:paraId="3F6C8671" w14:textId="77777777" w:rsidR="00FB4998" w:rsidRPr="00C85F58" w:rsidRDefault="00FB4998" w:rsidP="00162F71">
            <w:pPr>
              <w:tabs>
                <w:tab w:val="left" w:pos="880"/>
              </w:tabs>
              <w:jc w:val="center"/>
              <w:rPr>
                <w:rFonts w:ascii="Times New Roman" w:hAnsi="Times New Roman" w:cs="Times New Roman"/>
                <w:b/>
                <w:bCs/>
                <w:sz w:val="16"/>
                <w:szCs w:val="16"/>
              </w:rPr>
            </w:pPr>
            <w:r w:rsidRPr="00C85F58">
              <w:rPr>
                <w:rFonts w:ascii="Times New Roman" w:hAnsi="Times New Roman" w:cs="Times New Roman"/>
                <w:b/>
                <w:bCs/>
                <w:sz w:val="16"/>
                <w:szCs w:val="16"/>
              </w:rPr>
              <w:t>Commercial engineering or unknown grade</w:t>
            </w:r>
          </w:p>
        </w:tc>
        <w:tc>
          <w:tcPr>
            <w:tcW w:w="1710" w:type="dxa"/>
          </w:tcPr>
          <w:p w14:paraId="416E69ED" w14:textId="77777777" w:rsidR="00FB4998" w:rsidRPr="00C85F58" w:rsidRDefault="00FB4998" w:rsidP="00162F71">
            <w:pPr>
              <w:jc w:val="center"/>
              <w:rPr>
                <w:rFonts w:ascii="Times New Roman" w:hAnsi="Times New Roman" w:cs="Times New Roman"/>
                <w:b/>
                <w:bCs/>
                <w:sz w:val="16"/>
                <w:szCs w:val="16"/>
              </w:rPr>
            </w:pPr>
            <w:r w:rsidRPr="00C85F58">
              <w:rPr>
                <w:rFonts w:ascii="Times New Roman" w:hAnsi="Times New Roman" w:cs="Times New Roman"/>
                <w:b/>
                <w:bCs/>
                <w:sz w:val="16"/>
                <w:szCs w:val="16"/>
              </w:rPr>
              <w:t>Commercial hi-</w:t>
            </w:r>
            <w:proofErr w:type="spellStart"/>
            <w:r w:rsidRPr="00C85F58">
              <w:rPr>
                <w:rFonts w:ascii="Times New Roman" w:hAnsi="Times New Roman" w:cs="Times New Roman"/>
                <w:b/>
                <w:bCs/>
                <w:sz w:val="16"/>
                <w:szCs w:val="16"/>
              </w:rPr>
              <w:t>rel</w:t>
            </w:r>
            <w:proofErr w:type="spellEnd"/>
          </w:p>
        </w:tc>
        <w:tc>
          <w:tcPr>
            <w:tcW w:w="1890" w:type="dxa"/>
          </w:tcPr>
          <w:p w14:paraId="43E290E0" w14:textId="77777777" w:rsidR="00FB4998" w:rsidRPr="00C85F58" w:rsidRDefault="00FB4998" w:rsidP="00162F71">
            <w:pPr>
              <w:jc w:val="center"/>
              <w:rPr>
                <w:rFonts w:ascii="Times New Roman" w:hAnsi="Times New Roman" w:cs="Times New Roman"/>
                <w:b/>
                <w:bCs/>
                <w:sz w:val="16"/>
                <w:szCs w:val="16"/>
              </w:rPr>
            </w:pPr>
            <w:r w:rsidRPr="00C85F58">
              <w:rPr>
                <w:rFonts w:ascii="Times New Roman" w:hAnsi="Times New Roman" w:cs="Times New Roman"/>
                <w:b/>
                <w:bCs/>
                <w:sz w:val="16"/>
                <w:szCs w:val="16"/>
              </w:rPr>
              <w:t>Industry-body grade</w:t>
            </w:r>
            <w:r w:rsidRPr="00C85F58">
              <w:rPr>
                <w:rStyle w:val="FootnoteReference"/>
                <w:rFonts w:ascii="Times New Roman" w:hAnsi="Times New Roman" w:cs="Times New Roman"/>
                <w:b/>
                <w:bCs/>
                <w:sz w:val="16"/>
                <w:szCs w:val="16"/>
              </w:rPr>
              <w:footnoteReference w:id="5"/>
            </w:r>
            <w:r w:rsidRPr="00C85F58">
              <w:rPr>
                <w:rFonts w:ascii="Times New Roman" w:hAnsi="Times New Roman" w:cs="Times New Roman"/>
                <w:b/>
                <w:bCs/>
                <w:sz w:val="16"/>
                <w:szCs w:val="16"/>
              </w:rPr>
              <w:t xml:space="preserve"> (AEC, </w:t>
            </w:r>
            <w:proofErr w:type="spellStart"/>
            <w:r w:rsidRPr="00C85F58">
              <w:rPr>
                <w:rFonts w:ascii="Times New Roman" w:hAnsi="Times New Roman" w:cs="Times New Roman"/>
                <w:b/>
                <w:bCs/>
                <w:sz w:val="16"/>
                <w:szCs w:val="16"/>
              </w:rPr>
              <w:t>etc</w:t>
            </w:r>
            <w:proofErr w:type="spellEnd"/>
            <w:r w:rsidRPr="00C85F58">
              <w:rPr>
                <w:rFonts w:ascii="Times New Roman" w:hAnsi="Times New Roman" w:cs="Times New Roman"/>
                <w:b/>
                <w:bCs/>
                <w:sz w:val="16"/>
                <w:szCs w:val="16"/>
              </w:rPr>
              <w:t>)</w:t>
            </w:r>
          </w:p>
        </w:tc>
        <w:tc>
          <w:tcPr>
            <w:tcW w:w="2160" w:type="dxa"/>
          </w:tcPr>
          <w:p w14:paraId="65DCAACE" w14:textId="77777777" w:rsidR="00FB4998" w:rsidRPr="00C85F58" w:rsidRDefault="00FB4998" w:rsidP="00162F71">
            <w:pPr>
              <w:jc w:val="center"/>
              <w:rPr>
                <w:rFonts w:ascii="Times New Roman" w:hAnsi="Times New Roman" w:cs="Times New Roman"/>
                <w:b/>
                <w:bCs/>
                <w:sz w:val="16"/>
                <w:szCs w:val="16"/>
              </w:rPr>
            </w:pPr>
            <w:r>
              <w:rPr>
                <w:rFonts w:ascii="Times New Roman" w:hAnsi="Times New Roman" w:cs="Times New Roman"/>
                <w:b/>
                <w:bCs/>
                <w:sz w:val="16"/>
                <w:szCs w:val="16"/>
              </w:rPr>
              <w:t>Military specification</w:t>
            </w:r>
            <w:r w:rsidRPr="00C85F58">
              <w:rPr>
                <w:rFonts w:ascii="Times New Roman" w:hAnsi="Times New Roman" w:cs="Times New Roman"/>
                <w:b/>
                <w:bCs/>
                <w:sz w:val="16"/>
                <w:szCs w:val="16"/>
              </w:rPr>
              <w:t xml:space="preserve"> (any level or class)</w:t>
            </w:r>
          </w:p>
        </w:tc>
        <w:tc>
          <w:tcPr>
            <w:tcW w:w="1615" w:type="dxa"/>
          </w:tcPr>
          <w:p w14:paraId="5D917AF9" w14:textId="77777777" w:rsidR="00FB4998" w:rsidRPr="00C85F58" w:rsidRDefault="00FB4998" w:rsidP="00162F71">
            <w:pPr>
              <w:jc w:val="center"/>
              <w:rPr>
                <w:rFonts w:ascii="Times New Roman" w:hAnsi="Times New Roman" w:cs="Times New Roman"/>
                <w:b/>
                <w:bCs/>
                <w:sz w:val="16"/>
                <w:szCs w:val="16"/>
              </w:rPr>
            </w:pPr>
            <w:r w:rsidRPr="00C85F58">
              <w:rPr>
                <w:rFonts w:ascii="Times New Roman" w:hAnsi="Times New Roman" w:cs="Times New Roman"/>
                <w:b/>
                <w:bCs/>
                <w:sz w:val="16"/>
                <w:szCs w:val="16"/>
              </w:rPr>
              <w:t>NASA-screened COTS</w:t>
            </w:r>
          </w:p>
        </w:tc>
      </w:tr>
      <w:tr w:rsidR="00FB4998" w:rsidRPr="00C85F58" w14:paraId="6B38F2A6" w14:textId="77777777" w:rsidTr="00162F71">
        <w:trPr>
          <w:trHeight w:val="1703"/>
        </w:trPr>
        <w:tc>
          <w:tcPr>
            <w:tcW w:w="810" w:type="dxa"/>
          </w:tcPr>
          <w:p w14:paraId="55CC3F44" w14:textId="77777777" w:rsidR="00FB4998" w:rsidRPr="00C85F58" w:rsidRDefault="00FB4998" w:rsidP="00162F71">
            <w:pPr>
              <w:jc w:val="center"/>
              <w:rPr>
                <w:rFonts w:ascii="Times New Roman" w:hAnsi="Times New Roman" w:cs="Times New Roman"/>
                <w:b/>
                <w:bCs/>
                <w:sz w:val="16"/>
                <w:szCs w:val="16"/>
              </w:rPr>
            </w:pPr>
            <w:r w:rsidRPr="00C85F58">
              <w:rPr>
                <w:rFonts w:ascii="Times New Roman" w:hAnsi="Times New Roman" w:cs="Times New Roman"/>
                <w:b/>
                <w:bCs/>
                <w:sz w:val="16"/>
                <w:szCs w:val="16"/>
              </w:rPr>
              <w:t>Very low EFL</w:t>
            </w:r>
          </w:p>
        </w:tc>
        <w:tc>
          <w:tcPr>
            <w:tcW w:w="1890" w:type="dxa"/>
          </w:tcPr>
          <w:p w14:paraId="17A409CB" w14:textId="77777777" w:rsidR="00FB4998" w:rsidRPr="00C85F58" w:rsidRDefault="00FB4998" w:rsidP="00162F71">
            <w:pPr>
              <w:rPr>
                <w:rFonts w:ascii="Times New Roman" w:hAnsi="Times New Roman" w:cs="Times New Roman"/>
                <w:sz w:val="16"/>
                <w:szCs w:val="16"/>
              </w:rPr>
            </w:pPr>
            <w:r>
              <w:rPr>
                <w:rFonts w:ascii="Times New Roman" w:hAnsi="Times New Roman" w:cs="Times New Roman"/>
                <w:sz w:val="16"/>
                <w:szCs w:val="16"/>
              </w:rPr>
              <w:t>Not applicable</w:t>
            </w:r>
          </w:p>
        </w:tc>
        <w:tc>
          <w:tcPr>
            <w:tcW w:w="1710" w:type="dxa"/>
          </w:tcPr>
          <w:p w14:paraId="0B186E6A"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Derating per EEE-INST-002 guidelines</w:t>
            </w:r>
          </w:p>
          <w:p w14:paraId="43509ECA"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ILPM</w:t>
            </w:r>
          </w:p>
          <w:p w14:paraId="06E893C3"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High volume part</w:t>
            </w:r>
          </w:p>
          <w:p w14:paraId="2379544B"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Prior history with specific part.  Tolerance to SEU</w:t>
            </w:r>
            <w:r w:rsidRPr="00C85F58">
              <w:rPr>
                <w:rStyle w:val="FootnoteReference"/>
                <w:rFonts w:ascii="Times New Roman" w:hAnsi="Times New Roman" w:cs="Times New Roman"/>
                <w:sz w:val="16"/>
                <w:szCs w:val="16"/>
              </w:rPr>
              <w:footnoteReference w:id="6"/>
            </w:r>
            <w:r w:rsidRPr="00C85F58">
              <w:rPr>
                <w:rFonts w:ascii="Times New Roman" w:hAnsi="Times New Roman" w:cs="Times New Roman"/>
                <w:sz w:val="16"/>
                <w:szCs w:val="16"/>
              </w:rPr>
              <w:t xml:space="preserve">s addressed by </w:t>
            </w:r>
            <w:proofErr w:type="spellStart"/>
            <w:r w:rsidRPr="00C85F58">
              <w:rPr>
                <w:rFonts w:ascii="Times New Roman" w:hAnsi="Times New Roman" w:cs="Times New Roman"/>
                <w:sz w:val="16"/>
                <w:szCs w:val="16"/>
              </w:rPr>
              <w:t>resettability</w:t>
            </w:r>
            <w:proofErr w:type="spellEnd"/>
            <w:r w:rsidRPr="00C85F58">
              <w:rPr>
                <w:rFonts w:ascii="Times New Roman" w:hAnsi="Times New Roman" w:cs="Times New Roman"/>
                <w:sz w:val="16"/>
                <w:szCs w:val="16"/>
              </w:rPr>
              <w:t xml:space="preserve"> or similar fault-tolerance. </w:t>
            </w:r>
          </w:p>
          <w:p w14:paraId="00A37A6C"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Vendor performs 100% screening against data sheet for all parts.  </w:t>
            </w:r>
          </w:p>
          <w:p w14:paraId="1A9C250D" w14:textId="77777777" w:rsidR="00FB499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Radiation tolerant circuit design or confirmed TID</w:t>
            </w:r>
            <w:r w:rsidRPr="00C85F58">
              <w:rPr>
                <w:rStyle w:val="FootnoteReference"/>
                <w:rFonts w:ascii="Times New Roman" w:hAnsi="Times New Roman" w:cs="Times New Roman"/>
                <w:sz w:val="16"/>
                <w:szCs w:val="16"/>
              </w:rPr>
              <w:footnoteReference w:id="7"/>
            </w:r>
            <w:r w:rsidRPr="00C85F58">
              <w:rPr>
                <w:rFonts w:ascii="Times New Roman" w:hAnsi="Times New Roman" w:cs="Times New Roman"/>
                <w:sz w:val="16"/>
                <w:szCs w:val="16"/>
              </w:rPr>
              <w:t xml:space="preserve"> hardness.  </w:t>
            </w:r>
          </w:p>
          <w:p w14:paraId="734636D1" w14:textId="77777777" w:rsidR="00FB4998" w:rsidRPr="00C85F58" w:rsidRDefault="00FB4998" w:rsidP="00162F71">
            <w:pPr>
              <w:rPr>
                <w:rFonts w:ascii="Times New Roman" w:hAnsi="Times New Roman" w:cs="Times New Roman"/>
                <w:sz w:val="16"/>
                <w:szCs w:val="16"/>
              </w:rPr>
            </w:pPr>
            <w:r>
              <w:rPr>
                <w:rFonts w:ascii="Times New Roman" w:hAnsi="Times New Roman" w:cs="Times New Roman"/>
                <w:sz w:val="16"/>
                <w:szCs w:val="16"/>
              </w:rPr>
              <w:t>Field failure rate &lt; 10 ppm</w:t>
            </w:r>
          </w:p>
        </w:tc>
        <w:tc>
          <w:tcPr>
            <w:tcW w:w="1890" w:type="dxa"/>
          </w:tcPr>
          <w:p w14:paraId="67B1E620"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Derating per EEE-INST-002 guidelines</w:t>
            </w:r>
          </w:p>
          <w:p w14:paraId="2ED634F7"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ILPM </w:t>
            </w:r>
          </w:p>
          <w:p w14:paraId="6ABAAB50"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High volume part</w:t>
            </w:r>
          </w:p>
          <w:p w14:paraId="164B1620"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Prior history with specific part.  Tolerance to SEUs addressed by </w:t>
            </w:r>
            <w:proofErr w:type="spellStart"/>
            <w:r w:rsidRPr="00C85F58">
              <w:rPr>
                <w:rFonts w:ascii="Times New Roman" w:hAnsi="Times New Roman" w:cs="Times New Roman"/>
                <w:sz w:val="16"/>
                <w:szCs w:val="16"/>
              </w:rPr>
              <w:t>resettability</w:t>
            </w:r>
            <w:proofErr w:type="spellEnd"/>
            <w:r w:rsidRPr="00C85F58">
              <w:rPr>
                <w:rFonts w:ascii="Times New Roman" w:hAnsi="Times New Roman" w:cs="Times New Roman"/>
                <w:sz w:val="16"/>
                <w:szCs w:val="16"/>
              </w:rPr>
              <w:t xml:space="preserve"> or similar fault-tolerance.</w:t>
            </w:r>
          </w:p>
          <w:p w14:paraId="0AF4B58F" w14:textId="23BA6BA8" w:rsidR="00050A91" w:rsidRDefault="00FB4998" w:rsidP="00050A91">
            <w:pPr>
              <w:rPr>
                <w:rFonts w:ascii="Times New Roman" w:hAnsi="Times New Roman" w:cs="Times New Roman"/>
                <w:sz w:val="16"/>
                <w:szCs w:val="16"/>
              </w:rPr>
            </w:pPr>
            <w:r w:rsidRPr="00C85F58">
              <w:rPr>
                <w:rFonts w:ascii="Times New Roman" w:hAnsi="Times New Roman" w:cs="Times New Roman"/>
                <w:sz w:val="16"/>
                <w:szCs w:val="16"/>
              </w:rPr>
              <w:t xml:space="preserve">Vendor performs 100% screening against data sheet for all parts.  </w:t>
            </w:r>
            <w:r w:rsidR="00050A91" w:rsidRPr="00C85F58">
              <w:rPr>
                <w:rFonts w:ascii="Times New Roman" w:hAnsi="Times New Roman" w:cs="Times New Roman"/>
                <w:sz w:val="16"/>
                <w:szCs w:val="16"/>
              </w:rPr>
              <w:t xml:space="preserve"> </w:t>
            </w:r>
            <w:r w:rsidR="00050A91" w:rsidRPr="00C85F58">
              <w:rPr>
                <w:rFonts w:ascii="Times New Roman" w:hAnsi="Times New Roman" w:cs="Times New Roman"/>
                <w:sz w:val="16"/>
                <w:szCs w:val="16"/>
              </w:rPr>
              <w:t>Radiation tolerant circuit design or confirmed TID</w:t>
            </w:r>
            <w:r w:rsidR="00050A91" w:rsidRPr="00C85F58">
              <w:rPr>
                <w:rStyle w:val="FootnoteReference"/>
                <w:rFonts w:ascii="Times New Roman" w:hAnsi="Times New Roman" w:cs="Times New Roman"/>
                <w:sz w:val="16"/>
                <w:szCs w:val="16"/>
              </w:rPr>
              <w:footnoteReference w:id="8"/>
            </w:r>
            <w:r w:rsidR="00050A91" w:rsidRPr="00C85F58">
              <w:rPr>
                <w:rFonts w:ascii="Times New Roman" w:hAnsi="Times New Roman" w:cs="Times New Roman"/>
                <w:sz w:val="16"/>
                <w:szCs w:val="16"/>
              </w:rPr>
              <w:t xml:space="preserve"> hardness.  </w:t>
            </w:r>
          </w:p>
          <w:p w14:paraId="599C78FA" w14:textId="68E5F41B" w:rsidR="00FB4998" w:rsidRDefault="00FB4998" w:rsidP="00162F71">
            <w:pPr>
              <w:rPr>
                <w:rFonts w:ascii="Times New Roman" w:hAnsi="Times New Roman" w:cs="Times New Roman"/>
                <w:sz w:val="16"/>
                <w:szCs w:val="16"/>
              </w:rPr>
            </w:pPr>
          </w:p>
          <w:p w14:paraId="62DA073A" w14:textId="77777777" w:rsidR="00FB4998" w:rsidRPr="00C85F58" w:rsidRDefault="00FB4998" w:rsidP="00162F71">
            <w:pPr>
              <w:rPr>
                <w:rFonts w:ascii="Times New Roman" w:hAnsi="Times New Roman" w:cs="Times New Roman"/>
                <w:sz w:val="16"/>
                <w:szCs w:val="16"/>
              </w:rPr>
            </w:pPr>
            <w:r>
              <w:rPr>
                <w:rFonts w:ascii="Times New Roman" w:hAnsi="Times New Roman" w:cs="Times New Roman"/>
                <w:sz w:val="16"/>
                <w:szCs w:val="16"/>
              </w:rPr>
              <w:t>Field failure rate &lt; 10 ppm</w:t>
            </w:r>
          </w:p>
        </w:tc>
        <w:tc>
          <w:tcPr>
            <w:tcW w:w="2160" w:type="dxa"/>
          </w:tcPr>
          <w:p w14:paraId="6154384D"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Derating per EEE-INST-002 guidelines</w:t>
            </w:r>
          </w:p>
          <w:p w14:paraId="7700C1F4"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ILPM</w:t>
            </w:r>
          </w:p>
          <w:p w14:paraId="731DA1A0"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Prior history with specific part.  </w:t>
            </w:r>
          </w:p>
          <w:p w14:paraId="52CE7E38"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Tolerance to SEUs addressed by </w:t>
            </w:r>
            <w:proofErr w:type="spellStart"/>
            <w:r w:rsidRPr="00C85F58">
              <w:rPr>
                <w:rFonts w:ascii="Times New Roman" w:hAnsi="Times New Roman" w:cs="Times New Roman"/>
                <w:sz w:val="16"/>
                <w:szCs w:val="16"/>
              </w:rPr>
              <w:t>resettability</w:t>
            </w:r>
            <w:proofErr w:type="spellEnd"/>
            <w:r w:rsidRPr="00C85F58">
              <w:rPr>
                <w:rFonts w:ascii="Times New Roman" w:hAnsi="Times New Roman" w:cs="Times New Roman"/>
                <w:sz w:val="16"/>
                <w:szCs w:val="16"/>
              </w:rPr>
              <w:t xml:space="preserve"> or similar fault-tolerance</w:t>
            </w:r>
          </w:p>
          <w:p w14:paraId="56CD175D"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Radiation tolerant circuit design or confirmed TID hardness.</w:t>
            </w:r>
          </w:p>
        </w:tc>
        <w:tc>
          <w:tcPr>
            <w:tcW w:w="1615" w:type="dxa"/>
          </w:tcPr>
          <w:p w14:paraId="15062FA4"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Conservative derating</w:t>
            </w:r>
          </w:p>
          <w:p w14:paraId="295E6CCA"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ILPM</w:t>
            </w:r>
          </w:p>
          <w:p w14:paraId="26803C6E"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High volume part</w:t>
            </w:r>
          </w:p>
          <w:p w14:paraId="209B0089"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Prior history with specific part.  Tolerance to SEUs addressed by </w:t>
            </w:r>
            <w:proofErr w:type="spellStart"/>
            <w:r w:rsidRPr="00C85F58">
              <w:rPr>
                <w:rFonts w:ascii="Times New Roman" w:hAnsi="Times New Roman" w:cs="Times New Roman"/>
                <w:sz w:val="16"/>
                <w:szCs w:val="16"/>
              </w:rPr>
              <w:t>resettability</w:t>
            </w:r>
            <w:proofErr w:type="spellEnd"/>
            <w:r w:rsidRPr="00C85F58">
              <w:rPr>
                <w:rFonts w:ascii="Times New Roman" w:hAnsi="Times New Roman" w:cs="Times New Roman"/>
                <w:sz w:val="16"/>
                <w:szCs w:val="16"/>
              </w:rPr>
              <w:t xml:space="preserve"> or similar fault-tolerance</w:t>
            </w:r>
          </w:p>
          <w:p w14:paraId="75704090" w14:textId="77777777" w:rsidR="00FB499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Parts not </w:t>
            </w:r>
            <w:proofErr w:type="spellStart"/>
            <w:r w:rsidRPr="00C85F58">
              <w:rPr>
                <w:rFonts w:ascii="Times New Roman" w:hAnsi="Times New Roman" w:cs="Times New Roman"/>
                <w:sz w:val="16"/>
                <w:szCs w:val="16"/>
              </w:rPr>
              <w:t>overtested</w:t>
            </w:r>
            <w:proofErr w:type="spellEnd"/>
            <w:r w:rsidRPr="00C85F58">
              <w:rPr>
                <w:rFonts w:ascii="Times New Roman" w:hAnsi="Times New Roman" w:cs="Times New Roman"/>
                <w:sz w:val="16"/>
                <w:szCs w:val="16"/>
              </w:rPr>
              <w:t xml:space="preserve"> (in screens) relative to application or datasheet.  Radiation tolerant circuit design or confirmed TID hardness.</w:t>
            </w:r>
          </w:p>
          <w:p w14:paraId="6E69C860" w14:textId="77777777" w:rsidR="00FB4998" w:rsidRPr="00C85F58" w:rsidRDefault="00FB4998" w:rsidP="00162F71">
            <w:pPr>
              <w:rPr>
                <w:rFonts w:ascii="Times New Roman" w:hAnsi="Times New Roman" w:cs="Times New Roman"/>
                <w:sz w:val="16"/>
                <w:szCs w:val="16"/>
              </w:rPr>
            </w:pPr>
            <w:r>
              <w:rPr>
                <w:rFonts w:ascii="Times New Roman" w:hAnsi="Times New Roman" w:cs="Times New Roman"/>
                <w:sz w:val="16"/>
                <w:szCs w:val="16"/>
              </w:rPr>
              <w:t>Field failure rate &lt; 10 ppm</w:t>
            </w:r>
          </w:p>
        </w:tc>
      </w:tr>
      <w:tr w:rsidR="00FB4998" w:rsidRPr="00C85F58" w14:paraId="28494545" w14:textId="77777777" w:rsidTr="00162F71">
        <w:trPr>
          <w:trHeight w:val="1688"/>
        </w:trPr>
        <w:tc>
          <w:tcPr>
            <w:tcW w:w="810" w:type="dxa"/>
          </w:tcPr>
          <w:p w14:paraId="02C1BA2D" w14:textId="77777777" w:rsidR="00FB4998" w:rsidRPr="00C85F58" w:rsidRDefault="00FB4998" w:rsidP="00162F71">
            <w:pPr>
              <w:tabs>
                <w:tab w:val="left" w:pos="600"/>
              </w:tabs>
              <w:jc w:val="center"/>
              <w:rPr>
                <w:rFonts w:ascii="Times New Roman" w:hAnsi="Times New Roman" w:cs="Times New Roman"/>
                <w:b/>
                <w:bCs/>
                <w:sz w:val="16"/>
                <w:szCs w:val="16"/>
              </w:rPr>
            </w:pPr>
            <w:r w:rsidRPr="00C85F58">
              <w:rPr>
                <w:rFonts w:ascii="Times New Roman" w:hAnsi="Times New Roman" w:cs="Times New Roman"/>
                <w:b/>
                <w:bCs/>
                <w:sz w:val="16"/>
                <w:szCs w:val="16"/>
              </w:rPr>
              <w:t>Low EFL</w:t>
            </w:r>
          </w:p>
        </w:tc>
        <w:tc>
          <w:tcPr>
            <w:tcW w:w="1890" w:type="dxa"/>
          </w:tcPr>
          <w:p w14:paraId="5D100B2A"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Conservative derating</w:t>
            </w:r>
            <w:r w:rsidRPr="00C85F58">
              <w:rPr>
                <w:rStyle w:val="FootnoteReference"/>
                <w:rFonts w:ascii="Times New Roman" w:hAnsi="Times New Roman" w:cs="Times New Roman"/>
                <w:sz w:val="16"/>
                <w:szCs w:val="16"/>
              </w:rPr>
              <w:footnoteReference w:id="9"/>
            </w:r>
          </w:p>
          <w:p w14:paraId="4B893AA7"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ILPM</w:t>
            </w:r>
          </w:p>
          <w:p w14:paraId="6A9BF4D4"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High volume part</w:t>
            </w:r>
            <w:r w:rsidRPr="00C85F58">
              <w:rPr>
                <w:rStyle w:val="FootnoteReference"/>
                <w:rFonts w:ascii="Times New Roman" w:hAnsi="Times New Roman" w:cs="Times New Roman"/>
                <w:sz w:val="16"/>
                <w:szCs w:val="16"/>
              </w:rPr>
              <w:footnoteReference w:id="10"/>
            </w:r>
            <w:r w:rsidRPr="00C85F58">
              <w:rPr>
                <w:rFonts w:ascii="Times New Roman" w:hAnsi="Times New Roman" w:cs="Times New Roman"/>
                <w:sz w:val="16"/>
                <w:szCs w:val="16"/>
              </w:rPr>
              <w:t xml:space="preserve"> </w:t>
            </w:r>
          </w:p>
          <w:p w14:paraId="7C0C52E3"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Extensive prior history with specific part </w:t>
            </w:r>
          </w:p>
          <w:p w14:paraId="7FD4C18D"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User specialized screening processes applied. </w:t>
            </w:r>
          </w:p>
          <w:p w14:paraId="20123E6D" w14:textId="77777777" w:rsidR="00FB499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 Tolerance to SEUs addressed by </w:t>
            </w:r>
            <w:proofErr w:type="spellStart"/>
            <w:r w:rsidRPr="00C85F58">
              <w:rPr>
                <w:rFonts w:ascii="Times New Roman" w:hAnsi="Times New Roman" w:cs="Times New Roman"/>
                <w:sz w:val="16"/>
                <w:szCs w:val="16"/>
              </w:rPr>
              <w:t>resettability</w:t>
            </w:r>
            <w:proofErr w:type="spellEnd"/>
            <w:r w:rsidRPr="00C85F58">
              <w:rPr>
                <w:rFonts w:ascii="Times New Roman" w:hAnsi="Times New Roman" w:cs="Times New Roman"/>
                <w:sz w:val="16"/>
                <w:szCs w:val="16"/>
              </w:rPr>
              <w:t xml:space="preserve"> or similar fault-tolerance.  Radiation-tolerant circuit design or TID hardness</w:t>
            </w:r>
          </w:p>
          <w:p w14:paraId="76F1AD57" w14:textId="77777777" w:rsidR="00FB4998" w:rsidRPr="00C85F58" w:rsidRDefault="00FB4998" w:rsidP="00162F71">
            <w:pPr>
              <w:rPr>
                <w:rFonts w:ascii="Times New Roman" w:hAnsi="Times New Roman" w:cs="Times New Roman"/>
                <w:sz w:val="16"/>
                <w:szCs w:val="16"/>
              </w:rPr>
            </w:pPr>
            <w:r>
              <w:rPr>
                <w:rFonts w:ascii="Times New Roman" w:hAnsi="Times New Roman" w:cs="Times New Roman"/>
                <w:sz w:val="16"/>
                <w:szCs w:val="16"/>
              </w:rPr>
              <w:t>Field failure rate &lt; 10 ppm</w:t>
            </w:r>
          </w:p>
        </w:tc>
        <w:tc>
          <w:tcPr>
            <w:tcW w:w="1710" w:type="dxa"/>
          </w:tcPr>
          <w:p w14:paraId="3093E954"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Derating per EEE-INST-002</w:t>
            </w:r>
          </w:p>
          <w:p w14:paraId="356B05C5"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ILPM</w:t>
            </w:r>
          </w:p>
          <w:p w14:paraId="65C930A1" w14:textId="77777777" w:rsidR="00FB499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High volume part.  Tolerance to SEUs addressed by </w:t>
            </w:r>
            <w:proofErr w:type="spellStart"/>
            <w:r w:rsidRPr="00C85F58">
              <w:rPr>
                <w:rFonts w:ascii="Times New Roman" w:hAnsi="Times New Roman" w:cs="Times New Roman"/>
                <w:sz w:val="16"/>
                <w:szCs w:val="16"/>
              </w:rPr>
              <w:t>resettability</w:t>
            </w:r>
            <w:proofErr w:type="spellEnd"/>
            <w:r w:rsidRPr="00C85F58">
              <w:rPr>
                <w:rFonts w:ascii="Times New Roman" w:hAnsi="Times New Roman" w:cs="Times New Roman"/>
                <w:sz w:val="16"/>
                <w:szCs w:val="16"/>
              </w:rPr>
              <w:t xml:space="preserve"> or similar fault-tolerance</w:t>
            </w:r>
          </w:p>
          <w:p w14:paraId="725B7710" w14:textId="77777777" w:rsidR="00FB4998" w:rsidRPr="00C85F58" w:rsidRDefault="00FB4998" w:rsidP="00162F71">
            <w:pPr>
              <w:rPr>
                <w:rFonts w:ascii="Times New Roman" w:hAnsi="Times New Roman" w:cs="Times New Roman"/>
                <w:sz w:val="16"/>
                <w:szCs w:val="16"/>
              </w:rPr>
            </w:pPr>
            <w:r>
              <w:rPr>
                <w:rFonts w:ascii="Times New Roman" w:hAnsi="Times New Roman" w:cs="Times New Roman"/>
                <w:sz w:val="16"/>
                <w:szCs w:val="16"/>
              </w:rPr>
              <w:t>Field failure rate &lt; 25 ppm</w:t>
            </w:r>
          </w:p>
        </w:tc>
        <w:tc>
          <w:tcPr>
            <w:tcW w:w="1890" w:type="dxa"/>
          </w:tcPr>
          <w:p w14:paraId="39F39434"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Derating per EEE-INST-002 guidelines</w:t>
            </w:r>
          </w:p>
          <w:p w14:paraId="50895E3D"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ILPM</w:t>
            </w:r>
          </w:p>
          <w:p w14:paraId="40F131B6" w14:textId="77777777" w:rsidR="00FB499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High volume part.  Tolerance to SEUs addressed by </w:t>
            </w:r>
            <w:proofErr w:type="spellStart"/>
            <w:r w:rsidRPr="00C85F58">
              <w:rPr>
                <w:rFonts w:ascii="Times New Roman" w:hAnsi="Times New Roman" w:cs="Times New Roman"/>
                <w:sz w:val="16"/>
                <w:szCs w:val="16"/>
              </w:rPr>
              <w:t>resettability</w:t>
            </w:r>
            <w:proofErr w:type="spellEnd"/>
            <w:r w:rsidRPr="00C85F58">
              <w:rPr>
                <w:rFonts w:ascii="Times New Roman" w:hAnsi="Times New Roman" w:cs="Times New Roman"/>
                <w:sz w:val="16"/>
                <w:szCs w:val="16"/>
              </w:rPr>
              <w:t xml:space="preserve"> or similar fault-tolerance</w:t>
            </w:r>
          </w:p>
          <w:p w14:paraId="000CEE02" w14:textId="77777777" w:rsidR="00FB4998" w:rsidRPr="00C85F58" w:rsidRDefault="00FB4998" w:rsidP="00162F71">
            <w:pPr>
              <w:rPr>
                <w:rFonts w:ascii="Times New Roman" w:hAnsi="Times New Roman" w:cs="Times New Roman"/>
                <w:sz w:val="16"/>
                <w:szCs w:val="16"/>
              </w:rPr>
            </w:pPr>
            <w:r>
              <w:rPr>
                <w:rFonts w:ascii="Times New Roman" w:hAnsi="Times New Roman" w:cs="Times New Roman"/>
                <w:sz w:val="16"/>
                <w:szCs w:val="16"/>
              </w:rPr>
              <w:t>Field failure rate &lt; 25 ppm</w:t>
            </w:r>
          </w:p>
        </w:tc>
        <w:tc>
          <w:tcPr>
            <w:tcW w:w="2160" w:type="dxa"/>
          </w:tcPr>
          <w:p w14:paraId="0B1382DE"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Derating per EEE-INST-002 guidelines</w:t>
            </w:r>
          </w:p>
          <w:p w14:paraId="069044B6"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Tolerance to SEUs addressed by </w:t>
            </w:r>
            <w:proofErr w:type="spellStart"/>
            <w:r w:rsidRPr="00C85F58">
              <w:rPr>
                <w:rFonts w:ascii="Times New Roman" w:hAnsi="Times New Roman" w:cs="Times New Roman"/>
                <w:sz w:val="16"/>
                <w:szCs w:val="16"/>
              </w:rPr>
              <w:t>resettability</w:t>
            </w:r>
            <w:proofErr w:type="spellEnd"/>
            <w:r w:rsidRPr="00C85F58">
              <w:rPr>
                <w:rFonts w:ascii="Times New Roman" w:hAnsi="Times New Roman" w:cs="Times New Roman"/>
                <w:sz w:val="16"/>
                <w:szCs w:val="16"/>
              </w:rPr>
              <w:t xml:space="preserve"> or similar fault-tolerance</w:t>
            </w:r>
          </w:p>
        </w:tc>
        <w:tc>
          <w:tcPr>
            <w:tcW w:w="1615" w:type="dxa"/>
          </w:tcPr>
          <w:p w14:paraId="67A8B4E1"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Derating per EEE-INST-002 guidelines</w:t>
            </w:r>
          </w:p>
          <w:p w14:paraId="4E2FFD50"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ILPM</w:t>
            </w:r>
          </w:p>
          <w:p w14:paraId="2215CB11"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High volume part</w:t>
            </w:r>
          </w:p>
          <w:p w14:paraId="391C1F52"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Prior history with specific part.  Tolerance to SEUs addressed by </w:t>
            </w:r>
            <w:proofErr w:type="spellStart"/>
            <w:r w:rsidRPr="00C85F58">
              <w:rPr>
                <w:rFonts w:ascii="Times New Roman" w:hAnsi="Times New Roman" w:cs="Times New Roman"/>
                <w:sz w:val="16"/>
                <w:szCs w:val="16"/>
              </w:rPr>
              <w:t>resettability</w:t>
            </w:r>
            <w:proofErr w:type="spellEnd"/>
            <w:r w:rsidRPr="00C85F58">
              <w:rPr>
                <w:rFonts w:ascii="Times New Roman" w:hAnsi="Times New Roman" w:cs="Times New Roman"/>
                <w:sz w:val="16"/>
                <w:szCs w:val="16"/>
              </w:rPr>
              <w:t xml:space="preserve"> or similar fault-tolerance</w:t>
            </w:r>
          </w:p>
          <w:p w14:paraId="06EA65F5" w14:textId="77777777" w:rsidR="00FB499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Parts not </w:t>
            </w:r>
            <w:proofErr w:type="spellStart"/>
            <w:r w:rsidRPr="00C85F58">
              <w:rPr>
                <w:rFonts w:ascii="Times New Roman" w:hAnsi="Times New Roman" w:cs="Times New Roman"/>
                <w:sz w:val="16"/>
                <w:szCs w:val="16"/>
              </w:rPr>
              <w:t>overtested</w:t>
            </w:r>
            <w:proofErr w:type="spellEnd"/>
            <w:r w:rsidRPr="00C85F58">
              <w:rPr>
                <w:rFonts w:ascii="Times New Roman" w:hAnsi="Times New Roman" w:cs="Times New Roman"/>
                <w:sz w:val="16"/>
                <w:szCs w:val="16"/>
              </w:rPr>
              <w:t xml:space="preserve"> (in screens) relative to application or datasheet.</w:t>
            </w:r>
          </w:p>
          <w:p w14:paraId="69562152" w14:textId="77777777" w:rsidR="00FB4998" w:rsidRPr="00C85F58" w:rsidRDefault="00FB4998" w:rsidP="00162F71">
            <w:pPr>
              <w:rPr>
                <w:rFonts w:ascii="Times New Roman" w:hAnsi="Times New Roman" w:cs="Times New Roman"/>
                <w:sz w:val="16"/>
                <w:szCs w:val="16"/>
              </w:rPr>
            </w:pPr>
            <w:r>
              <w:rPr>
                <w:rFonts w:ascii="Times New Roman" w:hAnsi="Times New Roman" w:cs="Times New Roman"/>
                <w:sz w:val="16"/>
                <w:szCs w:val="16"/>
              </w:rPr>
              <w:t>Field failure rate &lt; 25 ppm</w:t>
            </w:r>
            <w:r w:rsidRPr="00C85F58">
              <w:rPr>
                <w:rFonts w:ascii="Times New Roman" w:hAnsi="Times New Roman" w:cs="Times New Roman"/>
                <w:sz w:val="16"/>
                <w:szCs w:val="16"/>
              </w:rPr>
              <w:t xml:space="preserve">   </w:t>
            </w:r>
          </w:p>
        </w:tc>
      </w:tr>
      <w:tr w:rsidR="00FB4998" w:rsidRPr="00C85F58" w14:paraId="32A1E120" w14:textId="77777777" w:rsidTr="00162F71">
        <w:trPr>
          <w:trHeight w:val="1022"/>
        </w:trPr>
        <w:tc>
          <w:tcPr>
            <w:tcW w:w="810" w:type="dxa"/>
          </w:tcPr>
          <w:p w14:paraId="1DF332EC" w14:textId="77777777" w:rsidR="00FB4998" w:rsidRPr="00C85F58" w:rsidRDefault="00FB4998" w:rsidP="00162F71">
            <w:pPr>
              <w:jc w:val="center"/>
              <w:rPr>
                <w:rFonts w:ascii="Times New Roman" w:hAnsi="Times New Roman" w:cs="Times New Roman"/>
                <w:b/>
                <w:bCs/>
                <w:sz w:val="16"/>
                <w:szCs w:val="16"/>
              </w:rPr>
            </w:pPr>
            <w:r w:rsidRPr="00C85F58">
              <w:rPr>
                <w:rFonts w:ascii="Times New Roman" w:hAnsi="Times New Roman" w:cs="Times New Roman"/>
                <w:b/>
                <w:bCs/>
                <w:sz w:val="16"/>
                <w:szCs w:val="16"/>
              </w:rPr>
              <w:t>Medium EFL</w:t>
            </w:r>
          </w:p>
        </w:tc>
        <w:tc>
          <w:tcPr>
            <w:tcW w:w="1890" w:type="dxa"/>
          </w:tcPr>
          <w:p w14:paraId="15F54CD2"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Derating per EEE-INST-002</w:t>
            </w:r>
          </w:p>
          <w:p w14:paraId="7E90D9E5"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ILPM</w:t>
            </w:r>
          </w:p>
          <w:p w14:paraId="16041C95"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Some prior history with specific part</w:t>
            </w:r>
          </w:p>
          <w:p w14:paraId="36C9334E"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User specialized screening processes applied.  </w:t>
            </w:r>
          </w:p>
        </w:tc>
        <w:tc>
          <w:tcPr>
            <w:tcW w:w="1710" w:type="dxa"/>
          </w:tcPr>
          <w:p w14:paraId="5FC2137F"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Derating per EEE-INST-002</w:t>
            </w:r>
          </w:p>
          <w:p w14:paraId="3372D903"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ILPM</w:t>
            </w:r>
          </w:p>
          <w:p w14:paraId="57FC14D1"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  </w:t>
            </w:r>
          </w:p>
        </w:tc>
        <w:tc>
          <w:tcPr>
            <w:tcW w:w="1890" w:type="dxa"/>
          </w:tcPr>
          <w:p w14:paraId="7CB76FC3"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Derating per EEE-INST-002</w:t>
            </w:r>
          </w:p>
          <w:p w14:paraId="244783E1" w14:textId="77777777" w:rsidR="00FB4998" w:rsidRPr="00C85F58" w:rsidRDefault="00FB4998" w:rsidP="00162F71">
            <w:pPr>
              <w:rPr>
                <w:rFonts w:ascii="Times New Roman" w:hAnsi="Times New Roman" w:cs="Times New Roman"/>
                <w:sz w:val="16"/>
                <w:szCs w:val="16"/>
              </w:rPr>
            </w:pPr>
          </w:p>
        </w:tc>
        <w:tc>
          <w:tcPr>
            <w:tcW w:w="2160" w:type="dxa"/>
          </w:tcPr>
          <w:p w14:paraId="669B01EA"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Use of part within spec sheet limits.  </w:t>
            </w:r>
          </w:p>
        </w:tc>
        <w:tc>
          <w:tcPr>
            <w:tcW w:w="1615" w:type="dxa"/>
          </w:tcPr>
          <w:p w14:paraId="63A54A2B"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Derating per EEE-INST-002</w:t>
            </w:r>
          </w:p>
          <w:p w14:paraId="571B3D7E"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ILPM</w:t>
            </w:r>
          </w:p>
          <w:p w14:paraId="4B12FDDD"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High volume part </w:t>
            </w:r>
          </w:p>
        </w:tc>
      </w:tr>
      <w:tr w:rsidR="00FB4998" w:rsidRPr="00C85F58" w14:paraId="7EC97CB7" w14:textId="77777777" w:rsidTr="00162F71">
        <w:trPr>
          <w:trHeight w:val="1006"/>
        </w:trPr>
        <w:tc>
          <w:tcPr>
            <w:tcW w:w="810" w:type="dxa"/>
          </w:tcPr>
          <w:p w14:paraId="07465A4D" w14:textId="77777777" w:rsidR="00FB4998" w:rsidRPr="00C85F58" w:rsidRDefault="00FB4998" w:rsidP="00162F71">
            <w:pPr>
              <w:jc w:val="center"/>
              <w:rPr>
                <w:rFonts w:ascii="Times New Roman" w:hAnsi="Times New Roman" w:cs="Times New Roman"/>
                <w:b/>
                <w:bCs/>
                <w:sz w:val="16"/>
                <w:szCs w:val="16"/>
              </w:rPr>
            </w:pPr>
            <w:r w:rsidRPr="00C85F58">
              <w:rPr>
                <w:rFonts w:ascii="Times New Roman" w:hAnsi="Times New Roman" w:cs="Times New Roman"/>
                <w:b/>
                <w:bCs/>
                <w:sz w:val="16"/>
                <w:szCs w:val="16"/>
              </w:rPr>
              <w:t>High EFL</w:t>
            </w:r>
          </w:p>
        </w:tc>
        <w:tc>
          <w:tcPr>
            <w:tcW w:w="1890" w:type="dxa"/>
          </w:tcPr>
          <w:p w14:paraId="3102EF00"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Use of part within datasheet specs</w:t>
            </w:r>
          </w:p>
          <w:p w14:paraId="5897A139"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Some prior history with specific or similar part</w:t>
            </w:r>
          </w:p>
          <w:p w14:paraId="4C10F9D3"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User specialized screening processes</w:t>
            </w:r>
          </w:p>
        </w:tc>
        <w:tc>
          <w:tcPr>
            <w:tcW w:w="1710" w:type="dxa"/>
          </w:tcPr>
          <w:p w14:paraId="424CDFA1"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Use of part within datasheet specs</w:t>
            </w:r>
          </w:p>
          <w:p w14:paraId="1A2C0460" w14:textId="77777777" w:rsidR="00FB4998" w:rsidRPr="00C85F58" w:rsidRDefault="00FB4998" w:rsidP="00162F71">
            <w:pPr>
              <w:rPr>
                <w:rFonts w:ascii="Times New Roman" w:hAnsi="Times New Roman" w:cs="Times New Roman"/>
                <w:sz w:val="16"/>
                <w:szCs w:val="16"/>
              </w:rPr>
            </w:pPr>
          </w:p>
        </w:tc>
        <w:tc>
          <w:tcPr>
            <w:tcW w:w="1890" w:type="dxa"/>
          </w:tcPr>
          <w:p w14:paraId="25B08508"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Use of part within datasheet specs</w:t>
            </w:r>
          </w:p>
        </w:tc>
        <w:tc>
          <w:tcPr>
            <w:tcW w:w="2160" w:type="dxa"/>
          </w:tcPr>
          <w:p w14:paraId="7FEC598C"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Use of part mostly within spec sheet limits</w:t>
            </w:r>
          </w:p>
        </w:tc>
        <w:tc>
          <w:tcPr>
            <w:tcW w:w="1615" w:type="dxa"/>
          </w:tcPr>
          <w:p w14:paraId="2934414D"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Use of part within spec sheet limits</w:t>
            </w:r>
          </w:p>
          <w:p w14:paraId="54BA011C" w14:textId="77777777" w:rsidR="00FB4998" w:rsidRPr="00C85F58" w:rsidRDefault="00FB4998" w:rsidP="00162F71">
            <w:pPr>
              <w:rPr>
                <w:rFonts w:ascii="Times New Roman" w:hAnsi="Times New Roman" w:cs="Times New Roman"/>
                <w:sz w:val="16"/>
                <w:szCs w:val="16"/>
              </w:rPr>
            </w:pPr>
          </w:p>
        </w:tc>
      </w:tr>
      <w:tr w:rsidR="00FB4998" w:rsidRPr="00C85F58" w14:paraId="7CE02C4A" w14:textId="77777777" w:rsidTr="00162F71">
        <w:trPr>
          <w:trHeight w:val="851"/>
        </w:trPr>
        <w:tc>
          <w:tcPr>
            <w:tcW w:w="810" w:type="dxa"/>
          </w:tcPr>
          <w:p w14:paraId="12C267C1" w14:textId="77777777" w:rsidR="00FB4998" w:rsidRPr="00C85F58" w:rsidRDefault="00FB4998" w:rsidP="00162F71">
            <w:pPr>
              <w:jc w:val="center"/>
              <w:rPr>
                <w:rFonts w:ascii="Times New Roman" w:hAnsi="Times New Roman" w:cs="Times New Roman"/>
                <w:b/>
                <w:bCs/>
                <w:sz w:val="16"/>
                <w:szCs w:val="16"/>
              </w:rPr>
            </w:pPr>
            <w:r w:rsidRPr="00C85F58">
              <w:rPr>
                <w:rFonts w:ascii="Times New Roman" w:hAnsi="Times New Roman" w:cs="Times New Roman"/>
                <w:b/>
                <w:bCs/>
                <w:sz w:val="16"/>
                <w:szCs w:val="16"/>
              </w:rPr>
              <w:t>Very High EFL</w:t>
            </w:r>
          </w:p>
        </w:tc>
        <w:tc>
          <w:tcPr>
            <w:tcW w:w="1890" w:type="dxa"/>
          </w:tcPr>
          <w:p w14:paraId="4713008C"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Use of part somewhat within datasheet specs</w:t>
            </w:r>
          </w:p>
          <w:p w14:paraId="3F08E5DB" w14:textId="77777777" w:rsidR="00FB4998" w:rsidRPr="00C85F58" w:rsidRDefault="00FB4998" w:rsidP="00162F71">
            <w:pPr>
              <w:rPr>
                <w:rFonts w:ascii="Times New Roman" w:hAnsi="Times New Roman" w:cs="Times New Roman"/>
                <w:sz w:val="16"/>
                <w:szCs w:val="16"/>
              </w:rPr>
            </w:pPr>
          </w:p>
        </w:tc>
        <w:tc>
          <w:tcPr>
            <w:tcW w:w="1710" w:type="dxa"/>
          </w:tcPr>
          <w:p w14:paraId="5366EB15"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Use of part regularly outside of datasheet limits</w:t>
            </w:r>
          </w:p>
        </w:tc>
        <w:tc>
          <w:tcPr>
            <w:tcW w:w="1890" w:type="dxa"/>
          </w:tcPr>
          <w:p w14:paraId="2E556D61" w14:textId="77777777" w:rsidR="00FB4998" w:rsidRPr="00C85F58" w:rsidRDefault="00FB4998" w:rsidP="00162F71">
            <w:pPr>
              <w:rPr>
                <w:rFonts w:ascii="Times New Roman" w:hAnsi="Times New Roman" w:cs="Times New Roman"/>
                <w:b/>
                <w:bCs/>
                <w:sz w:val="16"/>
                <w:szCs w:val="16"/>
              </w:rPr>
            </w:pPr>
            <w:r w:rsidRPr="00C85F58">
              <w:rPr>
                <w:rFonts w:ascii="Times New Roman" w:hAnsi="Times New Roman" w:cs="Times New Roman"/>
                <w:sz w:val="16"/>
                <w:szCs w:val="16"/>
              </w:rPr>
              <w:t>Use of part regularly outside of datasheet limits</w:t>
            </w:r>
          </w:p>
        </w:tc>
        <w:tc>
          <w:tcPr>
            <w:tcW w:w="2160" w:type="dxa"/>
          </w:tcPr>
          <w:p w14:paraId="1E51F988"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 xml:space="preserve">Use of part well outside of data sheet limits and outside of known radiation capability </w:t>
            </w:r>
          </w:p>
        </w:tc>
        <w:tc>
          <w:tcPr>
            <w:tcW w:w="1615" w:type="dxa"/>
          </w:tcPr>
          <w:p w14:paraId="49DEA156" w14:textId="77777777" w:rsidR="00FB4998" w:rsidRPr="00C85F58" w:rsidRDefault="00FB4998" w:rsidP="00162F71">
            <w:pPr>
              <w:rPr>
                <w:rFonts w:ascii="Times New Roman" w:hAnsi="Times New Roman" w:cs="Times New Roman"/>
                <w:sz w:val="16"/>
                <w:szCs w:val="16"/>
              </w:rPr>
            </w:pPr>
            <w:r w:rsidRPr="00C85F58">
              <w:rPr>
                <w:rFonts w:ascii="Times New Roman" w:hAnsi="Times New Roman" w:cs="Times New Roman"/>
                <w:sz w:val="16"/>
                <w:szCs w:val="16"/>
              </w:rPr>
              <w:t>Use or testing of part regularly outside of datasheet limits</w:t>
            </w:r>
          </w:p>
        </w:tc>
      </w:tr>
    </w:tbl>
    <w:p w14:paraId="3BD6E628" w14:textId="77777777" w:rsidR="00FB4998" w:rsidRPr="00CE08A4" w:rsidRDefault="00FB4998" w:rsidP="00CE08A4"/>
    <w:p w14:paraId="75079A94" w14:textId="55E812A6" w:rsidR="005B7B91" w:rsidRPr="00540EB6" w:rsidRDefault="005B7B91" w:rsidP="00E261E3">
      <w:pPr>
        <w:spacing w:line="480" w:lineRule="auto"/>
        <w:rPr>
          <w:sz w:val="24"/>
          <w:szCs w:val="24"/>
        </w:rPr>
      </w:pPr>
      <w:r w:rsidRPr="00540EB6">
        <w:rPr>
          <w:sz w:val="24"/>
          <w:szCs w:val="24"/>
        </w:rPr>
        <w:t>In</w:t>
      </w:r>
      <w:r w:rsidR="00517E5B" w:rsidRPr="00540EB6">
        <w:rPr>
          <w:sz w:val="24"/>
          <w:szCs w:val="24"/>
        </w:rPr>
        <w:t xml:space="preserve"> </w:t>
      </w:r>
      <w:r w:rsidR="00784217" w:rsidRPr="00540EB6">
        <w:rPr>
          <w:sz w:val="24"/>
          <w:szCs w:val="24"/>
        </w:rPr>
        <w:fldChar w:fldCharType="begin"/>
      </w:r>
      <w:r w:rsidR="00784217" w:rsidRPr="00540EB6">
        <w:rPr>
          <w:sz w:val="24"/>
          <w:szCs w:val="24"/>
        </w:rPr>
        <w:instrText xml:space="preserve"> REF _Ref78874936 \h </w:instrText>
      </w:r>
      <w:r w:rsidR="00E261E3" w:rsidRPr="00540EB6">
        <w:rPr>
          <w:sz w:val="24"/>
          <w:szCs w:val="24"/>
        </w:rPr>
        <w:instrText xml:space="preserve"> \* MERGEFORMAT </w:instrText>
      </w:r>
      <w:r w:rsidR="00784217" w:rsidRPr="00540EB6">
        <w:rPr>
          <w:sz w:val="24"/>
          <w:szCs w:val="24"/>
        </w:rPr>
      </w:r>
      <w:r w:rsidR="00784217" w:rsidRPr="00540EB6">
        <w:rPr>
          <w:sz w:val="24"/>
          <w:szCs w:val="24"/>
        </w:rPr>
        <w:fldChar w:fldCharType="separate"/>
      </w:r>
      <w:r w:rsidR="003102F4" w:rsidRPr="00540EB6">
        <w:rPr>
          <w:sz w:val="24"/>
          <w:szCs w:val="24"/>
        </w:rPr>
        <w:t xml:space="preserve">Table </w:t>
      </w:r>
      <w:r w:rsidR="003102F4" w:rsidRPr="00540EB6">
        <w:rPr>
          <w:noProof/>
          <w:sz w:val="24"/>
          <w:szCs w:val="24"/>
        </w:rPr>
        <w:t>1</w:t>
      </w:r>
      <w:r w:rsidR="00784217" w:rsidRPr="00540EB6">
        <w:rPr>
          <w:sz w:val="24"/>
          <w:szCs w:val="24"/>
        </w:rPr>
        <w:fldChar w:fldCharType="end"/>
      </w:r>
      <w:r w:rsidRPr="00540EB6">
        <w:rPr>
          <w:sz w:val="24"/>
          <w:szCs w:val="24"/>
        </w:rPr>
        <w:t xml:space="preserve">, the EFLs are only defined qualitatively to compare risk levels of different approaches (in which circuit design considerations such as fault-tolerance are considered), rather than to specify an absolute </w:t>
      </w:r>
      <w:r w:rsidRPr="00540EB6">
        <w:rPr>
          <w:sz w:val="24"/>
          <w:szCs w:val="24"/>
        </w:rPr>
        <w:lastRenderedPageBreak/>
        <w:t>expected failure probability.</w:t>
      </w:r>
      <w:r w:rsidR="00025EDD">
        <w:rPr>
          <w:sz w:val="24"/>
          <w:szCs w:val="24"/>
        </w:rPr>
        <w:t xml:space="preserve"> </w:t>
      </w:r>
      <w:r w:rsidRPr="00540EB6">
        <w:rPr>
          <w:sz w:val="24"/>
          <w:szCs w:val="24"/>
        </w:rPr>
        <w:t xml:space="preserve">For example, in selecting or assessing a parts assurance approach for a project, the table suggests that following the guidance under “Commercial </w:t>
      </w:r>
      <w:r w:rsidR="00050A91">
        <w:rPr>
          <w:sz w:val="24"/>
          <w:szCs w:val="24"/>
        </w:rPr>
        <w:t>hi-</w:t>
      </w:r>
      <w:proofErr w:type="spellStart"/>
      <w:r w:rsidR="00050A91">
        <w:rPr>
          <w:sz w:val="24"/>
          <w:szCs w:val="24"/>
        </w:rPr>
        <w:t>rel</w:t>
      </w:r>
      <w:proofErr w:type="spellEnd"/>
      <w:r w:rsidRPr="00540EB6">
        <w:rPr>
          <w:sz w:val="24"/>
          <w:szCs w:val="24"/>
        </w:rPr>
        <w:t xml:space="preserve"> grade” for </w:t>
      </w:r>
      <w:r w:rsidR="00050A91">
        <w:rPr>
          <w:sz w:val="24"/>
          <w:szCs w:val="24"/>
        </w:rPr>
        <w:t xml:space="preserve">very </w:t>
      </w:r>
      <w:r w:rsidRPr="00540EB6">
        <w:rPr>
          <w:sz w:val="24"/>
          <w:szCs w:val="24"/>
        </w:rPr>
        <w:t xml:space="preserve">low EFL, would be comparable in risk to using </w:t>
      </w:r>
      <w:r w:rsidR="00050A91">
        <w:rPr>
          <w:sz w:val="24"/>
          <w:szCs w:val="24"/>
        </w:rPr>
        <w:t>“Industry body grade”</w:t>
      </w:r>
      <w:r w:rsidRPr="00540EB6">
        <w:rPr>
          <w:sz w:val="24"/>
          <w:szCs w:val="24"/>
        </w:rPr>
        <w:t xml:space="preserve"> parts for the same circuit designs in the same operational environment.</w:t>
      </w:r>
      <w:r w:rsidR="00025EDD">
        <w:rPr>
          <w:sz w:val="24"/>
          <w:szCs w:val="24"/>
        </w:rPr>
        <w:t xml:space="preserve"> </w:t>
      </w:r>
      <w:r w:rsidRPr="00540EB6">
        <w:rPr>
          <w:sz w:val="24"/>
          <w:szCs w:val="24"/>
        </w:rPr>
        <w:t>This includes radiation as radiation levels are included in the derating aspects of the part, even if the part spec sheet does not include radiation.</w:t>
      </w:r>
      <w:r w:rsidR="00025EDD">
        <w:rPr>
          <w:sz w:val="24"/>
          <w:szCs w:val="24"/>
        </w:rPr>
        <w:t xml:space="preserve"> </w:t>
      </w:r>
      <w:r w:rsidRPr="00540EB6">
        <w:rPr>
          <w:sz w:val="24"/>
          <w:szCs w:val="24"/>
        </w:rPr>
        <w:t xml:space="preserve">If radiation is not considered in the </w:t>
      </w:r>
      <w:r w:rsidR="00FB7961">
        <w:rPr>
          <w:sz w:val="24"/>
          <w:szCs w:val="24"/>
        </w:rPr>
        <w:t>data</w:t>
      </w:r>
      <w:r w:rsidRPr="00540EB6">
        <w:rPr>
          <w:sz w:val="24"/>
          <w:szCs w:val="24"/>
        </w:rPr>
        <w:t>sheet, then the user must make its own determination, which is outside the scope of this paper.</w:t>
      </w:r>
      <w:r w:rsidR="00025EDD">
        <w:rPr>
          <w:sz w:val="24"/>
          <w:szCs w:val="24"/>
        </w:rPr>
        <w:t xml:space="preserve"> </w:t>
      </w:r>
      <w:r w:rsidRPr="00540EB6">
        <w:rPr>
          <w:sz w:val="24"/>
          <w:szCs w:val="24"/>
        </w:rPr>
        <w:t xml:space="preserve">However, it is important to point out that there is no difference in radiation risk between a NASA-screened COTS part and any other commercial part, and focused assessment of radiation is required for any of the part categories, including </w:t>
      </w:r>
      <w:r w:rsidR="004426DF">
        <w:rPr>
          <w:sz w:val="24"/>
          <w:szCs w:val="24"/>
        </w:rPr>
        <w:t>military specification</w:t>
      </w:r>
      <w:r w:rsidRPr="00540EB6">
        <w:rPr>
          <w:sz w:val="24"/>
          <w:szCs w:val="24"/>
        </w:rPr>
        <w:t xml:space="preserve"> parts.</w:t>
      </w:r>
      <w:r w:rsidR="00025EDD">
        <w:rPr>
          <w:sz w:val="24"/>
          <w:szCs w:val="24"/>
        </w:rPr>
        <w:t xml:space="preserve"> </w:t>
      </w:r>
      <w:r w:rsidRPr="00540EB6">
        <w:rPr>
          <w:sz w:val="24"/>
          <w:szCs w:val="24"/>
        </w:rPr>
        <w:t>NASA part screening levels (1, 2, 3, 4) do not address radiation in general.</w:t>
      </w:r>
      <w:r w:rsidR="00025EDD">
        <w:rPr>
          <w:sz w:val="24"/>
          <w:szCs w:val="24"/>
        </w:rPr>
        <w:t xml:space="preserve"> </w:t>
      </w:r>
      <w:r w:rsidRPr="00540EB6">
        <w:rPr>
          <w:sz w:val="24"/>
          <w:szCs w:val="24"/>
        </w:rPr>
        <w:t>Since part failure data do not indicate a difference in part failures with respect to different screening levels based on review of failure data over the past 15 years, there is no credible difference in risk of early failure among the different screening levels.</w:t>
      </w:r>
      <w:r w:rsidR="00025EDD">
        <w:rPr>
          <w:sz w:val="24"/>
          <w:szCs w:val="24"/>
        </w:rPr>
        <w:t xml:space="preserve"> </w:t>
      </w:r>
      <w:r w:rsidRPr="00540EB6">
        <w:rPr>
          <w:sz w:val="24"/>
          <w:szCs w:val="24"/>
        </w:rPr>
        <w:t xml:space="preserve">Hence screening level is not a factor in determining </w:t>
      </w:r>
      <w:proofErr w:type="gramStart"/>
      <w:r w:rsidRPr="00540EB6">
        <w:rPr>
          <w:sz w:val="24"/>
          <w:szCs w:val="24"/>
        </w:rPr>
        <w:t>risk, and</w:t>
      </w:r>
      <w:proofErr w:type="gramEnd"/>
      <w:r w:rsidRPr="00540EB6">
        <w:rPr>
          <w:sz w:val="24"/>
          <w:szCs w:val="24"/>
        </w:rPr>
        <w:t xml:space="preserve"> is not included in the table.</w:t>
      </w:r>
      <w:r w:rsidR="00025EDD">
        <w:rPr>
          <w:sz w:val="24"/>
          <w:szCs w:val="24"/>
        </w:rPr>
        <w:t xml:space="preserve"> </w:t>
      </w:r>
    </w:p>
    <w:p w14:paraId="3FC21F85" w14:textId="77777777" w:rsidR="005B7B91" w:rsidRPr="00F848F0" w:rsidRDefault="005B7B91" w:rsidP="00E261E3">
      <w:pPr>
        <w:pStyle w:val="Heading1"/>
        <w:spacing w:line="480" w:lineRule="auto"/>
        <w:rPr>
          <w:b/>
          <w:bCs/>
          <w:sz w:val="24"/>
          <w:szCs w:val="24"/>
        </w:rPr>
      </w:pPr>
      <w:r w:rsidRPr="00F848F0">
        <w:rPr>
          <w:b/>
          <w:bCs/>
          <w:sz w:val="24"/>
          <w:szCs w:val="24"/>
        </w:rPr>
        <w:t>COTS vs Current NASA Standard Practice</w:t>
      </w:r>
    </w:p>
    <w:p w14:paraId="153FFF9F" w14:textId="2C7C22B7" w:rsidR="005B7B91" w:rsidRPr="00540EB6" w:rsidRDefault="005B7B91" w:rsidP="00E261E3">
      <w:pPr>
        <w:spacing w:line="480" w:lineRule="auto"/>
        <w:rPr>
          <w:sz w:val="24"/>
          <w:szCs w:val="24"/>
        </w:rPr>
      </w:pPr>
      <w:r w:rsidRPr="00540EB6">
        <w:rPr>
          <w:sz w:val="24"/>
          <w:szCs w:val="24"/>
        </w:rPr>
        <w:t xml:space="preserve">As mentioned </w:t>
      </w:r>
      <w:r w:rsidR="000F117D" w:rsidRPr="00540EB6">
        <w:rPr>
          <w:sz w:val="24"/>
          <w:szCs w:val="24"/>
        </w:rPr>
        <w:t>previously</w:t>
      </w:r>
      <w:r w:rsidRPr="00540EB6">
        <w:rPr>
          <w:sz w:val="24"/>
          <w:szCs w:val="24"/>
        </w:rPr>
        <w:t>, in the past, when capabilities in space were in their infancy, it was considered acceptable to achieve lower levels of performance in space than were available terrestrially because of the far greater concern about premature failure of the devices than the prospect of lesser performance than that available on the ground.</w:t>
      </w:r>
      <w:r w:rsidR="00025EDD">
        <w:rPr>
          <w:sz w:val="24"/>
          <w:szCs w:val="24"/>
        </w:rPr>
        <w:t xml:space="preserve"> </w:t>
      </w:r>
      <w:r w:rsidRPr="00540EB6">
        <w:rPr>
          <w:sz w:val="24"/>
          <w:szCs w:val="24"/>
        </w:rPr>
        <w:t xml:space="preserve">To some extent for years, the civil, military, and commercial space communities were satisfied with limited technological advancement in many areas, such as computing power and digital electronic capability, </w:t>
      </w:r>
      <w:proofErr w:type="gramStart"/>
      <w:r w:rsidRPr="00540EB6">
        <w:rPr>
          <w:sz w:val="24"/>
          <w:szCs w:val="24"/>
        </w:rPr>
        <w:t>as long as</w:t>
      </w:r>
      <w:proofErr w:type="gramEnd"/>
      <w:r w:rsidRPr="00540EB6">
        <w:rPr>
          <w:sz w:val="24"/>
          <w:szCs w:val="24"/>
        </w:rPr>
        <w:t xml:space="preserve"> the systems survived the required amount of time.</w:t>
      </w:r>
      <w:r w:rsidR="00025EDD">
        <w:rPr>
          <w:sz w:val="24"/>
          <w:szCs w:val="24"/>
        </w:rPr>
        <w:t xml:space="preserve"> </w:t>
      </w:r>
      <w:r w:rsidRPr="00540EB6">
        <w:rPr>
          <w:sz w:val="24"/>
          <w:szCs w:val="24"/>
        </w:rPr>
        <w:t>Given the combined limited data collected from most space instruments and the fact that most data were stored on-board and downlinked, then processed on the ground, vastly lower (orders of magnitude) computing power was accepted by space users.</w:t>
      </w:r>
      <w:r w:rsidR="00025EDD">
        <w:rPr>
          <w:sz w:val="24"/>
          <w:szCs w:val="24"/>
        </w:rPr>
        <w:t xml:space="preserve"> </w:t>
      </w:r>
      <w:proofErr w:type="gramStart"/>
      <w:r w:rsidRPr="00540EB6">
        <w:rPr>
          <w:sz w:val="24"/>
          <w:szCs w:val="24"/>
        </w:rPr>
        <w:t>Thus</w:t>
      </w:r>
      <w:proofErr w:type="gramEnd"/>
      <w:r w:rsidRPr="00540EB6">
        <w:rPr>
          <w:sz w:val="24"/>
          <w:szCs w:val="24"/>
        </w:rPr>
        <w:t xml:space="preserve"> the emphasis was much more on the extensive screening processes and radiation hardness of the processor and associated parts than on the actual computing performance.</w:t>
      </w:r>
      <w:r w:rsidR="00025EDD">
        <w:rPr>
          <w:sz w:val="24"/>
          <w:szCs w:val="24"/>
        </w:rPr>
        <w:t xml:space="preserve"> </w:t>
      </w:r>
      <w:r w:rsidRPr="00540EB6">
        <w:rPr>
          <w:sz w:val="24"/>
          <w:szCs w:val="24"/>
        </w:rPr>
        <w:t xml:space="preserve">In the </w:t>
      </w:r>
      <w:r w:rsidRPr="00540EB6">
        <w:rPr>
          <w:sz w:val="24"/>
          <w:szCs w:val="24"/>
        </w:rPr>
        <w:lastRenderedPageBreak/>
        <w:t>early 2000’s as the electronics industry was booming, new applications in space were also exploding and the demands were changing toward the need for higher performance.</w:t>
      </w:r>
      <w:r w:rsidR="00025EDD">
        <w:rPr>
          <w:sz w:val="24"/>
          <w:szCs w:val="24"/>
        </w:rPr>
        <w:t xml:space="preserve"> </w:t>
      </w:r>
      <w:r w:rsidRPr="00540EB6">
        <w:rPr>
          <w:sz w:val="24"/>
          <w:szCs w:val="24"/>
        </w:rPr>
        <w:t xml:space="preserve">One example was the </w:t>
      </w:r>
      <w:proofErr w:type="spellStart"/>
      <w:r w:rsidRPr="00540EB6">
        <w:rPr>
          <w:sz w:val="24"/>
          <w:szCs w:val="24"/>
        </w:rPr>
        <w:t>SpaceCube</w:t>
      </w:r>
      <w:proofErr w:type="spellEnd"/>
      <w:r w:rsidRPr="00540EB6">
        <w:rPr>
          <w:sz w:val="24"/>
          <w:szCs w:val="24"/>
        </w:rPr>
        <w:t xml:space="preserve"> </w:t>
      </w:r>
      <w:r w:rsidR="000F117D" w:rsidRPr="00540EB6">
        <w:rPr>
          <w:sz w:val="24"/>
          <w:szCs w:val="24"/>
        </w:rPr>
        <w:t xml:space="preserve">processor </w:t>
      </w:r>
      <w:r w:rsidR="000F117D" w:rsidRPr="00540EB6">
        <w:rPr>
          <w:sz w:val="24"/>
          <w:szCs w:val="24"/>
        </w:rPr>
        <w:fldChar w:fldCharType="begin"/>
      </w:r>
      <w:r w:rsidR="000F117D" w:rsidRPr="00540EB6">
        <w:rPr>
          <w:sz w:val="24"/>
          <w:szCs w:val="24"/>
        </w:rPr>
        <w:instrText xml:space="preserve"> REF _Ref67579114 \r \h </w:instrText>
      </w:r>
      <w:r w:rsidR="00E261E3" w:rsidRPr="00540EB6">
        <w:rPr>
          <w:sz w:val="24"/>
          <w:szCs w:val="24"/>
        </w:rPr>
        <w:instrText xml:space="preserve"> \* MERGEFORMAT </w:instrText>
      </w:r>
      <w:r w:rsidR="000F117D" w:rsidRPr="00540EB6">
        <w:rPr>
          <w:sz w:val="24"/>
          <w:szCs w:val="24"/>
        </w:rPr>
      </w:r>
      <w:r w:rsidR="000F117D" w:rsidRPr="00540EB6">
        <w:rPr>
          <w:sz w:val="24"/>
          <w:szCs w:val="24"/>
        </w:rPr>
        <w:fldChar w:fldCharType="separate"/>
      </w:r>
      <w:r w:rsidR="003102F4" w:rsidRPr="00540EB6">
        <w:rPr>
          <w:sz w:val="24"/>
          <w:szCs w:val="24"/>
        </w:rPr>
        <w:t>[2]</w:t>
      </w:r>
      <w:r w:rsidR="000F117D" w:rsidRPr="00540EB6">
        <w:rPr>
          <w:sz w:val="24"/>
          <w:szCs w:val="24"/>
        </w:rPr>
        <w:fldChar w:fldCharType="end"/>
      </w:r>
      <w:r w:rsidR="000F117D" w:rsidRPr="00540EB6">
        <w:rPr>
          <w:sz w:val="24"/>
          <w:szCs w:val="24"/>
        </w:rPr>
        <w:fldChar w:fldCharType="begin"/>
      </w:r>
      <w:r w:rsidR="000F117D" w:rsidRPr="00540EB6">
        <w:rPr>
          <w:sz w:val="24"/>
          <w:szCs w:val="24"/>
        </w:rPr>
        <w:instrText xml:space="preserve"> REF _Ref67579116 \r \h </w:instrText>
      </w:r>
      <w:r w:rsidR="00E261E3" w:rsidRPr="00540EB6">
        <w:rPr>
          <w:sz w:val="24"/>
          <w:szCs w:val="24"/>
        </w:rPr>
        <w:instrText xml:space="preserve"> \* MERGEFORMAT </w:instrText>
      </w:r>
      <w:r w:rsidR="000F117D" w:rsidRPr="00540EB6">
        <w:rPr>
          <w:sz w:val="24"/>
          <w:szCs w:val="24"/>
        </w:rPr>
      </w:r>
      <w:r w:rsidR="000F117D" w:rsidRPr="00540EB6">
        <w:rPr>
          <w:sz w:val="24"/>
          <w:szCs w:val="24"/>
        </w:rPr>
        <w:fldChar w:fldCharType="separate"/>
      </w:r>
      <w:r w:rsidR="003102F4" w:rsidRPr="00540EB6">
        <w:rPr>
          <w:sz w:val="24"/>
          <w:szCs w:val="24"/>
        </w:rPr>
        <w:t>[3]</w:t>
      </w:r>
      <w:r w:rsidR="000F117D" w:rsidRPr="00540EB6">
        <w:rPr>
          <w:sz w:val="24"/>
          <w:szCs w:val="24"/>
        </w:rPr>
        <w:fldChar w:fldCharType="end"/>
      </w:r>
      <w:r w:rsidR="00FE2F63" w:rsidRPr="00540EB6">
        <w:rPr>
          <w:sz w:val="24"/>
          <w:szCs w:val="24"/>
        </w:rPr>
        <w:t>,</w:t>
      </w:r>
      <w:r w:rsidR="000F117D" w:rsidRPr="00540EB6">
        <w:rPr>
          <w:sz w:val="24"/>
          <w:szCs w:val="24"/>
        </w:rPr>
        <w:t xml:space="preserve"> w</w:t>
      </w:r>
      <w:r w:rsidRPr="00540EB6">
        <w:rPr>
          <w:sz w:val="24"/>
          <w:szCs w:val="24"/>
        </w:rPr>
        <w:t>hich pushed up the capabilities of space processing (in GOPS) by 5 orders of magnitude from the most common space processor, the RAD750.</w:t>
      </w:r>
      <w:r w:rsidR="00025EDD">
        <w:rPr>
          <w:sz w:val="24"/>
          <w:szCs w:val="24"/>
        </w:rPr>
        <w:t xml:space="preserve"> </w:t>
      </w:r>
      <w:r w:rsidRPr="00540EB6">
        <w:rPr>
          <w:sz w:val="24"/>
          <w:szCs w:val="24"/>
        </w:rPr>
        <w:t xml:space="preserve">The </w:t>
      </w:r>
      <w:proofErr w:type="spellStart"/>
      <w:r w:rsidRPr="00540EB6">
        <w:rPr>
          <w:sz w:val="24"/>
          <w:szCs w:val="24"/>
        </w:rPr>
        <w:t>SpaceCube</w:t>
      </w:r>
      <w:proofErr w:type="spellEnd"/>
      <w:r w:rsidRPr="00540EB6">
        <w:rPr>
          <w:sz w:val="24"/>
          <w:szCs w:val="24"/>
        </w:rPr>
        <w:t xml:space="preserve"> was manufactured for a diverse array of mission concepts, ranging from those with almost zero tolerance for risk through those with a high tolerance for risk.</w:t>
      </w:r>
      <w:r w:rsidR="00025EDD">
        <w:rPr>
          <w:sz w:val="24"/>
          <w:szCs w:val="24"/>
        </w:rPr>
        <w:t xml:space="preserve"> </w:t>
      </w:r>
      <w:r w:rsidR="00C87F83">
        <w:rPr>
          <w:sz w:val="24"/>
          <w:szCs w:val="24"/>
        </w:rPr>
        <w:t xml:space="preserve">Most of these projects have </w:t>
      </w:r>
      <w:proofErr w:type="spellStart"/>
      <w:r w:rsidR="00C87F83">
        <w:rPr>
          <w:sz w:val="24"/>
          <w:szCs w:val="24"/>
        </w:rPr>
        <w:t>intensed</w:t>
      </w:r>
      <w:proofErr w:type="spellEnd"/>
      <w:r w:rsidR="00C87F83">
        <w:rPr>
          <w:sz w:val="24"/>
          <w:szCs w:val="24"/>
        </w:rPr>
        <w:t xml:space="preserve"> computing requirements, such as vision-based relative navigation for autonomous spacecraft rendezvous and docking applications.  </w:t>
      </w:r>
      <w:r w:rsidRPr="00540EB6">
        <w:rPr>
          <w:sz w:val="24"/>
          <w:szCs w:val="24"/>
        </w:rPr>
        <w:t>Fortunately, this enabled the team to develop the component using the highest Agency practices for parts, radiation, and printed circuit boards</w:t>
      </w:r>
      <w:r w:rsidR="00FE2F63" w:rsidRPr="00540EB6">
        <w:rPr>
          <w:sz w:val="24"/>
          <w:szCs w:val="24"/>
        </w:rPr>
        <w:t xml:space="preserve"> on several projects</w:t>
      </w:r>
      <w:r w:rsidRPr="00540EB6">
        <w:rPr>
          <w:sz w:val="24"/>
          <w:szCs w:val="24"/>
        </w:rPr>
        <w:t xml:space="preserve"> as well as using the most streamlined practices, essentially purely commercial</w:t>
      </w:r>
      <w:r w:rsidR="00FE2F63" w:rsidRPr="00540EB6">
        <w:rPr>
          <w:sz w:val="24"/>
          <w:szCs w:val="24"/>
        </w:rPr>
        <w:t xml:space="preserve"> on several other projects</w:t>
      </w:r>
      <w:r w:rsidRPr="00540EB6">
        <w:rPr>
          <w:sz w:val="24"/>
          <w:szCs w:val="24"/>
        </w:rPr>
        <w:t>.</w:t>
      </w:r>
      <w:r w:rsidR="00025EDD">
        <w:rPr>
          <w:sz w:val="24"/>
          <w:szCs w:val="24"/>
        </w:rPr>
        <w:t xml:space="preserve"> </w:t>
      </w:r>
      <w:r w:rsidRPr="00540EB6">
        <w:rPr>
          <w:sz w:val="24"/>
          <w:szCs w:val="24"/>
        </w:rPr>
        <w:t>The development was always supported by very sound design practices and a robust testing campaign with rigorous problem resolution and peer review.</w:t>
      </w:r>
      <w:r w:rsidR="00025EDD">
        <w:rPr>
          <w:sz w:val="24"/>
          <w:szCs w:val="24"/>
        </w:rPr>
        <w:t xml:space="preserve"> </w:t>
      </w:r>
      <w:r w:rsidRPr="00540EB6">
        <w:rPr>
          <w:sz w:val="24"/>
          <w:szCs w:val="24"/>
        </w:rPr>
        <w:t>The result was that there was no difference in performance or reliability of the two designs, but that the builds involving the purely commercial practices cost significantly less, with significantly less development time.</w:t>
      </w:r>
      <w:r w:rsidR="00025EDD">
        <w:rPr>
          <w:sz w:val="24"/>
          <w:szCs w:val="24"/>
        </w:rPr>
        <w:t xml:space="preserve"> </w:t>
      </w:r>
      <w:r w:rsidR="00430281">
        <w:rPr>
          <w:sz w:val="24"/>
          <w:szCs w:val="24"/>
        </w:rPr>
        <w:t xml:space="preserve">There are few instances where such a direct comparison of the most stringent vs the most streamlined practices for the same complex component.  </w:t>
      </w:r>
      <w:r w:rsidR="00611944" w:rsidRPr="00540EB6">
        <w:rPr>
          <w:sz w:val="24"/>
          <w:szCs w:val="24"/>
        </w:rPr>
        <w:fldChar w:fldCharType="begin"/>
      </w:r>
      <w:r w:rsidR="00611944" w:rsidRPr="00540EB6">
        <w:rPr>
          <w:sz w:val="24"/>
          <w:szCs w:val="24"/>
        </w:rPr>
        <w:instrText xml:space="preserve"> REF _Ref78876730 \h </w:instrText>
      </w:r>
      <w:r w:rsidR="00E261E3" w:rsidRPr="00540EB6">
        <w:rPr>
          <w:sz w:val="24"/>
          <w:szCs w:val="24"/>
        </w:rPr>
        <w:instrText xml:space="preserve"> \* MERGEFORMAT </w:instrText>
      </w:r>
      <w:r w:rsidR="00611944" w:rsidRPr="00540EB6">
        <w:rPr>
          <w:sz w:val="24"/>
          <w:szCs w:val="24"/>
        </w:rPr>
      </w:r>
      <w:r w:rsidR="00611944" w:rsidRPr="00540EB6">
        <w:rPr>
          <w:sz w:val="24"/>
          <w:szCs w:val="24"/>
        </w:rPr>
        <w:fldChar w:fldCharType="separate"/>
      </w:r>
      <w:r w:rsidR="003102F4" w:rsidRPr="00540EB6">
        <w:rPr>
          <w:sz w:val="24"/>
          <w:szCs w:val="24"/>
        </w:rPr>
        <w:t xml:space="preserve">Table </w:t>
      </w:r>
      <w:r w:rsidR="003102F4" w:rsidRPr="00540EB6">
        <w:rPr>
          <w:noProof/>
          <w:sz w:val="24"/>
          <w:szCs w:val="24"/>
        </w:rPr>
        <w:t>2</w:t>
      </w:r>
      <w:r w:rsidR="00611944" w:rsidRPr="00540EB6">
        <w:rPr>
          <w:sz w:val="24"/>
          <w:szCs w:val="24"/>
        </w:rPr>
        <w:fldChar w:fldCharType="end"/>
      </w:r>
      <w:r w:rsidR="00611944" w:rsidRPr="00540EB6">
        <w:rPr>
          <w:sz w:val="24"/>
          <w:szCs w:val="24"/>
        </w:rPr>
        <w:t xml:space="preserve"> </w:t>
      </w:r>
      <w:r w:rsidRPr="00540EB6">
        <w:rPr>
          <w:sz w:val="24"/>
          <w:szCs w:val="24"/>
        </w:rPr>
        <w:t xml:space="preserve">shows the extent of COTS uses and COTS on-orbit operating time in the collection of these missions. The “Part Req” column represents the Parts Assurance level imposed on the </w:t>
      </w:r>
      <w:proofErr w:type="gramStart"/>
      <w:r w:rsidRPr="00540EB6">
        <w:rPr>
          <w:sz w:val="24"/>
          <w:szCs w:val="24"/>
        </w:rPr>
        <w:t>particular mission</w:t>
      </w:r>
      <w:proofErr w:type="gramEnd"/>
      <w:r w:rsidRPr="00540EB6">
        <w:rPr>
          <w:sz w:val="24"/>
          <w:szCs w:val="24"/>
        </w:rPr>
        <w:t xml:space="preserve">. </w:t>
      </w:r>
      <w:r w:rsidR="008B3CB5">
        <w:rPr>
          <w:sz w:val="24"/>
          <w:szCs w:val="24"/>
        </w:rPr>
        <w:t xml:space="preserve">The Version number is the version of the </w:t>
      </w:r>
      <w:proofErr w:type="spellStart"/>
      <w:r w:rsidR="008B3CB5">
        <w:rPr>
          <w:sz w:val="24"/>
          <w:szCs w:val="24"/>
        </w:rPr>
        <w:t>SpaceCube</w:t>
      </w:r>
      <w:proofErr w:type="spellEnd"/>
      <w:r w:rsidR="008B3CB5">
        <w:rPr>
          <w:sz w:val="24"/>
          <w:szCs w:val="24"/>
        </w:rPr>
        <w:t xml:space="preserve">, generally with 1.0 representing the traditional build and the later versions being those that are largely COTS.  The BOM count is the bill of materials, generally the number of parts in the component.  </w:t>
      </w:r>
      <w:r w:rsidRPr="00540EB6">
        <w:rPr>
          <w:sz w:val="24"/>
          <w:szCs w:val="24"/>
        </w:rPr>
        <w:t xml:space="preserve">In some cases, while no minimum level was imposed, the team followed GSFC traditional practices for parts and printed circuit boards by using either </w:t>
      </w:r>
      <w:r w:rsidR="004426DF">
        <w:rPr>
          <w:sz w:val="24"/>
          <w:szCs w:val="24"/>
        </w:rPr>
        <w:t>military specification</w:t>
      </w:r>
      <w:r w:rsidRPr="00540EB6">
        <w:rPr>
          <w:sz w:val="24"/>
          <w:szCs w:val="24"/>
        </w:rPr>
        <w:t xml:space="preserve"> or NASA-screened COTS parts often Level 1 or Level 2, and the most stringent printed circuit board spec, IPC 6012B 3/A</w:t>
      </w:r>
      <w:r w:rsidR="000F117D" w:rsidRPr="00540EB6">
        <w:rPr>
          <w:sz w:val="24"/>
          <w:szCs w:val="24"/>
        </w:rPr>
        <w:t xml:space="preserve"> </w:t>
      </w:r>
      <w:r w:rsidR="000F117D" w:rsidRPr="00540EB6">
        <w:rPr>
          <w:sz w:val="24"/>
          <w:szCs w:val="24"/>
        </w:rPr>
        <w:fldChar w:fldCharType="begin"/>
      </w:r>
      <w:r w:rsidR="000F117D" w:rsidRPr="00540EB6">
        <w:rPr>
          <w:sz w:val="24"/>
          <w:szCs w:val="24"/>
        </w:rPr>
        <w:instrText xml:space="preserve"> REF _Ref67579149 \r \h </w:instrText>
      </w:r>
      <w:r w:rsidR="00E261E3" w:rsidRPr="00540EB6">
        <w:rPr>
          <w:sz w:val="24"/>
          <w:szCs w:val="24"/>
        </w:rPr>
        <w:instrText xml:space="preserve"> \* MERGEFORMAT </w:instrText>
      </w:r>
      <w:r w:rsidR="000F117D" w:rsidRPr="00540EB6">
        <w:rPr>
          <w:sz w:val="24"/>
          <w:szCs w:val="24"/>
        </w:rPr>
      </w:r>
      <w:r w:rsidR="000F117D" w:rsidRPr="00540EB6">
        <w:rPr>
          <w:sz w:val="24"/>
          <w:szCs w:val="24"/>
        </w:rPr>
        <w:fldChar w:fldCharType="separate"/>
      </w:r>
      <w:r w:rsidR="003102F4" w:rsidRPr="00540EB6">
        <w:rPr>
          <w:sz w:val="24"/>
          <w:szCs w:val="24"/>
        </w:rPr>
        <w:t>[7]</w:t>
      </w:r>
      <w:r w:rsidR="000F117D" w:rsidRPr="00540EB6">
        <w:rPr>
          <w:sz w:val="24"/>
          <w:szCs w:val="24"/>
        </w:rPr>
        <w:fldChar w:fldCharType="end"/>
      </w:r>
      <w:r w:rsidRPr="00540EB6">
        <w:rPr>
          <w:sz w:val="24"/>
          <w:szCs w:val="24"/>
        </w:rPr>
        <w:t xml:space="preserve"> </w:t>
      </w:r>
      <w:r w:rsidR="00FE2F63" w:rsidRPr="00540EB6">
        <w:rPr>
          <w:sz w:val="24"/>
          <w:szCs w:val="24"/>
        </w:rPr>
        <w:t xml:space="preserve">for </w:t>
      </w:r>
      <w:r w:rsidRPr="00540EB6">
        <w:rPr>
          <w:sz w:val="24"/>
          <w:szCs w:val="24"/>
        </w:rPr>
        <w:t>rigid board development.</w:t>
      </w:r>
      <w:r w:rsidR="00025EDD">
        <w:rPr>
          <w:sz w:val="24"/>
          <w:szCs w:val="24"/>
        </w:rPr>
        <w:t xml:space="preserve"> </w:t>
      </w:r>
      <w:r w:rsidRPr="00540EB6">
        <w:rPr>
          <w:sz w:val="24"/>
          <w:szCs w:val="24"/>
        </w:rPr>
        <w:t xml:space="preserve">It should be noted that the turning point for the </w:t>
      </w:r>
      <w:proofErr w:type="spellStart"/>
      <w:r w:rsidRPr="00540EB6">
        <w:rPr>
          <w:sz w:val="24"/>
          <w:szCs w:val="24"/>
        </w:rPr>
        <w:t>SpaceCube</w:t>
      </w:r>
      <w:proofErr w:type="spellEnd"/>
      <w:r w:rsidRPr="00540EB6">
        <w:rPr>
          <w:sz w:val="24"/>
          <w:szCs w:val="24"/>
        </w:rPr>
        <w:t xml:space="preserve"> development effort came during the development of the SMART application shown in</w:t>
      </w:r>
      <w:r w:rsidR="00C203E1" w:rsidRPr="00540EB6">
        <w:rPr>
          <w:sz w:val="24"/>
          <w:szCs w:val="24"/>
        </w:rPr>
        <w:t xml:space="preserve"> </w:t>
      </w:r>
      <w:r w:rsidR="00C203E1" w:rsidRPr="00540EB6">
        <w:rPr>
          <w:sz w:val="24"/>
          <w:szCs w:val="24"/>
        </w:rPr>
        <w:fldChar w:fldCharType="begin"/>
      </w:r>
      <w:r w:rsidR="00C203E1" w:rsidRPr="00540EB6">
        <w:rPr>
          <w:sz w:val="24"/>
          <w:szCs w:val="24"/>
        </w:rPr>
        <w:instrText xml:space="preserve"> REF _Ref67579116 \r \h </w:instrText>
      </w:r>
      <w:r w:rsidR="00E261E3" w:rsidRPr="00540EB6">
        <w:rPr>
          <w:sz w:val="24"/>
          <w:szCs w:val="24"/>
        </w:rPr>
        <w:instrText xml:space="preserve"> \* MERGEFORMAT </w:instrText>
      </w:r>
      <w:r w:rsidR="00C203E1" w:rsidRPr="00540EB6">
        <w:rPr>
          <w:sz w:val="24"/>
          <w:szCs w:val="24"/>
        </w:rPr>
      </w:r>
      <w:r w:rsidR="00C203E1" w:rsidRPr="00540EB6">
        <w:rPr>
          <w:sz w:val="24"/>
          <w:szCs w:val="24"/>
        </w:rPr>
        <w:fldChar w:fldCharType="separate"/>
      </w:r>
      <w:r w:rsidR="003102F4" w:rsidRPr="00540EB6">
        <w:rPr>
          <w:sz w:val="24"/>
          <w:szCs w:val="24"/>
        </w:rPr>
        <w:t>[3]</w:t>
      </w:r>
      <w:r w:rsidR="00C203E1" w:rsidRPr="00540EB6">
        <w:rPr>
          <w:sz w:val="24"/>
          <w:szCs w:val="24"/>
        </w:rPr>
        <w:fldChar w:fldCharType="end"/>
      </w:r>
      <w:r w:rsidR="00BB5006" w:rsidRPr="00540EB6">
        <w:rPr>
          <w:sz w:val="24"/>
          <w:szCs w:val="24"/>
        </w:rPr>
        <w:t xml:space="preserve">, in </w:t>
      </w:r>
      <w:r w:rsidRPr="00540EB6">
        <w:rPr>
          <w:sz w:val="24"/>
          <w:szCs w:val="24"/>
        </w:rPr>
        <w:t xml:space="preserve">which resources were depleted using the purported “high-reliability” approach, very early in development, and the switch to COTS was made out of necessity (and was “allowable” since the project was classified as below Class D, later </w:t>
      </w:r>
      <w:r w:rsidRPr="00540EB6">
        <w:rPr>
          <w:sz w:val="24"/>
          <w:szCs w:val="24"/>
        </w:rPr>
        <w:lastRenderedPageBreak/>
        <w:t xml:space="preserve">formalized as “do no harm”.) It is notable that no EEE parts failed either during development or on-orbit, while across all </w:t>
      </w:r>
      <w:proofErr w:type="spellStart"/>
      <w:r w:rsidRPr="00540EB6">
        <w:rPr>
          <w:sz w:val="24"/>
          <w:szCs w:val="24"/>
        </w:rPr>
        <w:t>SpaceCube</w:t>
      </w:r>
      <w:proofErr w:type="spellEnd"/>
      <w:r w:rsidRPr="00540EB6">
        <w:rPr>
          <w:sz w:val="24"/>
          <w:szCs w:val="24"/>
        </w:rPr>
        <w:t xml:space="preserve"> missions, one failure was encountered for a COTS ethernet board after a year of operation in space.</w:t>
      </w:r>
      <w:r w:rsidR="00025EDD">
        <w:rPr>
          <w:sz w:val="24"/>
          <w:szCs w:val="24"/>
        </w:rPr>
        <w:t xml:space="preserve"> </w:t>
      </w:r>
      <w:r w:rsidRPr="00540EB6">
        <w:rPr>
          <w:sz w:val="24"/>
          <w:szCs w:val="24"/>
        </w:rPr>
        <w:t xml:space="preserve">Out of the </w:t>
      </w:r>
      <w:r w:rsidR="005C31AC">
        <w:rPr>
          <w:sz w:val="24"/>
          <w:szCs w:val="24"/>
        </w:rPr>
        <w:t>57</w:t>
      </w:r>
      <w:r w:rsidRPr="00540EB6">
        <w:rPr>
          <w:sz w:val="24"/>
          <w:szCs w:val="24"/>
        </w:rPr>
        <w:t xml:space="preserve">,000+ part years of operation, over </w:t>
      </w:r>
      <w:r w:rsidR="005C31AC">
        <w:rPr>
          <w:sz w:val="24"/>
          <w:szCs w:val="24"/>
        </w:rPr>
        <w:t>15</w:t>
      </w:r>
      <w:r w:rsidRPr="00540EB6">
        <w:rPr>
          <w:sz w:val="24"/>
          <w:szCs w:val="24"/>
        </w:rPr>
        <w:t>,000 were successful COTS years, an extensive enough dataset to indicate that COTS parts can operate reliably, without the benefit of “luck”.</w:t>
      </w:r>
      <w:r w:rsidR="00025EDD">
        <w:rPr>
          <w:sz w:val="24"/>
          <w:szCs w:val="24"/>
        </w:rPr>
        <w:t xml:space="preserve"> </w:t>
      </w:r>
      <w:r w:rsidR="003F020C">
        <w:rPr>
          <w:sz w:val="24"/>
          <w:szCs w:val="24"/>
        </w:rPr>
        <w:t xml:space="preserve">The </w:t>
      </w:r>
      <w:proofErr w:type="spellStart"/>
      <w:r w:rsidR="003F020C">
        <w:rPr>
          <w:sz w:val="24"/>
          <w:szCs w:val="24"/>
        </w:rPr>
        <w:t>SpaceCube</w:t>
      </w:r>
      <w:proofErr w:type="spellEnd"/>
      <w:r w:rsidR="003F020C">
        <w:rPr>
          <w:sz w:val="24"/>
          <w:szCs w:val="24"/>
        </w:rPr>
        <w:t xml:space="preserve"> demonstrations also proved out the in-space capability of a class of </w:t>
      </w:r>
      <w:proofErr w:type="gramStart"/>
      <w:r w:rsidR="003F020C">
        <w:rPr>
          <w:sz w:val="24"/>
          <w:szCs w:val="24"/>
        </w:rPr>
        <w:t>commonly-used</w:t>
      </w:r>
      <w:proofErr w:type="gramEnd"/>
      <w:r w:rsidR="003F020C">
        <w:rPr>
          <w:sz w:val="24"/>
          <w:szCs w:val="24"/>
        </w:rPr>
        <w:t xml:space="preserve"> Field Programmable Gate Arrays (FPGAs), made by Xilinx®, that were not designed for the space environment. Prior to </w:t>
      </w:r>
      <w:proofErr w:type="spellStart"/>
      <w:r w:rsidR="003F020C">
        <w:rPr>
          <w:sz w:val="24"/>
          <w:szCs w:val="24"/>
        </w:rPr>
        <w:t>SpaceCube</w:t>
      </w:r>
      <w:proofErr w:type="spellEnd"/>
      <w:r w:rsidR="003F020C">
        <w:rPr>
          <w:sz w:val="24"/>
          <w:szCs w:val="24"/>
        </w:rPr>
        <w:t xml:space="preserve"> flights, there was broad concern about the ability </w:t>
      </w:r>
      <w:r w:rsidR="003A18A3">
        <w:rPr>
          <w:sz w:val="24"/>
          <w:szCs w:val="24"/>
        </w:rPr>
        <w:t>for such FPGAs to perform reliably for extended periods in space.</w:t>
      </w:r>
      <w:r w:rsidR="003F020C">
        <w:rPr>
          <w:sz w:val="24"/>
          <w:szCs w:val="24"/>
        </w:rPr>
        <w:t xml:space="preserve">  </w:t>
      </w:r>
      <w:r w:rsidR="0053332D">
        <w:rPr>
          <w:sz w:val="24"/>
          <w:szCs w:val="24"/>
        </w:rPr>
        <w:t xml:space="preserve">The term </w:t>
      </w:r>
      <w:r w:rsidR="0053332D" w:rsidRPr="00CE08A4">
        <w:rPr>
          <w:i/>
          <w:iCs/>
          <w:sz w:val="24"/>
          <w:szCs w:val="24"/>
        </w:rPr>
        <w:t>device-years</w:t>
      </w:r>
      <w:r w:rsidR="0053332D">
        <w:rPr>
          <w:sz w:val="24"/>
          <w:szCs w:val="24"/>
        </w:rPr>
        <w:t xml:space="preserve"> represents the cumulative number of years of operation over all pertinent devices.  </w:t>
      </w:r>
      <w:r w:rsidRPr="00540EB6">
        <w:rPr>
          <w:sz w:val="24"/>
          <w:szCs w:val="24"/>
        </w:rPr>
        <w:t xml:space="preserve">It is important to emphasize that </w:t>
      </w:r>
      <w:r w:rsidR="003A18A3">
        <w:rPr>
          <w:sz w:val="24"/>
          <w:szCs w:val="24"/>
        </w:rPr>
        <w:t xml:space="preserve">each of the </w:t>
      </w:r>
      <w:proofErr w:type="spellStart"/>
      <w:r w:rsidR="003A18A3">
        <w:rPr>
          <w:sz w:val="24"/>
          <w:szCs w:val="24"/>
        </w:rPr>
        <w:t>SpaceCube</w:t>
      </w:r>
      <w:proofErr w:type="spellEnd"/>
      <w:r w:rsidR="003A18A3">
        <w:rPr>
          <w:sz w:val="24"/>
          <w:szCs w:val="24"/>
        </w:rPr>
        <w:t xml:space="preserve"> variants</w:t>
      </w:r>
      <w:r w:rsidR="003A18A3" w:rsidRPr="00540EB6">
        <w:rPr>
          <w:sz w:val="24"/>
          <w:szCs w:val="24"/>
        </w:rPr>
        <w:t xml:space="preserve"> </w:t>
      </w:r>
      <w:r w:rsidRPr="00540EB6">
        <w:rPr>
          <w:sz w:val="24"/>
          <w:szCs w:val="24"/>
        </w:rPr>
        <w:t>are variations on a single design and testing approach - introduce substandard design or system-level testing practices and the results may be far different</w:t>
      </w:r>
      <w:r w:rsidR="00BB5006" w:rsidRPr="00540EB6">
        <w:rPr>
          <w:sz w:val="24"/>
          <w:szCs w:val="24"/>
        </w:rPr>
        <w:t xml:space="preserve"> (as would be the case no matter what part selection and screening process is employed)</w:t>
      </w:r>
      <w:r w:rsidRPr="00540EB6">
        <w:rPr>
          <w:sz w:val="24"/>
          <w:szCs w:val="24"/>
        </w:rPr>
        <w:t>.</w:t>
      </w:r>
    </w:p>
    <w:p w14:paraId="533E231E" w14:textId="77777777" w:rsidR="00C0520E" w:rsidRPr="00540EB6" w:rsidRDefault="00C0520E" w:rsidP="00E261E3">
      <w:pPr>
        <w:spacing w:line="480" w:lineRule="auto"/>
        <w:rPr>
          <w:sz w:val="24"/>
          <w:szCs w:val="24"/>
        </w:rPr>
      </w:pPr>
    </w:p>
    <w:p w14:paraId="7A58F387" w14:textId="77777777" w:rsidR="00C0520E" w:rsidRPr="00540EB6" w:rsidRDefault="00C0520E" w:rsidP="00E261E3">
      <w:pPr>
        <w:pStyle w:val="TableTitle"/>
        <w:spacing w:line="480" w:lineRule="auto"/>
        <w:rPr>
          <w:sz w:val="24"/>
          <w:szCs w:val="24"/>
        </w:rPr>
      </w:pPr>
    </w:p>
    <w:p w14:paraId="5E888C6B" w14:textId="314C8678" w:rsidR="00611944" w:rsidRDefault="00611944" w:rsidP="00E261E3">
      <w:pPr>
        <w:pStyle w:val="Caption"/>
        <w:keepNext/>
        <w:spacing w:line="480" w:lineRule="auto"/>
        <w:jc w:val="center"/>
        <w:rPr>
          <w:sz w:val="24"/>
          <w:szCs w:val="24"/>
        </w:rPr>
      </w:pPr>
      <w:bookmarkStart w:id="6" w:name="_Ref78876730"/>
      <w:r w:rsidRPr="00540EB6">
        <w:rPr>
          <w:sz w:val="24"/>
          <w:szCs w:val="24"/>
        </w:rPr>
        <w:lastRenderedPageBreak/>
        <w:t xml:space="preserve">Table </w:t>
      </w:r>
      <w:r w:rsidR="00852654" w:rsidRPr="00540EB6">
        <w:rPr>
          <w:sz w:val="24"/>
          <w:szCs w:val="24"/>
        </w:rPr>
        <w:fldChar w:fldCharType="begin"/>
      </w:r>
      <w:r w:rsidR="00852654" w:rsidRPr="00540EB6">
        <w:rPr>
          <w:sz w:val="24"/>
          <w:szCs w:val="24"/>
        </w:rPr>
        <w:instrText xml:space="preserve"> SEQ Table \* ARABIC </w:instrText>
      </w:r>
      <w:r w:rsidR="00852654" w:rsidRPr="00540EB6">
        <w:rPr>
          <w:sz w:val="24"/>
          <w:szCs w:val="24"/>
        </w:rPr>
        <w:fldChar w:fldCharType="separate"/>
      </w:r>
      <w:r w:rsidR="003102F4" w:rsidRPr="00540EB6">
        <w:rPr>
          <w:noProof/>
          <w:sz w:val="24"/>
          <w:szCs w:val="24"/>
        </w:rPr>
        <w:t>2</w:t>
      </w:r>
      <w:r w:rsidR="00852654" w:rsidRPr="00540EB6">
        <w:rPr>
          <w:noProof/>
          <w:sz w:val="24"/>
          <w:szCs w:val="24"/>
        </w:rPr>
        <w:fldChar w:fldCharType="end"/>
      </w:r>
      <w:bookmarkEnd w:id="6"/>
      <w:r w:rsidR="00025EDD">
        <w:rPr>
          <w:sz w:val="24"/>
          <w:szCs w:val="24"/>
        </w:rPr>
        <w:t xml:space="preserve"> </w:t>
      </w:r>
      <w:r w:rsidRPr="00540EB6">
        <w:rPr>
          <w:sz w:val="24"/>
          <w:szCs w:val="24"/>
        </w:rPr>
        <w:t>COTS Time On-Orbit</w:t>
      </w:r>
    </w:p>
    <w:p w14:paraId="260E39E9" w14:textId="0558659A" w:rsidR="00600555" w:rsidRPr="00CE08A4" w:rsidRDefault="005C31AC" w:rsidP="00CE08A4">
      <w:pPr>
        <w:jc w:val="center"/>
      </w:pPr>
      <w:r w:rsidRPr="005C31AC">
        <w:rPr>
          <w:noProof/>
        </w:rPr>
        <w:drawing>
          <wp:inline distT="0" distB="0" distL="0" distR="0" wp14:anchorId="2B3E7E58" wp14:editId="260666CA">
            <wp:extent cx="3172886" cy="4119732"/>
            <wp:effectExtent l="0" t="0" r="2540" b="0"/>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1"/>
                    <a:stretch>
                      <a:fillRect/>
                    </a:stretch>
                  </pic:blipFill>
                  <pic:spPr>
                    <a:xfrm>
                      <a:off x="0" y="0"/>
                      <a:ext cx="3187783" cy="4139075"/>
                    </a:xfrm>
                    <a:prstGeom prst="rect">
                      <a:avLst/>
                    </a:prstGeom>
                  </pic:spPr>
                </pic:pic>
              </a:graphicData>
            </a:graphic>
          </wp:inline>
        </w:drawing>
      </w:r>
    </w:p>
    <w:p w14:paraId="41836972" w14:textId="0B4C5AB2" w:rsidR="00C0520E" w:rsidRDefault="00C0520E" w:rsidP="00E261E3">
      <w:pPr>
        <w:pStyle w:val="TableTitle"/>
        <w:spacing w:line="480" w:lineRule="auto"/>
        <w:rPr>
          <w:sz w:val="24"/>
          <w:szCs w:val="24"/>
        </w:rPr>
      </w:pPr>
    </w:p>
    <w:p w14:paraId="0B40028F" w14:textId="0841FC21" w:rsidR="003A18A3" w:rsidRDefault="003A18A3" w:rsidP="003A18A3">
      <w:pPr>
        <w:pStyle w:val="Heading1"/>
      </w:pPr>
      <w:r>
        <w:t xml:space="preserve"> Recommended path forward</w:t>
      </w:r>
    </w:p>
    <w:p w14:paraId="66724325" w14:textId="6DFA61FE" w:rsidR="003A18A3" w:rsidRDefault="003A18A3" w:rsidP="00B2418A">
      <w:pPr>
        <w:spacing w:line="480" w:lineRule="auto"/>
      </w:pPr>
      <w:r>
        <w:t xml:space="preserve">While NASA and much of the broad space community have begun to embrace the use of COTS parts for missions with a medium to high tolerance for risk, there is </w:t>
      </w:r>
      <w:r w:rsidR="00646974">
        <w:t xml:space="preserve">no </w:t>
      </w:r>
      <w:r>
        <w:t xml:space="preserve">current, </w:t>
      </w:r>
      <w:proofErr w:type="gramStart"/>
      <w:r>
        <w:t>broadly-accepted</w:t>
      </w:r>
      <w:proofErr w:type="gramEnd"/>
      <w:r>
        <w:t xml:space="preserve">, established practice for using COTS extensively in </w:t>
      </w:r>
      <w:r w:rsidR="00646974">
        <w:t>space missions that have very low tolerance for risk. We make the following recommendations</w:t>
      </w:r>
      <w:r w:rsidR="00832027">
        <w:t xml:space="preserve"> </w:t>
      </w:r>
      <w:r w:rsidR="008F73AE">
        <w:t xml:space="preserve">as a platform </w:t>
      </w:r>
      <w:r w:rsidR="00832027">
        <w:t>for part selection and acceptance in applications with low tolerance for risk for the broad space community</w:t>
      </w:r>
      <w:r w:rsidR="008F73AE">
        <w:t>, not limited to NASA,</w:t>
      </w:r>
      <w:r w:rsidR="00646974">
        <w:t xml:space="preserve"> </w:t>
      </w:r>
      <w:r w:rsidR="00B2418A">
        <w:t>to move forward:</w:t>
      </w:r>
    </w:p>
    <w:p w14:paraId="7EEDA294" w14:textId="35A19B7D" w:rsidR="00B2418A" w:rsidRDefault="00B2418A" w:rsidP="00B2418A">
      <w:pPr>
        <w:pStyle w:val="ListParagraph"/>
        <w:numPr>
          <w:ilvl w:val="0"/>
          <w:numId w:val="20"/>
        </w:numPr>
        <w:spacing w:line="480" w:lineRule="auto"/>
      </w:pPr>
      <w:r>
        <w:t xml:space="preserve"> Embrace the use of COTS when selecting parts, but recognize that the COTS term itself is open-ended, and boundaries are required when selecting and using COTS parts to assure that the parts used will not negatively affect reliability.</w:t>
      </w:r>
    </w:p>
    <w:p w14:paraId="13D6D006" w14:textId="2288B34A" w:rsidR="00B2418A" w:rsidRDefault="00832027" w:rsidP="00B2418A">
      <w:pPr>
        <w:pStyle w:val="ListParagraph"/>
        <w:numPr>
          <w:ilvl w:val="0"/>
          <w:numId w:val="20"/>
        </w:numPr>
        <w:spacing w:line="480" w:lineRule="auto"/>
      </w:pPr>
      <w:r>
        <w:t>When possible, develop a list of ILPMs and establish relationships with manufacturers that are centered on trust and open sharing of information.</w:t>
      </w:r>
    </w:p>
    <w:p w14:paraId="25C25CD9" w14:textId="5805069B" w:rsidR="00832027" w:rsidRDefault="002B6BD1" w:rsidP="00B2418A">
      <w:pPr>
        <w:pStyle w:val="ListParagraph"/>
        <w:numPr>
          <w:ilvl w:val="0"/>
          <w:numId w:val="20"/>
        </w:numPr>
        <w:spacing w:line="480" w:lineRule="auto"/>
      </w:pPr>
      <w:r>
        <w:t>To the greatest extent possible use only high-volume, established (greater than one million produced, at least one year in production) parts with known field-failure rates</w:t>
      </w:r>
    </w:p>
    <w:p w14:paraId="53DB5BB3" w14:textId="02C837D4" w:rsidR="002B6BD1" w:rsidRDefault="002B6BD1" w:rsidP="00B2418A">
      <w:pPr>
        <w:pStyle w:val="ListParagraph"/>
        <w:numPr>
          <w:ilvl w:val="0"/>
          <w:numId w:val="20"/>
        </w:numPr>
        <w:spacing w:line="480" w:lineRule="auto"/>
      </w:pPr>
      <w:r>
        <w:t>To the greatest extent possible use parts that go through 100% screening across the part datasheet (possibly at a single temperature)</w:t>
      </w:r>
    </w:p>
    <w:p w14:paraId="561283E6" w14:textId="1E3C01DD" w:rsidR="002B6BD1" w:rsidRDefault="002B6BD1" w:rsidP="00CE08A4">
      <w:pPr>
        <w:pStyle w:val="ListParagraph"/>
        <w:numPr>
          <w:ilvl w:val="0"/>
          <w:numId w:val="20"/>
        </w:numPr>
        <w:spacing w:line="480" w:lineRule="auto"/>
      </w:pPr>
      <w:r>
        <w:lastRenderedPageBreak/>
        <w:t>Re-establish the capability, facilities, and processes to broadly take in commercial part technologies, characterize them</w:t>
      </w:r>
      <w:r w:rsidR="00677B90">
        <w:t xml:space="preserve"> for predicted reliability, develop specialized screening methods when manufacturer screening does not provide sufficient confidence, and maintain a list of accepted part technologies and in some cases specific parts for use in future missions.  This capability will be necessary not only to support part selection and acceptance, but to ensure that there is a </w:t>
      </w:r>
      <w:r w:rsidR="00E1606C">
        <w:t xml:space="preserve">cadre of personnel that are knowledgeable in the classes and technologies of parts that are being considered for space missions.  </w:t>
      </w:r>
    </w:p>
    <w:p w14:paraId="60D248DA" w14:textId="77777777" w:rsidR="00B2418A" w:rsidRPr="003A18A3" w:rsidRDefault="00B2418A" w:rsidP="00CE08A4">
      <w:pPr>
        <w:spacing w:line="480" w:lineRule="auto"/>
      </w:pPr>
    </w:p>
    <w:p w14:paraId="6971075D" w14:textId="77777777" w:rsidR="00C0520E" w:rsidRPr="00F848F0" w:rsidRDefault="00C0520E" w:rsidP="00E261E3">
      <w:pPr>
        <w:pStyle w:val="Heading1"/>
        <w:spacing w:line="480" w:lineRule="auto"/>
        <w:rPr>
          <w:b/>
          <w:bCs/>
          <w:sz w:val="24"/>
          <w:szCs w:val="24"/>
        </w:rPr>
      </w:pPr>
      <w:r w:rsidRPr="00F848F0">
        <w:rPr>
          <w:b/>
          <w:bCs/>
          <w:sz w:val="24"/>
          <w:szCs w:val="24"/>
        </w:rPr>
        <w:t>Conclusion</w:t>
      </w:r>
    </w:p>
    <w:p w14:paraId="30346988" w14:textId="301EF9DE" w:rsidR="00C0520E" w:rsidRDefault="00DD19BF" w:rsidP="00E261E3">
      <w:pPr>
        <w:spacing w:line="480" w:lineRule="auto"/>
        <w:rPr>
          <w:sz w:val="24"/>
          <w:szCs w:val="24"/>
        </w:rPr>
      </w:pPr>
      <w:r w:rsidRPr="00540EB6">
        <w:rPr>
          <w:sz w:val="24"/>
          <w:szCs w:val="24"/>
        </w:rPr>
        <w:t>The manufacture and usage of electronic parts have evolved</w:t>
      </w:r>
      <w:r w:rsidR="00C0520E" w:rsidRPr="00540EB6">
        <w:rPr>
          <w:sz w:val="24"/>
          <w:szCs w:val="24"/>
        </w:rPr>
        <w:t xml:space="preserve"> substantially over the most recent decade, driven largely by technological advancements in manufacturing and the worldwide explosion in commercial electronics manufacturing, to the extent that informed selection and usage of commercial electronic parts can be employed in hardware at a comparable (and in many cases lower) level of risk to that of employing </w:t>
      </w:r>
      <w:r w:rsidR="004426DF">
        <w:rPr>
          <w:sz w:val="24"/>
          <w:szCs w:val="24"/>
        </w:rPr>
        <w:t>military specification</w:t>
      </w:r>
      <w:r w:rsidR="00C0520E" w:rsidRPr="00540EB6">
        <w:rPr>
          <w:sz w:val="24"/>
          <w:szCs w:val="24"/>
        </w:rPr>
        <w:t xml:space="preserve"> parts or NASA-screened COTS parts that follow current Agency guidelines and requirements.</w:t>
      </w:r>
      <w:r w:rsidR="00025EDD">
        <w:rPr>
          <w:sz w:val="24"/>
          <w:szCs w:val="24"/>
        </w:rPr>
        <w:t xml:space="preserve"> </w:t>
      </w:r>
      <w:r w:rsidR="00C0520E" w:rsidRPr="00540EB6">
        <w:rPr>
          <w:sz w:val="24"/>
          <w:szCs w:val="24"/>
        </w:rPr>
        <w:t>Work is still required to define and refine the context to select and use such alternative approaches, but there are plentiful successful examples within NASA and across the commercial space community.</w:t>
      </w:r>
      <w:r w:rsidR="00025EDD">
        <w:rPr>
          <w:sz w:val="24"/>
          <w:szCs w:val="24"/>
        </w:rPr>
        <w:t xml:space="preserve"> </w:t>
      </w:r>
      <w:r w:rsidR="00C0520E" w:rsidRPr="00540EB6">
        <w:rPr>
          <w:sz w:val="24"/>
          <w:szCs w:val="24"/>
        </w:rPr>
        <w:t>This paper has laid out initial thoughts for context and formed a platform for Agency transition</w:t>
      </w:r>
      <w:r w:rsidR="008F73AE">
        <w:rPr>
          <w:sz w:val="24"/>
          <w:szCs w:val="24"/>
        </w:rPr>
        <w:t xml:space="preserve"> that is also applicable to the broad space community</w:t>
      </w:r>
      <w:r w:rsidR="00C0520E" w:rsidRPr="00540EB6">
        <w:rPr>
          <w:sz w:val="24"/>
          <w:szCs w:val="24"/>
        </w:rPr>
        <w:t xml:space="preserve">, which is already spearheaded by an effort in the </w:t>
      </w:r>
      <w:r w:rsidR="00F07145">
        <w:rPr>
          <w:sz w:val="24"/>
          <w:szCs w:val="24"/>
        </w:rPr>
        <w:t>NASA</w:t>
      </w:r>
      <w:r w:rsidR="00E1532C">
        <w:rPr>
          <w:sz w:val="24"/>
          <w:szCs w:val="24"/>
        </w:rPr>
        <w:t xml:space="preserve"> Engineering and Safety Center (NESC)</w:t>
      </w:r>
      <w:r w:rsidR="00E1532C">
        <w:rPr>
          <w:rStyle w:val="FootnoteReference"/>
          <w:sz w:val="24"/>
          <w:szCs w:val="24"/>
        </w:rPr>
        <w:footnoteReference w:id="11"/>
      </w:r>
      <w:r w:rsidR="00C0520E" w:rsidRPr="00540EB6">
        <w:rPr>
          <w:sz w:val="24"/>
          <w:szCs w:val="24"/>
        </w:rPr>
        <w:t>.</w:t>
      </w:r>
      <w:r w:rsidR="00025EDD">
        <w:rPr>
          <w:sz w:val="24"/>
          <w:szCs w:val="24"/>
        </w:rPr>
        <w:t xml:space="preserve"> </w:t>
      </w:r>
      <w:r w:rsidR="00C0520E" w:rsidRPr="00540EB6">
        <w:rPr>
          <w:sz w:val="24"/>
          <w:szCs w:val="24"/>
        </w:rPr>
        <w:t xml:space="preserve">Furthermore, this paper has dispelled many misconceptions about EEE parts within the Agency </w:t>
      </w:r>
      <w:r w:rsidR="00AD40DA">
        <w:rPr>
          <w:sz w:val="24"/>
          <w:szCs w:val="24"/>
        </w:rPr>
        <w:t xml:space="preserve">and the space community in general </w:t>
      </w:r>
      <w:r w:rsidR="00C0520E" w:rsidRPr="00540EB6">
        <w:rPr>
          <w:sz w:val="24"/>
          <w:szCs w:val="24"/>
        </w:rPr>
        <w:t>and provided some of the background for why they had formed.</w:t>
      </w:r>
      <w:r w:rsidR="00025EDD">
        <w:rPr>
          <w:sz w:val="24"/>
          <w:szCs w:val="24"/>
        </w:rPr>
        <w:t xml:space="preserve"> </w:t>
      </w:r>
      <w:r w:rsidR="00E1606C">
        <w:rPr>
          <w:sz w:val="24"/>
          <w:szCs w:val="24"/>
        </w:rPr>
        <w:t xml:space="preserve">Lastly, we have provided recommendations for moving forward with a new approach that embraces the capabilities brought to the table by commercial industry and manages the risks in doing so, rather than trying to avoid them.  </w:t>
      </w:r>
      <w:r w:rsidR="00C0520E" w:rsidRPr="00540EB6">
        <w:rPr>
          <w:sz w:val="24"/>
          <w:szCs w:val="24"/>
        </w:rPr>
        <w:t>The intent is to accelerate expanded approaches for electronic parts assurance across the Agency to align with the growing space industry, especially those that are driven by low-cost, nimble, resilient solutions that are more focused on the big picture than the past approach of putting all attention on piece-parts.</w:t>
      </w:r>
      <w:r w:rsidR="00025EDD">
        <w:rPr>
          <w:sz w:val="24"/>
          <w:szCs w:val="24"/>
        </w:rPr>
        <w:t xml:space="preserve"> </w:t>
      </w:r>
    </w:p>
    <w:p w14:paraId="2F64839B" w14:textId="4B38993F" w:rsidR="00CE08A4" w:rsidRPr="00540283" w:rsidRDefault="00CE08A4" w:rsidP="00540283">
      <w:pPr>
        <w:pStyle w:val="Heading1"/>
        <w:spacing w:line="480" w:lineRule="auto"/>
        <w:rPr>
          <w:b/>
          <w:bCs/>
        </w:rPr>
      </w:pPr>
      <w:r w:rsidRPr="00540283">
        <w:rPr>
          <w:b/>
          <w:bCs/>
        </w:rPr>
        <w:lastRenderedPageBreak/>
        <w:t xml:space="preserve"> ACKNOWLEDGEMENTS</w:t>
      </w:r>
    </w:p>
    <w:p w14:paraId="555BE62B" w14:textId="6757D3E1" w:rsidR="00CE08A4" w:rsidRPr="00CE08A4" w:rsidRDefault="00540283" w:rsidP="00540283">
      <w:pPr>
        <w:spacing w:line="480" w:lineRule="auto"/>
      </w:pPr>
      <w:r>
        <w:t xml:space="preserve">The authors would first like to thank David </w:t>
      </w:r>
      <w:proofErr w:type="spellStart"/>
      <w:r>
        <w:t>Petrick</w:t>
      </w:r>
      <w:proofErr w:type="spellEnd"/>
      <w:r>
        <w:t xml:space="preserve">, NASA GSFC Chief Engineer for Electrical Engineering Division, for essential data and background information for the </w:t>
      </w:r>
      <w:proofErr w:type="spellStart"/>
      <w:r>
        <w:t>SpaceCube</w:t>
      </w:r>
      <w:proofErr w:type="spellEnd"/>
      <w:r>
        <w:t xml:space="preserve"> applications.  </w:t>
      </w:r>
      <w:proofErr w:type="gramStart"/>
      <w:r>
        <w:t>Next</w:t>
      </w:r>
      <w:proofErr w:type="gramEnd"/>
      <w:r>
        <w:t xml:space="preserve"> we would like to thank Walt Thomas, Senior Reliability Engineer at GSFC, for his meticulous review of the data and identification of discrepancies that required correction as well as his valuable input through many related technical discussions. Finally, we especially thank the independent reviewers for their detailed and valuable review that has really helped broaden the potential audience for this paper and ensure that the paper is complete.  </w:t>
      </w:r>
    </w:p>
    <w:p w14:paraId="65C14BB7" w14:textId="77777777" w:rsidR="00E97402" w:rsidRPr="00F848F0" w:rsidRDefault="00E97402" w:rsidP="00E261E3">
      <w:pPr>
        <w:pStyle w:val="ReferenceHead"/>
        <w:spacing w:line="480" w:lineRule="auto"/>
        <w:rPr>
          <w:b/>
          <w:bCs/>
          <w:sz w:val="24"/>
          <w:szCs w:val="24"/>
        </w:rPr>
      </w:pPr>
      <w:r w:rsidRPr="00F848F0">
        <w:rPr>
          <w:b/>
          <w:bCs/>
          <w:sz w:val="24"/>
          <w:szCs w:val="24"/>
        </w:rPr>
        <w:t>References</w:t>
      </w:r>
    </w:p>
    <w:p w14:paraId="6EB4D5C5" w14:textId="668CC683" w:rsidR="007F2E84" w:rsidRDefault="007F2E84" w:rsidP="00E261E3">
      <w:pPr>
        <w:pStyle w:val="Bibliography"/>
        <w:numPr>
          <w:ilvl w:val="0"/>
          <w:numId w:val="16"/>
        </w:numPr>
        <w:spacing w:line="480" w:lineRule="auto"/>
        <w:ind w:left="540" w:hanging="450"/>
        <w:rPr>
          <w:rFonts w:cs="Times New Roman"/>
          <w:noProof/>
        </w:rPr>
      </w:pPr>
      <w:bookmarkStart w:id="7" w:name="_Ref89960759"/>
      <w:bookmarkStart w:id="8" w:name="_Ref67578905"/>
      <w:r>
        <w:rPr>
          <w:rFonts w:cs="Times New Roman"/>
          <w:noProof/>
        </w:rPr>
        <w:t>Adler, D., “</w:t>
      </w:r>
      <w:r w:rsidRPr="007F2E84">
        <w:rPr>
          <w:rFonts w:cs="Times New Roman"/>
          <w:noProof/>
        </w:rPr>
        <w:t>The spacecraft-killing anomaly over the South Atlantic</w:t>
      </w:r>
      <w:r>
        <w:rPr>
          <w:rFonts w:cs="Times New Roman"/>
          <w:noProof/>
        </w:rPr>
        <w:t xml:space="preserve">”, Astronomy February 19, 2021, Website: </w:t>
      </w:r>
      <w:hyperlink r:id="rId12" w:history="1">
        <w:r w:rsidRPr="004F5173">
          <w:rPr>
            <w:rStyle w:val="Hyperlink"/>
            <w:rFonts w:cs="Times New Roman"/>
            <w:noProof/>
          </w:rPr>
          <w:t>https://astronomy.com/news/2021/02/hidden-spaceflight-danger-the-south-atlantic-anomaly</w:t>
        </w:r>
      </w:hyperlink>
      <w:r>
        <w:rPr>
          <w:rFonts w:cs="Times New Roman"/>
          <w:noProof/>
        </w:rPr>
        <w:t>, accessed December 9, 2021.</w:t>
      </w:r>
      <w:bookmarkEnd w:id="7"/>
    </w:p>
    <w:p w14:paraId="7C397A88" w14:textId="5DB59806" w:rsidR="007F2E84" w:rsidRDefault="007F2E84" w:rsidP="00E261E3">
      <w:pPr>
        <w:pStyle w:val="Bibliography"/>
        <w:numPr>
          <w:ilvl w:val="0"/>
          <w:numId w:val="16"/>
        </w:numPr>
        <w:spacing w:line="480" w:lineRule="auto"/>
        <w:ind w:left="540" w:hanging="450"/>
        <w:rPr>
          <w:rFonts w:cs="Times New Roman"/>
          <w:noProof/>
        </w:rPr>
      </w:pPr>
      <w:bookmarkStart w:id="9" w:name="_Ref89960779"/>
      <w:r>
        <w:rPr>
          <w:rFonts w:cs="Times New Roman"/>
          <w:noProof/>
        </w:rPr>
        <w:t xml:space="preserve">“What are Van Allen radiation belts?”, Space Center Houston, May 19, 2021, Website: </w:t>
      </w:r>
      <w:hyperlink r:id="rId13" w:history="1">
        <w:r w:rsidRPr="004F5173">
          <w:rPr>
            <w:rStyle w:val="Hyperlink"/>
            <w:rFonts w:cs="Times New Roman"/>
            <w:noProof/>
          </w:rPr>
          <w:t>https://spacecenter.org/what-are-the-van-allen-radiation-belts/</w:t>
        </w:r>
      </w:hyperlink>
      <w:r>
        <w:rPr>
          <w:rFonts w:cs="Times New Roman"/>
          <w:noProof/>
        </w:rPr>
        <w:t>, accessed December 9, 2021.</w:t>
      </w:r>
      <w:bookmarkEnd w:id="9"/>
    </w:p>
    <w:p w14:paraId="2E37367D" w14:textId="3E33AC8B" w:rsidR="00074B24" w:rsidRDefault="00074B24" w:rsidP="00E261E3">
      <w:pPr>
        <w:pStyle w:val="Bibliography"/>
        <w:numPr>
          <w:ilvl w:val="0"/>
          <w:numId w:val="16"/>
        </w:numPr>
        <w:spacing w:line="480" w:lineRule="auto"/>
        <w:ind w:left="540" w:hanging="450"/>
        <w:rPr>
          <w:rFonts w:cs="Times New Roman"/>
          <w:noProof/>
        </w:rPr>
      </w:pPr>
      <w:bookmarkStart w:id="10" w:name="_Ref89960790"/>
      <w:r w:rsidRPr="0031796E">
        <w:t>Williams, M.</w:t>
      </w:r>
      <w:r>
        <w:t>,</w:t>
      </w:r>
      <w:r w:rsidRPr="0031796E">
        <w:t xml:space="preserve"> "How bad is the radiation on </w:t>
      </w:r>
      <w:proofErr w:type="gramStart"/>
      <w:r w:rsidRPr="0031796E">
        <w:t>Mars?.</w:t>
      </w:r>
      <w:proofErr w:type="gramEnd"/>
      <w:r w:rsidRPr="0031796E">
        <w:t>" Universe Today</w:t>
      </w:r>
      <w:r>
        <w:t>, November 21, 2016, Website:</w:t>
      </w:r>
      <w:r w:rsidRPr="0031796E">
        <w:t xml:space="preserve"> https://www. </w:t>
      </w:r>
      <w:proofErr w:type="spellStart"/>
      <w:r w:rsidRPr="0031796E">
        <w:t>universetoday</w:t>
      </w:r>
      <w:proofErr w:type="spellEnd"/>
      <w:r w:rsidRPr="0031796E">
        <w:t>. com/14979/mars-radiation1/</w:t>
      </w:r>
      <w:r>
        <w:t>, accessed December 9, 2021.</w:t>
      </w:r>
      <w:bookmarkEnd w:id="10"/>
    </w:p>
    <w:p w14:paraId="1B3EB9E6" w14:textId="0D66722F" w:rsidR="00B456A7" w:rsidRPr="00540EB6" w:rsidRDefault="00C0520E" w:rsidP="00E261E3">
      <w:pPr>
        <w:pStyle w:val="Bibliography"/>
        <w:numPr>
          <w:ilvl w:val="0"/>
          <w:numId w:val="16"/>
        </w:numPr>
        <w:spacing w:line="480" w:lineRule="auto"/>
        <w:ind w:left="540" w:hanging="450"/>
        <w:rPr>
          <w:rFonts w:cs="Times New Roman"/>
          <w:noProof/>
        </w:rPr>
      </w:pPr>
      <w:r w:rsidRPr="00540EB6">
        <w:rPr>
          <w:rFonts w:cs="Times New Roman"/>
          <w:noProof/>
        </w:rPr>
        <w:t xml:space="preserve">Chen, Y. (2021). </w:t>
      </w:r>
      <w:r w:rsidRPr="00540EB6">
        <w:rPr>
          <w:rFonts w:cs="Times New Roman"/>
          <w:i/>
          <w:iCs/>
          <w:noProof/>
        </w:rPr>
        <w:t>Recommendations on Use of COTS Parts for NASA Missions final report.</w:t>
      </w:r>
      <w:r w:rsidRPr="00540EB6">
        <w:rPr>
          <w:rFonts w:cs="Times New Roman"/>
          <w:noProof/>
        </w:rPr>
        <w:t xml:space="preserve"> NASA Engineering and Safety Center.</w:t>
      </w:r>
      <w:bookmarkEnd w:id="8"/>
    </w:p>
    <w:p w14:paraId="015B4B4D" w14:textId="77777777" w:rsidR="00C0520E" w:rsidRPr="00540EB6" w:rsidRDefault="00C0520E" w:rsidP="00E261E3">
      <w:pPr>
        <w:pStyle w:val="Bibliography"/>
        <w:numPr>
          <w:ilvl w:val="0"/>
          <w:numId w:val="16"/>
        </w:numPr>
        <w:spacing w:line="480" w:lineRule="auto"/>
        <w:ind w:left="540" w:hanging="450"/>
        <w:rPr>
          <w:rFonts w:cs="Times New Roman"/>
          <w:noProof/>
        </w:rPr>
      </w:pPr>
      <w:bookmarkStart w:id="11" w:name="_Ref67579114"/>
      <w:r w:rsidRPr="00540EB6">
        <w:rPr>
          <w:rFonts w:cs="Times New Roman"/>
          <w:noProof/>
        </w:rPr>
        <w:t xml:space="preserve">David Petrick, e. a. (2014). SpaceCube v2.0 Space Flight Hybrid Reconfigurable Data Processing System. </w:t>
      </w:r>
      <w:r w:rsidRPr="00540EB6">
        <w:rPr>
          <w:rFonts w:cs="Times New Roman"/>
          <w:i/>
          <w:iCs/>
          <w:noProof/>
        </w:rPr>
        <w:t>IEEE Aerospace Conference.</w:t>
      </w:r>
      <w:r w:rsidRPr="00540EB6">
        <w:rPr>
          <w:rFonts w:cs="Times New Roman"/>
          <w:noProof/>
        </w:rPr>
        <w:t xml:space="preserve"> IEEE.</w:t>
      </w:r>
      <w:bookmarkEnd w:id="11"/>
    </w:p>
    <w:p w14:paraId="26647D46" w14:textId="77777777" w:rsidR="00C0520E" w:rsidRPr="00540EB6" w:rsidRDefault="00C0520E" w:rsidP="00E261E3">
      <w:pPr>
        <w:pStyle w:val="Bibliography"/>
        <w:numPr>
          <w:ilvl w:val="0"/>
          <w:numId w:val="16"/>
        </w:numPr>
        <w:spacing w:line="480" w:lineRule="auto"/>
        <w:ind w:left="540" w:hanging="450"/>
        <w:rPr>
          <w:rFonts w:cs="Times New Roman"/>
          <w:noProof/>
        </w:rPr>
      </w:pPr>
      <w:bookmarkStart w:id="12" w:name="_Ref67579116"/>
      <w:r w:rsidRPr="00540EB6">
        <w:rPr>
          <w:rFonts w:cs="Times New Roman"/>
          <w:noProof/>
        </w:rPr>
        <w:t xml:space="preserve">David Petrick, e. a. (2020). SpaceCube Overview and Use of COTS Parts in Space. </w:t>
      </w:r>
      <w:r w:rsidRPr="00540EB6">
        <w:rPr>
          <w:rFonts w:cs="Times New Roman"/>
          <w:i/>
          <w:iCs/>
          <w:noProof/>
        </w:rPr>
        <w:t>NEPP Electronics Technology Workshop.</w:t>
      </w:r>
      <w:r w:rsidRPr="00540EB6">
        <w:rPr>
          <w:rFonts w:cs="Times New Roman"/>
          <w:noProof/>
        </w:rPr>
        <w:t xml:space="preserve"> Greenbelt: NASA Electronic Parts and Packaging Program.</w:t>
      </w:r>
      <w:bookmarkEnd w:id="12"/>
    </w:p>
    <w:p w14:paraId="006EC278" w14:textId="77777777" w:rsidR="00C0520E" w:rsidRPr="00540EB6" w:rsidRDefault="00C0520E" w:rsidP="00E261E3">
      <w:pPr>
        <w:pStyle w:val="Bibliography"/>
        <w:numPr>
          <w:ilvl w:val="0"/>
          <w:numId w:val="16"/>
        </w:numPr>
        <w:spacing w:line="480" w:lineRule="auto"/>
        <w:ind w:left="540" w:hanging="450"/>
        <w:rPr>
          <w:rFonts w:cs="Times New Roman"/>
          <w:noProof/>
        </w:rPr>
      </w:pPr>
      <w:bookmarkStart w:id="13" w:name="_Ref67576809"/>
      <w:r w:rsidRPr="00540EB6">
        <w:rPr>
          <w:rFonts w:cs="Times New Roman"/>
          <w:noProof/>
        </w:rPr>
        <w:t>GSFC, N. (2013). General Environmental Verification Standard. Greenbelt, MD, USA: NASA.</w:t>
      </w:r>
      <w:bookmarkEnd w:id="13"/>
    </w:p>
    <w:p w14:paraId="34273043" w14:textId="77777777" w:rsidR="00C0520E" w:rsidRPr="00540EB6" w:rsidRDefault="00C0520E" w:rsidP="00E261E3">
      <w:pPr>
        <w:pStyle w:val="Bibliography"/>
        <w:numPr>
          <w:ilvl w:val="0"/>
          <w:numId w:val="16"/>
        </w:numPr>
        <w:spacing w:line="480" w:lineRule="auto"/>
        <w:ind w:left="540" w:hanging="450"/>
        <w:rPr>
          <w:rFonts w:cs="Times New Roman"/>
          <w:noProof/>
        </w:rPr>
      </w:pPr>
      <w:bookmarkStart w:id="14" w:name="_Ref67576744"/>
      <w:r w:rsidRPr="00540EB6">
        <w:rPr>
          <w:rFonts w:cs="Times New Roman"/>
          <w:noProof/>
        </w:rPr>
        <w:t xml:space="preserve">GSFC, N. (2016). Goddard Open Learning Design Rules. </w:t>
      </w:r>
      <w:r w:rsidRPr="00540EB6">
        <w:rPr>
          <w:rFonts w:cs="Times New Roman"/>
          <w:i/>
          <w:iCs/>
          <w:noProof/>
        </w:rPr>
        <w:t>Rules for the Design, Development, Verification, and Operation of Flight Systems</w:t>
      </w:r>
      <w:r w:rsidRPr="00540EB6">
        <w:rPr>
          <w:rFonts w:cs="Times New Roman"/>
          <w:noProof/>
        </w:rPr>
        <w:t>. Greenbelt, MD, USA: NASA.</w:t>
      </w:r>
      <w:bookmarkEnd w:id="14"/>
    </w:p>
    <w:p w14:paraId="5E735CCC" w14:textId="77777777" w:rsidR="00C0520E" w:rsidRPr="00540EB6" w:rsidRDefault="00C0520E" w:rsidP="00E261E3">
      <w:pPr>
        <w:pStyle w:val="Bibliography"/>
        <w:numPr>
          <w:ilvl w:val="0"/>
          <w:numId w:val="16"/>
        </w:numPr>
        <w:spacing w:line="480" w:lineRule="auto"/>
        <w:ind w:left="540" w:hanging="450"/>
        <w:rPr>
          <w:rFonts w:cs="Times New Roman"/>
          <w:noProof/>
        </w:rPr>
      </w:pPr>
      <w:bookmarkStart w:id="15" w:name="_Ref78870914"/>
      <w:r w:rsidRPr="00540EB6">
        <w:rPr>
          <w:rFonts w:cs="Times New Roman"/>
          <w:noProof/>
        </w:rPr>
        <w:t>GSFC, N. (n.d.). GPR 7120.4, Risk Management.</w:t>
      </w:r>
      <w:bookmarkEnd w:id="15"/>
    </w:p>
    <w:p w14:paraId="0ABBD704" w14:textId="77777777" w:rsidR="00C0520E" w:rsidRPr="00540EB6" w:rsidRDefault="00C0520E" w:rsidP="00E261E3">
      <w:pPr>
        <w:pStyle w:val="Bibliography"/>
        <w:numPr>
          <w:ilvl w:val="0"/>
          <w:numId w:val="16"/>
        </w:numPr>
        <w:spacing w:line="480" w:lineRule="auto"/>
        <w:ind w:left="540" w:hanging="450"/>
        <w:rPr>
          <w:rFonts w:cs="Times New Roman"/>
          <w:noProof/>
        </w:rPr>
      </w:pPr>
      <w:bookmarkStart w:id="16" w:name="_Ref67579149"/>
      <w:r w:rsidRPr="00540EB6">
        <w:rPr>
          <w:rFonts w:cs="Times New Roman"/>
          <w:noProof/>
        </w:rPr>
        <w:lastRenderedPageBreak/>
        <w:t>Industries), I. (. (2004). IPC 6012 Revision B. Qualification and Performance Specification for Rigid Printed Boards. Bannockburn, IL.</w:t>
      </w:r>
      <w:bookmarkEnd w:id="16"/>
    </w:p>
    <w:p w14:paraId="6334689A" w14:textId="77777777" w:rsidR="00C0520E" w:rsidRPr="00540EB6" w:rsidRDefault="00C0520E" w:rsidP="00E261E3">
      <w:pPr>
        <w:pStyle w:val="Bibliography"/>
        <w:numPr>
          <w:ilvl w:val="0"/>
          <w:numId w:val="16"/>
        </w:numPr>
        <w:spacing w:line="480" w:lineRule="auto"/>
        <w:ind w:left="540" w:hanging="450"/>
        <w:rPr>
          <w:rFonts w:cs="Times New Roman"/>
          <w:noProof/>
        </w:rPr>
      </w:pPr>
      <w:bookmarkStart w:id="17" w:name="_Ref67577459"/>
      <w:r w:rsidRPr="00540EB6">
        <w:rPr>
          <w:rFonts w:cs="Times New Roman"/>
          <w:noProof/>
        </w:rPr>
        <w:t xml:space="preserve">Leitner, e. a. (2018). Risk-based safety and mission assurance: Approach and Experiences in Practice. </w:t>
      </w:r>
      <w:r w:rsidRPr="00540EB6">
        <w:rPr>
          <w:rFonts w:cs="Times New Roman"/>
          <w:i/>
          <w:iCs/>
          <w:noProof/>
        </w:rPr>
        <w:t>Quality Engineering</w:t>
      </w:r>
      <w:r w:rsidRPr="00540EB6">
        <w:rPr>
          <w:rFonts w:cs="Times New Roman"/>
          <w:noProof/>
        </w:rPr>
        <w:t>, 648-662.</w:t>
      </w:r>
      <w:bookmarkEnd w:id="17"/>
    </w:p>
    <w:p w14:paraId="1CB78BE5" w14:textId="30BE70EE" w:rsidR="00B456A7" w:rsidRPr="00540EB6" w:rsidRDefault="00C0520E" w:rsidP="00E261E3">
      <w:pPr>
        <w:pStyle w:val="Bibliography"/>
        <w:numPr>
          <w:ilvl w:val="0"/>
          <w:numId w:val="16"/>
        </w:numPr>
        <w:spacing w:line="480" w:lineRule="auto"/>
        <w:ind w:left="540" w:hanging="450"/>
        <w:rPr>
          <w:rFonts w:cs="Times New Roman"/>
          <w:noProof/>
        </w:rPr>
      </w:pPr>
      <w:bookmarkStart w:id="18" w:name="_Ref67577134"/>
      <w:r w:rsidRPr="00540EB6">
        <w:rPr>
          <w:rFonts w:cs="Times New Roman"/>
          <w:noProof/>
        </w:rPr>
        <w:t xml:space="preserve">Leitner, J. (2017). </w:t>
      </w:r>
      <w:r w:rsidRPr="00540EB6">
        <w:rPr>
          <w:rFonts w:cs="Times New Roman"/>
          <w:i/>
          <w:iCs/>
          <w:noProof/>
        </w:rPr>
        <w:t>Risk Assessment Handbook.</w:t>
      </w:r>
      <w:r w:rsidRPr="00540EB6">
        <w:rPr>
          <w:rFonts w:cs="Times New Roman"/>
          <w:noProof/>
        </w:rPr>
        <w:t xml:space="preserve"> Greenbelt: NASA.</w:t>
      </w:r>
      <w:bookmarkEnd w:id="18"/>
    </w:p>
    <w:p w14:paraId="7BC095C1" w14:textId="77777777" w:rsidR="00C0520E" w:rsidRPr="00540EB6" w:rsidRDefault="00C0520E" w:rsidP="00E261E3">
      <w:pPr>
        <w:pStyle w:val="Bibliography"/>
        <w:numPr>
          <w:ilvl w:val="0"/>
          <w:numId w:val="16"/>
        </w:numPr>
        <w:spacing w:line="480" w:lineRule="auto"/>
        <w:ind w:left="540" w:hanging="450"/>
        <w:rPr>
          <w:rFonts w:cs="Times New Roman"/>
          <w:noProof/>
        </w:rPr>
      </w:pPr>
      <w:bookmarkStart w:id="19" w:name="_Ref67576173"/>
      <w:r w:rsidRPr="00540EB6">
        <w:rPr>
          <w:rFonts w:cs="Times New Roman"/>
          <w:noProof/>
        </w:rPr>
        <w:t xml:space="preserve">Lorell, M. A. (1998). </w:t>
      </w:r>
      <w:r w:rsidRPr="00540EB6">
        <w:rPr>
          <w:rFonts w:cs="Times New Roman"/>
          <w:i/>
          <w:iCs/>
          <w:noProof/>
        </w:rPr>
        <w:t>The Cutting Edge: A Half Century of U.S. Fighter Aircraft R&amp;D.</w:t>
      </w:r>
      <w:r w:rsidRPr="00540EB6">
        <w:rPr>
          <w:rFonts w:cs="Times New Roman"/>
          <w:noProof/>
        </w:rPr>
        <w:t xml:space="preserve"> RAND Corporation.</w:t>
      </w:r>
      <w:bookmarkEnd w:id="19"/>
    </w:p>
    <w:p w14:paraId="263E053A" w14:textId="77777777" w:rsidR="00C0520E" w:rsidRPr="00540EB6" w:rsidRDefault="00C0520E" w:rsidP="00E261E3">
      <w:pPr>
        <w:pStyle w:val="Bibliography"/>
        <w:numPr>
          <w:ilvl w:val="0"/>
          <w:numId w:val="16"/>
        </w:numPr>
        <w:spacing w:line="480" w:lineRule="auto"/>
        <w:ind w:left="540" w:hanging="450"/>
        <w:rPr>
          <w:rFonts w:cs="Times New Roman"/>
          <w:noProof/>
        </w:rPr>
      </w:pPr>
      <w:bookmarkStart w:id="20" w:name="_Ref67577071"/>
      <w:r w:rsidRPr="00540EB6">
        <w:rPr>
          <w:rFonts w:cs="Times New Roman"/>
          <w:noProof/>
        </w:rPr>
        <w:t xml:space="preserve">NASA. (2004). </w:t>
      </w:r>
      <w:r w:rsidRPr="00540EB6">
        <w:rPr>
          <w:rFonts w:cs="Times New Roman"/>
          <w:i/>
          <w:iCs/>
          <w:noProof/>
        </w:rPr>
        <w:t>Risk Classification for NASA Payloads.</w:t>
      </w:r>
      <w:r w:rsidRPr="00540EB6">
        <w:rPr>
          <w:rFonts w:cs="Times New Roman"/>
          <w:noProof/>
        </w:rPr>
        <w:t xml:space="preserve"> Washington: NASA.</w:t>
      </w:r>
      <w:bookmarkEnd w:id="20"/>
    </w:p>
    <w:p w14:paraId="345B3C24" w14:textId="77777777" w:rsidR="00C0520E" w:rsidRPr="00540EB6" w:rsidRDefault="00C0520E" w:rsidP="00E261E3">
      <w:pPr>
        <w:pStyle w:val="Bibliography"/>
        <w:numPr>
          <w:ilvl w:val="0"/>
          <w:numId w:val="16"/>
        </w:numPr>
        <w:spacing w:line="480" w:lineRule="auto"/>
        <w:ind w:left="540" w:hanging="450"/>
        <w:rPr>
          <w:rFonts w:cs="Times New Roman"/>
          <w:noProof/>
        </w:rPr>
      </w:pPr>
      <w:bookmarkStart w:id="21" w:name="_Ref67576193"/>
      <w:r w:rsidRPr="00540EB6">
        <w:rPr>
          <w:rFonts w:cs="Times New Roman"/>
          <w:noProof/>
        </w:rPr>
        <w:t xml:space="preserve">NASA. (n.d.). </w:t>
      </w:r>
      <w:r w:rsidRPr="00540EB6">
        <w:rPr>
          <w:rFonts w:cs="Times New Roman"/>
          <w:i/>
          <w:iCs/>
          <w:noProof/>
        </w:rPr>
        <w:t>NASA Parts Selection List</w:t>
      </w:r>
      <w:r w:rsidRPr="00540EB6">
        <w:rPr>
          <w:rFonts w:cs="Times New Roman"/>
          <w:noProof/>
        </w:rPr>
        <w:t>. Retrieved from NASA Electronic Parts and Packaging Program: https://nepp.nasa.gov/npsl/</w:t>
      </w:r>
      <w:bookmarkEnd w:id="21"/>
    </w:p>
    <w:p w14:paraId="2B1F0227" w14:textId="77777777" w:rsidR="00C0520E" w:rsidRPr="00540EB6" w:rsidRDefault="00C0520E" w:rsidP="00E261E3">
      <w:pPr>
        <w:pStyle w:val="Bibliography"/>
        <w:numPr>
          <w:ilvl w:val="0"/>
          <w:numId w:val="16"/>
        </w:numPr>
        <w:spacing w:line="480" w:lineRule="auto"/>
        <w:ind w:left="540" w:hanging="450"/>
        <w:rPr>
          <w:rFonts w:cs="Times New Roman"/>
          <w:noProof/>
        </w:rPr>
      </w:pPr>
      <w:bookmarkStart w:id="22" w:name="_Ref78870946"/>
      <w:r w:rsidRPr="00540EB6">
        <w:rPr>
          <w:rFonts w:cs="Times New Roman"/>
          <w:noProof/>
        </w:rPr>
        <w:t>NASA. (n.d.). NPR 8000.4, Agency Risk Management Procedural Requirements.</w:t>
      </w:r>
      <w:bookmarkEnd w:id="22"/>
    </w:p>
    <w:p w14:paraId="5FA25A2C" w14:textId="77777777" w:rsidR="007B58A0" w:rsidRPr="00540EB6" w:rsidRDefault="00C0520E" w:rsidP="00E261E3">
      <w:pPr>
        <w:pStyle w:val="ListParagraph"/>
        <w:numPr>
          <w:ilvl w:val="0"/>
          <w:numId w:val="16"/>
        </w:numPr>
        <w:shd w:val="clear" w:color="auto" w:fill="FFFFFF"/>
        <w:spacing w:line="480" w:lineRule="auto"/>
        <w:ind w:left="540" w:hanging="450"/>
        <w:rPr>
          <w:sz w:val="24"/>
          <w:szCs w:val="24"/>
        </w:rPr>
      </w:pPr>
      <w:bookmarkStart w:id="23" w:name="_Ref67576220"/>
      <w:r w:rsidRPr="00540EB6">
        <w:rPr>
          <w:noProof/>
          <w:sz w:val="24"/>
          <w:szCs w:val="24"/>
        </w:rPr>
        <w:t>Sahu. (2003). Instructions for EEE Parts Selection, Screening, Qualification, and Derating. Greenbelt, MD, USA: NASA</w:t>
      </w:r>
      <w:bookmarkEnd w:id="23"/>
      <w:r w:rsidR="007B58A0" w:rsidRPr="00540EB6">
        <w:rPr>
          <w:noProof/>
          <w:sz w:val="24"/>
          <w:szCs w:val="24"/>
        </w:rPr>
        <w:t xml:space="preserve"> </w:t>
      </w:r>
    </w:p>
    <w:p w14:paraId="726A392D" w14:textId="13F981A0" w:rsidR="0037551B" w:rsidRPr="00540EB6" w:rsidRDefault="007B58A0" w:rsidP="00E261E3">
      <w:pPr>
        <w:pStyle w:val="ListParagraph"/>
        <w:numPr>
          <w:ilvl w:val="0"/>
          <w:numId w:val="16"/>
        </w:numPr>
        <w:shd w:val="clear" w:color="auto" w:fill="FFFFFF"/>
        <w:spacing w:line="480" w:lineRule="auto"/>
        <w:ind w:left="540" w:hanging="450"/>
        <w:rPr>
          <w:sz w:val="24"/>
          <w:szCs w:val="24"/>
        </w:rPr>
      </w:pPr>
      <w:r w:rsidRPr="00540EB6">
        <w:rPr>
          <w:noProof/>
          <w:sz w:val="24"/>
          <w:szCs w:val="24"/>
        </w:rPr>
        <w:t>MIL-PRF-38534J - Performance Specification: Hybrid Microcircuits, General Specification For (13-MAR-2015).</w:t>
      </w:r>
    </w:p>
    <w:p w14:paraId="67E9D4FE" w14:textId="3C6076D4" w:rsidR="00FC4B38" w:rsidRPr="00540EB6" w:rsidRDefault="00FC4B38" w:rsidP="00E261E3">
      <w:pPr>
        <w:pStyle w:val="ListParagraph"/>
        <w:numPr>
          <w:ilvl w:val="0"/>
          <w:numId w:val="16"/>
        </w:numPr>
        <w:shd w:val="clear" w:color="auto" w:fill="FFFFFF"/>
        <w:spacing w:line="480" w:lineRule="auto"/>
        <w:ind w:left="540" w:hanging="450"/>
        <w:rPr>
          <w:noProof/>
          <w:sz w:val="24"/>
          <w:szCs w:val="24"/>
        </w:rPr>
      </w:pPr>
      <w:bookmarkStart w:id="24" w:name="_Ref79561976"/>
      <w:r w:rsidRPr="00540EB6">
        <w:rPr>
          <w:noProof/>
          <w:sz w:val="24"/>
          <w:szCs w:val="24"/>
        </w:rPr>
        <w:t>Leitner, J., NASA/NRO Spacecraft Anomalies and Failures Workshop,</w:t>
      </w:r>
      <w:bookmarkEnd w:id="24"/>
      <w:r w:rsidRPr="00540EB6">
        <w:rPr>
          <w:noProof/>
          <w:sz w:val="24"/>
          <w:szCs w:val="24"/>
        </w:rPr>
        <w:t xml:space="preserve"> </w:t>
      </w:r>
    </w:p>
    <w:p w14:paraId="7B0399AB" w14:textId="478EE4E4" w:rsidR="00FC4B38" w:rsidRPr="00540EB6" w:rsidRDefault="00FC4B38" w:rsidP="00E261E3">
      <w:pPr>
        <w:pStyle w:val="ListParagraph"/>
        <w:shd w:val="clear" w:color="auto" w:fill="FFFFFF"/>
        <w:spacing w:line="480" w:lineRule="auto"/>
        <w:ind w:left="540"/>
        <w:rPr>
          <w:noProof/>
          <w:sz w:val="24"/>
          <w:szCs w:val="24"/>
        </w:rPr>
      </w:pPr>
      <w:r w:rsidRPr="00540EB6">
        <w:rPr>
          <w:i/>
          <w:iCs/>
          <w:noProof/>
          <w:sz w:val="24"/>
          <w:szCs w:val="24"/>
        </w:rPr>
        <w:t>Some not-so-intuitive lessons from key on-orbit failures and anomalies since 2005</w:t>
      </w:r>
      <w:r w:rsidRPr="00540EB6">
        <w:rPr>
          <w:noProof/>
          <w:sz w:val="24"/>
          <w:szCs w:val="24"/>
        </w:rPr>
        <w:t>, (November 30, 2020).</w:t>
      </w:r>
    </w:p>
    <w:p w14:paraId="3C57EBB0" w14:textId="77777777" w:rsidR="00FC4B38" w:rsidRPr="00CE08A4" w:rsidRDefault="00FC4B38" w:rsidP="00CE08A4">
      <w:pPr>
        <w:shd w:val="clear" w:color="auto" w:fill="FFFFFF"/>
        <w:spacing w:line="480" w:lineRule="auto"/>
        <w:rPr>
          <w:sz w:val="24"/>
          <w:szCs w:val="24"/>
        </w:rPr>
      </w:pPr>
    </w:p>
    <w:sectPr w:rsidR="00FC4B38" w:rsidRPr="00CE08A4" w:rsidSect="0039189A">
      <w:headerReference w:type="default" r:id="rId14"/>
      <w:type w:val="continuous"/>
      <w:pgSz w:w="12240" w:h="15840" w:code="1"/>
      <w:pgMar w:top="1008" w:right="936" w:bottom="1008" w:left="936" w:header="432" w:footer="432"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9BEF" w14:textId="77777777" w:rsidR="00C474F6" w:rsidRDefault="00C474F6">
      <w:r>
        <w:separator/>
      </w:r>
    </w:p>
  </w:endnote>
  <w:endnote w:type="continuationSeparator" w:id="0">
    <w:p w14:paraId="137E22D5" w14:textId="77777777" w:rsidR="00C474F6" w:rsidRDefault="00C4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Formata-Regular">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A337" w14:textId="77777777" w:rsidR="00C474F6" w:rsidRDefault="00C474F6"/>
  </w:footnote>
  <w:footnote w:type="continuationSeparator" w:id="0">
    <w:p w14:paraId="5DF29BD2" w14:textId="77777777" w:rsidR="00C474F6" w:rsidRDefault="00C474F6">
      <w:r>
        <w:continuationSeparator/>
      </w:r>
    </w:p>
  </w:footnote>
  <w:footnote w:id="1">
    <w:p w14:paraId="7100C9C8" w14:textId="00159B85" w:rsidR="00901B5F" w:rsidRDefault="00901B5F">
      <w:pPr>
        <w:pStyle w:val="FootnoteText"/>
      </w:pPr>
      <w:r>
        <w:rPr>
          <w:rStyle w:val="FootnoteReference"/>
        </w:rPr>
        <w:footnoteRef/>
      </w:r>
      <w:r>
        <w:t xml:space="preserve"> </w:t>
      </w:r>
      <w:r w:rsidR="00A621B3">
        <w:t xml:space="preserve">This article has been accepted for publication in American Society for Quality’s Quality Engineering Journal.  The formatted and published version is available at </w:t>
      </w:r>
      <w:r w:rsidR="00A621B3" w:rsidRPr="00A621B3">
        <w:t>https://www.tandfonline.com/doi/full/10.1080/08982112.2021.2021423</w:t>
      </w:r>
      <w:r w:rsidR="00A621B3" w:rsidRPr="00A621B3">
        <w:t xml:space="preserve"> </w:t>
      </w:r>
    </w:p>
  </w:footnote>
  <w:footnote w:id="2">
    <w:p w14:paraId="6A8114AC" w14:textId="0FDE34FD" w:rsidR="00A114A5" w:rsidRDefault="00A114A5">
      <w:pPr>
        <w:pStyle w:val="FootnoteText"/>
      </w:pPr>
      <w:r>
        <w:rPr>
          <w:rStyle w:val="FootnoteReference"/>
        </w:rPr>
        <w:footnoteRef/>
      </w:r>
      <w:r>
        <w:t xml:space="preserve"> The </w:t>
      </w:r>
      <w:r w:rsidRPr="00F04F27">
        <w:rPr>
          <w:i/>
          <w:iCs/>
        </w:rPr>
        <w:t>objectives-driven</w:t>
      </w:r>
      <w:r>
        <w:t xml:space="preserve"> approach was one facet of the </w:t>
      </w:r>
      <w:r w:rsidR="005C0662">
        <w:t xml:space="preserve">Department of Defense’s </w:t>
      </w:r>
      <w:r>
        <w:t>transition to align more with commercial practices in which only end performance is required, while internal design details are left to the developer.</w:t>
      </w:r>
      <w:r w:rsidR="00025EDD">
        <w:t xml:space="preserve">  </w:t>
      </w:r>
    </w:p>
  </w:footnote>
  <w:footnote w:id="3">
    <w:p w14:paraId="6B922AF3" w14:textId="37275A10" w:rsidR="00591285" w:rsidRDefault="00591285">
      <w:pPr>
        <w:pStyle w:val="FootnoteText"/>
      </w:pPr>
      <w:r>
        <w:rPr>
          <w:rStyle w:val="FootnoteReference"/>
        </w:rPr>
        <w:footnoteRef/>
      </w:r>
      <w:r>
        <w:t xml:space="preserve"> The upscreening term is a bit of a misnomer, but it is used here because it is a common term in the NASA parts community to refer to using screening, and possibly “part qualification” to raise the </w:t>
      </w:r>
      <w:r w:rsidR="00A95828">
        <w:t xml:space="preserve">(assurance) </w:t>
      </w:r>
      <w:r>
        <w:t>“level” of the part</w:t>
      </w:r>
      <w:r w:rsidR="002178FD">
        <w:t xml:space="preserve"> using a document such as EEE-INST-002</w:t>
      </w:r>
      <w:r>
        <w:t xml:space="preserve">. </w:t>
      </w:r>
    </w:p>
  </w:footnote>
  <w:footnote w:id="4">
    <w:p w14:paraId="02513D9E" w14:textId="4DAD4461" w:rsidR="00457B16" w:rsidRDefault="00457B16">
      <w:pPr>
        <w:pStyle w:val="FootnoteText"/>
      </w:pPr>
      <w:r>
        <w:rPr>
          <w:rStyle w:val="FootnoteReference"/>
        </w:rPr>
        <w:footnoteRef/>
      </w:r>
      <w:r>
        <w:t xml:space="preserve"> By on-orbit failures, we mean failures that have occurred after a spacecraft has launched and has been placed in its operational orbit or trajectory to its ultimate destination.</w:t>
      </w:r>
      <w:r w:rsidR="00025EDD">
        <w:t xml:space="preserve">  </w:t>
      </w:r>
      <w:r>
        <w:t>In most cases, there is not much you can do to correct an on-orbit failure.</w:t>
      </w:r>
    </w:p>
  </w:footnote>
  <w:footnote w:id="5">
    <w:p w14:paraId="3F102119" w14:textId="77777777" w:rsidR="00FB4998" w:rsidRDefault="00FB4998" w:rsidP="00FB4998">
      <w:pPr>
        <w:pStyle w:val="FootnoteText"/>
      </w:pPr>
      <w:r>
        <w:rPr>
          <w:rStyle w:val="FootnoteReference"/>
        </w:rPr>
        <w:footnoteRef/>
      </w:r>
      <w:r>
        <w:t xml:space="preserve"> Here, grade refers to manufacturing approach, combining equipment, quality controls, and processes to assure parts will be reliable in proper usage</w:t>
      </w:r>
    </w:p>
  </w:footnote>
  <w:footnote w:id="6">
    <w:p w14:paraId="68D28CA1" w14:textId="77777777" w:rsidR="00FB4998" w:rsidRDefault="00FB4998" w:rsidP="00FB4998">
      <w:pPr>
        <w:pStyle w:val="FootnoteText"/>
      </w:pPr>
      <w:r>
        <w:rPr>
          <w:rStyle w:val="FootnoteReference"/>
        </w:rPr>
        <w:footnoteRef/>
      </w:r>
      <w:r>
        <w:t xml:space="preserve"> SEU:  single-event upset due to radiation </w:t>
      </w:r>
    </w:p>
  </w:footnote>
  <w:footnote w:id="7">
    <w:p w14:paraId="7069E071" w14:textId="77777777" w:rsidR="00FB4998" w:rsidRDefault="00FB4998" w:rsidP="00FB4998">
      <w:pPr>
        <w:pStyle w:val="FootnoteText"/>
      </w:pPr>
      <w:r>
        <w:rPr>
          <w:rStyle w:val="FootnoteReference"/>
        </w:rPr>
        <w:footnoteRef/>
      </w:r>
      <w:r>
        <w:t xml:space="preserve"> Total ionizing dose of radiation</w:t>
      </w:r>
    </w:p>
  </w:footnote>
  <w:footnote w:id="8">
    <w:p w14:paraId="58D2A2BF" w14:textId="77777777" w:rsidR="00050A91" w:rsidRDefault="00050A91" w:rsidP="00050A91">
      <w:pPr>
        <w:pStyle w:val="FootnoteText"/>
      </w:pPr>
      <w:r>
        <w:rPr>
          <w:rStyle w:val="FootnoteReference"/>
        </w:rPr>
        <w:footnoteRef/>
      </w:r>
      <w:r>
        <w:t xml:space="preserve"> Total ionizing dose of radiation</w:t>
      </w:r>
    </w:p>
  </w:footnote>
  <w:footnote w:id="9">
    <w:p w14:paraId="28D434BB" w14:textId="77777777" w:rsidR="00FB4998" w:rsidRDefault="00FB4998" w:rsidP="00FB4998">
      <w:pPr>
        <w:pStyle w:val="FootnoteText"/>
      </w:pPr>
      <w:r>
        <w:rPr>
          <w:rStyle w:val="FootnoteReference"/>
        </w:rPr>
        <w:footnoteRef/>
      </w:r>
      <w:r>
        <w:t xml:space="preserve"> Derating includes that associated with radiation and “conservative” implies more conservative than EEE-INST-002, where applicable (many parameters on some parts cannot be derated). Derating benefit mainly applies to passive parts, but temperature and radiation derating for all parts are included.   </w:t>
      </w:r>
    </w:p>
  </w:footnote>
  <w:footnote w:id="10">
    <w:p w14:paraId="6FF7B024" w14:textId="77777777" w:rsidR="00FB4998" w:rsidRDefault="00FB4998" w:rsidP="00FB4998">
      <w:pPr>
        <w:pStyle w:val="FootnoteText"/>
      </w:pPr>
      <w:r>
        <w:rPr>
          <w:rStyle w:val="FootnoteReference"/>
        </w:rPr>
        <w:footnoteRef/>
      </w:r>
      <w:r>
        <w:t xml:space="preserve"> High volume is at the discretion of the user, but one definition would be a part that has over 1 million produced without changes to require requalification</w:t>
      </w:r>
    </w:p>
  </w:footnote>
  <w:footnote w:id="11">
    <w:p w14:paraId="01F9A5A8" w14:textId="2180E8F5" w:rsidR="00E1532C" w:rsidRDefault="00E1532C">
      <w:pPr>
        <w:pStyle w:val="FootnoteText"/>
      </w:pPr>
      <w:r>
        <w:rPr>
          <w:rStyle w:val="FootnoteReference"/>
        </w:rPr>
        <w:footnoteRef/>
      </w:r>
      <w:r>
        <w:t xml:space="preserve"> The NESC</w:t>
      </w:r>
      <w:r w:rsidR="00430281">
        <w:t xml:space="preserve"> is an organization that was formed within NASA as a result of the Space Shuttle Columbia disaster to provide technical expertise and independent technical review of NASA’s programs and projects.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CCAE" w14:textId="77777777" w:rsidR="00F96054" w:rsidRDefault="00F96054">
    <w:pPr>
      <w:framePr w:wrap="auto" w:vAnchor="text" w:hAnchor="margin" w:xAlign="right" w:y="1"/>
    </w:pPr>
    <w:r>
      <w:fldChar w:fldCharType="begin"/>
    </w:r>
    <w:r>
      <w:instrText xml:space="preserve">PAGE  </w:instrText>
    </w:r>
    <w:r>
      <w:fldChar w:fldCharType="separate"/>
    </w:r>
    <w:r>
      <w:rPr>
        <w:noProof/>
      </w:rPr>
      <w:t>10</w:t>
    </w:r>
    <w:r>
      <w:fldChar w:fldCharType="end"/>
    </w:r>
  </w:p>
  <w:p w14:paraId="11E5794E" w14:textId="77777777" w:rsidR="00F96054" w:rsidRDefault="00F96054">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B371D9"/>
    <w:multiLevelType w:val="hybridMultilevel"/>
    <w:tmpl w:val="C8726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AD6F94"/>
    <w:multiLevelType w:val="hybridMultilevel"/>
    <w:tmpl w:val="BB924E18"/>
    <w:lvl w:ilvl="0" w:tplc="DD4AD89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15:restartNumberingAfterBreak="0">
    <w:nsid w:val="0E8F4988"/>
    <w:multiLevelType w:val="hybridMultilevel"/>
    <w:tmpl w:val="7AB84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B5E50"/>
    <w:multiLevelType w:val="hybridMultilevel"/>
    <w:tmpl w:val="B99E9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828F0"/>
    <w:multiLevelType w:val="hybridMultilevel"/>
    <w:tmpl w:val="5D4EE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A79D7"/>
    <w:multiLevelType w:val="hybridMultilevel"/>
    <w:tmpl w:val="7F4861E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A2177"/>
    <w:multiLevelType w:val="hybridMultilevel"/>
    <w:tmpl w:val="36CA6C7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4298"/>
    <w:multiLevelType w:val="hybridMultilevel"/>
    <w:tmpl w:val="0E46EC50"/>
    <w:lvl w:ilvl="0" w:tplc="575842D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2F005A56"/>
    <w:multiLevelType w:val="hybridMultilevel"/>
    <w:tmpl w:val="FC781782"/>
    <w:lvl w:ilvl="0" w:tplc="81308934">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0" w15:restartNumberingAfterBreak="0">
    <w:nsid w:val="3A1C0B06"/>
    <w:multiLevelType w:val="hybridMultilevel"/>
    <w:tmpl w:val="34D4F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2" w15:restartNumberingAfterBreak="0">
    <w:nsid w:val="3B6D766F"/>
    <w:multiLevelType w:val="hybridMultilevel"/>
    <w:tmpl w:val="9FE8F830"/>
    <w:lvl w:ilvl="0" w:tplc="57584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C4907"/>
    <w:multiLevelType w:val="hybridMultilevel"/>
    <w:tmpl w:val="0DD27606"/>
    <w:lvl w:ilvl="0" w:tplc="E4F2B018">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4" w15:restartNumberingAfterBreak="0">
    <w:nsid w:val="53D97EC5"/>
    <w:multiLevelType w:val="hybridMultilevel"/>
    <w:tmpl w:val="DF00AC6C"/>
    <w:lvl w:ilvl="0" w:tplc="64987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233B1F"/>
    <w:multiLevelType w:val="hybridMultilevel"/>
    <w:tmpl w:val="A89008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874D9"/>
    <w:multiLevelType w:val="hybridMultilevel"/>
    <w:tmpl w:val="821AA70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D20F8"/>
    <w:multiLevelType w:val="hybridMultilevel"/>
    <w:tmpl w:val="18BC3A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F7878"/>
    <w:multiLevelType w:val="hybridMultilevel"/>
    <w:tmpl w:val="20CEC60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B94094"/>
    <w:multiLevelType w:val="hybridMultilevel"/>
    <w:tmpl w:val="798A4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4"/>
  </w:num>
  <w:num w:numId="5">
    <w:abstractNumId w:val="6"/>
  </w:num>
  <w:num w:numId="6">
    <w:abstractNumId w:val="18"/>
  </w:num>
  <w:num w:numId="7">
    <w:abstractNumId w:val="16"/>
  </w:num>
  <w:num w:numId="8">
    <w:abstractNumId w:val="1"/>
  </w:num>
  <w:num w:numId="9">
    <w:abstractNumId w:val="5"/>
  </w:num>
  <w:num w:numId="10">
    <w:abstractNumId w:val="3"/>
  </w:num>
  <w:num w:numId="11">
    <w:abstractNumId w:val="15"/>
  </w:num>
  <w:num w:numId="12">
    <w:abstractNumId w:val="17"/>
  </w:num>
  <w:num w:numId="13">
    <w:abstractNumId w:val="19"/>
  </w:num>
  <w:num w:numId="14">
    <w:abstractNumId w:val="14"/>
  </w:num>
  <w:num w:numId="15">
    <w:abstractNumId w:val="10"/>
  </w:num>
  <w:num w:numId="16">
    <w:abstractNumId w:val="12"/>
  </w:num>
  <w:num w:numId="17">
    <w:abstractNumId w:val="8"/>
  </w:num>
  <w:num w:numId="18">
    <w:abstractNumId w:val="13"/>
  </w:num>
  <w:num w:numId="19">
    <w:abstractNumId w:val="9"/>
  </w:num>
  <w:num w:numId="2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078AF"/>
    <w:rsid w:val="00025EDD"/>
    <w:rsid w:val="00031C80"/>
    <w:rsid w:val="00033275"/>
    <w:rsid w:val="00042E13"/>
    <w:rsid w:val="00050A91"/>
    <w:rsid w:val="0005182C"/>
    <w:rsid w:val="00056192"/>
    <w:rsid w:val="000618F3"/>
    <w:rsid w:val="00067F06"/>
    <w:rsid w:val="00074AE7"/>
    <w:rsid w:val="00074B24"/>
    <w:rsid w:val="000801C0"/>
    <w:rsid w:val="000A0C2F"/>
    <w:rsid w:val="000A168B"/>
    <w:rsid w:val="000A5C86"/>
    <w:rsid w:val="000D2BDE"/>
    <w:rsid w:val="000D5657"/>
    <w:rsid w:val="000F117D"/>
    <w:rsid w:val="00104BB0"/>
    <w:rsid w:val="00105104"/>
    <w:rsid w:val="0010794E"/>
    <w:rsid w:val="001123F6"/>
    <w:rsid w:val="00113F26"/>
    <w:rsid w:val="0013354F"/>
    <w:rsid w:val="00141FED"/>
    <w:rsid w:val="00143F2E"/>
    <w:rsid w:val="00144E72"/>
    <w:rsid w:val="0016315D"/>
    <w:rsid w:val="0017466A"/>
    <w:rsid w:val="001768FF"/>
    <w:rsid w:val="00181079"/>
    <w:rsid w:val="001813F5"/>
    <w:rsid w:val="00196509"/>
    <w:rsid w:val="001A60B1"/>
    <w:rsid w:val="001A6328"/>
    <w:rsid w:val="001B2686"/>
    <w:rsid w:val="001B36B1"/>
    <w:rsid w:val="001E7B7A"/>
    <w:rsid w:val="001F4BDF"/>
    <w:rsid w:val="001F4C5C"/>
    <w:rsid w:val="002035F6"/>
    <w:rsid w:val="00204478"/>
    <w:rsid w:val="00207E2C"/>
    <w:rsid w:val="00214E2E"/>
    <w:rsid w:val="00216141"/>
    <w:rsid w:val="00217186"/>
    <w:rsid w:val="002178FD"/>
    <w:rsid w:val="002434A1"/>
    <w:rsid w:val="00262C12"/>
    <w:rsid w:val="00263943"/>
    <w:rsid w:val="00267B35"/>
    <w:rsid w:val="00283A56"/>
    <w:rsid w:val="00286E38"/>
    <w:rsid w:val="0029107B"/>
    <w:rsid w:val="002A6BDB"/>
    <w:rsid w:val="002B6BD1"/>
    <w:rsid w:val="002E1F95"/>
    <w:rsid w:val="002E7F18"/>
    <w:rsid w:val="002F10CF"/>
    <w:rsid w:val="002F1A23"/>
    <w:rsid w:val="002F59FA"/>
    <w:rsid w:val="002F7910"/>
    <w:rsid w:val="003102F4"/>
    <w:rsid w:val="00314F82"/>
    <w:rsid w:val="00331AF7"/>
    <w:rsid w:val="003427CE"/>
    <w:rsid w:val="00342BE1"/>
    <w:rsid w:val="003461E8"/>
    <w:rsid w:val="00352D6B"/>
    <w:rsid w:val="003530C4"/>
    <w:rsid w:val="00360269"/>
    <w:rsid w:val="003665B8"/>
    <w:rsid w:val="0037551B"/>
    <w:rsid w:val="0039189A"/>
    <w:rsid w:val="00392DBA"/>
    <w:rsid w:val="003A18A3"/>
    <w:rsid w:val="003B1099"/>
    <w:rsid w:val="003C3322"/>
    <w:rsid w:val="003C68C2"/>
    <w:rsid w:val="003D1EBF"/>
    <w:rsid w:val="003D4CAE"/>
    <w:rsid w:val="003F020C"/>
    <w:rsid w:val="003F26BD"/>
    <w:rsid w:val="003F52AD"/>
    <w:rsid w:val="003F7B2C"/>
    <w:rsid w:val="00400E29"/>
    <w:rsid w:val="00421D42"/>
    <w:rsid w:val="00421F90"/>
    <w:rsid w:val="0042361D"/>
    <w:rsid w:val="00425FCB"/>
    <w:rsid w:val="00430281"/>
    <w:rsid w:val="0043144F"/>
    <w:rsid w:val="00431BFA"/>
    <w:rsid w:val="004353CF"/>
    <w:rsid w:val="004426DF"/>
    <w:rsid w:val="0045184A"/>
    <w:rsid w:val="00457B16"/>
    <w:rsid w:val="004627FF"/>
    <w:rsid w:val="004631BC"/>
    <w:rsid w:val="004715ED"/>
    <w:rsid w:val="00480ED6"/>
    <w:rsid w:val="004839B0"/>
    <w:rsid w:val="00484761"/>
    <w:rsid w:val="00484DD5"/>
    <w:rsid w:val="0048609A"/>
    <w:rsid w:val="004953BC"/>
    <w:rsid w:val="004B558A"/>
    <w:rsid w:val="004B76D6"/>
    <w:rsid w:val="004C1E16"/>
    <w:rsid w:val="004C2543"/>
    <w:rsid w:val="004D15CA"/>
    <w:rsid w:val="004E3E4C"/>
    <w:rsid w:val="004F23A0"/>
    <w:rsid w:val="005003E3"/>
    <w:rsid w:val="005052CD"/>
    <w:rsid w:val="00513717"/>
    <w:rsid w:val="00517E5B"/>
    <w:rsid w:val="005310E9"/>
    <w:rsid w:val="005321F3"/>
    <w:rsid w:val="0053332D"/>
    <w:rsid w:val="00535307"/>
    <w:rsid w:val="00540283"/>
    <w:rsid w:val="00540EB6"/>
    <w:rsid w:val="00550A26"/>
    <w:rsid w:val="00550BF5"/>
    <w:rsid w:val="00567A70"/>
    <w:rsid w:val="0057136C"/>
    <w:rsid w:val="00590173"/>
    <w:rsid w:val="00591285"/>
    <w:rsid w:val="005A2A15"/>
    <w:rsid w:val="005B7B91"/>
    <w:rsid w:val="005C0662"/>
    <w:rsid w:val="005C31AC"/>
    <w:rsid w:val="005C6EA6"/>
    <w:rsid w:val="005D1B15"/>
    <w:rsid w:val="005D2824"/>
    <w:rsid w:val="005D402D"/>
    <w:rsid w:val="005D4F1A"/>
    <w:rsid w:val="005D72BB"/>
    <w:rsid w:val="005E1FD3"/>
    <w:rsid w:val="005E692F"/>
    <w:rsid w:val="00600555"/>
    <w:rsid w:val="00604CA1"/>
    <w:rsid w:val="00611944"/>
    <w:rsid w:val="0062114B"/>
    <w:rsid w:val="00623698"/>
    <w:rsid w:val="00625E96"/>
    <w:rsid w:val="00646974"/>
    <w:rsid w:val="00647C09"/>
    <w:rsid w:val="00651F2C"/>
    <w:rsid w:val="00660E19"/>
    <w:rsid w:val="00661DEB"/>
    <w:rsid w:val="00662197"/>
    <w:rsid w:val="006740CB"/>
    <w:rsid w:val="00677B90"/>
    <w:rsid w:val="00677C22"/>
    <w:rsid w:val="00683F98"/>
    <w:rsid w:val="00685D0E"/>
    <w:rsid w:val="00693D5D"/>
    <w:rsid w:val="006A0C6D"/>
    <w:rsid w:val="006A5D00"/>
    <w:rsid w:val="006B1CD6"/>
    <w:rsid w:val="006B6EFB"/>
    <w:rsid w:val="006B7F03"/>
    <w:rsid w:val="006C0835"/>
    <w:rsid w:val="006C3105"/>
    <w:rsid w:val="006C7307"/>
    <w:rsid w:val="006F50F0"/>
    <w:rsid w:val="00722EAB"/>
    <w:rsid w:val="007239BC"/>
    <w:rsid w:val="00725B35"/>
    <w:rsid w:val="00725B45"/>
    <w:rsid w:val="00733554"/>
    <w:rsid w:val="00735879"/>
    <w:rsid w:val="0073770A"/>
    <w:rsid w:val="00744CEA"/>
    <w:rsid w:val="007502D5"/>
    <w:rsid w:val="007530A3"/>
    <w:rsid w:val="00760F4B"/>
    <w:rsid w:val="0076355A"/>
    <w:rsid w:val="007707AB"/>
    <w:rsid w:val="00775358"/>
    <w:rsid w:val="00784217"/>
    <w:rsid w:val="00791B5D"/>
    <w:rsid w:val="00795CF4"/>
    <w:rsid w:val="007A4152"/>
    <w:rsid w:val="007A58A1"/>
    <w:rsid w:val="007A7D60"/>
    <w:rsid w:val="007B377C"/>
    <w:rsid w:val="007B58A0"/>
    <w:rsid w:val="007C4336"/>
    <w:rsid w:val="007D486E"/>
    <w:rsid w:val="007D75DF"/>
    <w:rsid w:val="007F2E84"/>
    <w:rsid w:val="007F7AA6"/>
    <w:rsid w:val="00800DC6"/>
    <w:rsid w:val="00805474"/>
    <w:rsid w:val="00815FB5"/>
    <w:rsid w:val="0081663F"/>
    <w:rsid w:val="00823624"/>
    <w:rsid w:val="00832027"/>
    <w:rsid w:val="0083479A"/>
    <w:rsid w:val="00837E47"/>
    <w:rsid w:val="00844D6A"/>
    <w:rsid w:val="008518FE"/>
    <w:rsid w:val="00852654"/>
    <w:rsid w:val="0085659C"/>
    <w:rsid w:val="00864212"/>
    <w:rsid w:val="00872026"/>
    <w:rsid w:val="0087792E"/>
    <w:rsid w:val="00883EAF"/>
    <w:rsid w:val="00885258"/>
    <w:rsid w:val="008A30C3"/>
    <w:rsid w:val="008A3A95"/>
    <w:rsid w:val="008A3C23"/>
    <w:rsid w:val="008B3CB5"/>
    <w:rsid w:val="008C49CC"/>
    <w:rsid w:val="008D69E9"/>
    <w:rsid w:val="008E0645"/>
    <w:rsid w:val="008F26D1"/>
    <w:rsid w:val="008F594A"/>
    <w:rsid w:val="008F73AE"/>
    <w:rsid w:val="00901B5F"/>
    <w:rsid w:val="00904C7E"/>
    <w:rsid w:val="0091035B"/>
    <w:rsid w:val="00916038"/>
    <w:rsid w:val="0091797B"/>
    <w:rsid w:val="00924416"/>
    <w:rsid w:val="00931299"/>
    <w:rsid w:val="009355AD"/>
    <w:rsid w:val="0096654D"/>
    <w:rsid w:val="009818D9"/>
    <w:rsid w:val="009824DC"/>
    <w:rsid w:val="0098424F"/>
    <w:rsid w:val="00990CF6"/>
    <w:rsid w:val="009A1F6E"/>
    <w:rsid w:val="009A28DD"/>
    <w:rsid w:val="009A4282"/>
    <w:rsid w:val="009B2C84"/>
    <w:rsid w:val="009C7D17"/>
    <w:rsid w:val="009D2178"/>
    <w:rsid w:val="009E484E"/>
    <w:rsid w:val="009E52D0"/>
    <w:rsid w:val="009F40FB"/>
    <w:rsid w:val="009F4B45"/>
    <w:rsid w:val="00A1100B"/>
    <w:rsid w:val="00A114A5"/>
    <w:rsid w:val="00A15133"/>
    <w:rsid w:val="00A22FCB"/>
    <w:rsid w:val="00A243F8"/>
    <w:rsid w:val="00A25B3B"/>
    <w:rsid w:val="00A26FB6"/>
    <w:rsid w:val="00A40127"/>
    <w:rsid w:val="00A4568A"/>
    <w:rsid w:val="00A472F1"/>
    <w:rsid w:val="00A5237D"/>
    <w:rsid w:val="00A554A3"/>
    <w:rsid w:val="00A621B3"/>
    <w:rsid w:val="00A64329"/>
    <w:rsid w:val="00A6567E"/>
    <w:rsid w:val="00A66ADF"/>
    <w:rsid w:val="00A66D67"/>
    <w:rsid w:val="00A758EA"/>
    <w:rsid w:val="00A91937"/>
    <w:rsid w:val="00A931CF"/>
    <w:rsid w:val="00A9434E"/>
    <w:rsid w:val="00A95828"/>
    <w:rsid w:val="00A95C50"/>
    <w:rsid w:val="00AA42BB"/>
    <w:rsid w:val="00AB79A6"/>
    <w:rsid w:val="00AC272F"/>
    <w:rsid w:val="00AC4850"/>
    <w:rsid w:val="00AD0AB7"/>
    <w:rsid w:val="00AD15A4"/>
    <w:rsid w:val="00AD1C64"/>
    <w:rsid w:val="00AD40DA"/>
    <w:rsid w:val="00AD7351"/>
    <w:rsid w:val="00B063F4"/>
    <w:rsid w:val="00B108B2"/>
    <w:rsid w:val="00B116D0"/>
    <w:rsid w:val="00B1326F"/>
    <w:rsid w:val="00B16DB5"/>
    <w:rsid w:val="00B2418A"/>
    <w:rsid w:val="00B27620"/>
    <w:rsid w:val="00B401DF"/>
    <w:rsid w:val="00B456A7"/>
    <w:rsid w:val="00B47B59"/>
    <w:rsid w:val="00B53F81"/>
    <w:rsid w:val="00B56C2B"/>
    <w:rsid w:val="00B65BD3"/>
    <w:rsid w:val="00B70469"/>
    <w:rsid w:val="00B72DD8"/>
    <w:rsid w:val="00B72E09"/>
    <w:rsid w:val="00B73BB8"/>
    <w:rsid w:val="00BA27EE"/>
    <w:rsid w:val="00BB5006"/>
    <w:rsid w:val="00BC7AC9"/>
    <w:rsid w:val="00BD4209"/>
    <w:rsid w:val="00BD6CF8"/>
    <w:rsid w:val="00BF0C69"/>
    <w:rsid w:val="00BF629B"/>
    <w:rsid w:val="00BF655C"/>
    <w:rsid w:val="00C04A43"/>
    <w:rsid w:val="00C0520E"/>
    <w:rsid w:val="00C05401"/>
    <w:rsid w:val="00C075EF"/>
    <w:rsid w:val="00C11E83"/>
    <w:rsid w:val="00C203E1"/>
    <w:rsid w:val="00C2378A"/>
    <w:rsid w:val="00C2746D"/>
    <w:rsid w:val="00C33246"/>
    <w:rsid w:val="00C348D3"/>
    <w:rsid w:val="00C378A1"/>
    <w:rsid w:val="00C474F6"/>
    <w:rsid w:val="00C5551B"/>
    <w:rsid w:val="00C56897"/>
    <w:rsid w:val="00C621D6"/>
    <w:rsid w:val="00C62231"/>
    <w:rsid w:val="00C6720F"/>
    <w:rsid w:val="00C70595"/>
    <w:rsid w:val="00C75907"/>
    <w:rsid w:val="00C8160F"/>
    <w:rsid w:val="00C82D86"/>
    <w:rsid w:val="00C861BC"/>
    <w:rsid w:val="00C87F83"/>
    <w:rsid w:val="00C907C9"/>
    <w:rsid w:val="00C949E9"/>
    <w:rsid w:val="00CB4B8D"/>
    <w:rsid w:val="00CC0DDA"/>
    <w:rsid w:val="00CD684F"/>
    <w:rsid w:val="00CE08A4"/>
    <w:rsid w:val="00CF717A"/>
    <w:rsid w:val="00CF7187"/>
    <w:rsid w:val="00D01E4D"/>
    <w:rsid w:val="00D06623"/>
    <w:rsid w:val="00D11776"/>
    <w:rsid w:val="00D14C6B"/>
    <w:rsid w:val="00D34F59"/>
    <w:rsid w:val="00D53743"/>
    <w:rsid w:val="00D5536F"/>
    <w:rsid w:val="00D56935"/>
    <w:rsid w:val="00D716BA"/>
    <w:rsid w:val="00D758C6"/>
    <w:rsid w:val="00D7612F"/>
    <w:rsid w:val="00D90C10"/>
    <w:rsid w:val="00D92557"/>
    <w:rsid w:val="00D92E96"/>
    <w:rsid w:val="00DA258C"/>
    <w:rsid w:val="00DA4345"/>
    <w:rsid w:val="00DB2846"/>
    <w:rsid w:val="00DD19BF"/>
    <w:rsid w:val="00DD3CF8"/>
    <w:rsid w:val="00DE07FA"/>
    <w:rsid w:val="00DE20DB"/>
    <w:rsid w:val="00DF2DDE"/>
    <w:rsid w:val="00DF77C8"/>
    <w:rsid w:val="00E01667"/>
    <w:rsid w:val="00E129E4"/>
    <w:rsid w:val="00E1532C"/>
    <w:rsid w:val="00E1606C"/>
    <w:rsid w:val="00E1611C"/>
    <w:rsid w:val="00E261E3"/>
    <w:rsid w:val="00E36209"/>
    <w:rsid w:val="00E37AF9"/>
    <w:rsid w:val="00E420BB"/>
    <w:rsid w:val="00E50DF6"/>
    <w:rsid w:val="00E6336D"/>
    <w:rsid w:val="00E6366C"/>
    <w:rsid w:val="00E704B4"/>
    <w:rsid w:val="00E90AFA"/>
    <w:rsid w:val="00E922B6"/>
    <w:rsid w:val="00E92500"/>
    <w:rsid w:val="00E965C5"/>
    <w:rsid w:val="00E96A3A"/>
    <w:rsid w:val="00E97402"/>
    <w:rsid w:val="00E97B99"/>
    <w:rsid w:val="00E97F91"/>
    <w:rsid w:val="00EA41AA"/>
    <w:rsid w:val="00EB2E9D"/>
    <w:rsid w:val="00EB57B6"/>
    <w:rsid w:val="00ED1E14"/>
    <w:rsid w:val="00EE42EA"/>
    <w:rsid w:val="00EE6FFC"/>
    <w:rsid w:val="00EF10AC"/>
    <w:rsid w:val="00EF4701"/>
    <w:rsid w:val="00EF564E"/>
    <w:rsid w:val="00F04F27"/>
    <w:rsid w:val="00F07145"/>
    <w:rsid w:val="00F101B7"/>
    <w:rsid w:val="00F15B86"/>
    <w:rsid w:val="00F2081C"/>
    <w:rsid w:val="00F22198"/>
    <w:rsid w:val="00F33D49"/>
    <w:rsid w:val="00F3481E"/>
    <w:rsid w:val="00F43E36"/>
    <w:rsid w:val="00F51CD3"/>
    <w:rsid w:val="00F577F6"/>
    <w:rsid w:val="00F65266"/>
    <w:rsid w:val="00F67742"/>
    <w:rsid w:val="00F7143D"/>
    <w:rsid w:val="00F751E1"/>
    <w:rsid w:val="00F755BA"/>
    <w:rsid w:val="00F83FBE"/>
    <w:rsid w:val="00F848F0"/>
    <w:rsid w:val="00F932B6"/>
    <w:rsid w:val="00F96054"/>
    <w:rsid w:val="00FB1097"/>
    <w:rsid w:val="00FB4998"/>
    <w:rsid w:val="00FB7961"/>
    <w:rsid w:val="00FC0B7B"/>
    <w:rsid w:val="00FC4B38"/>
    <w:rsid w:val="00FC6421"/>
    <w:rsid w:val="00FC70DB"/>
    <w:rsid w:val="00FD347F"/>
    <w:rsid w:val="00FD7A19"/>
    <w:rsid w:val="00FE2F63"/>
    <w:rsid w:val="00FF1646"/>
    <w:rsid w:val="00FF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D3DD0"/>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20E"/>
    <w:pPr>
      <w:jc w:val="both"/>
    </w:p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rsid w:val="004426DF"/>
    <w:pPr>
      <w:framePr w:w="9360" w:hSpace="187" w:vSpace="187" w:wrap="notBeside" w:vAnchor="text" w:hAnchor="page" w:xAlign="center" w:y="1"/>
      <w:jc w:val="center"/>
    </w:pPr>
    <w:rPr>
      <w:kern w:val="28"/>
      <w:sz w:val="40"/>
      <w:szCs w:val="48"/>
    </w:rPr>
  </w:style>
  <w:style w:type="paragraph" w:styleId="FootnoteText">
    <w:name w:val="footnote text"/>
    <w:basedOn w:val="Normal"/>
    <w:link w:val="FootnoteTextChar"/>
    <w:uiPriority w:val="99"/>
    <w:semiHidden/>
    <w:pPr>
      <w:ind w:firstLine="202"/>
    </w:pPr>
    <w:rPr>
      <w:sz w:val="16"/>
      <w:szCs w:val="16"/>
    </w:rPr>
  </w:style>
  <w:style w:type="paragraph" w:customStyle="1" w:styleId="References">
    <w:name w:val="References"/>
    <w:basedOn w:val="Normal"/>
    <w:pPr>
      <w:numPr>
        <w:numId w:val="2"/>
      </w:numPr>
    </w:pPr>
    <w:rPr>
      <w:sz w:val="16"/>
      <w:szCs w:val="16"/>
    </w:rPr>
  </w:style>
  <w:style w:type="paragraph" w:customStyle="1" w:styleId="IndexTerms">
    <w:name w:val="IndexTerms"/>
    <w:basedOn w:val="Normal"/>
    <w:next w:val="Normal"/>
    <w:pPr>
      <w:ind w:firstLine="202"/>
    </w:pPr>
    <w:rPr>
      <w:b/>
      <w:bCs/>
      <w:sz w:val="18"/>
      <w:szCs w:val="18"/>
    </w:rPr>
  </w:style>
  <w:style w:type="character" w:styleId="FootnoteReference">
    <w:name w:val="footnote reference"/>
    <w:uiPriority w:val="99"/>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pPr>
  </w:style>
  <w:style w:type="paragraph" w:customStyle="1" w:styleId="FigureCaption">
    <w:name w:val="Figure Caption"/>
    <w:basedOn w:val="Normal"/>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uiPriority w:val="99"/>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styleId="ListParagraph">
    <w:name w:val="List Paragraph"/>
    <w:basedOn w:val="Normal"/>
    <w:uiPriority w:val="34"/>
    <w:qFormat/>
    <w:rsid w:val="00C348D3"/>
    <w:pPr>
      <w:ind w:left="720"/>
      <w:contextualSpacing/>
    </w:pPr>
  </w:style>
  <w:style w:type="character" w:styleId="CommentReference">
    <w:name w:val="annotation reference"/>
    <w:basedOn w:val="DefaultParagraphFont"/>
    <w:uiPriority w:val="99"/>
    <w:unhideWhenUsed/>
    <w:rsid w:val="00400E29"/>
    <w:rPr>
      <w:sz w:val="16"/>
      <w:szCs w:val="16"/>
    </w:rPr>
  </w:style>
  <w:style w:type="paragraph" w:styleId="CommentText">
    <w:name w:val="annotation text"/>
    <w:basedOn w:val="Normal"/>
    <w:link w:val="CommentTextChar"/>
    <w:uiPriority w:val="99"/>
    <w:unhideWhenUsed/>
    <w:rsid w:val="00400E29"/>
    <w:rPr>
      <w:rFonts w:eastAsiaTheme="minorHAnsi" w:cstheme="minorBidi"/>
    </w:rPr>
  </w:style>
  <w:style w:type="character" w:customStyle="1" w:styleId="CommentTextChar">
    <w:name w:val="Comment Text Char"/>
    <w:basedOn w:val="DefaultParagraphFont"/>
    <w:link w:val="CommentText"/>
    <w:uiPriority w:val="99"/>
    <w:rsid w:val="00400E29"/>
    <w:rPr>
      <w:rFonts w:eastAsiaTheme="minorHAnsi" w:cstheme="minorBidi"/>
    </w:rPr>
  </w:style>
  <w:style w:type="table" w:styleId="TableGrid">
    <w:name w:val="Table Grid"/>
    <w:basedOn w:val="TableNormal"/>
    <w:uiPriority w:val="39"/>
    <w:rsid w:val="005B7B91"/>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0520E"/>
    <w:rPr>
      <w:rFonts w:eastAsiaTheme="minorHAnsi" w:cstheme="minorBidi"/>
      <w:sz w:val="24"/>
      <w:szCs w:val="24"/>
    </w:rPr>
  </w:style>
  <w:style w:type="paragraph" w:styleId="Caption">
    <w:name w:val="caption"/>
    <w:basedOn w:val="Normal"/>
    <w:next w:val="Normal"/>
    <w:unhideWhenUsed/>
    <w:qFormat/>
    <w:rsid w:val="00F83FBE"/>
    <w:pPr>
      <w:spacing w:after="200"/>
    </w:pPr>
    <w:rPr>
      <w:i/>
      <w:iCs/>
      <w:color w:val="44546A" w:themeColor="text2"/>
      <w:sz w:val="18"/>
      <w:szCs w:val="18"/>
    </w:rPr>
  </w:style>
  <w:style w:type="character" w:styleId="PlaceholderText">
    <w:name w:val="Placeholder Text"/>
    <w:basedOn w:val="DefaultParagraphFont"/>
    <w:semiHidden/>
    <w:rsid w:val="00031C80"/>
    <w:rPr>
      <w:color w:val="808080"/>
    </w:rPr>
  </w:style>
  <w:style w:type="character" w:styleId="UnresolvedMention">
    <w:name w:val="Unresolved Mention"/>
    <w:basedOn w:val="DefaultParagraphFont"/>
    <w:uiPriority w:val="99"/>
    <w:semiHidden/>
    <w:unhideWhenUsed/>
    <w:rsid w:val="007F2E84"/>
    <w:rPr>
      <w:color w:val="605E5C"/>
      <w:shd w:val="clear" w:color="auto" w:fill="E1DFDD"/>
    </w:rPr>
  </w:style>
  <w:style w:type="paragraph" w:styleId="Revision">
    <w:name w:val="Revision"/>
    <w:hidden/>
    <w:uiPriority w:val="71"/>
    <w:semiHidden/>
    <w:rsid w:val="005C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4423">
      <w:bodyDiv w:val="1"/>
      <w:marLeft w:val="0"/>
      <w:marRight w:val="0"/>
      <w:marTop w:val="0"/>
      <w:marBottom w:val="0"/>
      <w:divBdr>
        <w:top w:val="none" w:sz="0" w:space="0" w:color="auto"/>
        <w:left w:val="none" w:sz="0" w:space="0" w:color="auto"/>
        <w:bottom w:val="none" w:sz="0" w:space="0" w:color="auto"/>
        <w:right w:val="none" w:sz="0" w:space="0" w:color="auto"/>
      </w:divBdr>
    </w:div>
    <w:div w:id="46497242">
      <w:bodyDiv w:val="1"/>
      <w:marLeft w:val="0"/>
      <w:marRight w:val="0"/>
      <w:marTop w:val="0"/>
      <w:marBottom w:val="0"/>
      <w:divBdr>
        <w:top w:val="none" w:sz="0" w:space="0" w:color="auto"/>
        <w:left w:val="none" w:sz="0" w:space="0" w:color="auto"/>
        <w:bottom w:val="none" w:sz="0" w:space="0" w:color="auto"/>
        <w:right w:val="none" w:sz="0" w:space="0" w:color="auto"/>
      </w:divBdr>
    </w:div>
    <w:div w:id="173765057">
      <w:bodyDiv w:val="1"/>
      <w:marLeft w:val="0"/>
      <w:marRight w:val="0"/>
      <w:marTop w:val="0"/>
      <w:marBottom w:val="0"/>
      <w:divBdr>
        <w:top w:val="none" w:sz="0" w:space="0" w:color="auto"/>
        <w:left w:val="none" w:sz="0" w:space="0" w:color="auto"/>
        <w:bottom w:val="none" w:sz="0" w:space="0" w:color="auto"/>
        <w:right w:val="none" w:sz="0" w:space="0" w:color="auto"/>
      </w:divBdr>
    </w:div>
    <w:div w:id="263929543">
      <w:bodyDiv w:val="1"/>
      <w:marLeft w:val="0"/>
      <w:marRight w:val="0"/>
      <w:marTop w:val="0"/>
      <w:marBottom w:val="0"/>
      <w:divBdr>
        <w:top w:val="none" w:sz="0" w:space="0" w:color="auto"/>
        <w:left w:val="none" w:sz="0" w:space="0" w:color="auto"/>
        <w:bottom w:val="none" w:sz="0" w:space="0" w:color="auto"/>
        <w:right w:val="none" w:sz="0" w:space="0" w:color="auto"/>
      </w:divBdr>
    </w:div>
    <w:div w:id="269440357">
      <w:bodyDiv w:val="1"/>
      <w:marLeft w:val="0"/>
      <w:marRight w:val="0"/>
      <w:marTop w:val="0"/>
      <w:marBottom w:val="0"/>
      <w:divBdr>
        <w:top w:val="none" w:sz="0" w:space="0" w:color="auto"/>
        <w:left w:val="none" w:sz="0" w:space="0" w:color="auto"/>
        <w:bottom w:val="none" w:sz="0" w:space="0" w:color="auto"/>
        <w:right w:val="none" w:sz="0" w:space="0" w:color="auto"/>
      </w:divBdr>
    </w:div>
    <w:div w:id="272056208">
      <w:bodyDiv w:val="1"/>
      <w:marLeft w:val="0"/>
      <w:marRight w:val="0"/>
      <w:marTop w:val="0"/>
      <w:marBottom w:val="0"/>
      <w:divBdr>
        <w:top w:val="none" w:sz="0" w:space="0" w:color="auto"/>
        <w:left w:val="none" w:sz="0" w:space="0" w:color="auto"/>
        <w:bottom w:val="none" w:sz="0" w:space="0" w:color="auto"/>
        <w:right w:val="none" w:sz="0" w:space="0" w:color="auto"/>
      </w:divBdr>
      <w:divsChild>
        <w:div w:id="1668945778">
          <w:marLeft w:val="0"/>
          <w:marRight w:val="0"/>
          <w:marTop w:val="0"/>
          <w:marBottom w:val="0"/>
          <w:divBdr>
            <w:top w:val="none" w:sz="0" w:space="0" w:color="auto"/>
            <w:left w:val="none" w:sz="0" w:space="0" w:color="auto"/>
            <w:bottom w:val="none" w:sz="0" w:space="0" w:color="auto"/>
            <w:right w:val="none" w:sz="0" w:space="0" w:color="auto"/>
          </w:divBdr>
        </w:div>
      </w:divsChild>
    </w:div>
    <w:div w:id="275991698">
      <w:bodyDiv w:val="1"/>
      <w:marLeft w:val="0"/>
      <w:marRight w:val="0"/>
      <w:marTop w:val="0"/>
      <w:marBottom w:val="0"/>
      <w:divBdr>
        <w:top w:val="none" w:sz="0" w:space="0" w:color="auto"/>
        <w:left w:val="none" w:sz="0" w:space="0" w:color="auto"/>
        <w:bottom w:val="none" w:sz="0" w:space="0" w:color="auto"/>
        <w:right w:val="none" w:sz="0" w:space="0" w:color="auto"/>
      </w:divBdr>
    </w:div>
    <w:div w:id="280959225">
      <w:bodyDiv w:val="1"/>
      <w:marLeft w:val="0"/>
      <w:marRight w:val="0"/>
      <w:marTop w:val="0"/>
      <w:marBottom w:val="0"/>
      <w:divBdr>
        <w:top w:val="none" w:sz="0" w:space="0" w:color="auto"/>
        <w:left w:val="none" w:sz="0" w:space="0" w:color="auto"/>
        <w:bottom w:val="none" w:sz="0" w:space="0" w:color="auto"/>
        <w:right w:val="none" w:sz="0" w:space="0" w:color="auto"/>
      </w:divBdr>
    </w:div>
    <w:div w:id="377050063">
      <w:bodyDiv w:val="1"/>
      <w:marLeft w:val="0"/>
      <w:marRight w:val="0"/>
      <w:marTop w:val="0"/>
      <w:marBottom w:val="0"/>
      <w:divBdr>
        <w:top w:val="none" w:sz="0" w:space="0" w:color="auto"/>
        <w:left w:val="none" w:sz="0" w:space="0" w:color="auto"/>
        <w:bottom w:val="none" w:sz="0" w:space="0" w:color="auto"/>
        <w:right w:val="none" w:sz="0" w:space="0" w:color="auto"/>
      </w:divBdr>
    </w:div>
    <w:div w:id="410859887">
      <w:bodyDiv w:val="1"/>
      <w:marLeft w:val="0"/>
      <w:marRight w:val="0"/>
      <w:marTop w:val="0"/>
      <w:marBottom w:val="0"/>
      <w:divBdr>
        <w:top w:val="none" w:sz="0" w:space="0" w:color="auto"/>
        <w:left w:val="none" w:sz="0" w:space="0" w:color="auto"/>
        <w:bottom w:val="none" w:sz="0" w:space="0" w:color="auto"/>
        <w:right w:val="none" w:sz="0" w:space="0" w:color="auto"/>
      </w:divBdr>
    </w:div>
    <w:div w:id="444354146">
      <w:bodyDiv w:val="1"/>
      <w:marLeft w:val="0"/>
      <w:marRight w:val="0"/>
      <w:marTop w:val="0"/>
      <w:marBottom w:val="0"/>
      <w:divBdr>
        <w:top w:val="none" w:sz="0" w:space="0" w:color="auto"/>
        <w:left w:val="none" w:sz="0" w:space="0" w:color="auto"/>
        <w:bottom w:val="none" w:sz="0" w:space="0" w:color="auto"/>
        <w:right w:val="none" w:sz="0" w:space="0" w:color="auto"/>
      </w:divBdr>
    </w:div>
    <w:div w:id="482813857">
      <w:bodyDiv w:val="1"/>
      <w:marLeft w:val="0"/>
      <w:marRight w:val="0"/>
      <w:marTop w:val="0"/>
      <w:marBottom w:val="0"/>
      <w:divBdr>
        <w:top w:val="none" w:sz="0" w:space="0" w:color="auto"/>
        <w:left w:val="none" w:sz="0" w:space="0" w:color="auto"/>
        <w:bottom w:val="none" w:sz="0" w:space="0" w:color="auto"/>
        <w:right w:val="none" w:sz="0" w:space="0" w:color="auto"/>
      </w:divBdr>
    </w:div>
    <w:div w:id="514152712">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08047913">
      <w:bodyDiv w:val="1"/>
      <w:marLeft w:val="0"/>
      <w:marRight w:val="0"/>
      <w:marTop w:val="0"/>
      <w:marBottom w:val="0"/>
      <w:divBdr>
        <w:top w:val="none" w:sz="0" w:space="0" w:color="auto"/>
        <w:left w:val="none" w:sz="0" w:space="0" w:color="auto"/>
        <w:bottom w:val="none" w:sz="0" w:space="0" w:color="auto"/>
        <w:right w:val="none" w:sz="0" w:space="0" w:color="auto"/>
      </w:divBdr>
    </w:div>
    <w:div w:id="613250316">
      <w:bodyDiv w:val="1"/>
      <w:marLeft w:val="0"/>
      <w:marRight w:val="0"/>
      <w:marTop w:val="0"/>
      <w:marBottom w:val="0"/>
      <w:divBdr>
        <w:top w:val="none" w:sz="0" w:space="0" w:color="auto"/>
        <w:left w:val="none" w:sz="0" w:space="0" w:color="auto"/>
        <w:bottom w:val="none" w:sz="0" w:space="0" w:color="auto"/>
        <w:right w:val="none" w:sz="0" w:space="0" w:color="auto"/>
      </w:divBdr>
    </w:div>
    <w:div w:id="626396315">
      <w:bodyDiv w:val="1"/>
      <w:marLeft w:val="0"/>
      <w:marRight w:val="0"/>
      <w:marTop w:val="0"/>
      <w:marBottom w:val="0"/>
      <w:divBdr>
        <w:top w:val="none" w:sz="0" w:space="0" w:color="auto"/>
        <w:left w:val="none" w:sz="0" w:space="0" w:color="auto"/>
        <w:bottom w:val="none" w:sz="0" w:space="0" w:color="auto"/>
        <w:right w:val="none" w:sz="0" w:space="0" w:color="auto"/>
      </w:divBdr>
    </w:div>
    <w:div w:id="700594613">
      <w:bodyDiv w:val="1"/>
      <w:marLeft w:val="0"/>
      <w:marRight w:val="0"/>
      <w:marTop w:val="0"/>
      <w:marBottom w:val="0"/>
      <w:divBdr>
        <w:top w:val="none" w:sz="0" w:space="0" w:color="auto"/>
        <w:left w:val="none" w:sz="0" w:space="0" w:color="auto"/>
        <w:bottom w:val="none" w:sz="0" w:space="0" w:color="auto"/>
        <w:right w:val="none" w:sz="0" w:space="0" w:color="auto"/>
      </w:divBdr>
    </w:div>
    <w:div w:id="744956283">
      <w:bodyDiv w:val="1"/>
      <w:marLeft w:val="0"/>
      <w:marRight w:val="0"/>
      <w:marTop w:val="0"/>
      <w:marBottom w:val="0"/>
      <w:divBdr>
        <w:top w:val="none" w:sz="0" w:space="0" w:color="auto"/>
        <w:left w:val="none" w:sz="0" w:space="0" w:color="auto"/>
        <w:bottom w:val="none" w:sz="0" w:space="0" w:color="auto"/>
        <w:right w:val="none" w:sz="0" w:space="0" w:color="auto"/>
      </w:divBdr>
    </w:div>
    <w:div w:id="792284290">
      <w:bodyDiv w:val="1"/>
      <w:marLeft w:val="0"/>
      <w:marRight w:val="0"/>
      <w:marTop w:val="0"/>
      <w:marBottom w:val="0"/>
      <w:divBdr>
        <w:top w:val="none" w:sz="0" w:space="0" w:color="auto"/>
        <w:left w:val="none" w:sz="0" w:space="0" w:color="auto"/>
        <w:bottom w:val="none" w:sz="0" w:space="0" w:color="auto"/>
        <w:right w:val="none" w:sz="0" w:space="0" w:color="auto"/>
      </w:divBdr>
    </w:div>
    <w:div w:id="836772969">
      <w:bodyDiv w:val="1"/>
      <w:marLeft w:val="0"/>
      <w:marRight w:val="0"/>
      <w:marTop w:val="0"/>
      <w:marBottom w:val="0"/>
      <w:divBdr>
        <w:top w:val="none" w:sz="0" w:space="0" w:color="auto"/>
        <w:left w:val="none" w:sz="0" w:space="0" w:color="auto"/>
        <w:bottom w:val="none" w:sz="0" w:space="0" w:color="auto"/>
        <w:right w:val="none" w:sz="0" w:space="0" w:color="auto"/>
      </w:divBdr>
      <w:divsChild>
        <w:div w:id="836502840">
          <w:marLeft w:val="0"/>
          <w:marRight w:val="0"/>
          <w:marTop w:val="0"/>
          <w:marBottom w:val="0"/>
          <w:divBdr>
            <w:top w:val="none" w:sz="0" w:space="0" w:color="auto"/>
            <w:left w:val="none" w:sz="0" w:space="0" w:color="auto"/>
            <w:bottom w:val="none" w:sz="0" w:space="0" w:color="auto"/>
            <w:right w:val="none" w:sz="0" w:space="0" w:color="auto"/>
          </w:divBdr>
        </w:div>
      </w:divsChild>
    </w:div>
    <w:div w:id="891036863">
      <w:bodyDiv w:val="1"/>
      <w:marLeft w:val="0"/>
      <w:marRight w:val="0"/>
      <w:marTop w:val="0"/>
      <w:marBottom w:val="0"/>
      <w:divBdr>
        <w:top w:val="none" w:sz="0" w:space="0" w:color="auto"/>
        <w:left w:val="none" w:sz="0" w:space="0" w:color="auto"/>
        <w:bottom w:val="none" w:sz="0" w:space="0" w:color="auto"/>
        <w:right w:val="none" w:sz="0" w:space="0" w:color="auto"/>
      </w:divBdr>
    </w:div>
    <w:div w:id="997079128">
      <w:bodyDiv w:val="1"/>
      <w:marLeft w:val="0"/>
      <w:marRight w:val="0"/>
      <w:marTop w:val="0"/>
      <w:marBottom w:val="0"/>
      <w:divBdr>
        <w:top w:val="none" w:sz="0" w:space="0" w:color="auto"/>
        <w:left w:val="none" w:sz="0" w:space="0" w:color="auto"/>
        <w:bottom w:val="none" w:sz="0" w:space="0" w:color="auto"/>
        <w:right w:val="none" w:sz="0" w:space="0" w:color="auto"/>
      </w:divBdr>
    </w:div>
    <w:div w:id="1028019346">
      <w:bodyDiv w:val="1"/>
      <w:marLeft w:val="0"/>
      <w:marRight w:val="0"/>
      <w:marTop w:val="0"/>
      <w:marBottom w:val="0"/>
      <w:divBdr>
        <w:top w:val="none" w:sz="0" w:space="0" w:color="auto"/>
        <w:left w:val="none" w:sz="0" w:space="0" w:color="auto"/>
        <w:bottom w:val="none" w:sz="0" w:space="0" w:color="auto"/>
        <w:right w:val="none" w:sz="0" w:space="0" w:color="auto"/>
      </w:divBdr>
      <w:divsChild>
        <w:div w:id="278798730">
          <w:marLeft w:val="0"/>
          <w:marRight w:val="0"/>
          <w:marTop w:val="0"/>
          <w:marBottom w:val="0"/>
          <w:divBdr>
            <w:top w:val="none" w:sz="0" w:space="0" w:color="auto"/>
            <w:left w:val="none" w:sz="0" w:space="0" w:color="auto"/>
            <w:bottom w:val="none" w:sz="0" w:space="0" w:color="auto"/>
            <w:right w:val="none" w:sz="0" w:space="0" w:color="auto"/>
          </w:divBdr>
        </w:div>
      </w:divsChild>
    </w:div>
    <w:div w:id="1059523610">
      <w:bodyDiv w:val="1"/>
      <w:marLeft w:val="0"/>
      <w:marRight w:val="0"/>
      <w:marTop w:val="0"/>
      <w:marBottom w:val="0"/>
      <w:divBdr>
        <w:top w:val="none" w:sz="0" w:space="0" w:color="auto"/>
        <w:left w:val="none" w:sz="0" w:space="0" w:color="auto"/>
        <w:bottom w:val="none" w:sz="0" w:space="0" w:color="auto"/>
        <w:right w:val="none" w:sz="0" w:space="0" w:color="auto"/>
      </w:divBdr>
    </w:div>
    <w:div w:id="1166477878">
      <w:bodyDiv w:val="1"/>
      <w:marLeft w:val="0"/>
      <w:marRight w:val="0"/>
      <w:marTop w:val="0"/>
      <w:marBottom w:val="0"/>
      <w:divBdr>
        <w:top w:val="none" w:sz="0" w:space="0" w:color="auto"/>
        <w:left w:val="none" w:sz="0" w:space="0" w:color="auto"/>
        <w:bottom w:val="none" w:sz="0" w:space="0" w:color="auto"/>
        <w:right w:val="none" w:sz="0" w:space="0" w:color="auto"/>
      </w:divBdr>
    </w:div>
    <w:div w:id="1181091053">
      <w:bodyDiv w:val="1"/>
      <w:marLeft w:val="0"/>
      <w:marRight w:val="0"/>
      <w:marTop w:val="0"/>
      <w:marBottom w:val="0"/>
      <w:divBdr>
        <w:top w:val="none" w:sz="0" w:space="0" w:color="auto"/>
        <w:left w:val="none" w:sz="0" w:space="0" w:color="auto"/>
        <w:bottom w:val="none" w:sz="0" w:space="0" w:color="auto"/>
        <w:right w:val="none" w:sz="0" w:space="0" w:color="auto"/>
      </w:divBdr>
    </w:div>
    <w:div w:id="1229460065">
      <w:bodyDiv w:val="1"/>
      <w:marLeft w:val="0"/>
      <w:marRight w:val="0"/>
      <w:marTop w:val="0"/>
      <w:marBottom w:val="0"/>
      <w:divBdr>
        <w:top w:val="none" w:sz="0" w:space="0" w:color="auto"/>
        <w:left w:val="none" w:sz="0" w:space="0" w:color="auto"/>
        <w:bottom w:val="none" w:sz="0" w:space="0" w:color="auto"/>
        <w:right w:val="none" w:sz="0" w:space="0" w:color="auto"/>
      </w:divBdr>
    </w:div>
    <w:div w:id="1259025945">
      <w:bodyDiv w:val="1"/>
      <w:marLeft w:val="0"/>
      <w:marRight w:val="0"/>
      <w:marTop w:val="0"/>
      <w:marBottom w:val="0"/>
      <w:divBdr>
        <w:top w:val="none" w:sz="0" w:space="0" w:color="auto"/>
        <w:left w:val="none" w:sz="0" w:space="0" w:color="auto"/>
        <w:bottom w:val="none" w:sz="0" w:space="0" w:color="auto"/>
        <w:right w:val="none" w:sz="0" w:space="0" w:color="auto"/>
      </w:divBdr>
    </w:div>
    <w:div w:id="1268385166">
      <w:bodyDiv w:val="1"/>
      <w:marLeft w:val="0"/>
      <w:marRight w:val="0"/>
      <w:marTop w:val="0"/>
      <w:marBottom w:val="0"/>
      <w:divBdr>
        <w:top w:val="none" w:sz="0" w:space="0" w:color="auto"/>
        <w:left w:val="none" w:sz="0" w:space="0" w:color="auto"/>
        <w:bottom w:val="none" w:sz="0" w:space="0" w:color="auto"/>
        <w:right w:val="none" w:sz="0" w:space="0" w:color="auto"/>
      </w:divBdr>
    </w:div>
    <w:div w:id="1297024898">
      <w:bodyDiv w:val="1"/>
      <w:marLeft w:val="0"/>
      <w:marRight w:val="0"/>
      <w:marTop w:val="0"/>
      <w:marBottom w:val="0"/>
      <w:divBdr>
        <w:top w:val="none" w:sz="0" w:space="0" w:color="auto"/>
        <w:left w:val="none" w:sz="0" w:space="0" w:color="auto"/>
        <w:bottom w:val="none" w:sz="0" w:space="0" w:color="auto"/>
        <w:right w:val="none" w:sz="0" w:space="0" w:color="auto"/>
      </w:divBdr>
    </w:div>
    <w:div w:id="1362783608">
      <w:bodyDiv w:val="1"/>
      <w:marLeft w:val="0"/>
      <w:marRight w:val="0"/>
      <w:marTop w:val="0"/>
      <w:marBottom w:val="0"/>
      <w:divBdr>
        <w:top w:val="none" w:sz="0" w:space="0" w:color="auto"/>
        <w:left w:val="none" w:sz="0" w:space="0" w:color="auto"/>
        <w:bottom w:val="none" w:sz="0" w:space="0" w:color="auto"/>
        <w:right w:val="none" w:sz="0" w:space="0" w:color="auto"/>
      </w:divBdr>
    </w:div>
    <w:div w:id="1406411966">
      <w:bodyDiv w:val="1"/>
      <w:marLeft w:val="0"/>
      <w:marRight w:val="0"/>
      <w:marTop w:val="0"/>
      <w:marBottom w:val="0"/>
      <w:divBdr>
        <w:top w:val="none" w:sz="0" w:space="0" w:color="auto"/>
        <w:left w:val="none" w:sz="0" w:space="0" w:color="auto"/>
        <w:bottom w:val="none" w:sz="0" w:space="0" w:color="auto"/>
        <w:right w:val="none" w:sz="0" w:space="0" w:color="auto"/>
      </w:divBdr>
    </w:div>
    <w:div w:id="1449004823">
      <w:bodyDiv w:val="1"/>
      <w:marLeft w:val="0"/>
      <w:marRight w:val="0"/>
      <w:marTop w:val="0"/>
      <w:marBottom w:val="0"/>
      <w:divBdr>
        <w:top w:val="none" w:sz="0" w:space="0" w:color="auto"/>
        <w:left w:val="none" w:sz="0" w:space="0" w:color="auto"/>
        <w:bottom w:val="none" w:sz="0" w:space="0" w:color="auto"/>
        <w:right w:val="none" w:sz="0" w:space="0" w:color="auto"/>
      </w:divBdr>
    </w:div>
    <w:div w:id="1470511388">
      <w:bodyDiv w:val="1"/>
      <w:marLeft w:val="0"/>
      <w:marRight w:val="0"/>
      <w:marTop w:val="0"/>
      <w:marBottom w:val="0"/>
      <w:divBdr>
        <w:top w:val="none" w:sz="0" w:space="0" w:color="auto"/>
        <w:left w:val="none" w:sz="0" w:space="0" w:color="auto"/>
        <w:bottom w:val="none" w:sz="0" w:space="0" w:color="auto"/>
        <w:right w:val="none" w:sz="0" w:space="0" w:color="auto"/>
      </w:divBdr>
    </w:div>
    <w:div w:id="1473206676">
      <w:bodyDiv w:val="1"/>
      <w:marLeft w:val="0"/>
      <w:marRight w:val="0"/>
      <w:marTop w:val="0"/>
      <w:marBottom w:val="0"/>
      <w:divBdr>
        <w:top w:val="none" w:sz="0" w:space="0" w:color="auto"/>
        <w:left w:val="none" w:sz="0" w:space="0" w:color="auto"/>
        <w:bottom w:val="none" w:sz="0" w:space="0" w:color="auto"/>
        <w:right w:val="none" w:sz="0" w:space="0" w:color="auto"/>
      </w:divBdr>
    </w:div>
    <w:div w:id="1507136627">
      <w:bodyDiv w:val="1"/>
      <w:marLeft w:val="0"/>
      <w:marRight w:val="0"/>
      <w:marTop w:val="0"/>
      <w:marBottom w:val="0"/>
      <w:divBdr>
        <w:top w:val="none" w:sz="0" w:space="0" w:color="auto"/>
        <w:left w:val="none" w:sz="0" w:space="0" w:color="auto"/>
        <w:bottom w:val="none" w:sz="0" w:space="0" w:color="auto"/>
        <w:right w:val="none" w:sz="0" w:space="0" w:color="auto"/>
      </w:divBdr>
    </w:div>
    <w:div w:id="1549221164">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818066701">
      <w:bodyDiv w:val="1"/>
      <w:marLeft w:val="0"/>
      <w:marRight w:val="0"/>
      <w:marTop w:val="0"/>
      <w:marBottom w:val="0"/>
      <w:divBdr>
        <w:top w:val="none" w:sz="0" w:space="0" w:color="auto"/>
        <w:left w:val="none" w:sz="0" w:space="0" w:color="auto"/>
        <w:bottom w:val="none" w:sz="0" w:space="0" w:color="auto"/>
        <w:right w:val="none" w:sz="0" w:space="0" w:color="auto"/>
      </w:divBdr>
    </w:div>
    <w:div w:id="1850025306">
      <w:bodyDiv w:val="1"/>
      <w:marLeft w:val="0"/>
      <w:marRight w:val="0"/>
      <w:marTop w:val="0"/>
      <w:marBottom w:val="0"/>
      <w:divBdr>
        <w:top w:val="none" w:sz="0" w:space="0" w:color="auto"/>
        <w:left w:val="none" w:sz="0" w:space="0" w:color="auto"/>
        <w:bottom w:val="none" w:sz="0" w:space="0" w:color="auto"/>
        <w:right w:val="none" w:sz="0" w:space="0" w:color="auto"/>
      </w:divBdr>
    </w:div>
    <w:div w:id="1917786518">
      <w:bodyDiv w:val="1"/>
      <w:marLeft w:val="0"/>
      <w:marRight w:val="0"/>
      <w:marTop w:val="0"/>
      <w:marBottom w:val="0"/>
      <w:divBdr>
        <w:top w:val="none" w:sz="0" w:space="0" w:color="auto"/>
        <w:left w:val="none" w:sz="0" w:space="0" w:color="auto"/>
        <w:bottom w:val="none" w:sz="0" w:space="0" w:color="auto"/>
        <w:right w:val="none" w:sz="0" w:space="0" w:color="auto"/>
      </w:divBdr>
    </w:div>
    <w:div w:id="1963220395">
      <w:bodyDiv w:val="1"/>
      <w:marLeft w:val="0"/>
      <w:marRight w:val="0"/>
      <w:marTop w:val="0"/>
      <w:marBottom w:val="0"/>
      <w:divBdr>
        <w:top w:val="none" w:sz="0" w:space="0" w:color="auto"/>
        <w:left w:val="none" w:sz="0" w:space="0" w:color="auto"/>
        <w:bottom w:val="none" w:sz="0" w:space="0" w:color="auto"/>
        <w:right w:val="none" w:sz="0" w:space="0" w:color="auto"/>
      </w:divBdr>
    </w:div>
    <w:div w:id="2007242637">
      <w:bodyDiv w:val="1"/>
      <w:marLeft w:val="0"/>
      <w:marRight w:val="0"/>
      <w:marTop w:val="0"/>
      <w:marBottom w:val="0"/>
      <w:divBdr>
        <w:top w:val="none" w:sz="0" w:space="0" w:color="auto"/>
        <w:left w:val="none" w:sz="0" w:space="0" w:color="auto"/>
        <w:bottom w:val="none" w:sz="0" w:space="0" w:color="auto"/>
        <w:right w:val="none" w:sz="0" w:space="0" w:color="auto"/>
      </w:divBdr>
    </w:div>
    <w:div w:id="2052463065">
      <w:bodyDiv w:val="1"/>
      <w:marLeft w:val="0"/>
      <w:marRight w:val="0"/>
      <w:marTop w:val="0"/>
      <w:marBottom w:val="0"/>
      <w:divBdr>
        <w:top w:val="none" w:sz="0" w:space="0" w:color="auto"/>
        <w:left w:val="none" w:sz="0" w:space="0" w:color="auto"/>
        <w:bottom w:val="none" w:sz="0" w:space="0" w:color="auto"/>
        <w:right w:val="none" w:sz="0" w:space="0" w:color="auto"/>
      </w:divBdr>
    </w:div>
    <w:div w:id="2064014518">
      <w:bodyDiv w:val="1"/>
      <w:marLeft w:val="0"/>
      <w:marRight w:val="0"/>
      <w:marTop w:val="0"/>
      <w:marBottom w:val="0"/>
      <w:divBdr>
        <w:top w:val="none" w:sz="0" w:space="0" w:color="auto"/>
        <w:left w:val="none" w:sz="0" w:space="0" w:color="auto"/>
        <w:bottom w:val="none" w:sz="0" w:space="0" w:color="auto"/>
        <w:right w:val="none" w:sz="0" w:space="0" w:color="auto"/>
      </w:divBdr>
    </w:div>
    <w:div w:id="2066172350">
      <w:bodyDiv w:val="1"/>
      <w:marLeft w:val="0"/>
      <w:marRight w:val="0"/>
      <w:marTop w:val="0"/>
      <w:marBottom w:val="0"/>
      <w:divBdr>
        <w:top w:val="none" w:sz="0" w:space="0" w:color="auto"/>
        <w:left w:val="none" w:sz="0" w:space="0" w:color="auto"/>
        <w:bottom w:val="none" w:sz="0" w:space="0" w:color="auto"/>
        <w:right w:val="none" w:sz="0" w:space="0" w:color="auto"/>
      </w:divBdr>
    </w:div>
    <w:div w:id="2070304735">
      <w:bodyDiv w:val="1"/>
      <w:marLeft w:val="0"/>
      <w:marRight w:val="0"/>
      <w:marTop w:val="0"/>
      <w:marBottom w:val="0"/>
      <w:divBdr>
        <w:top w:val="none" w:sz="0" w:space="0" w:color="auto"/>
        <w:left w:val="none" w:sz="0" w:space="0" w:color="auto"/>
        <w:bottom w:val="none" w:sz="0" w:space="0" w:color="auto"/>
        <w:right w:val="none" w:sz="0" w:space="0" w:color="auto"/>
      </w:divBdr>
    </w:div>
    <w:div w:id="2089309192">
      <w:bodyDiv w:val="1"/>
      <w:marLeft w:val="0"/>
      <w:marRight w:val="0"/>
      <w:marTop w:val="0"/>
      <w:marBottom w:val="0"/>
      <w:divBdr>
        <w:top w:val="none" w:sz="0" w:space="0" w:color="auto"/>
        <w:left w:val="none" w:sz="0" w:space="0" w:color="auto"/>
        <w:bottom w:val="none" w:sz="0" w:space="0" w:color="auto"/>
        <w:right w:val="none" w:sz="0" w:space="0" w:color="auto"/>
      </w:divBdr>
    </w:div>
    <w:div w:id="2098477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pacecenter.org/what-are-the-van-allen-radiation-be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tronomy.com/news/2021/02/hidden-spaceflight-danger-the-south-atlantic-anomal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NAS16</b:Tag>
    <b:SourceType>Misc</b:SourceType>
    <b:Guid>{C270776D-9BAF-9047-A762-2152CB8358C7}</b:Guid>
    <b:Author>
      <b:Author>
        <b:NameList>
          <b:Person>
            <b:Last>GSFC</b:Last>
            <b:First>NASA</b:First>
          </b:Person>
        </b:NameList>
      </b:Author>
    </b:Author>
    <b:Title>Goddard Open Learning Design Rules</b:Title>
    <b:PublicationTitle>Rules for the Design, Development, Verification, and Operation of Flight Systems</b:PublicationTitle>
    <b:Year>2016</b:Year>
    <b:City>Greenbelt</b:City>
    <b:StateProvince>MD</b:StateProvince>
    <b:CountryRegion>USA</b:CountryRegion>
    <b:Publisher>NASA</b:Publisher>
    <b:RefOrder>10</b:RefOrder>
  </b:Source>
  <b:Source>
    <b:Tag>NAS13</b:Tag>
    <b:SourceType>Misc</b:SourceType>
    <b:Guid>{2C67B5C1-BE9D-5145-AFFB-63869A05F1E8}</b:Guid>
    <b:Author>
      <b:Author>
        <b:NameList>
          <b:Person>
            <b:Last>GSFC</b:Last>
            <b:First>NASA</b:First>
          </b:Person>
        </b:NameList>
      </b:Author>
    </b:Author>
    <b:Title>General Environmental Verification Standard</b:Title>
    <b:Year>2013</b:Year>
    <b:City>Greenbelt</b:City>
    <b:StateProvince>MD</b:StateProvince>
    <b:CountryRegion>USA</b:CountryRegion>
    <b:Publisher>NASA</b:Publisher>
    <b:RefOrder>11</b:RefOrder>
  </b:Source>
  <b:Source>
    <b:Tag>Lei18</b:Tag>
    <b:SourceType>JournalArticle</b:SourceType>
    <b:Guid>{D9E61E4B-A263-224C-B1D7-EA1BF726C999}</b:Guid>
    <b:Author>
      <b:Author>
        <b:NameList>
          <b:Person>
            <b:Last>Leitner</b:Last>
            <b:First>et</b:First>
            <b:Middle>al</b:Middle>
          </b:Person>
        </b:NameList>
      </b:Author>
    </b:Author>
    <b:Title>Risk-based safety and mission assurance:  Approach and Experiences in Practice</b:Title>
    <b:PublicationTitle>Q</b:PublicationTitle>
    <b:Year>2018</b:Year>
    <b:JournalName>Quality Engineering</b:JournalName>
    <b:Pages>648-662</b:Pages>
    <b:RefOrder>12</b:RefOrder>
  </b:Source>
  <b:Source>
    <b:Tag>Yua21</b:Tag>
    <b:SourceType>Report</b:SourceType>
    <b:Guid>{236DC91D-DBD7-0545-B020-F87C4F45FD71}</b:Guid>
    <b:Author>
      <b:Author>
        <b:NameList>
          <b:Person>
            <b:Last>Chen</b:Last>
            <b:First>Yuan</b:First>
          </b:Person>
        </b:NameList>
      </b:Author>
    </b:Author>
    <b:Title>Recommendations on Use of COTS Parts for NASA Missions final report</b:Title>
    <b:Year>2021</b:Year>
    <b:Publisher>NASA Engineering and Safety Center</b:Publisher>
    <b:RefOrder>13</b:RefOrder>
  </b:Source>
  <b:Source>
    <b:Tag>Dav14</b:Tag>
    <b:SourceType>ConferenceProceedings</b:SourceType>
    <b:Guid>{9882E780-6BF0-4C42-94FA-BD4E33F59363}</b:Guid>
    <b:Author>
      <b:Author>
        <b:NameList>
          <b:Person>
            <b:Last>David Petrick</b:Last>
            <b:First>et</b:First>
            <b:Middle>al</b:Middle>
          </b:Person>
        </b:NameList>
      </b:Author>
    </b:Author>
    <b:Title>SpaceCube v2.0 Space Flight Hybrid Reconfigurable Data Processing System</b:Title>
    <b:Publisher>IEEE</b:Publisher>
    <b:Year>2014</b:Year>
    <b:ConferenceName>IEEE Aerospace Conference</b:ConferenceName>
    <b:RefOrder>14</b:RefOrder>
  </b:Source>
  <b:Source>
    <b:Tag>Dav201</b:Tag>
    <b:SourceType>ConferenceProceedings</b:SourceType>
    <b:Guid>{E4689B0B-4B5E-1841-AC25-C4356B0AE238}</b:Guid>
    <b:Author>
      <b:Author>
        <b:NameList>
          <b:Person>
            <b:Last>David Petrick</b:Last>
            <b:First>et</b:First>
            <b:Middle>al</b:Middle>
          </b:Person>
        </b:NameList>
      </b:Author>
    </b:Author>
    <b:Title>SpaceCube Overview and Use of COTS Parts in Space</b:Title>
    <b:ConferenceName>NEPP ETW Workshop</b:ConferenceName>
    <b:Publisher>NASA Electronic Parts and Packaging Program</b:Publisher>
    <b:Year>2020</b:Year>
    <b:RefOrder>15</b:RefOrder>
  </b:Source>
  <b:Source>
    <b:Tag>IPC04</b:Tag>
    <b:SourceType>ElectronicSource</b:SourceType>
    <b:Guid>{D147E5E3-B776-934C-9A4D-EE316545B802}</b:Guid>
    <b:Title>IPC 6012 Revision B. Qualification and Performance Specification for Rigid Printed Boards</b:Title>
    <b:City>Bannockburn</b:City>
    <b:Year>2004</b:Year>
    <b:Author>
      <b:Author>
        <b:NameList>
          <b:Person>
            <b:Last>Industries)</b:Last>
            <b:First>IPC</b:First>
            <b:Middle>(Association Connecting Electronics</b:Middle>
          </b:Person>
        </b:NameList>
      </b:Author>
    </b:Author>
    <b:StateProvince>IL</b:StateProvince>
    <b:RefOrder>16</b:RefOrder>
  </b:Source>
  <b:Source>
    <b:Tag>Lei20</b:Tag>
    <b:SourceType>ConferenceProceedings</b:SourceType>
    <b:Guid>{80CD6874-09A8-6047-96D5-3605A5A40559}</b:Guid>
    <b:Author>
      <b:Author>
        <b:NameList>
          <b:Person>
            <b:Last>Leitner</b:Last>
            <b:First>Jesse</b:First>
          </b:Person>
        </b:NameList>
      </b:Author>
    </b:Author>
    <b:Title>Some not-so-intuitive lessons from key on-orbit failures and anomalies since 2005</b:Title>
    <b:Year>2020</b:Year>
    <b:ConferenceName>NASA/NRO Spacecraft Anomalies and Failures Workshop</b:ConferenceName>
    <b:City>virtual</b:City>
    <b:RefOrder>17</b:RefOrder>
  </b:Source>
  <b:Source>
    <b:Tag>Wil02</b:Tag>
    <b:SourceType>InternetSite</b:SourceType>
    <b:Guid>{29A5671D-7F1A-5043-944E-893597073068}</b:Guid>
    <b:Title>The New York Times</b:Title>
    <b:Year>2002</b:Year>
    <b:Author>
      <b:Author>
        <b:NameList>
          <b:Person>
            <b:Last>Broad</b:Last>
            <b:First>William</b:First>
            <b:Middle>J.</b:Middle>
          </b:Person>
        </b:NameList>
      </b:Author>
    </b:Author>
    <b:URL>https://www.nytimes.com/2002/05/12/us/for-parts-nasa-boldly-goes-on-ebay.html</b:URL>
    <b:Month>May</b:Month>
    <b:Day>12</b:Day>
    <b:YearAccessed>2021</b:YearAccessed>
    <b:MonthAccessed>October </b:MonthAccessed>
    <b:DayAccessed>14</b:DayAccessed>
    <b:RefOrder>4</b:RefOrder>
  </b:Source>
  <b:Source>
    <b:Tag>AEC21</b:Tag>
    <b:SourceType>InternetSite</b:SourceType>
    <b:Guid>{19E24DDC-6BF5-924F-8381-630143E2E3D4}</b:Guid>
    <b:Author>
      <b:Author>
        <b:NameList>
          <b:Person>
            <b:Last>AEC</b:Last>
          </b:Person>
        </b:NameList>
      </b:Author>
    </b:Author>
    <b:Title>Automotive Electronics Council</b:Title>
    <b:URL>http://www.aecouncil.com</b:URL>
    <b:YearAccessed>2021</b:YearAccessed>
    <b:MonthAccessed>10</b:MonthAccessed>
    <b:DayAccessed>15</b:DayAccessed>
    <b:RefOrder>5</b:RefOrder>
  </b:Source>
  <b:Source>
    <b:Tag>Dou21</b:Tag>
    <b:SourceType>InternetSite</b:SourceType>
    <b:Guid>{7E598F30-43C9-C047-908D-A7A43FDF5737}</b:Guid>
    <b:Author>
      <b:Author>
        <b:NameList>
          <b:Person>
            <b:Last>Adler</b:Last>
            <b:First>Doug</b:First>
          </b:Person>
        </b:NameList>
      </b:Author>
    </b:Author>
    <b:Title>Astronomy.com</b:Title>
    <b:URL>https://astronomy.com/news/2021/02/hidden-spaceflight-danger-the-south-atlantic-anomaly</b:URL>
    <b:ProductionCompany>Kalmback Media</b:ProductionCompany>
    <b:Year>2021</b:Year>
    <b:Month>February</b:Month>
    <b:Day>19</b:Day>
    <b:YearAccessed>2021</b:YearAccessed>
    <b:MonthAccessed>October</b:MonthAccessed>
    <b:DayAccessed>18</b:DayAccessed>
    <b:RefOrder>1</b:RefOrder>
  </b:Source>
  <b:Source>
    <b:Tag>ano20</b:Tag>
    <b:SourceType>InternetSite</b:SourceType>
    <b:Guid>{22CEEDFB-0DDE-E140-8328-E44DE10B083A}</b:Guid>
    <b:Author>
      <b:Author>
        <b:NameList>
          <b:Person>
            <b:Last>anon</b:Last>
          </b:Person>
        </b:NameList>
      </b:Author>
    </b:Author>
    <b:Title>Spacecenter.org</b:Title>
    <b:URL>https://spacecenter.org/what-are-the-van-allen-radiation-belts/</b:URL>
    <b:Year>2020</b:Year>
    <b:Month>May </b:Month>
    <b:Day>19</b:Day>
    <b:YearAccessed>2021</b:YearAccessed>
    <b:MonthAccessed>October </b:MonthAccessed>
    <b:DayAccessed>18</b:DayAccessed>
    <b:RefOrder>2</b:RefOrder>
  </b:Source>
  <b:Source>
    <b:Tag>Mat16</b:Tag>
    <b:SourceType>InternetSite</b:SourceType>
    <b:Guid>{1EC35830-1193-D543-BAC6-0A42C598E7DA}</b:Guid>
    <b:Author>
      <b:Author>
        <b:NameList>
          <b:Person>
            <b:Last>Williams</b:Last>
            <b:First>Matt</b:First>
          </b:Person>
        </b:NameList>
      </b:Author>
    </b:Author>
    <b:Title>Phys.org</b:Title>
    <b:URL>https://phys.org/news/2016-11-bad-mars.html</b:URL>
    <b:ProductionCompany>Science X Network</b:ProductionCompany>
    <b:Year>2016</b:Year>
    <b:Month>November </b:Month>
    <b:Day>21</b:Day>
    <b:YearAccessed>2021</b:YearAccessed>
    <b:MonthAccessed>October</b:MonthAccessed>
    <b:DayAccessed>18</b:DayAccessed>
    <b:RefOrder>3</b:RefOrder>
  </b:Source>
  <b:Source>
    <b:Tag>htt21</b:Tag>
    <b:SourceType>InternetSite</b:SourceType>
    <b:Guid>{FB5F274D-FE27-8943-9142-A7B87401DAC3}</b:Guid>
    <b:Title>https://www.nasa.gov/icon</b:Title>
    <b:Year>2021</b:Year>
    <b:URL>https://www.nasa.gov/icon</b:URL>
    <b:Month>Feb </b:Month>
    <b:Day>26</b:Day>
    <b:YearAccessed>2021</b:YearAccessed>
    <b:MonthAccessed>Nov</b:MonthAccessed>
    <b:DayAccessed>10</b:DayAccessed>
    <b:RefOrder>6</b:RefOrder>
  </b:Source>
  <b:Source>
    <b:Tag>ICE21</b:Tag>
    <b:SourceType>InternetSite</b:SourceType>
    <b:Guid>{8F3752AB-FC8C-A147-A487-7B25045C7669}</b:Guid>
    <b:Title>ICESat-2</b:Title>
    <b:URL>https://icesat-2.gsfc.nasa.gov</b:URL>
    <b:YearAccessed>2021</b:YearAccessed>
    <b:MonthAccessed>Nov</b:MonthAccessed>
    <b:DayAccessed>10</b:DayAccessed>
    <b:RefOrder>7</b:RefOrder>
  </b:Source>
  <b:Source>
    <b:Tag>Mag21</b:Tag>
    <b:SourceType>InternetSite</b:SourceType>
    <b:Guid>{87FC9EB8-478B-4145-AA44-5FF78ABD9601}</b:Guid>
    <b:Title>Magnetospheric Multi Scale mission </b:Title>
    <b:URL>https://mms.gsfc.nasa.gov</b:URL>
    <b:YearAccessed>2021</b:YearAccessed>
    <b:MonthAccessed>Nov</b:MonthAccessed>
    <b:DayAccessed>10</b:DayAccessed>
    <b:RefOrder>8</b:RefOrder>
  </b:Source>
  <b:Source>
    <b:Tag>Soi21</b:Tag>
    <b:SourceType>InternetSite</b:SourceType>
    <b:Guid>{CC95E398-8266-8B4C-8AD7-977CAAF7A73C}</b:Guid>
    <b:Title>Soil Moisture Active Passive mission</b:Title>
    <b:URL>https://smap.jpl.nasa.gov</b:URL>
    <b:YearAccessed>2021</b:YearAccessed>
    <b:MonthAccessed>Nov</b:MonthAccessed>
    <b:DayAccessed>10</b:DayAccessed>
    <b:RefOrder>9</b:RefOrder>
  </b:Source>
</b:Sources>
</file>

<file path=customXml/itemProps1.xml><?xml version="1.0" encoding="utf-8"?>
<ds:datastoreItem xmlns:ds="http://schemas.openxmlformats.org/officeDocument/2006/customXml" ds:itemID="{A6470BA0-B64A-114A-A612-41F2670A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C:\Users\tmckerah\Desktop\ieee_tj_template_17.dotx</Template>
  <TotalTime>13</TotalTime>
  <Pages>34</Pages>
  <Words>10790</Words>
  <Characters>61505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72151</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Leitner, Jesse A. (GSFC-3000)</cp:lastModifiedBy>
  <cp:revision>7</cp:revision>
  <cp:lastPrinted>2021-08-11T17:13:00Z</cp:lastPrinted>
  <dcterms:created xsi:type="dcterms:W3CDTF">2022-01-27T12:06:00Z</dcterms:created>
  <dcterms:modified xsi:type="dcterms:W3CDTF">2022-01-27T12:29:00Z</dcterms:modified>
</cp:coreProperties>
</file>