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93DCE6" w14:textId="51295B58" w:rsidR="00C22CA2" w:rsidRDefault="00362B2D" w:rsidP="00C22CA2">
      <w:pPr>
        <w:spacing w:line="240" w:lineRule="atLeast"/>
        <w:jc w:val="both"/>
        <w:rPr>
          <w:sz w:val="20"/>
        </w:rPr>
      </w:pPr>
      <w:r w:rsidRPr="00362B2D">
        <w:rPr>
          <w:b/>
          <w:sz w:val="20"/>
        </w:rPr>
        <w:t>USING SECONDARY CRATERS TO ASSESS STRENGTH DIFFERENCES BETWEEN NEIGHBORING SURFACE UNITS</w:t>
      </w:r>
      <w:r w:rsidR="00C22CA2">
        <w:rPr>
          <w:b/>
          <w:sz w:val="20"/>
        </w:rPr>
        <w:t>.</w:t>
      </w:r>
      <w:r w:rsidR="00C22CA2">
        <w:rPr>
          <w:sz w:val="20"/>
        </w:rPr>
        <w:t xml:space="preserve">  </w:t>
      </w:r>
      <w:r>
        <w:rPr>
          <w:sz w:val="20"/>
        </w:rPr>
        <w:t>J</w:t>
      </w:r>
      <w:r w:rsidR="00C22CA2">
        <w:rPr>
          <w:sz w:val="20"/>
        </w:rPr>
        <w:t xml:space="preserve">. </w:t>
      </w:r>
      <w:r>
        <w:rPr>
          <w:sz w:val="20"/>
        </w:rPr>
        <w:t>W</w:t>
      </w:r>
      <w:r w:rsidR="00C22CA2">
        <w:rPr>
          <w:sz w:val="20"/>
        </w:rPr>
        <w:t xml:space="preserve">. </w:t>
      </w:r>
      <w:r>
        <w:rPr>
          <w:sz w:val="20"/>
        </w:rPr>
        <w:t>Conrad</w:t>
      </w:r>
      <w:r w:rsidR="00C22CA2">
        <w:rPr>
          <w:sz w:val="20"/>
          <w:vertAlign w:val="superscript"/>
        </w:rPr>
        <w:t>1</w:t>
      </w:r>
      <w:r w:rsidR="00C22CA2">
        <w:rPr>
          <w:sz w:val="20"/>
        </w:rPr>
        <w:t xml:space="preserve"> and </w:t>
      </w:r>
      <w:r>
        <w:rPr>
          <w:sz w:val="20"/>
        </w:rPr>
        <w:t>C</w:t>
      </w:r>
      <w:r w:rsidR="00C22CA2">
        <w:rPr>
          <w:sz w:val="20"/>
        </w:rPr>
        <w:t xml:space="preserve">. </w:t>
      </w:r>
      <w:r>
        <w:rPr>
          <w:sz w:val="20"/>
        </w:rPr>
        <w:t>I</w:t>
      </w:r>
      <w:r w:rsidR="00C22CA2">
        <w:rPr>
          <w:sz w:val="20"/>
        </w:rPr>
        <w:t xml:space="preserve">. </w:t>
      </w:r>
      <w:r>
        <w:rPr>
          <w:sz w:val="20"/>
        </w:rPr>
        <w:t>Fassett</w:t>
      </w:r>
      <w:r>
        <w:rPr>
          <w:sz w:val="20"/>
          <w:vertAlign w:val="superscript"/>
        </w:rPr>
        <w:t>1</w:t>
      </w:r>
      <w:r w:rsidR="00C22CA2">
        <w:rPr>
          <w:sz w:val="20"/>
        </w:rPr>
        <w:t xml:space="preserve">, </w:t>
      </w:r>
      <w:r w:rsidR="00C22CA2">
        <w:rPr>
          <w:sz w:val="20"/>
          <w:vertAlign w:val="superscript"/>
        </w:rPr>
        <w:t>1</w:t>
      </w:r>
      <w:r w:rsidR="00466004">
        <w:rPr>
          <w:sz w:val="20"/>
        </w:rPr>
        <w:t>NASA Marshall Space Flight Center</w:t>
      </w:r>
      <w:r w:rsidR="00206B10">
        <w:rPr>
          <w:sz w:val="20"/>
        </w:rPr>
        <w:t>, Huntsville, AL 35805.</w:t>
      </w:r>
      <w:r w:rsidR="00466004">
        <w:rPr>
          <w:sz w:val="20"/>
        </w:rPr>
        <w:t xml:space="preserve"> (jack.w.conrad@nasa.gov)</w:t>
      </w:r>
    </w:p>
    <w:p w14:paraId="0F8E4317" w14:textId="77777777" w:rsidR="00C22CA2" w:rsidRDefault="00C22CA2" w:rsidP="00C22CA2">
      <w:pPr>
        <w:spacing w:line="240" w:lineRule="atLeast"/>
        <w:ind w:firstLine="288"/>
        <w:jc w:val="both"/>
        <w:rPr>
          <w:sz w:val="20"/>
        </w:rPr>
      </w:pPr>
    </w:p>
    <w:p w14:paraId="5FB09388" w14:textId="77777777" w:rsidR="00C22CA2" w:rsidRDefault="00C22CA2" w:rsidP="00C22CA2">
      <w:pPr>
        <w:spacing w:line="240" w:lineRule="atLeast"/>
        <w:ind w:firstLine="288"/>
        <w:jc w:val="both"/>
        <w:rPr>
          <w:sz w:val="20"/>
        </w:rPr>
      </w:pPr>
    </w:p>
    <w:p w14:paraId="1418C1DE" w14:textId="77777777" w:rsidR="00C22CA2" w:rsidRDefault="00C22CA2" w:rsidP="00C22CA2">
      <w:pPr>
        <w:spacing w:line="240" w:lineRule="atLeast"/>
        <w:ind w:firstLine="288"/>
        <w:jc w:val="both"/>
        <w:rPr>
          <w:sz w:val="20"/>
        </w:rPr>
        <w:sectPr w:rsidR="00C22CA2">
          <w:headerReference w:type="even" r:id="rId7"/>
          <w:footerReference w:type="even" r:id="rId8"/>
          <w:pgSz w:w="12240" w:h="15840"/>
          <w:pgMar w:top="1440" w:right="1440" w:bottom="1440" w:left="1440" w:header="720" w:footer="720" w:gutter="0"/>
          <w:cols w:space="720"/>
          <w:docGrid w:linePitch="360"/>
        </w:sectPr>
      </w:pPr>
    </w:p>
    <w:p w14:paraId="72ACB385" w14:textId="0C116E8B" w:rsidR="00D51F36" w:rsidRPr="00EF6DDD" w:rsidRDefault="00C22CA2" w:rsidP="009F5B03">
      <w:pPr>
        <w:spacing w:line="240" w:lineRule="atLeast"/>
        <w:ind w:firstLine="288"/>
        <w:jc w:val="both"/>
        <w:rPr>
          <w:sz w:val="20"/>
        </w:rPr>
      </w:pPr>
      <w:r w:rsidRPr="00C22CA2">
        <w:rPr>
          <w:b/>
          <w:sz w:val="20"/>
        </w:rPr>
        <w:t>Introduction:</w:t>
      </w:r>
      <w:r w:rsidR="006C06B6">
        <w:rPr>
          <w:sz w:val="20"/>
        </w:rPr>
        <w:t xml:space="preserve"> </w:t>
      </w:r>
      <w:r w:rsidR="00EF6DDD" w:rsidRPr="00EF6DDD">
        <w:rPr>
          <w:sz w:val="20"/>
        </w:rPr>
        <w:t xml:space="preserve">An issue </w:t>
      </w:r>
      <w:r w:rsidR="006D3657">
        <w:rPr>
          <w:sz w:val="20"/>
        </w:rPr>
        <w:t>with</w:t>
      </w:r>
      <w:r w:rsidR="00EF6DDD" w:rsidRPr="00EF6DDD">
        <w:rPr>
          <w:sz w:val="20"/>
        </w:rPr>
        <w:t xml:space="preserve"> Martian remote</w:t>
      </w:r>
      <w:r w:rsidR="006D3657">
        <w:rPr>
          <w:sz w:val="20"/>
        </w:rPr>
        <w:t xml:space="preserve"> sensing</w:t>
      </w:r>
      <w:r w:rsidR="00EF6DDD" w:rsidRPr="00EF6DDD">
        <w:rPr>
          <w:sz w:val="20"/>
        </w:rPr>
        <w:t xml:space="preserve"> studies is </w:t>
      </w:r>
      <w:r w:rsidR="006C06B6">
        <w:rPr>
          <w:sz w:val="20"/>
        </w:rPr>
        <w:t xml:space="preserve">the difficulty </w:t>
      </w:r>
      <w:r w:rsidR="00EF6DDD">
        <w:rPr>
          <w:sz w:val="20"/>
        </w:rPr>
        <w:t>directly</w:t>
      </w:r>
      <w:r w:rsidR="00EF6DDD" w:rsidRPr="00EF6DDD">
        <w:rPr>
          <w:sz w:val="20"/>
        </w:rPr>
        <w:t xml:space="preserve"> infer</w:t>
      </w:r>
      <w:r w:rsidR="006C06B6">
        <w:rPr>
          <w:sz w:val="20"/>
        </w:rPr>
        <w:t>ring</w:t>
      </w:r>
      <w:r w:rsidR="00EF6DDD" w:rsidRPr="00EF6DDD">
        <w:rPr>
          <w:sz w:val="20"/>
        </w:rPr>
        <w:t xml:space="preserve"> surface</w:t>
      </w:r>
      <w:r w:rsidR="00D51F36">
        <w:rPr>
          <w:sz w:val="20"/>
        </w:rPr>
        <w:t xml:space="preserve"> and crustal</w:t>
      </w:r>
      <w:r w:rsidR="006D3657">
        <w:rPr>
          <w:sz w:val="20"/>
        </w:rPr>
        <w:t xml:space="preserve"> material</w:t>
      </w:r>
      <w:r w:rsidR="00EF6DDD" w:rsidRPr="00EF6DDD">
        <w:rPr>
          <w:sz w:val="20"/>
        </w:rPr>
        <w:t xml:space="preserve"> properties.</w:t>
      </w:r>
      <w:r w:rsidR="00BB1B5F">
        <w:rPr>
          <w:sz w:val="20"/>
        </w:rPr>
        <w:t xml:space="preserve"> For direct measurements we currently rely on the instruments of </w:t>
      </w:r>
      <w:r w:rsidR="006C06B6">
        <w:rPr>
          <w:sz w:val="20"/>
        </w:rPr>
        <w:t xml:space="preserve">landed </w:t>
      </w:r>
      <w:r w:rsidR="00BB1B5F">
        <w:rPr>
          <w:sz w:val="20"/>
        </w:rPr>
        <w:t>mission</w:t>
      </w:r>
      <w:r w:rsidR="001A19B9">
        <w:rPr>
          <w:sz w:val="20"/>
        </w:rPr>
        <w:t>s</w:t>
      </w:r>
      <w:r w:rsidR="006C06B6">
        <w:rPr>
          <w:sz w:val="20"/>
        </w:rPr>
        <w:t xml:space="preserve">, </w:t>
      </w:r>
      <w:r w:rsidR="001A19B9">
        <w:rPr>
          <w:sz w:val="20"/>
        </w:rPr>
        <w:t>like</w:t>
      </w:r>
      <w:r w:rsidR="00BB1B5F">
        <w:rPr>
          <w:sz w:val="20"/>
        </w:rPr>
        <w:t xml:space="preserve"> </w:t>
      </w:r>
      <w:proofErr w:type="spellStart"/>
      <w:r w:rsidR="00F238B2">
        <w:rPr>
          <w:i/>
          <w:iCs/>
          <w:sz w:val="20"/>
        </w:rPr>
        <w:t>InSight</w:t>
      </w:r>
      <w:proofErr w:type="spellEnd"/>
      <w:r w:rsidR="00F238B2">
        <w:rPr>
          <w:sz w:val="20"/>
        </w:rPr>
        <w:t>.</w:t>
      </w:r>
      <w:r w:rsidR="00EE5CAD">
        <w:rPr>
          <w:sz w:val="20"/>
        </w:rPr>
        <w:t xml:space="preserve"> </w:t>
      </w:r>
      <w:r w:rsidR="001A19B9">
        <w:rPr>
          <w:sz w:val="20"/>
        </w:rPr>
        <w:t xml:space="preserve">However, </w:t>
      </w:r>
      <w:r w:rsidR="006C06B6">
        <w:rPr>
          <w:sz w:val="20"/>
        </w:rPr>
        <w:t xml:space="preserve">these are limited to specific locations (i.e., </w:t>
      </w:r>
      <w:r w:rsidR="00EE5CAD">
        <w:rPr>
          <w:sz w:val="20"/>
        </w:rPr>
        <w:t>E</w:t>
      </w:r>
      <w:r w:rsidR="0086271F">
        <w:rPr>
          <w:sz w:val="20"/>
        </w:rPr>
        <w:t>l</w:t>
      </w:r>
      <w:r w:rsidR="00EE5CAD">
        <w:rPr>
          <w:sz w:val="20"/>
        </w:rPr>
        <w:t xml:space="preserve">ysium </w:t>
      </w:r>
      <w:proofErr w:type="spellStart"/>
      <w:r w:rsidR="00EE5CAD">
        <w:rPr>
          <w:sz w:val="20"/>
        </w:rPr>
        <w:t>Planitia</w:t>
      </w:r>
      <w:proofErr w:type="spellEnd"/>
      <w:r w:rsidR="006C06B6">
        <w:rPr>
          <w:sz w:val="20"/>
        </w:rPr>
        <w:t xml:space="preserve"> for </w:t>
      </w:r>
      <w:proofErr w:type="spellStart"/>
      <w:r w:rsidR="006C06B6">
        <w:rPr>
          <w:i/>
          <w:iCs/>
          <w:sz w:val="20"/>
        </w:rPr>
        <w:t>InSight</w:t>
      </w:r>
      <w:proofErr w:type="spellEnd"/>
      <w:r w:rsidR="006C06B6">
        <w:rPr>
          <w:sz w:val="20"/>
        </w:rPr>
        <w:t xml:space="preserve">). To </w:t>
      </w:r>
      <w:r w:rsidR="00D51F36">
        <w:rPr>
          <w:sz w:val="20"/>
        </w:rPr>
        <w:t>understand how</w:t>
      </w:r>
      <w:r w:rsidR="006C06B6">
        <w:rPr>
          <w:sz w:val="20"/>
        </w:rPr>
        <w:t xml:space="preserve"> </w:t>
      </w:r>
      <w:r w:rsidR="00D51F36">
        <w:rPr>
          <w:sz w:val="20"/>
        </w:rPr>
        <w:t xml:space="preserve">results </w:t>
      </w:r>
      <w:r w:rsidR="006C06B6">
        <w:rPr>
          <w:sz w:val="20"/>
        </w:rPr>
        <w:t xml:space="preserve">from in situ missions </w:t>
      </w:r>
      <w:r w:rsidR="00D51F36">
        <w:rPr>
          <w:sz w:val="20"/>
        </w:rPr>
        <w:t xml:space="preserve">apply to </w:t>
      </w:r>
      <w:r w:rsidR="006C06B6">
        <w:rPr>
          <w:sz w:val="20"/>
        </w:rPr>
        <w:t xml:space="preserve">other </w:t>
      </w:r>
      <w:r w:rsidR="00D51F36">
        <w:rPr>
          <w:sz w:val="20"/>
        </w:rPr>
        <w:t xml:space="preserve">parts of Mars’ crust, we </w:t>
      </w:r>
      <w:r w:rsidR="006C06B6">
        <w:rPr>
          <w:sz w:val="20"/>
        </w:rPr>
        <w:t xml:space="preserve">would like to </w:t>
      </w:r>
      <w:r w:rsidR="00137A8B">
        <w:rPr>
          <w:sz w:val="20"/>
        </w:rPr>
        <w:t>apply</w:t>
      </w:r>
      <w:r w:rsidR="006C06B6">
        <w:rPr>
          <w:sz w:val="20"/>
        </w:rPr>
        <w:t xml:space="preserve"> </w:t>
      </w:r>
      <w:r w:rsidR="004A5DBF">
        <w:rPr>
          <w:sz w:val="20"/>
        </w:rPr>
        <w:t>a methodology</w:t>
      </w:r>
      <w:r w:rsidR="006C06B6">
        <w:rPr>
          <w:sz w:val="20"/>
        </w:rPr>
        <w:t xml:space="preserve"> that use</w:t>
      </w:r>
      <w:r w:rsidR="007E7950">
        <w:rPr>
          <w:sz w:val="20"/>
        </w:rPr>
        <w:t>s</w:t>
      </w:r>
      <w:r w:rsidR="006C06B6">
        <w:rPr>
          <w:sz w:val="20"/>
        </w:rPr>
        <w:t xml:space="preserve"> remote sensing</w:t>
      </w:r>
      <w:r w:rsidR="009F5B03">
        <w:rPr>
          <w:sz w:val="20"/>
        </w:rPr>
        <w:t>. We</w:t>
      </w:r>
      <w:r w:rsidR="00EF6DDD" w:rsidRPr="00EF6DDD">
        <w:rPr>
          <w:sz w:val="20"/>
        </w:rPr>
        <w:t xml:space="preserve"> </w:t>
      </w:r>
      <w:r w:rsidR="007E7950">
        <w:rPr>
          <w:sz w:val="20"/>
        </w:rPr>
        <w:t>are exploring using</w:t>
      </w:r>
      <w:r w:rsidR="007E7950" w:rsidRPr="00EF6DDD">
        <w:rPr>
          <w:sz w:val="20"/>
        </w:rPr>
        <w:t xml:space="preserve"> </w:t>
      </w:r>
      <w:r w:rsidR="00EF6DDD" w:rsidRPr="00EF6DDD">
        <w:rPr>
          <w:sz w:val="20"/>
        </w:rPr>
        <w:t>secondary craters, which are often thought of as nuisances when finding accurate relative ages</w:t>
      </w:r>
      <w:r w:rsidR="009F5B03">
        <w:rPr>
          <w:sz w:val="20"/>
        </w:rPr>
        <w:t>, to get at these properties</w:t>
      </w:r>
      <w:r w:rsidR="00EF6DDD" w:rsidRPr="00EF6DDD">
        <w:rPr>
          <w:sz w:val="20"/>
        </w:rPr>
        <w:t xml:space="preserve">. </w:t>
      </w:r>
      <w:r w:rsidR="009F5B03">
        <w:rPr>
          <w:sz w:val="20"/>
        </w:rPr>
        <w:t>A</w:t>
      </w:r>
      <w:r w:rsidR="00EF6DDD" w:rsidRPr="00EF6DDD">
        <w:rPr>
          <w:sz w:val="20"/>
        </w:rPr>
        <w:t xml:space="preserve">n upside of secondary craters is that </w:t>
      </w:r>
      <w:r w:rsidR="009F5B03">
        <w:rPr>
          <w:sz w:val="20"/>
        </w:rPr>
        <w:t>they</w:t>
      </w:r>
      <w:r w:rsidR="00EF6DDD" w:rsidRPr="00EF6DDD">
        <w:rPr>
          <w:sz w:val="20"/>
        </w:rPr>
        <w:t xml:space="preserve"> form</w:t>
      </w:r>
      <w:r w:rsidR="00D51F36">
        <w:rPr>
          <w:sz w:val="20"/>
        </w:rPr>
        <w:t xml:space="preserve"> by</w:t>
      </w:r>
      <w:r w:rsidR="00EF6DDD" w:rsidRPr="00EF6DDD">
        <w:rPr>
          <w:sz w:val="20"/>
        </w:rPr>
        <w:t xml:space="preserve"> ejecta blocks moving at relatively slow speeds</w:t>
      </w:r>
      <w:r w:rsidR="00137A8B">
        <w:rPr>
          <w:sz w:val="20"/>
        </w:rPr>
        <w:t xml:space="preserve"> (compared to primary impacts)</w:t>
      </w:r>
      <w:r w:rsidR="00EF6DDD" w:rsidRPr="00EF6DDD">
        <w:rPr>
          <w:sz w:val="20"/>
        </w:rPr>
        <w:t xml:space="preserve">, </w:t>
      </w:r>
      <w:r w:rsidR="009F5B03">
        <w:rPr>
          <w:sz w:val="20"/>
        </w:rPr>
        <w:t>which lets them</w:t>
      </w:r>
      <w:r w:rsidR="00EF6DDD" w:rsidRPr="00EF6DDD">
        <w:rPr>
          <w:sz w:val="20"/>
        </w:rPr>
        <w:t xml:space="preserve"> reside in a different crater scaling regime [1], one that is more sensitive to the crust’s effective strength </w:t>
      </w:r>
      <w:r w:rsidR="00D51F36">
        <w:rPr>
          <w:sz w:val="20"/>
        </w:rPr>
        <w:t>(</w:t>
      </w:r>
      <w:proofErr w:type="spellStart"/>
      <w:r w:rsidR="00EF6DDD" w:rsidRPr="00D51F36">
        <w:rPr>
          <w:i/>
          <w:iCs/>
          <w:sz w:val="20"/>
        </w:rPr>
        <w:t>Y</w:t>
      </w:r>
      <w:r w:rsidR="004F71E7">
        <w:rPr>
          <w:i/>
          <w:iCs/>
          <w:sz w:val="20"/>
          <w:vertAlign w:val="subscript"/>
        </w:rPr>
        <w:t>eff</w:t>
      </w:r>
      <w:proofErr w:type="spellEnd"/>
      <w:r w:rsidR="00D51F36">
        <w:rPr>
          <w:sz w:val="20"/>
        </w:rPr>
        <w:t>)</w:t>
      </w:r>
      <w:r w:rsidR="00EF6DDD" w:rsidRPr="00EF6DDD">
        <w:rPr>
          <w:sz w:val="20"/>
        </w:rPr>
        <w:t xml:space="preserve"> and its porosity.</w:t>
      </w:r>
    </w:p>
    <w:p w14:paraId="78593B82" w14:textId="58399A93" w:rsidR="00EF6DDD" w:rsidRDefault="00E774E2" w:rsidP="00EF6DDD">
      <w:pPr>
        <w:spacing w:line="240" w:lineRule="atLeast"/>
        <w:ind w:firstLine="288"/>
        <w:jc w:val="both"/>
        <w:rPr>
          <w:sz w:val="20"/>
        </w:rPr>
      </w:pPr>
      <w:r>
        <w:rPr>
          <w:b/>
          <w:bCs/>
          <w:sz w:val="20"/>
        </w:rPr>
        <w:t xml:space="preserve">Secondary Crater Scaling:  </w:t>
      </w:r>
      <w:r w:rsidR="00EF6DDD" w:rsidRPr="00EF6DDD">
        <w:rPr>
          <w:sz w:val="20"/>
        </w:rPr>
        <w:t>There are multiple parameters that influence the size of secondary craters, but we can measure craters in ways that isolate the dependence of crater size to</w:t>
      </w:r>
      <w:r w:rsidR="008D38F7">
        <w:rPr>
          <w:sz w:val="20"/>
        </w:rPr>
        <w:t xml:space="preserve"> just</w:t>
      </w:r>
      <w:r w:rsidR="00EF6DDD" w:rsidRPr="00EF6DDD">
        <w:rPr>
          <w:sz w:val="20"/>
        </w:rPr>
        <w:t xml:space="preserve"> </w:t>
      </w:r>
      <w:proofErr w:type="spellStart"/>
      <w:r w:rsidR="004F71E7">
        <w:rPr>
          <w:i/>
          <w:iCs/>
          <w:sz w:val="20"/>
        </w:rPr>
        <w:t>Y</w:t>
      </w:r>
      <w:r w:rsidR="004F71E7">
        <w:rPr>
          <w:i/>
          <w:iCs/>
          <w:sz w:val="20"/>
          <w:vertAlign w:val="subscript"/>
        </w:rPr>
        <w:t>eff</w:t>
      </w:r>
      <w:proofErr w:type="spellEnd"/>
      <w:r w:rsidR="00EF6DDD" w:rsidRPr="00EF6DDD">
        <w:rPr>
          <w:sz w:val="20"/>
        </w:rPr>
        <w:t xml:space="preserve">. We focus on secondary clusters that have impacted into distinct but bordering geological units. These secondaries can be used to determine </w:t>
      </w:r>
      <w:proofErr w:type="spellStart"/>
      <w:r w:rsidR="008D38F7">
        <w:rPr>
          <w:i/>
          <w:iCs/>
          <w:sz w:val="20"/>
        </w:rPr>
        <w:t>Y</w:t>
      </w:r>
      <w:r w:rsidR="008D38F7">
        <w:rPr>
          <w:i/>
          <w:iCs/>
          <w:sz w:val="20"/>
          <w:vertAlign w:val="subscript"/>
        </w:rPr>
        <w:t>eff</w:t>
      </w:r>
      <w:proofErr w:type="spellEnd"/>
      <w:r w:rsidR="00EF6DDD" w:rsidRPr="00EF6DDD">
        <w:rPr>
          <w:sz w:val="20"/>
        </w:rPr>
        <w:t xml:space="preserve"> thanks to one important fact: all the secondaries</w:t>
      </w:r>
      <w:r w:rsidR="008D38F7">
        <w:rPr>
          <w:sz w:val="20"/>
        </w:rPr>
        <w:t xml:space="preserve"> in this cluster</w:t>
      </w:r>
      <w:r w:rsidR="00EF6DDD" w:rsidRPr="00EF6DDD">
        <w:rPr>
          <w:sz w:val="20"/>
        </w:rPr>
        <w:t xml:space="preserve"> are from the same distant primary, and as a result, the ejecta velocity, </w:t>
      </w:r>
      <w:r w:rsidR="0017550E">
        <w:rPr>
          <w:sz w:val="20"/>
        </w:rPr>
        <w:t xml:space="preserve">median </w:t>
      </w:r>
      <w:r w:rsidR="00EF6DDD" w:rsidRPr="00EF6DDD">
        <w:rPr>
          <w:sz w:val="20"/>
        </w:rPr>
        <w:t xml:space="preserve">block sizes, and densities are expected to be the same (at least to first order). Thus, variations between crater size on the two units are due to material property differences (i.e. </w:t>
      </w:r>
      <w:proofErr w:type="spellStart"/>
      <w:r w:rsidR="00EF6DDD" w:rsidRPr="00BD2C3C">
        <w:rPr>
          <w:i/>
          <w:iCs/>
          <w:sz w:val="20"/>
        </w:rPr>
        <w:t>Y</w:t>
      </w:r>
      <w:r w:rsidR="00BD2C3C">
        <w:rPr>
          <w:i/>
          <w:iCs/>
          <w:sz w:val="20"/>
          <w:vertAlign w:val="subscript"/>
        </w:rPr>
        <w:t>eff</w:t>
      </w:r>
      <w:proofErr w:type="spellEnd"/>
      <w:r w:rsidR="00EF6DDD" w:rsidRPr="00EF6DDD">
        <w:rPr>
          <w:sz w:val="20"/>
        </w:rPr>
        <w:t xml:space="preserve">). Thanks to </w:t>
      </w:r>
      <w:r w:rsidR="008D38F7">
        <w:rPr>
          <w:sz w:val="20"/>
        </w:rPr>
        <w:t xml:space="preserve">the </w:t>
      </w:r>
      <w:r w:rsidR="00EF6DDD" w:rsidRPr="00EF6DDD">
        <w:rPr>
          <w:sz w:val="20"/>
        </w:rPr>
        <w:t>stee</w:t>
      </w:r>
      <w:r w:rsidR="008D38F7">
        <w:rPr>
          <w:sz w:val="20"/>
        </w:rPr>
        <w:t>p</w:t>
      </w:r>
      <w:r w:rsidR="00EF6DDD" w:rsidRPr="00EF6DDD">
        <w:rPr>
          <w:sz w:val="20"/>
        </w:rPr>
        <w:t xml:space="preserve"> size frequency distributions</w:t>
      </w:r>
      <w:r w:rsidR="008D38F7">
        <w:rPr>
          <w:sz w:val="20"/>
        </w:rPr>
        <w:t xml:space="preserve"> (SFD)</w:t>
      </w:r>
      <w:r w:rsidR="00EF6DDD" w:rsidRPr="00EF6DDD">
        <w:rPr>
          <w:sz w:val="20"/>
        </w:rPr>
        <w:t xml:space="preserve"> of secondaries [2], </w:t>
      </w:r>
      <w:r w:rsidR="008D38F7">
        <w:rPr>
          <w:sz w:val="20"/>
        </w:rPr>
        <w:t xml:space="preserve">observable </w:t>
      </w:r>
      <w:r w:rsidR="00EF6DDD" w:rsidRPr="00EF6DDD">
        <w:rPr>
          <w:sz w:val="20"/>
        </w:rPr>
        <w:t>secondary</w:t>
      </w:r>
      <w:r w:rsidR="008D38F7">
        <w:rPr>
          <w:sz w:val="20"/>
        </w:rPr>
        <w:t xml:space="preserve"> crater</w:t>
      </w:r>
      <w:r w:rsidR="00EF6DDD" w:rsidRPr="00EF6DDD">
        <w:rPr>
          <w:sz w:val="20"/>
        </w:rPr>
        <w:t xml:space="preserve"> sizes are tightly clustered, and we can</w:t>
      </w:r>
      <w:r w:rsidR="008D38F7">
        <w:rPr>
          <w:sz w:val="20"/>
        </w:rPr>
        <w:t xml:space="preserve"> simply</w:t>
      </w:r>
      <w:r w:rsidR="00EF6DDD" w:rsidRPr="00EF6DDD">
        <w:rPr>
          <w:sz w:val="20"/>
        </w:rPr>
        <w:t xml:space="preserve"> use differences in median secondary sizes between two geologic units to constrain the ratio of </w:t>
      </w:r>
      <w:proofErr w:type="spellStart"/>
      <w:r w:rsidR="008D38F7">
        <w:rPr>
          <w:i/>
          <w:iCs/>
          <w:sz w:val="20"/>
        </w:rPr>
        <w:t>Y</w:t>
      </w:r>
      <w:r w:rsidR="008D38F7">
        <w:rPr>
          <w:i/>
          <w:iCs/>
          <w:sz w:val="20"/>
          <w:vertAlign w:val="subscript"/>
        </w:rPr>
        <w:t>eff</w:t>
      </w:r>
      <w:proofErr w:type="spellEnd"/>
      <w:r w:rsidR="00EF6DDD" w:rsidRPr="00EF6DDD">
        <w:rPr>
          <w:sz w:val="20"/>
        </w:rPr>
        <w:t>.</w:t>
      </w:r>
      <w:r w:rsidR="008D38F7">
        <w:rPr>
          <w:sz w:val="20"/>
        </w:rPr>
        <w:t xml:space="preserve"> We are also able to use the SFD of our counting areas to check if our counted craters are secondaries (i.e. have a steep distribution), and if the two crater counting areas are from the same source (and thus have the same power law slope), but are offset from each other at around the same factor as the median difference. </w:t>
      </w:r>
    </w:p>
    <w:p w14:paraId="538884FA" w14:textId="1754FF96" w:rsidR="00341810" w:rsidRDefault="00E774E2" w:rsidP="00EF6DDD">
      <w:pPr>
        <w:spacing w:line="240" w:lineRule="atLeast"/>
        <w:ind w:firstLine="288"/>
        <w:jc w:val="both"/>
        <w:rPr>
          <w:sz w:val="20"/>
        </w:rPr>
      </w:pPr>
      <w:r>
        <w:rPr>
          <w:b/>
          <w:bCs/>
          <w:sz w:val="20"/>
        </w:rPr>
        <w:t>Counting Methodology:</w:t>
      </w:r>
      <w:r w:rsidR="00BD2C3C">
        <w:rPr>
          <w:b/>
          <w:bCs/>
          <w:sz w:val="20"/>
        </w:rPr>
        <w:t xml:space="preserve">  </w:t>
      </w:r>
      <w:r w:rsidR="00BD2C3C">
        <w:rPr>
          <w:sz w:val="20"/>
        </w:rPr>
        <w:t>Our methodology need</w:t>
      </w:r>
      <w:r w:rsidR="006E745D">
        <w:rPr>
          <w:sz w:val="20"/>
        </w:rPr>
        <w:t>s</w:t>
      </w:r>
      <w:r w:rsidR="00BD2C3C">
        <w:rPr>
          <w:sz w:val="20"/>
        </w:rPr>
        <w:t xml:space="preserve"> to take care to identify secondaries </w:t>
      </w:r>
      <w:r w:rsidR="00341810">
        <w:rPr>
          <w:sz w:val="20"/>
        </w:rPr>
        <w:t>within the same cluster</w:t>
      </w:r>
      <w:r w:rsidR="006E745D">
        <w:rPr>
          <w:sz w:val="20"/>
        </w:rPr>
        <w:t>, but lying in the contact region of two geologic units</w:t>
      </w:r>
      <w:r w:rsidR="00341810">
        <w:rPr>
          <w:sz w:val="20"/>
        </w:rPr>
        <w:t>. Other secondar</w:t>
      </w:r>
      <w:r w:rsidR="006E745D">
        <w:rPr>
          <w:sz w:val="20"/>
        </w:rPr>
        <w:t>y clusters from the same primary</w:t>
      </w:r>
      <w:r w:rsidR="00341810">
        <w:rPr>
          <w:sz w:val="20"/>
        </w:rPr>
        <w:t xml:space="preserve"> do not necessarily conform</w:t>
      </w:r>
      <w:r w:rsidR="006E745D">
        <w:rPr>
          <w:sz w:val="20"/>
        </w:rPr>
        <w:t xml:space="preserve"> [</w:t>
      </w:r>
      <w:r w:rsidR="00F35D3B">
        <w:rPr>
          <w:sz w:val="20"/>
        </w:rPr>
        <w:t>2</w:t>
      </w:r>
      <w:r w:rsidR="006E745D">
        <w:rPr>
          <w:sz w:val="20"/>
        </w:rPr>
        <w:t>]</w:t>
      </w:r>
      <w:r w:rsidR="00341810">
        <w:rPr>
          <w:sz w:val="20"/>
        </w:rPr>
        <w:t xml:space="preserve"> to the same median crater diameter (and thus median impact debris size) and can create a false positive signal. Primaries will also change the crater distribution, but are easier to pick out based on degradation state or other morphological tells.</w:t>
      </w:r>
    </w:p>
    <w:p w14:paraId="73D91321" w14:textId="0FBA5181" w:rsidR="00166938" w:rsidRDefault="00341810" w:rsidP="00CF4504">
      <w:pPr>
        <w:spacing w:line="240" w:lineRule="atLeast"/>
        <w:ind w:firstLine="288"/>
        <w:jc w:val="both"/>
        <w:rPr>
          <w:sz w:val="20"/>
        </w:rPr>
      </w:pPr>
      <w:r>
        <w:rPr>
          <w:sz w:val="20"/>
        </w:rPr>
        <w:t xml:space="preserve"> For surveying </w:t>
      </w:r>
      <w:r w:rsidR="005F6198">
        <w:rPr>
          <w:sz w:val="20"/>
        </w:rPr>
        <w:t>sites of interest, we aim towards younger</w:t>
      </w:r>
      <w:r w:rsidR="006E745D">
        <w:rPr>
          <w:sz w:val="20"/>
        </w:rPr>
        <w:t xml:space="preserve"> and/or</w:t>
      </w:r>
      <w:r w:rsidR="005F6198">
        <w:rPr>
          <w:sz w:val="20"/>
        </w:rPr>
        <w:t xml:space="preserve"> larger primary craters, as those tend to have fresh</w:t>
      </w:r>
      <w:r w:rsidR="006E745D">
        <w:rPr>
          <w:sz w:val="20"/>
        </w:rPr>
        <w:t>er</w:t>
      </w:r>
      <w:r w:rsidR="005F6198">
        <w:rPr>
          <w:sz w:val="20"/>
        </w:rPr>
        <w:t xml:space="preserve"> secondaries that are easy to count. Once we identif</w:t>
      </w:r>
      <w:r w:rsidR="00844D8F">
        <w:rPr>
          <w:sz w:val="20"/>
        </w:rPr>
        <w:t>y</w:t>
      </w:r>
      <w:r w:rsidR="005F6198">
        <w:rPr>
          <w:sz w:val="20"/>
        </w:rPr>
        <w:t xml:space="preserve"> a primary of interest, we note the geologic boundaries surrounding it and if others have mapped out secondary fields in those areas.</w:t>
      </w:r>
      <w:r w:rsidR="00CF4504">
        <w:rPr>
          <w:sz w:val="20"/>
        </w:rPr>
        <w:t xml:space="preserve"> </w:t>
      </w:r>
      <w:r w:rsidR="008F1C81">
        <w:rPr>
          <w:sz w:val="20"/>
        </w:rPr>
        <w:t xml:space="preserve">We then </w:t>
      </w:r>
      <w:r w:rsidR="00E000D5">
        <w:rPr>
          <w:sz w:val="20"/>
        </w:rPr>
        <w:t xml:space="preserve">determine two counting areas at </w:t>
      </w:r>
      <w:r w:rsidR="00CF4504">
        <w:rPr>
          <w:sz w:val="20"/>
        </w:rPr>
        <w:t xml:space="preserve">approximately </w:t>
      </w:r>
      <w:r w:rsidR="00E000D5">
        <w:rPr>
          <w:sz w:val="20"/>
        </w:rPr>
        <w:t>same distance from</w:t>
      </w:r>
      <w:r w:rsidR="00CF4504">
        <w:rPr>
          <w:sz w:val="20"/>
        </w:rPr>
        <w:t xml:space="preserve"> the primary, one in each unit. </w:t>
      </w:r>
      <w:r w:rsidR="00084D37">
        <w:rPr>
          <w:sz w:val="20"/>
        </w:rPr>
        <w:t>We identify and count s</w:t>
      </w:r>
      <w:r w:rsidR="00CF4504">
        <w:rPr>
          <w:sz w:val="20"/>
        </w:rPr>
        <w:t xml:space="preserve">econdaries </w:t>
      </w:r>
      <w:r w:rsidR="00946992">
        <w:rPr>
          <w:sz w:val="20"/>
        </w:rPr>
        <w:t>in each area</w:t>
      </w:r>
      <w:r w:rsidR="00CF4504">
        <w:rPr>
          <w:sz w:val="20"/>
        </w:rPr>
        <w:t xml:space="preserve"> and </w:t>
      </w:r>
      <w:r w:rsidR="00946992">
        <w:rPr>
          <w:sz w:val="20"/>
        </w:rPr>
        <w:t xml:space="preserve">our analysis uses </w:t>
      </w:r>
      <w:r w:rsidR="00CF4504">
        <w:rPr>
          <w:sz w:val="20"/>
        </w:rPr>
        <w:t>those results.</w:t>
      </w:r>
    </w:p>
    <w:p w14:paraId="30CD5AD9" w14:textId="3E8C6041" w:rsidR="003601D3" w:rsidRDefault="003601D3" w:rsidP="00DD20FC">
      <w:pPr>
        <w:spacing w:line="240" w:lineRule="atLeast"/>
        <w:jc w:val="center"/>
        <w:rPr>
          <w:sz w:val="20"/>
        </w:rPr>
      </w:pPr>
      <w:r>
        <w:rPr>
          <w:noProof/>
        </w:rPr>
        <w:drawing>
          <wp:inline distT="0" distB="0" distL="0" distR="0" wp14:anchorId="764937CB" wp14:editId="1120CFA4">
            <wp:extent cx="2679896" cy="4719081"/>
            <wp:effectExtent l="0" t="0" r="635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97962" cy="4750894"/>
                    </a:xfrm>
                    <a:prstGeom prst="rect">
                      <a:avLst/>
                    </a:prstGeom>
                    <a:noFill/>
                    <a:ln>
                      <a:noFill/>
                    </a:ln>
                  </pic:spPr>
                </pic:pic>
              </a:graphicData>
            </a:graphic>
          </wp:inline>
        </w:drawing>
      </w:r>
    </w:p>
    <w:p w14:paraId="2A557FD9" w14:textId="22687D32" w:rsidR="003601D3" w:rsidRDefault="003601D3" w:rsidP="003601D3">
      <w:pPr>
        <w:spacing w:line="240" w:lineRule="atLeast"/>
        <w:jc w:val="both"/>
        <w:rPr>
          <w:sz w:val="20"/>
        </w:rPr>
      </w:pPr>
      <w:r w:rsidRPr="00970E1A">
        <w:rPr>
          <w:b/>
          <w:bCs/>
          <w:sz w:val="20"/>
        </w:rPr>
        <w:t>Figure 1</w:t>
      </w:r>
      <w:r w:rsidR="00F84D6E" w:rsidRPr="00970E1A">
        <w:rPr>
          <w:b/>
          <w:bCs/>
          <w:sz w:val="20"/>
        </w:rPr>
        <w:t>:</w:t>
      </w:r>
      <w:r w:rsidR="00F84D6E">
        <w:rPr>
          <w:sz w:val="20"/>
        </w:rPr>
        <w:t xml:space="preserve"> A. (Top Panel) Map of study area, which includes Tooting Crater (TC) and the bordering units of </w:t>
      </w:r>
      <w:proofErr w:type="spellStart"/>
      <w:r w:rsidR="00F84D6E">
        <w:rPr>
          <w:sz w:val="20"/>
        </w:rPr>
        <w:t>Amazonis</w:t>
      </w:r>
      <w:proofErr w:type="spellEnd"/>
      <w:r w:rsidR="00F84D6E">
        <w:rPr>
          <w:sz w:val="20"/>
        </w:rPr>
        <w:t xml:space="preserve"> </w:t>
      </w:r>
      <w:proofErr w:type="spellStart"/>
      <w:r w:rsidR="00F84D6E">
        <w:rPr>
          <w:sz w:val="20"/>
        </w:rPr>
        <w:t>Planitia</w:t>
      </w:r>
      <w:proofErr w:type="spellEnd"/>
      <w:r w:rsidR="00F84D6E">
        <w:rPr>
          <w:sz w:val="20"/>
        </w:rPr>
        <w:t xml:space="preserve"> (AP; blue) and the Olympus Mon Aureole (OM; orange). The approximate location of the bottom panel is shown as the red square. B. (Bottom Panel) Secondary crater count areas for the two units. This single cluster was divided up to test median size sensitivity to range from the primary crater.</w:t>
      </w:r>
    </w:p>
    <w:p w14:paraId="456D8F40" w14:textId="77777777" w:rsidR="003601D3" w:rsidRDefault="003601D3" w:rsidP="003601D3">
      <w:pPr>
        <w:spacing w:line="240" w:lineRule="atLeast"/>
        <w:jc w:val="both"/>
        <w:rPr>
          <w:sz w:val="20"/>
        </w:rPr>
      </w:pPr>
    </w:p>
    <w:p w14:paraId="62863171" w14:textId="6F4F6AB9" w:rsidR="00A50A57" w:rsidRDefault="00CF4504" w:rsidP="00A50A57">
      <w:pPr>
        <w:spacing w:line="240" w:lineRule="atLeast"/>
        <w:ind w:firstLine="288"/>
        <w:jc w:val="both"/>
        <w:rPr>
          <w:sz w:val="20"/>
        </w:rPr>
      </w:pPr>
      <w:r>
        <w:rPr>
          <w:b/>
          <w:bCs/>
          <w:sz w:val="20"/>
        </w:rPr>
        <w:t xml:space="preserve">Example </w:t>
      </w:r>
      <w:r w:rsidR="00166938">
        <w:rPr>
          <w:b/>
          <w:bCs/>
          <w:sz w:val="20"/>
        </w:rPr>
        <w:t xml:space="preserve">Results:  </w:t>
      </w:r>
      <w:r w:rsidR="00EF6DDD" w:rsidRPr="00EF6DDD">
        <w:rPr>
          <w:sz w:val="20"/>
        </w:rPr>
        <w:t xml:space="preserve">We have </w:t>
      </w:r>
      <w:r w:rsidR="004F71E7">
        <w:rPr>
          <w:sz w:val="20"/>
        </w:rPr>
        <w:t>initially used</w:t>
      </w:r>
      <w:r w:rsidR="00EF6DDD" w:rsidRPr="00EF6DDD">
        <w:rPr>
          <w:sz w:val="20"/>
        </w:rPr>
        <w:t xml:space="preserve"> this technique </w:t>
      </w:r>
      <w:r w:rsidR="008B7B43">
        <w:rPr>
          <w:sz w:val="20"/>
        </w:rPr>
        <w:t>with the</w:t>
      </w:r>
      <w:r w:rsidR="00EF6DDD" w:rsidRPr="00EF6DDD">
        <w:rPr>
          <w:sz w:val="20"/>
        </w:rPr>
        <w:t xml:space="preserve"> secondary crater fields of Tooting Crater, Mars (TC; [3]). </w:t>
      </w:r>
      <w:r w:rsidR="00EA3D98">
        <w:rPr>
          <w:sz w:val="20"/>
        </w:rPr>
        <w:t xml:space="preserve">TC is a young complex crater that is situated in the </w:t>
      </w:r>
      <w:proofErr w:type="spellStart"/>
      <w:r w:rsidR="00EA3D98">
        <w:rPr>
          <w:sz w:val="20"/>
        </w:rPr>
        <w:t>Amazonis</w:t>
      </w:r>
      <w:proofErr w:type="spellEnd"/>
      <w:r w:rsidR="00EA3D98">
        <w:rPr>
          <w:sz w:val="20"/>
        </w:rPr>
        <w:t xml:space="preserve"> </w:t>
      </w:r>
      <w:proofErr w:type="spellStart"/>
      <w:r w:rsidR="00EA3D98">
        <w:rPr>
          <w:sz w:val="20"/>
        </w:rPr>
        <w:t>Planitia</w:t>
      </w:r>
      <w:proofErr w:type="spellEnd"/>
      <w:r w:rsidR="00EA3D98">
        <w:rPr>
          <w:sz w:val="20"/>
        </w:rPr>
        <w:t xml:space="preserve"> (AP) region</w:t>
      </w:r>
      <w:r w:rsidR="0022407E">
        <w:rPr>
          <w:sz w:val="20"/>
        </w:rPr>
        <w:t xml:space="preserve"> and the surrounding area can be observed in Fig. 1</w:t>
      </w:r>
      <w:r w:rsidR="00DD20FC">
        <w:rPr>
          <w:sz w:val="20"/>
        </w:rPr>
        <w:t>A</w:t>
      </w:r>
      <w:r w:rsidR="00EA3D98">
        <w:rPr>
          <w:sz w:val="20"/>
        </w:rPr>
        <w:t xml:space="preserve">. </w:t>
      </w:r>
      <w:r w:rsidR="0022407E">
        <w:rPr>
          <w:sz w:val="20"/>
        </w:rPr>
        <w:t>TC</w:t>
      </w:r>
      <w:r w:rsidR="00EA3D98">
        <w:rPr>
          <w:sz w:val="20"/>
        </w:rPr>
        <w:t xml:space="preserve"> has </w:t>
      </w:r>
      <w:r w:rsidR="0022407E">
        <w:rPr>
          <w:sz w:val="20"/>
        </w:rPr>
        <w:t>many</w:t>
      </w:r>
      <w:r w:rsidR="00EA3D98">
        <w:rPr>
          <w:sz w:val="20"/>
        </w:rPr>
        <w:t xml:space="preserve"> fresh secondary craters</w:t>
      </w:r>
      <w:r w:rsidR="0022407E">
        <w:rPr>
          <w:sz w:val="20"/>
        </w:rPr>
        <w:t xml:space="preserve"> that are relatively easy to count. </w:t>
      </w:r>
      <w:r w:rsidR="00EF6DDD" w:rsidRPr="00EF6DDD">
        <w:rPr>
          <w:sz w:val="20"/>
        </w:rPr>
        <w:t xml:space="preserve">In the northeast section of TC’s secondary field (found at -150.35˚ </w:t>
      </w:r>
      <w:proofErr w:type="spellStart"/>
      <w:r w:rsidR="00EF6DDD" w:rsidRPr="00EF6DDD">
        <w:rPr>
          <w:sz w:val="20"/>
        </w:rPr>
        <w:t>lon</w:t>
      </w:r>
      <w:proofErr w:type="spellEnd"/>
      <w:r w:rsidR="00EF6DDD" w:rsidRPr="00EF6DDD">
        <w:rPr>
          <w:sz w:val="20"/>
        </w:rPr>
        <w:t xml:space="preserve">, 25.25˚ </w:t>
      </w:r>
      <w:proofErr w:type="spellStart"/>
      <w:r w:rsidR="00EF6DDD" w:rsidRPr="00EF6DDD">
        <w:rPr>
          <w:sz w:val="20"/>
        </w:rPr>
        <w:t>lat</w:t>
      </w:r>
      <w:proofErr w:type="spellEnd"/>
      <w:r w:rsidR="00EF6DDD" w:rsidRPr="00EF6DDD">
        <w:rPr>
          <w:sz w:val="20"/>
        </w:rPr>
        <w:t xml:space="preserve">), </w:t>
      </w:r>
      <w:r w:rsidR="001C3AF8">
        <w:rPr>
          <w:sz w:val="20"/>
        </w:rPr>
        <w:t>there is a</w:t>
      </w:r>
      <w:r w:rsidR="00EF6DDD" w:rsidRPr="00EF6DDD">
        <w:rPr>
          <w:sz w:val="20"/>
        </w:rPr>
        <w:t xml:space="preserve"> geologic unit </w:t>
      </w:r>
      <w:r w:rsidR="008B7B43">
        <w:rPr>
          <w:sz w:val="20"/>
        </w:rPr>
        <w:t>boundary</w:t>
      </w:r>
      <w:r w:rsidR="00EF6DDD" w:rsidRPr="00EF6DDD">
        <w:rPr>
          <w:sz w:val="20"/>
        </w:rPr>
        <w:t xml:space="preserve"> betwee</w:t>
      </w:r>
      <w:r w:rsidR="00EA3D98">
        <w:rPr>
          <w:sz w:val="20"/>
        </w:rPr>
        <w:t xml:space="preserve">n </w:t>
      </w:r>
      <w:r w:rsidR="00EF6DDD" w:rsidRPr="00EF6DDD">
        <w:rPr>
          <w:sz w:val="20"/>
        </w:rPr>
        <w:t>AP and the Olympus Mons Aureole (OM)</w:t>
      </w:r>
      <w:r w:rsidR="00CE25EA">
        <w:rPr>
          <w:sz w:val="20"/>
        </w:rPr>
        <w:t xml:space="preserve"> that contains a large number of secondaries from the same cluster across the boundary.</w:t>
      </w:r>
    </w:p>
    <w:p w14:paraId="3F35BFE8" w14:textId="76934163" w:rsidR="008B7B43" w:rsidRDefault="00A50A57" w:rsidP="00A50A57">
      <w:pPr>
        <w:spacing w:line="240" w:lineRule="atLeast"/>
        <w:ind w:firstLine="288"/>
        <w:jc w:val="both"/>
        <w:rPr>
          <w:sz w:val="20"/>
        </w:rPr>
      </w:pPr>
      <w:r>
        <w:rPr>
          <w:sz w:val="20"/>
        </w:rPr>
        <w:t xml:space="preserve">AP is </w:t>
      </w:r>
      <w:r w:rsidR="00064DA1">
        <w:rPr>
          <w:sz w:val="20"/>
        </w:rPr>
        <w:t>a volcanic plain,</w:t>
      </w:r>
      <w:r w:rsidR="009C119D">
        <w:rPr>
          <w:sz w:val="20"/>
        </w:rPr>
        <w:t xml:space="preserve"> </w:t>
      </w:r>
      <w:r w:rsidR="00064DA1">
        <w:rPr>
          <w:sz w:val="20"/>
        </w:rPr>
        <w:t>like</w:t>
      </w:r>
      <w:r w:rsidR="009C119D">
        <w:rPr>
          <w:sz w:val="20"/>
        </w:rPr>
        <w:t xml:space="preserve"> </w:t>
      </w:r>
      <w:r w:rsidR="0086271F">
        <w:rPr>
          <w:sz w:val="20"/>
        </w:rPr>
        <w:t xml:space="preserve">Elysium </w:t>
      </w:r>
      <w:proofErr w:type="spellStart"/>
      <w:r w:rsidR="0086271F">
        <w:rPr>
          <w:sz w:val="20"/>
        </w:rPr>
        <w:t>Planitia</w:t>
      </w:r>
      <w:proofErr w:type="spellEnd"/>
      <w:r w:rsidR="00064DA1">
        <w:rPr>
          <w:sz w:val="20"/>
        </w:rPr>
        <w:t xml:space="preserve">, </w:t>
      </w:r>
      <w:r w:rsidR="0086271F">
        <w:rPr>
          <w:sz w:val="20"/>
        </w:rPr>
        <w:t xml:space="preserve">that lies in the border regions of the northern lowlands. OM, however, is a unit made </w:t>
      </w:r>
      <w:r w:rsidR="00064DA1">
        <w:rPr>
          <w:sz w:val="20"/>
        </w:rPr>
        <w:t>from</w:t>
      </w:r>
      <w:r w:rsidR="0086271F">
        <w:rPr>
          <w:sz w:val="20"/>
        </w:rPr>
        <w:t xml:space="preserve"> successive landslide</w:t>
      </w:r>
      <w:r w:rsidR="007E7950">
        <w:rPr>
          <w:sz w:val="20"/>
        </w:rPr>
        <w:t>s</w:t>
      </w:r>
      <w:r w:rsidR="00125A31">
        <w:rPr>
          <w:sz w:val="20"/>
        </w:rPr>
        <w:t xml:space="preserve"> off Olympus Mons</w:t>
      </w:r>
      <w:r w:rsidR="002E5AA3">
        <w:rPr>
          <w:sz w:val="20"/>
        </w:rPr>
        <w:t xml:space="preserve"> </w:t>
      </w:r>
      <w:r w:rsidR="007E7950">
        <w:rPr>
          <w:sz w:val="20"/>
        </w:rPr>
        <w:t xml:space="preserve">that </w:t>
      </w:r>
      <w:r w:rsidR="00A4497A">
        <w:rPr>
          <w:sz w:val="20"/>
        </w:rPr>
        <w:t xml:space="preserve">might </w:t>
      </w:r>
      <w:r w:rsidR="002E5AA3">
        <w:rPr>
          <w:sz w:val="20"/>
        </w:rPr>
        <w:t xml:space="preserve">be </w:t>
      </w:r>
      <w:r w:rsidR="00A4497A">
        <w:rPr>
          <w:sz w:val="20"/>
        </w:rPr>
        <w:t xml:space="preserve">expected to be </w:t>
      </w:r>
      <w:r w:rsidR="002E5AA3">
        <w:rPr>
          <w:sz w:val="20"/>
        </w:rPr>
        <w:t xml:space="preserve">relatively </w:t>
      </w:r>
      <w:r w:rsidR="00C042D2">
        <w:rPr>
          <w:sz w:val="20"/>
        </w:rPr>
        <w:t xml:space="preserve">weak and/or more porous compared to </w:t>
      </w:r>
      <w:r w:rsidR="00A4497A">
        <w:rPr>
          <w:sz w:val="20"/>
        </w:rPr>
        <w:t>the AP volcanic plains</w:t>
      </w:r>
      <w:r w:rsidR="00C042D2">
        <w:rPr>
          <w:sz w:val="20"/>
        </w:rPr>
        <w:t>.</w:t>
      </w:r>
      <w:r w:rsidR="00125A31">
        <w:rPr>
          <w:sz w:val="20"/>
        </w:rPr>
        <w:t xml:space="preserve"> </w:t>
      </w:r>
      <w:r w:rsidR="00C042D2">
        <w:rPr>
          <w:sz w:val="20"/>
        </w:rPr>
        <w:t>In addition, a</w:t>
      </w:r>
      <w:r w:rsidR="00125A31">
        <w:rPr>
          <w:sz w:val="20"/>
        </w:rPr>
        <w:t xml:space="preserve"> recent observation of increased </w:t>
      </w:r>
      <w:r w:rsidR="00C042D2">
        <w:rPr>
          <w:sz w:val="20"/>
        </w:rPr>
        <w:t>buried water ice in the unit [</w:t>
      </w:r>
      <w:r w:rsidR="004A5DBF">
        <w:rPr>
          <w:sz w:val="20"/>
        </w:rPr>
        <w:t>4</w:t>
      </w:r>
      <w:r w:rsidR="00C042D2">
        <w:rPr>
          <w:sz w:val="20"/>
        </w:rPr>
        <w:t xml:space="preserve">], especially compared to AP, might </w:t>
      </w:r>
      <w:r w:rsidR="00C13C3E">
        <w:rPr>
          <w:sz w:val="20"/>
        </w:rPr>
        <w:t>drive</w:t>
      </w:r>
      <w:r w:rsidR="00512283">
        <w:rPr>
          <w:sz w:val="20"/>
        </w:rPr>
        <w:t xml:space="preserve"> the </w:t>
      </w:r>
      <w:proofErr w:type="spellStart"/>
      <w:r w:rsidR="00512283">
        <w:rPr>
          <w:i/>
          <w:iCs/>
          <w:sz w:val="20"/>
        </w:rPr>
        <w:t>Y</w:t>
      </w:r>
      <w:r w:rsidR="00512283">
        <w:rPr>
          <w:i/>
          <w:iCs/>
          <w:sz w:val="20"/>
          <w:vertAlign w:val="subscript"/>
        </w:rPr>
        <w:t>eff</w:t>
      </w:r>
      <w:proofErr w:type="spellEnd"/>
      <w:r w:rsidR="00512283">
        <w:rPr>
          <w:sz w:val="20"/>
        </w:rPr>
        <w:t xml:space="preserve"> value</w:t>
      </w:r>
      <w:r w:rsidR="00C13C3E">
        <w:rPr>
          <w:sz w:val="20"/>
        </w:rPr>
        <w:t xml:space="preserve"> lower</w:t>
      </w:r>
      <w:r w:rsidR="00512283">
        <w:rPr>
          <w:sz w:val="20"/>
        </w:rPr>
        <w:t xml:space="preserve"> </w:t>
      </w:r>
      <w:r w:rsidR="00C13C3E">
        <w:rPr>
          <w:sz w:val="20"/>
        </w:rPr>
        <w:t>and</w:t>
      </w:r>
      <w:r w:rsidR="00512283">
        <w:rPr>
          <w:sz w:val="20"/>
        </w:rPr>
        <w:t xml:space="preserve"> the secondary sizes further from each other.</w:t>
      </w:r>
    </w:p>
    <w:p w14:paraId="48810839" w14:textId="62132412" w:rsidR="00970E1A" w:rsidRDefault="00970E1A" w:rsidP="00970E1A">
      <w:pPr>
        <w:spacing w:line="240" w:lineRule="atLeast"/>
        <w:ind w:firstLine="288"/>
        <w:jc w:val="both"/>
        <w:rPr>
          <w:sz w:val="20"/>
        </w:rPr>
      </w:pPr>
      <w:r>
        <w:rPr>
          <w:sz w:val="20"/>
        </w:rPr>
        <w:t xml:space="preserve">What we find when we count the secondaries in that cluster (Fig. 1), however, is that the median diameter of secondaries in AP is larger than those is OM (Fig. 2). This implies that either </w:t>
      </w:r>
      <w:proofErr w:type="spellStart"/>
      <w:r>
        <w:rPr>
          <w:i/>
          <w:iCs/>
          <w:sz w:val="20"/>
        </w:rPr>
        <w:t>Y</w:t>
      </w:r>
      <w:r>
        <w:rPr>
          <w:i/>
          <w:iCs/>
          <w:sz w:val="20"/>
          <w:vertAlign w:val="subscript"/>
        </w:rPr>
        <w:t>eff</w:t>
      </w:r>
      <w:proofErr w:type="spellEnd"/>
      <w:r>
        <w:rPr>
          <w:sz w:val="20"/>
        </w:rPr>
        <w:t xml:space="preserve"> is lower or the porosity is higher in AP.</w:t>
      </w:r>
    </w:p>
    <w:p w14:paraId="7C7C5E97" w14:textId="77777777" w:rsidR="00F84D6E" w:rsidRDefault="00F84D6E" w:rsidP="00A50A57">
      <w:pPr>
        <w:spacing w:line="240" w:lineRule="atLeast"/>
        <w:ind w:firstLine="288"/>
        <w:jc w:val="both"/>
        <w:rPr>
          <w:sz w:val="20"/>
        </w:rPr>
      </w:pPr>
    </w:p>
    <w:p w14:paraId="664B3312" w14:textId="7FE788F7" w:rsidR="00F84D6E" w:rsidRDefault="00F84D6E" w:rsidP="00F84D6E">
      <w:pPr>
        <w:spacing w:line="240" w:lineRule="atLeast"/>
        <w:jc w:val="both"/>
        <w:rPr>
          <w:sz w:val="20"/>
        </w:rPr>
      </w:pPr>
      <w:r>
        <w:rPr>
          <w:noProof/>
        </w:rPr>
        <w:drawing>
          <wp:inline distT="0" distB="0" distL="0" distR="0" wp14:anchorId="0C949D4F" wp14:editId="54112711">
            <wp:extent cx="2820670" cy="23507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20670" cy="2350770"/>
                    </a:xfrm>
                    <a:prstGeom prst="rect">
                      <a:avLst/>
                    </a:prstGeom>
                    <a:noFill/>
                    <a:ln>
                      <a:noFill/>
                    </a:ln>
                  </pic:spPr>
                </pic:pic>
              </a:graphicData>
            </a:graphic>
          </wp:inline>
        </w:drawing>
      </w:r>
    </w:p>
    <w:p w14:paraId="3F46A257" w14:textId="3235D4B8" w:rsidR="00970E1A" w:rsidRDefault="00F84D6E" w:rsidP="00970E1A">
      <w:pPr>
        <w:spacing w:line="240" w:lineRule="atLeast"/>
        <w:jc w:val="both"/>
        <w:rPr>
          <w:sz w:val="20"/>
        </w:rPr>
      </w:pPr>
      <w:r w:rsidRPr="00970E1A">
        <w:rPr>
          <w:b/>
          <w:bCs/>
          <w:sz w:val="20"/>
        </w:rPr>
        <w:t>Figure 2:</w:t>
      </w:r>
      <w:r>
        <w:rPr>
          <w:sz w:val="20"/>
        </w:rPr>
        <w:t xml:space="preserve"> Median crater count diameter in each unit. A</w:t>
      </w:r>
      <w:r w:rsidR="00970E1A">
        <w:rPr>
          <w:sz w:val="20"/>
        </w:rPr>
        <w:t>P</w:t>
      </w:r>
      <w:r>
        <w:rPr>
          <w:sz w:val="20"/>
        </w:rPr>
        <w:t xml:space="preserve"> (blue) shows a consistently higher </w:t>
      </w:r>
      <w:r w:rsidR="00970E1A">
        <w:rPr>
          <w:sz w:val="20"/>
        </w:rPr>
        <w:t>median diameter compared to OM (orange) over the whole range. No clear range effects were observed, likely due to the relatively short distribution (12 km).</w:t>
      </w:r>
    </w:p>
    <w:p w14:paraId="562E5FD3" w14:textId="4C1EF858" w:rsidR="00970E1A" w:rsidRDefault="00970E1A" w:rsidP="00970E1A">
      <w:pPr>
        <w:spacing w:line="240" w:lineRule="atLeast"/>
        <w:jc w:val="both"/>
        <w:rPr>
          <w:sz w:val="20"/>
        </w:rPr>
      </w:pPr>
    </w:p>
    <w:p w14:paraId="06B24503" w14:textId="49DE9A92" w:rsidR="00970E1A" w:rsidRPr="005F7FD4" w:rsidRDefault="00970E1A" w:rsidP="00970E1A">
      <w:pPr>
        <w:spacing w:line="240" w:lineRule="atLeast"/>
        <w:ind w:firstLine="288"/>
        <w:jc w:val="both"/>
      </w:pPr>
      <w:r w:rsidRPr="00970E1A">
        <w:rPr>
          <w:sz w:val="20"/>
        </w:rPr>
        <w:t xml:space="preserve">We can use [1] to </w:t>
      </w:r>
      <w:r>
        <w:rPr>
          <w:sz w:val="20"/>
        </w:rPr>
        <w:t>translate from these median diameters to</w:t>
      </w:r>
      <w:r w:rsidR="00466004">
        <w:rPr>
          <w:sz w:val="20"/>
        </w:rPr>
        <w:t xml:space="preserve"> a</w:t>
      </w:r>
      <w:r>
        <w:rPr>
          <w:sz w:val="20"/>
        </w:rPr>
        <w:t xml:space="preserve"> </w:t>
      </w:r>
      <w:proofErr w:type="spellStart"/>
      <w:r w:rsidR="00466004">
        <w:rPr>
          <w:i/>
          <w:iCs/>
          <w:sz w:val="20"/>
        </w:rPr>
        <w:t>Y</w:t>
      </w:r>
      <w:r w:rsidR="00466004">
        <w:rPr>
          <w:i/>
          <w:iCs/>
          <w:sz w:val="20"/>
          <w:vertAlign w:val="subscript"/>
        </w:rPr>
        <w:t>eff</w:t>
      </w:r>
      <w:proofErr w:type="spellEnd"/>
      <w:r w:rsidR="00466004">
        <w:rPr>
          <w:sz w:val="20"/>
        </w:rPr>
        <w:t xml:space="preserve"> ratio </w:t>
      </w:r>
      <w:r w:rsidR="002F17DB">
        <w:rPr>
          <w:sz w:val="20"/>
        </w:rPr>
        <w:t>of OM to AP</w:t>
      </w:r>
      <w:r w:rsidR="00466004">
        <w:rPr>
          <w:sz w:val="20"/>
        </w:rPr>
        <w:t xml:space="preserve"> (Fig. 3)</w:t>
      </w:r>
      <w:r w:rsidR="002F17DB">
        <w:rPr>
          <w:sz w:val="20"/>
        </w:rPr>
        <w:t xml:space="preserve"> if we assume that the porosity </w:t>
      </w:r>
      <w:r w:rsidR="00DF3458">
        <w:rPr>
          <w:sz w:val="20"/>
        </w:rPr>
        <w:t>is constant between the two units</w:t>
      </w:r>
      <w:r w:rsidR="00466004">
        <w:rPr>
          <w:sz w:val="20"/>
        </w:rPr>
        <w:t>. This ratio that we calculate varies over the range, because of</w:t>
      </w:r>
      <w:r w:rsidR="00596866">
        <w:rPr>
          <w:sz w:val="20"/>
        </w:rPr>
        <w:t xml:space="preserve"> the</w:t>
      </w:r>
      <w:r w:rsidR="00466004">
        <w:rPr>
          <w:sz w:val="20"/>
        </w:rPr>
        <w:t xml:space="preserve"> inconsistent</w:t>
      </w:r>
      <w:r w:rsidR="00596866">
        <w:rPr>
          <w:sz w:val="20"/>
        </w:rPr>
        <w:t xml:space="preserve"> increase in</w:t>
      </w:r>
      <w:r w:rsidR="00466004">
        <w:rPr>
          <w:sz w:val="20"/>
        </w:rPr>
        <w:t xml:space="preserve"> AP secondaries </w:t>
      </w:r>
      <w:r w:rsidR="00596866">
        <w:rPr>
          <w:sz w:val="20"/>
        </w:rPr>
        <w:t>compared to</w:t>
      </w:r>
      <w:r w:rsidR="00466004">
        <w:rPr>
          <w:sz w:val="20"/>
        </w:rPr>
        <w:t xml:space="preserve"> OM ones over the range (perhaps due to secondary clustering effects). We find that </w:t>
      </w:r>
      <w:r w:rsidR="00216CA8">
        <w:rPr>
          <w:sz w:val="20"/>
        </w:rPr>
        <w:t>over our counting range</w:t>
      </w:r>
      <w:r w:rsidR="007C202B">
        <w:rPr>
          <w:sz w:val="20"/>
        </w:rPr>
        <w:t xml:space="preserve"> the </w:t>
      </w:r>
      <w:proofErr w:type="spellStart"/>
      <w:r w:rsidR="007C202B">
        <w:rPr>
          <w:i/>
          <w:iCs/>
          <w:sz w:val="20"/>
        </w:rPr>
        <w:t>Y</w:t>
      </w:r>
      <w:r w:rsidR="007C202B">
        <w:rPr>
          <w:i/>
          <w:iCs/>
          <w:sz w:val="20"/>
          <w:vertAlign w:val="subscript"/>
        </w:rPr>
        <w:t>eff</w:t>
      </w:r>
      <w:proofErr w:type="spellEnd"/>
      <w:r w:rsidR="007C202B">
        <w:rPr>
          <w:sz w:val="20"/>
        </w:rPr>
        <w:t xml:space="preserve"> ratio </w:t>
      </w:r>
      <w:r w:rsidR="002F17DB">
        <w:rPr>
          <w:sz w:val="20"/>
        </w:rPr>
        <w:t xml:space="preserve">of OM:AP </w:t>
      </w:r>
      <w:r w:rsidR="005F7FD4">
        <w:rPr>
          <w:sz w:val="20"/>
        </w:rPr>
        <w:t xml:space="preserve">varies from 2 to 14, and if we take the median of the whole </w:t>
      </w:r>
      <w:r w:rsidR="00DF3458">
        <w:rPr>
          <w:sz w:val="20"/>
        </w:rPr>
        <w:t xml:space="preserve">count in each unit, </w:t>
      </w:r>
      <w:r w:rsidR="005F7FD4">
        <w:rPr>
          <w:sz w:val="20"/>
        </w:rPr>
        <w:t xml:space="preserve">we obtain </w:t>
      </w:r>
      <w:proofErr w:type="spellStart"/>
      <w:r w:rsidR="005F7FD4">
        <w:rPr>
          <w:i/>
          <w:iCs/>
          <w:sz w:val="20"/>
        </w:rPr>
        <w:t>Y</w:t>
      </w:r>
      <w:r w:rsidR="005F7FD4">
        <w:rPr>
          <w:i/>
          <w:iCs/>
          <w:sz w:val="20"/>
          <w:vertAlign w:val="subscript"/>
        </w:rPr>
        <w:t>eff</w:t>
      </w:r>
      <w:proofErr w:type="spellEnd"/>
      <w:r w:rsidR="005F7FD4">
        <w:rPr>
          <w:sz w:val="20"/>
        </w:rPr>
        <w:t xml:space="preserve"> </w:t>
      </w:r>
      <w:r w:rsidR="00137A8B">
        <w:rPr>
          <w:sz w:val="20"/>
        </w:rPr>
        <w:t>r</w:t>
      </w:r>
      <w:r w:rsidR="005F7FD4">
        <w:rPr>
          <w:sz w:val="20"/>
        </w:rPr>
        <w:t>atio</w:t>
      </w:r>
      <w:r w:rsidR="002F17DB">
        <w:rPr>
          <w:sz w:val="20"/>
        </w:rPr>
        <w:t xml:space="preserve"> ~ 5. </w:t>
      </w:r>
      <w:r w:rsidR="00A4497A">
        <w:rPr>
          <w:sz w:val="20"/>
        </w:rPr>
        <w:t>In other words, t</w:t>
      </w:r>
      <w:r w:rsidR="002F17DB">
        <w:rPr>
          <w:sz w:val="20"/>
        </w:rPr>
        <w:t xml:space="preserve">his implies that the crust of </w:t>
      </w:r>
      <w:r w:rsidR="00DF3458">
        <w:rPr>
          <w:sz w:val="20"/>
        </w:rPr>
        <w:t xml:space="preserve">OM is </w:t>
      </w:r>
      <w:r w:rsidR="00A4497A">
        <w:rPr>
          <w:sz w:val="20"/>
        </w:rPr>
        <w:t xml:space="preserve">five times </w:t>
      </w:r>
      <w:r w:rsidR="00DF3458">
        <w:rPr>
          <w:sz w:val="20"/>
        </w:rPr>
        <w:t>stronger than AP</w:t>
      </w:r>
      <w:r w:rsidR="00A4497A">
        <w:rPr>
          <w:sz w:val="20"/>
        </w:rPr>
        <w:t xml:space="preserve">, or </w:t>
      </w:r>
      <w:r w:rsidR="00DF3458">
        <w:rPr>
          <w:sz w:val="20"/>
        </w:rPr>
        <w:t xml:space="preserve">the opposite of what we </w:t>
      </w:r>
      <w:r w:rsidR="00A4497A">
        <w:rPr>
          <w:sz w:val="20"/>
        </w:rPr>
        <w:t xml:space="preserve">hypothesized </w:t>
      </w:r>
      <w:r w:rsidR="00DF3458">
        <w:rPr>
          <w:sz w:val="20"/>
        </w:rPr>
        <w:t>based on their geology.</w:t>
      </w:r>
    </w:p>
    <w:p w14:paraId="5B2A27E0" w14:textId="77777777" w:rsidR="00970E1A" w:rsidRPr="00512283" w:rsidRDefault="00970E1A" w:rsidP="00970E1A">
      <w:pPr>
        <w:spacing w:line="240" w:lineRule="atLeast"/>
        <w:jc w:val="both"/>
        <w:rPr>
          <w:sz w:val="20"/>
        </w:rPr>
      </w:pPr>
    </w:p>
    <w:p w14:paraId="7E8E07EE" w14:textId="5F5B0617" w:rsidR="00166938" w:rsidRDefault="00F84D6E" w:rsidP="00F84D6E">
      <w:pPr>
        <w:spacing w:line="240" w:lineRule="atLeast"/>
        <w:jc w:val="both"/>
        <w:rPr>
          <w:sz w:val="20"/>
        </w:rPr>
      </w:pPr>
      <w:r>
        <w:rPr>
          <w:noProof/>
        </w:rPr>
        <w:drawing>
          <wp:inline distT="0" distB="0" distL="0" distR="0" wp14:anchorId="591F487D" wp14:editId="66F95483">
            <wp:extent cx="2820670" cy="23507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0670" cy="2350770"/>
                    </a:xfrm>
                    <a:prstGeom prst="rect">
                      <a:avLst/>
                    </a:prstGeom>
                    <a:noFill/>
                    <a:ln>
                      <a:noFill/>
                    </a:ln>
                  </pic:spPr>
                </pic:pic>
              </a:graphicData>
            </a:graphic>
          </wp:inline>
        </w:drawing>
      </w:r>
    </w:p>
    <w:p w14:paraId="42058E47" w14:textId="77503C81" w:rsidR="00466004" w:rsidRDefault="00466004" w:rsidP="00F84D6E">
      <w:pPr>
        <w:spacing w:line="240" w:lineRule="atLeast"/>
        <w:jc w:val="both"/>
        <w:rPr>
          <w:sz w:val="20"/>
        </w:rPr>
      </w:pPr>
      <w:r>
        <w:rPr>
          <w:sz w:val="20"/>
        </w:rPr>
        <w:t xml:space="preserve">Figure 3: </w:t>
      </w:r>
      <w:proofErr w:type="spellStart"/>
      <w:r>
        <w:rPr>
          <w:i/>
          <w:iCs/>
          <w:sz w:val="20"/>
        </w:rPr>
        <w:t>Y</w:t>
      </w:r>
      <w:r>
        <w:rPr>
          <w:i/>
          <w:iCs/>
          <w:sz w:val="20"/>
          <w:vertAlign w:val="subscript"/>
        </w:rPr>
        <w:t>eff</w:t>
      </w:r>
      <w:proofErr w:type="spellEnd"/>
      <w:r>
        <w:rPr>
          <w:sz w:val="20"/>
        </w:rPr>
        <w:t xml:space="preserve"> ratio over the counting area range</w:t>
      </w:r>
      <w:r w:rsidR="00216CA8">
        <w:rPr>
          <w:sz w:val="20"/>
        </w:rPr>
        <w:t xml:space="preserve"> assuming that porosity is the same in AP and OM</w:t>
      </w:r>
      <w:r w:rsidR="00770D9F">
        <w:rPr>
          <w:sz w:val="20"/>
        </w:rPr>
        <w:t>.</w:t>
      </w:r>
    </w:p>
    <w:p w14:paraId="36FE6253" w14:textId="77777777" w:rsidR="00466004" w:rsidRPr="00466004" w:rsidRDefault="00466004" w:rsidP="00F84D6E">
      <w:pPr>
        <w:spacing w:line="240" w:lineRule="atLeast"/>
        <w:jc w:val="both"/>
        <w:rPr>
          <w:sz w:val="20"/>
        </w:rPr>
      </w:pPr>
    </w:p>
    <w:p w14:paraId="2DB4B7D9" w14:textId="1F9D8885" w:rsidR="00C22CA2" w:rsidRPr="00C22CA2" w:rsidRDefault="00166938" w:rsidP="00EF6DDD">
      <w:pPr>
        <w:spacing w:line="240" w:lineRule="atLeast"/>
        <w:ind w:firstLine="288"/>
        <w:jc w:val="both"/>
        <w:rPr>
          <w:sz w:val="20"/>
        </w:rPr>
      </w:pPr>
      <w:bookmarkStart w:id="0" w:name="_Hlk92181850"/>
      <w:r>
        <w:rPr>
          <w:b/>
          <w:bCs/>
          <w:sz w:val="20"/>
        </w:rPr>
        <w:t xml:space="preserve">Conclusion and Future Work:  </w:t>
      </w:r>
      <w:r w:rsidR="00466004">
        <w:rPr>
          <w:sz w:val="20"/>
        </w:rPr>
        <w:t xml:space="preserve">While the method produced </w:t>
      </w:r>
      <w:r w:rsidR="00301B85">
        <w:rPr>
          <w:sz w:val="20"/>
        </w:rPr>
        <w:t>results,</w:t>
      </w:r>
      <w:r w:rsidR="00466004">
        <w:rPr>
          <w:sz w:val="20"/>
        </w:rPr>
        <w:t xml:space="preserve"> which show </w:t>
      </w:r>
      <w:r w:rsidR="00301B85">
        <w:rPr>
          <w:sz w:val="20"/>
        </w:rPr>
        <w:t xml:space="preserve">a minor difference in the </w:t>
      </w:r>
      <w:proofErr w:type="spellStart"/>
      <w:r w:rsidR="00301B85">
        <w:rPr>
          <w:i/>
          <w:iCs/>
          <w:sz w:val="20"/>
        </w:rPr>
        <w:t>Y</w:t>
      </w:r>
      <w:r w:rsidR="00301B85">
        <w:rPr>
          <w:i/>
          <w:iCs/>
          <w:sz w:val="20"/>
          <w:vertAlign w:val="subscript"/>
        </w:rPr>
        <w:t>eff</w:t>
      </w:r>
      <w:proofErr w:type="spellEnd"/>
      <w:r w:rsidR="00301B85">
        <w:rPr>
          <w:sz w:val="20"/>
        </w:rPr>
        <w:t xml:space="preserve"> value between our two study areas, the results run counter to our expectations. The geology of the two units in the study region can be better constrained by our results. </w:t>
      </w:r>
      <w:r w:rsidR="00EF6DDD" w:rsidRPr="00EF6DDD">
        <w:rPr>
          <w:sz w:val="20"/>
        </w:rPr>
        <w:t xml:space="preserve">In the future, we plan on testing differences in porosity </w:t>
      </w:r>
      <w:r w:rsidR="001C3AF8">
        <w:rPr>
          <w:sz w:val="20"/>
        </w:rPr>
        <w:t xml:space="preserve">and how that </w:t>
      </w:r>
      <w:r w:rsidR="00EF6DDD" w:rsidRPr="00EF6DDD">
        <w:rPr>
          <w:sz w:val="20"/>
        </w:rPr>
        <w:t>could explain the signal</w:t>
      </w:r>
      <w:r w:rsidR="001C3AF8">
        <w:rPr>
          <w:sz w:val="20"/>
        </w:rPr>
        <w:t xml:space="preserve"> we observe in</w:t>
      </w:r>
      <w:r w:rsidR="00EF6DDD" w:rsidRPr="00EF6DDD">
        <w:rPr>
          <w:sz w:val="20"/>
        </w:rPr>
        <w:t xml:space="preserve">, creating a network of </w:t>
      </w:r>
      <w:proofErr w:type="spellStart"/>
      <w:r w:rsidR="00EF6DDD" w:rsidRPr="00466004">
        <w:rPr>
          <w:i/>
          <w:iCs/>
          <w:sz w:val="20"/>
        </w:rPr>
        <w:t>Y</w:t>
      </w:r>
      <w:r w:rsidR="00466004" w:rsidRPr="00466004">
        <w:rPr>
          <w:i/>
          <w:iCs/>
          <w:sz w:val="20"/>
          <w:vertAlign w:val="subscript"/>
        </w:rPr>
        <w:t>eff</w:t>
      </w:r>
      <w:proofErr w:type="spellEnd"/>
      <w:r w:rsidR="00EF6DDD" w:rsidRPr="00EF6DDD">
        <w:rPr>
          <w:sz w:val="20"/>
        </w:rPr>
        <w:t xml:space="preserve"> ratios for Mars’ crust with more comparison sites, and expanding to the Moon and Mercury.</w:t>
      </w:r>
    </w:p>
    <w:bookmarkEnd w:id="0"/>
    <w:p w14:paraId="69C3060F" w14:textId="7DF16060" w:rsidR="00C22CA2" w:rsidRPr="00C22CA2" w:rsidRDefault="00C22CA2" w:rsidP="00B47496">
      <w:pPr>
        <w:pStyle w:val="NormalWeb"/>
        <w:shd w:val="clear" w:color="auto" w:fill="FFFFFF"/>
        <w:spacing w:before="0" w:beforeAutospacing="0" w:after="0" w:afterAutospacing="0" w:line="240" w:lineRule="atLeast"/>
        <w:ind w:firstLine="288"/>
        <w:jc w:val="both"/>
        <w:rPr>
          <w:rFonts w:ascii="Times New Roman" w:hAnsi="Times New Roman" w:cs="Times New Roman"/>
          <w:sz w:val="20"/>
          <w:szCs w:val="20"/>
        </w:rPr>
      </w:pPr>
      <w:r w:rsidRPr="00C22CA2">
        <w:rPr>
          <w:rFonts w:ascii="Times New Roman" w:hAnsi="Times New Roman" w:cs="Times New Roman"/>
          <w:b/>
          <w:sz w:val="20"/>
          <w:szCs w:val="20"/>
        </w:rPr>
        <w:t>Acknowledgments:</w:t>
      </w:r>
      <w:r w:rsidRPr="00C22CA2">
        <w:rPr>
          <w:rFonts w:ascii="Times New Roman" w:hAnsi="Times New Roman" w:cs="Times New Roman"/>
          <w:sz w:val="20"/>
          <w:szCs w:val="20"/>
        </w:rPr>
        <w:t xml:space="preserve"> </w:t>
      </w:r>
      <w:r w:rsidR="00B47496" w:rsidRPr="00B47496">
        <w:rPr>
          <w:rFonts w:ascii="Times New Roman" w:hAnsi="Times New Roman" w:cs="Times New Roman"/>
          <w:sz w:val="20"/>
          <w:szCs w:val="20"/>
        </w:rPr>
        <w:t>J.W.C.  is supported by an appointment to the NASA Postdoctoral Program at the Marshall Space Flight Center.</w:t>
      </w:r>
      <w:r w:rsidR="00B47496">
        <w:rPr>
          <w:rFonts w:ascii="Times New Roman" w:hAnsi="Times New Roman" w:cs="Times New Roman"/>
          <w:sz w:val="20"/>
          <w:szCs w:val="20"/>
        </w:rPr>
        <w:t xml:space="preserve"> </w:t>
      </w:r>
      <w:r w:rsidR="00F35D3B">
        <w:rPr>
          <w:rFonts w:ascii="Times New Roman" w:hAnsi="Times New Roman" w:cs="Times New Roman"/>
          <w:sz w:val="20"/>
          <w:szCs w:val="20"/>
        </w:rPr>
        <w:t xml:space="preserve">This work was </w:t>
      </w:r>
      <w:r w:rsidR="009127C9">
        <w:rPr>
          <w:rFonts w:ascii="Times New Roman" w:hAnsi="Times New Roman" w:cs="Times New Roman"/>
          <w:sz w:val="20"/>
          <w:szCs w:val="20"/>
        </w:rPr>
        <w:t xml:space="preserve">also </w:t>
      </w:r>
      <w:r w:rsidR="00F35D3B">
        <w:rPr>
          <w:rFonts w:ascii="Times New Roman" w:hAnsi="Times New Roman" w:cs="Times New Roman"/>
          <w:sz w:val="20"/>
          <w:szCs w:val="20"/>
        </w:rPr>
        <w:t>done with support</w:t>
      </w:r>
      <w:r w:rsidR="009127C9">
        <w:rPr>
          <w:rFonts w:ascii="Times New Roman" w:hAnsi="Times New Roman" w:cs="Times New Roman"/>
          <w:sz w:val="20"/>
          <w:szCs w:val="20"/>
        </w:rPr>
        <w:t xml:space="preserve"> from </w:t>
      </w:r>
      <w:r w:rsidR="007E7950">
        <w:rPr>
          <w:rFonts w:ascii="Times New Roman" w:hAnsi="Times New Roman" w:cs="Times New Roman"/>
          <w:sz w:val="20"/>
          <w:szCs w:val="20"/>
        </w:rPr>
        <w:t>the Solar System Workings program</w:t>
      </w:r>
      <w:r w:rsidR="00EF6DDD">
        <w:rPr>
          <w:rFonts w:ascii="Times New Roman" w:hAnsi="Times New Roman" w:cs="Times New Roman"/>
          <w:sz w:val="20"/>
          <w:szCs w:val="20"/>
        </w:rPr>
        <w:t>.</w:t>
      </w:r>
    </w:p>
    <w:p w14:paraId="2457E890" w14:textId="07543371" w:rsidR="006824D5" w:rsidRPr="00BD13EA" w:rsidRDefault="00C22CA2" w:rsidP="00EF6DDD">
      <w:pPr>
        <w:spacing w:line="240" w:lineRule="atLeast"/>
        <w:ind w:firstLine="288"/>
        <w:jc w:val="both"/>
        <w:rPr>
          <w:sz w:val="20"/>
        </w:rPr>
      </w:pPr>
      <w:r w:rsidRPr="00C22CA2">
        <w:rPr>
          <w:b/>
          <w:sz w:val="20"/>
        </w:rPr>
        <w:t>References:</w:t>
      </w:r>
      <w:r w:rsidRPr="00C22CA2">
        <w:rPr>
          <w:sz w:val="20"/>
        </w:rPr>
        <w:t xml:space="preserve"> </w:t>
      </w:r>
      <w:r w:rsidR="00EF6DDD" w:rsidRPr="00EF6DDD">
        <w:rPr>
          <w:sz w:val="20"/>
        </w:rPr>
        <w:t xml:space="preserve">[1] </w:t>
      </w:r>
      <w:proofErr w:type="spellStart"/>
      <w:r w:rsidR="00EF6DDD" w:rsidRPr="00EF6DDD">
        <w:rPr>
          <w:sz w:val="20"/>
        </w:rPr>
        <w:t>Holsapple</w:t>
      </w:r>
      <w:proofErr w:type="spellEnd"/>
      <w:r w:rsidR="00BD13EA">
        <w:rPr>
          <w:sz w:val="20"/>
        </w:rPr>
        <w:t>, K.A.</w:t>
      </w:r>
      <w:r w:rsidR="00EF6DDD" w:rsidRPr="00EF6DDD">
        <w:rPr>
          <w:sz w:val="20"/>
        </w:rPr>
        <w:t xml:space="preserve"> and Schmidt</w:t>
      </w:r>
      <w:r w:rsidR="00BD13EA">
        <w:rPr>
          <w:sz w:val="20"/>
        </w:rPr>
        <w:t>, R.M.</w:t>
      </w:r>
      <w:r w:rsidR="00EF6DDD" w:rsidRPr="00EF6DDD">
        <w:rPr>
          <w:sz w:val="20"/>
        </w:rPr>
        <w:t xml:space="preserve"> (1987) </w:t>
      </w:r>
      <w:r w:rsidR="00EF6DDD" w:rsidRPr="00EF6DDD">
        <w:rPr>
          <w:i/>
          <w:iCs/>
          <w:sz w:val="20"/>
        </w:rPr>
        <w:t>JGR: Solid Earth, 92(B7),</w:t>
      </w:r>
      <w:r w:rsidR="00EF6DDD" w:rsidRPr="00EF6DDD">
        <w:rPr>
          <w:sz w:val="20"/>
        </w:rPr>
        <w:t xml:space="preserve"> 6350–6376. [2] McEwen</w:t>
      </w:r>
      <w:r w:rsidR="00BD13EA">
        <w:rPr>
          <w:sz w:val="20"/>
        </w:rPr>
        <w:t>,</w:t>
      </w:r>
      <w:r w:rsidR="00EF6DDD" w:rsidRPr="00EF6DDD">
        <w:rPr>
          <w:sz w:val="20"/>
        </w:rPr>
        <w:t xml:space="preserve"> </w:t>
      </w:r>
      <w:r w:rsidR="00BD13EA">
        <w:rPr>
          <w:sz w:val="20"/>
        </w:rPr>
        <w:t xml:space="preserve">A.S. </w:t>
      </w:r>
      <w:r w:rsidR="00EF6DDD" w:rsidRPr="00EF6DDD">
        <w:rPr>
          <w:sz w:val="20"/>
        </w:rPr>
        <w:t xml:space="preserve">and </w:t>
      </w:r>
      <w:proofErr w:type="spellStart"/>
      <w:r w:rsidR="00EF6DDD" w:rsidRPr="00EF6DDD">
        <w:rPr>
          <w:sz w:val="20"/>
        </w:rPr>
        <w:t>Bierhaus</w:t>
      </w:r>
      <w:proofErr w:type="spellEnd"/>
      <w:r w:rsidR="00BD13EA">
        <w:rPr>
          <w:sz w:val="20"/>
        </w:rPr>
        <w:t>, E.B.</w:t>
      </w:r>
      <w:r w:rsidR="00EF6DDD" w:rsidRPr="00EF6DDD">
        <w:rPr>
          <w:sz w:val="20"/>
        </w:rPr>
        <w:t xml:space="preserve"> (2006) </w:t>
      </w:r>
      <w:proofErr w:type="spellStart"/>
      <w:r w:rsidR="00EF6DDD" w:rsidRPr="00EF6DDD">
        <w:rPr>
          <w:i/>
          <w:iCs/>
          <w:sz w:val="20"/>
        </w:rPr>
        <w:t>Annl</w:t>
      </w:r>
      <w:proofErr w:type="spellEnd"/>
      <w:r w:rsidR="00EF6DDD" w:rsidRPr="00EF6DDD">
        <w:rPr>
          <w:i/>
          <w:iCs/>
          <w:sz w:val="20"/>
        </w:rPr>
        <w:t>. Rev. EPS.</w:t>
      </w:r>
      <w:r w:rsidR="00EF6DDD" w:rsidRPr="00EF6DDD">
        <w:rPr>
          <w:sz w:val="20"/>
        </w:rPr>
        <w:t xml:space="preserve"> 34:535-567. [3] Mouginis-Mark</w:t>
      </w:r>
      <w:r w:rsidR="00BD13EA">
        <w:rPr>
          <w:sz w:val="20"/>
        </w:rPr>
        <w:t>, P.J.</w:t>
      </w:r>
      <w:r w:rsidR="00EF6DDD" w:rsidRPr="00EF6DDD">
        <w:rPr>
          <w:sz w:val="20"/>
        </w:rPr>
        <w:t xml:space="preserve"> and Boyce</w:t>
      </w:r>
      <w:r w:rsidR="00BD13EA">
        <w:rPr>
          <w:sz w:val="20"/>
        </w:rPr>
        <w:t>, J.M.</w:t>
      </w:r>
      <w:r w:rsidR="00EF6DDD" w:rsidRPr="00EF6DDD">
        <w:rPr>
          <w:sz w:val="20"/>
        </w:rPr>
        <w:t xml:space="preserve"> (2012) </w:t>
      </w:r>
      <w:proofErr w:type="spellStart"/>
      <w:r w:rsidR="00EF6DDD" w:rsidRPr="00EF6DDD">
        <w:rPr>
          <w:i/>
          <w:iCs/>
          <w:sz w:val="20"/>
        </w:rPr>
        <w:t>Chemrie</w:t>
      </w:r>
      <w:proofErr w:type="spellEnd"/>
      <w:r w:rsidR="00EF6DDD" w:rsidRPr="00EF6DDD">
        <w:rPr>
          <w:i/>
          <w:iCs/>
          <w:sz w:val="20"/>
        </w:rPr>
        <w:t xml:space="preserve"> der </w:t>
      </w:r>
      <w:proofErr w:type="spellStart"/>
      <w:r w:rsidR="00EF6DDD" w:rsidRPr="00EF6DDD">
        <w:rPr>
          <w:i/>
          <w:iCs/>
          <w:sz w:val="20"/>
        </w:rPr>
        <w:t>Erde</w:t>
      </w:r>
      <w:proofErr w:type="spellEnd"/>
      <w:r w:rsidR="00EF6DDD" w:rsidRPr="00EF6DDD">
        <w:rPr>
          <w:i/>
          <w:iCs/>
          <w:sz w:val="20"/>
        </w:rPr>
        <w:t xml:space="preserve"> 72</w:t>
      </w:r>
      <w:r w:rsidR="00EF6DDD" w:rsidRPr="00EF6DDD">
        <w:rPr>
          <w:sz w:val="20"/>
        </w:rPr>
        <w:t>: 1-23.</w:t>
      </w:r>
      <w:r w:rsidR="00BD13EA">
        <w:rPr>
          <w:sz w:val="20"/>
        </w:rPr>
        <w:t xml:space="preserve"> [4] Wilson, J.T. et al. (2018) </w:t>
      </w:r>
      <w:r w:rsidR="00BD13EA">
        <w:rPr>
          <w:i/>
          <w:iCs/>
          <w:sz w:val="20"/>
        </w:rPr>
        <w:t>Icarus,</w:t>
      </w:r>
      <w:r w:rsidR="00BD13EA" w:rsidRPr="00BD13EA">
        <w:rPr>
          <w:sz w:val="20"/>
        </w:rPr>
        <w:t xml:space="preserve"> 299, pp.148-160</w:t>
      </w:r>
      <w:r w:rsidR="00BD13EA">
        <w:rPr>
          <w:sz w:val="20"/>
        </w:rPr>
        <w:t>.</w:t>
      </w:r>
    </w:p>
    <w:sectPr w:rsidR="006824D5" w:rsidRPr="00BD13EA" w:rsidSect="00C22CA2">
      <w:type w:val="continuous"/>
      <w:pgSz w:w="12240" w:h="15840"/>
      <w:pgMar w:top="1440" w:right="1440" w:bottom="1440" w:left="1440" w:header="720" w:footer="720" w:gutter="0"/>
      <w:cols w:num="2" w:space="47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6613F8" w14:textId="77777777" w:rsidR="00F30D89" w:rsidRDefault="00F30D89">
      <w:r>
        <w:separator/>
      </w:r>
    </w:p>
  </w:endnote>
  <w:endnote w:type="continuationSeparator" w:id="0">
    <w:p w14:paraId="169BCDD4" w14:textId="77777777" w:rsidR="00F30D89" w:rsidRDefault="00F30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9D42F0" w14:textId="77777777" w:rsidR="004F71E7" w:rsidRDefault="004F71E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8B3BC2" w14:textId="77777777" w:rsidR="00F30D89" w:rsidRDefault="00F30D89">
      <w:r>
        <w:separator/>
      </w:r>
    </w:p>
  </w:footnote>
  <w:footnote w:type="continuationSeparator" w:id="0">
    <w:p w14:paraId="528B500E" w14:textId="77777777" w:rsidR="00F30D89" w:rsidRDefault="00F30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E32C79" w14:textId="77777777" w:rsidR="004F71E7" w:rsidRDefault="004F71E7">
    <w:pPr>
      <w:pStyle w:val="Header"/>
      <w:jc w:val="center"/>
    </w:pPr>
    <w:r>
      <w:t>SHORT TITLE HERE:  A. B. Author and C. D. Author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CA2"/>
    <w:rsid w:val="000275A9"/>
    <w:rsid w:val="00064DA1"/>
    <w:rsid w:val="00084D37"/>
    <w:rsid w:val="000A76A6"/>
    <w:rsid w:val="000E10E1"/>
    <w:rsid w:val="00125A31"/>
    <w:rsid w:val="00137A8B"/>
    <w:rsid w:val="001510C6"/>
    <w:rsid w:val="00166938"/>
    <w:rsid w:val="0017550E"/>
    <w:rsid w:val="001A19B9"/>
    <w:rsid w:val="001C3AF8"/>
    <w:rsid w:val="001C6380"/>
    <w:rsid w:val="001C7ABE"/>
    <w:rsid w:val="001D4A9F"/>
    <w:rsid w:val="00206B10"/>
    <w:rsid w:val="00216CA8"/>
    <w:rsid w:val="002203F6"/>
    <w:rsid w:val="0022407E"/>
    <w:rsid w:val="002412FE"/>
    <w:rsid w:val="00266950"/>
    <w:rsid w:val="002E5AA3"/>
    <w:rsid w:val="002F17DB"/>
    <w:rsid w:val="00301B85"/>
    <w:rsid w:val="00341810"/>
    <w:rsid w:val="003601D3"/>
    <w:rsid w:val="00362B2D"/>
    <w:rsid w:val="00393D80"/>
    <w:rsid w:val="003A38F6"/>
    <w:rsid w:val="003A58C1"/>
    <w:rsid w:val="003B07C0"/>
    <w:rsid w:val="003F1596"/>
    <w:rsid w:val="00466004"/>
    <w:rsid w:val="00486DE8"/>
    <w:rsid w:val="004A5DBF"/>
    <w:rsid w:val="004F71E7"/>
    <w:rsid w:val="00512283"/>
    <w:rsid w:val="00537758"/>
    <w:rsid w:val="00596866"/>
    <w:rsid w:val="005E640F"/>
    <w:rsid w:val="005F6198"/>
    <w:rsid w:val="005F7FD4"/>
    <w:rsid w:val="00622526"/>
    <w:rsid w:val="006824D5"/>
    <w:rsid w:val="00697F74"/>
    <w:rsid w:val="006A128D"/>
    <w:rsid w:val="006C06B6"/>
    <w:rsid w:val="006D3657"/>
    <w:rsid w:val="006E745D"/>
    <w:rsid w:val="007666A2"/>
    <w:rsid w:val="00770D9F"/>
    <w:rsid w:val="00792E20"/>
    <w:rsid w:val="007B5FDB"/>
    <w:rsid w:val="007C202B"/>
    <w:rsid w:val="007E7950"/>
    <w:rsid w:val="00844D8F"/>
    <w:rsid w:val="0086271F"/>
    <w:rsid w:val="00880A3E"/>
    <w:rsid w:val="008B7B43"/>
    <w:rsid w:val="008D38F7"/>
    <w:rsid w:val="008F1C81"/>
    <w:rsid w:val="009014D0"/>
    <w:rsid w:val="009059E4"/>
    <w:rsid w:val="009127C9"/>
    <w:rsid w:val="00946992"/>
    <w:rsid w:val="00970E1A"/>
    <w:rsid w:val="009C119D"/>
    <w:rsid w:val="009E3FF8"/>
    <w:rsid w:val="009F5B03"/>
    <w:rsid w:val="00A35664"/>
    <w:rsid w:val="00A365A6"/>
    <w:rsid w:val="00A4497A"/>
    <w:rsid w:val="00A4519B"/>
    <w:rsid w:val="00A50A57"/>
    <w:rsid w:val="00A91763"/>
    <w:rsid w:val="00AB69BF"/>
    <w:rsid w:val="00AC5C33"/>
    <w:rsid w:val="00B26AF6"/>
    <w:rsid w:val="00B47496"/>
    <w:rsid w:val="00B81EE3"/>
    <w:rsid w:val="00B90156"/>
    <w:rsid w:val="00BB11C1"/>
    <w:rsid w:val="00BB1B5F"/>
    <w:rsid w:val="00BD13EA"/>
    <w:rsid w:val="00BD2C3C"/>
    <w:rsid w:val="00C042D2"/>
    <w:rsid w:val="00C13C3E"/>
    <w:rsid w:val="00C22CA2"/>
    <w:rsid w:val="00CC17D5"/>
    <w:rsid w:val="00CE15F3"/>
    <w:rsid w:val="00CE25EA"/>
    <w:rsid w:val="00CF4504"/>
    <w:rsid w:val="00D10E14"/>
    <w:rsid w:val="00D17209"/>
    <w:rsid w:val="00D51F36"/>
    <w:rsid w:val="00DD20FC"/>
    <w:rsid w:val="00DF3458"/>
    <w:rsid w:val="00E000D5"/>
    <w:rsid w:val="00E43065"/>
    <w:rsid w:val="00E774E2"/>
    <w:rsid w:val="00EA3D98"/>
    <w:rsid w:val="00EC3001"/>
    <w:rsid w:val="00ED4062"/>
    <w:rsid w:val="00EE5CAD"/>
    <w:rsid w:val="00EF6DDD"/>
    <w:rsid w:val="00F0047B"/>
    <w:rsid w:val="00F114C9"/>
    <w:rsid w:val="00F238B2"/>
    <w:rsid w:val="00F30D89"/>
    <w:rsid w:val="00F35D3B"/>
    <w:rsid w:val="00F84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0B510B"/>
  <w14:defaultImageDpi w14:val="0"/>
  <w15:docId w15:val="{265F17DB-641F-413D-82F7-EA6C782CD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HAns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0E1A"/>
    <w:rPr>
      <w:rFonts w:ascii="Times New Roman" w:hAnsi="Times New Roman" w:cs="Times New Roman"/>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E43065"/>
    <w:rPr>
      <w:rFonts w:asciiTheme="minorHAnsi" w:hAnsiTheme="minorHAnsi" w:cs="Times New Roman"/>
      <w:color w:val="0000FF"/>
      <w:u w:val="single"/>
    </w:rPr>
  </w:style>
  <w:style w:type="paragraph" w:styleId="NoSpacing">
    <w:name w:val="No Spacing"/>
    <w:uiPriority w:val="1"/>
    <w:qFormat/>
    <w:rsid w:val="003A58C1"/>
    <w:rPr>
      <w:rFonts w:eastAsiaTheme="minorEastAsia" w:cs="Times New Roman"/>
    </w:rPr>
  </w:style>
  <w:style w:type="table" w:customStyle="1" w:styleId="Style1">
    <w:name w:val="Style1"/>
    <w:basedOn w:val="TableNormal"/>
    <w:uiPriority w:val="99"/>
    <w:rsid w:val="002412FE"/>
    <w:rPr>
      <w:rFonts w:eastAsiaTheme="minorEastAsia" w:cs="Times New Roman"/>
      <w:color w:val="000000" w:themeColor="text1"/>
    </w:rPr>
    <w:tblPr>
      <w:tblStyleRow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rPr>
        <w:rFonts w:cs="Times New Roman"/>
        <w:b/>
        <w:color w:val="FFFFFF" w:themeColor="background1"/>
      </w:rPr>
      <w:tblPr/>
      <w:tcPr>
        <w:shd w:val="clear" w:color="auto" w:fill="31849B" w:themeFill="accent5" w:themeFillShade="BF"/>
      </w:tcPr>
    </w:tblStylePr>
    <w:tblStylePr w:type="band1Horz">
      <w:rPr>
        <w:rFonts w:cs="Times New Roman"/>
      </w:rPr>
      <w:tblPr/>
      <w:tcPr>
        <w:shd w:val="clear" w:color="auto" w:fill="DAEEF3" w:themeFill="accent5" w:themeFillTint="33"/>
      </w:tcPr>
    </w:tblStylePr>
  </w:style>
  <w:style w:type="table" w:styleId="GridTable4-Accent6">
    <w:name w:val="Grid Table 4 Accent 6"/>
    <w:basedOn w:val="TableNormal"/>
    <w:uiPriority w:val="49"/>
    <w:rsid w:val="00CE15F3"/>
    <w:rPr>
      <w:rFonts w:eastAsiaTheme="minorEastAsia" w:cs="Times New Roman"/>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rFonts w:cs="Times New Roman"/>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rFonts w:cs="Times New Roman"/>
        <w:b/>
        <w:bCs/>
      </w:rPr>
      <w:tblPr/>
      <w:tcPr>
        <w:tcBorders>
          <w:top w:val="double" w:sz="4" w:space="0" w:color="F79646" w:themeColor="accent6"/>
        </w:tcBorders>
      </w:tcPr>
    </w:tblStylePr>
    <w:tblStylePr w:type="firstCol">
      <w:rPr>
        <w:rFonts w:cs="Times New Roman"/>
        <w:b w:val="0"/>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paragraph" w:styleId="Footer">
    <w:name w:val="footer"/>
    <w:basedOn w:val="Normal"/>
    <w:link w:val="FooterChar"/>
    <w:uiPriority w:val="99"/>
    <w:rsid w:val="00C22CA2"/>
    <w:pPr>
      <w:tabs>
        <w:tab w:val="center" w:pos="4320"/>
        <w:tab w:val="right" w:pos="8640"/>
      </w:tabs>
    </w:pPr>
  </w:style>
  <w:style w:type="character" w:customStyle="1" w:styleId="FooterChar">
    <w:name w:val="Footer Char"/>
    <w:basedOn w:val="DefaultParagraphFont"/>
    <w:link w:val="Footer"/>
    <w:uiPriority w:val="99"/>
    <w:locked/>
    <w:rsid w:val="00C22CA2"/>
    <w:rPr>
      <w:rFonts w:ascii="Times New Roman" w:hAnsi="Times New Roman" w:cs="Times New Roman"/>
      <w:sz w:val="20"/>
      <w:szCs w:val="20"/>
    </w:rPr>
  </w:style>
  <w:style w:type="paragraph" w:styleId="Header">
    <w:name w:val="header"/>
    <w:basedOn w:val="Normal"/>
    <w:link w:val="HeaderChar"/>
    <w:uiPriority w:val="99"/>
    <w:rsid w:val="00C22CA2"/>
    <w:pPr>
      <w:tabs>
        <w:tab w:val="center" w:pos="4320"/>
        <w:tab w:val="right" w:pos="8640"/>
      </w:tabs>
    </w:pPr>
  </w:style>
  <w:style w:type="character" w:customStyle="1" w:styleId="HeaderChar">
    <w:name w:val="Header Char"/>
    <w:basedOn w:val="DefaultParagraphFont"/>
    <w:link w:val="Header"/>
    <w:uiPriority w:val="99"/>
    <w:locked/>
    <w:rsid w:val="00C22CA2"/>
    <w:rPr>
      <w:rFonts w:ascii="Times New Roman" w:hAnsi="Times New Roman" w:cs="Times New Roman"/>
      <w:sz w:val="20"/>
      <w:szCs w:val="20"/>
    </w:rPr>
  </w:style>
  <w:style w:type="paragraph" w:styleId="NormalWeb">
    <w:name w:val="Normal (Web)"/>
    <w:basedOn w:val="Normal"/>
    <w:uiPriority w:val="99"/>
    <w:unhideWhenUsed/>
    <w:rsid w:val="00C22CA2"/>
    <w:pPr>
      <w:spacing w:before="100" w:beforeAutospacing="1" w:after="100" w:afterAutospacing="1"/>
    </w:pPr>
    <w:rPr>
      <w:rFonts w:ascii="Calibri" w:hAnsi="Calibri" w:cs="Calibri"/>
      <w:sz w:val="24"/>
      <w:szCs w:val="24"/>
    </w:rPr>
  </w:style>
  <w:style w:type="character" w:styleId="Strong">
    <w:name w:val="Strong"/>
    <w:basedOn w:val="DefaultParagraphFont"/>
    <w:uiPriority w:val="22"/>
    <w:qFormat/>
    <w:rsid w:val="00C22CA2"/>
    <w:rPr>
      <w:b/>
    </w:rPr>
  </w:style>
  <w:style w:type="character" w:styleId="Emphasis">
    <w:name w:val="Emphasis"/>
    <w:basedOn w:val="DefaultParagraphFont"/>
    <w:uiPriority w:val="20"/>
    <w:qFormat/>
    <w:rsid w:val="00C22CA2"/>
    <w:rPr>
      <w:i/>
    </w:rPr>
  </w:style>
  <w:style w:type="character" w:styleId="CommentReference">
    <w:name w:val="annotation reference"/>
    <w:basedOn w:val="DefaultParagraphFont"/>
    <w:uiPriority w:val="99"/>
    <w:semiHidden/>
    <w:unhideWhenUsed/>
    <w:rsid w:val="007E7950"/>
    <w:rPr>
      <w:sz w:val="16"/>
      <w:szCs w:val="16"/>
    </w:rPr>
  </w:style>
  <w:style w:type="paragraph" w:styleId="CommentText">
    <w:name w:val="annotation text"/>
    <w:basedOn w:val="Normal"/>
    <w:link w:val="CommentTextChar"/>
    <w:uiPriority w:val="99"/>
    <w:semiHidden/>
    <w:unhideWhenUsed/>
    <w:rsid w:val="007E7950"/>
    <w:rPr>
      <w:sz w:val="20"/>
    </w:rPr>
  </w:style>
  <w:style w:type="character" w:customStyle="1" w:styleId="CommentTextChar">
    <w:name w:val="Comment Text Char"/>
    <w:basedOn w:val="DefaultParagraphFont"/>
    <w:link w:val="CommentText"/>
    <w:uiPriority w:val="99"/>
    <w:semiHidden/>
    <w:rsid w:val="007E7950"/>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E7950"/>
    <w:rPr>
      <w:b/>
      <w:bCs/>
    </w:rPr>
  </w:style>
  <w:style w:type="character" w:customStyle="1" w:styleId="CommentSubjectChar">
    <w:name w:val="Comment Subject Char"/>
    <w:basedOn w:val="CommentTextChar"/>
    <w:link w:val="CommentSubject"/>
    <w:uiPriority w:val="99"/>
    <w:semiHidden/>
    <w:rsid w:val="007E7950"/>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7E7950"/>
    <w:rPr>
      <w:rFonts w:ascii="Segoe UI" w:hAnsi="Segoe UI" w:cs="Segoe UI"/>
      <w:szCs w:val="18"/>
    </w:rPr>
  </w:style>
  <w:style w:type="character" w:customStyle="1" w:styleId="BalloonTextChar">
    <w:name w:val="Balloon Text Char"/>
    <w:basedOn w:val="DefaultParagraphFont"/>
    <w:link w:val="BalloonText"/>
    <w:uiPriority w:val="99"/>
    <w:semiHidden/>
    <w:rsid w:val="007E795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E198F-56A1-4A87-9FA2-0A4ABF3B7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Pages>
  <Words>1053</Words>
  <Characters>6008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Linda</dc:creator>
  <cp:keywords/>
  <dc:description/>
  <cp:lastModifiedBy>Conrad, Jack W. (MSFC-ST13)[UNIVERSITIES SPACE RESEARCH ASSOCIATION]</cp:lastModifiedBy>
  <cp:revision>3</cp:revision>
  <dcterms:created xsi:type="dcterms:W3CDTF">2022-01-06T20:34:00Z</dcterms:created>
  <dcterms:modified xsi:type="dcterms:W3CDTF">2022-01-06T21:35:00Z</dcterms:modified>
</cp:coreProperties>
</file>