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9E5B" w14:textId="607FAB7E" w:rsidR="00CF2D6B" w:rsidRPr="008B6B5F" w:rsidRDefault="006608F4" w:rsidP="00CF2D6B">
      <w:pPr>
        <w:rPr>
          <w:rFonts w:eastAsiaTheme="minorHAnsi" w:cs="Times New Roman (Body CS)"/>
          <w:sz w:val="20"/>
        </w:rPr>
      </w:pPr>
      <w:r w:rsidRPr="004914AF">
        <w:rPr>
          <w:b/>
          <w:bCs/>
          <w:sz w:val="20"/>
        </w:rPr>
        <w:t>ULTRAVIOLET/VISIBLE REFLECTANCE SPECTRA OF RETURNED SAMPLES OF (162173) RYUGU UNEXPOSED TO EARTH’S ATMOSPHERE.</w:t>
      </w:r>
      <w:r>
        <w:rPr>
          <w:b/>
          <w:bCs/>
          <w:sz w:val="20"/>
        </w:rPr>
        <w:t xml:space="preserve">  </w:t>
      </w:r>
      <w:r w:rsidRPr="004914AF">
        <w:rPr>
          <w:sz w:val="20"/>
        </w:rPr>
        <w:t>F. Vilas</w:t>
      </w:r>
      <w:r w:rsidRPr="00912C58">
        <w:rPr>
          <w:sz w:val="20"/>
          <w:vertAlign w:val="superscript"/>
        </w:rPr>
        <w:t>1</w:t>
      </w:r>
      <w:r w:rsidRPr="004914AF">
        <w:rPr>
          <w:sz w:val="20"/>
        </w:rPr>
        <w:t>,</w:t>
      </w:r>
      <w:r>
        <w:rPr>
          <w:sz w:val="20"/>
        </w:rPr>
        <w:t xml:space="preserve"> A. R. Hendrix</w:t>
      </w:r>
      <w:r w:rsidRPr="00912C58">
        <w:rPr>
          <w:sz w:val="20"/>
          <w:vertAlign w:val="superscript"/>
        </w:rPr>
        <w:t>1</w:t>
      </w:r>
      <w:r>
        <w:rPr>
          <w:sz w:val="20"/>
        </w:rPr>
        <w:t>, C. Jaramillo</w:t>
      </w:r>
      <w:r w:rsidRPr="00912C58">
        <w:rPr>
          <w:sz w:val="20"/>
          <w:vertAlign w:val="superscript"/>
        </w:rPr>
        <w:t>2</w:t>
      </w:r>
      <w:r>
        <w:rPr>
          <w:sz w:val="20"/>
        </w:rPr>
        <w:t>, N. Pearson</w:t>
      </w:r>
      <w:r w:rsidRPr="00912C58">
        <w:rPr>
          <w:sz w:val="20"/>
          <w:vertAlign w:val="superscript"/>
        </w:rPr>
        <w:t>1</w:t>
      </w:r>
      <w:r>
        <w:rPr>
          <w:sz w:val="20"/>
        </w:rPr>
        <w:t>, M. E. Zolensky</w:t>
      </w:r>
      <w:r w:rsidRPr="00912C58">
        <w:rPr>
          <w:sz w:val="20"/>
          <w:vertAlign w:val="superscript"/>
        </w:rPr>
        <w:t>3</w:t>
      </w:r>
      <w:r>
        <w:rPr>
          <w:sz w:val="20"/>
        </w:rPr>
        <w:t>, D. L. Domingue</w:t>
      </w:r>
      <w:r w:rsidRPr="00912C58">
        <w:rPr>
          <w:sz w:val="20"/>
          <w:vertAlign w:val="superscript"/>
        </w:rPr>
        <w:t>1</w:t>
      </w:r>
      <w:r>
        <w:rPr>
          <w:sz w:val="20"/>
        </w:rPr>
        <w:t>, E. Cloutis</w:t>
      </w:r>
      <w:r w:rsidRPr="00912C58">
        <w:rPr>
          <w:sz w:val="20"/>
          <w:vertAlign w:val="superscript"/>
        </w:rPr>
        <w:t>4</w:t>
      </w:r>
      <w:r>
        <w:rPr>
          <w:sz w:val="20"/>
        </w:rPr>
        <w:t>, R. Clark</w:t>
      </w:r>
      <w:r w:rsidRPr="00912C58">
        <w:rPr>
          <w:sz w:val="20"/>
          <w:vertAlign w:val="superscript"/>
        </w:rPr>
        <w:t>1</w:t>
      </w:r>
      <w:r>
        <w:rPr>
          <w:sz w:val="20"/>
        </w:rPr>
        <w:t>, G. Holsclaw</w:t>
      </w:r>
      <w:r w:rsidRPr="00912C58">
        <w:rPr>
          <w:sz w:val="20"/>
          <w:vertAlign w:val="superscript"/>
        </w:rPr>
        <w:t>5</w:t>
      </w:r>
      <w:r>
        <w:rPr>
          <w:sz w:val="20"/>
        </w:rPr>
        <w:t>, J.</w:t>
      </w:r>
      <w:r w:rsidR="00FB56B7">
        <w:rPr>
          <w:sz w:val="20"/>
        </w:rPr>
        <w:t xml:space="preserve"> </w:t>
      </w:r>
      <w:r>
        <w:rPr>
          <w:sz w:val="20"/>
        </w:rPr>
        <w:t xml:space="preserve">P. </w:t>
      </w:r>
      <w:r w:rsidR="00FB56B7">
        <w:rPr>
          <w:sz w:val="20"/>
        </w:rPr>
        <w:t>Allain</w:t>
      </w:r>
      <w:r w:rsidRPr="00912C58">
        <w:rPr>
          <w:sz w:val="20"/>
          <w:vertAlign w:val="superscript"/>
        </w:rPr>
        <w:t>2</w:t>
      </w:r>
      <w:r>
        <w:rPr>
          <w:sz w:val="20"/>
        </w:rPr>
        <w:t>, T. Nakamura</w:t>
      </w:r>
      <w:r w:rsidRPr="00912C58">
        <w:rPr>
          <w:sz w:val="20"/>
          <w:vertAlign w:val="superscript"/>
        </w:rPr>
        <w:t>6</w:t>
      </w:r>
      <w:r>
        <w:rPr>
          <w:sz w:val="20"/>
        </w:rPr>
        <w:t>, M. Matsuoko</w:t>
      </w:r>
      <w:r w:rsidRPr="00912C58">
        <w:rPr>
          <w:sz w:val="20"/>
          <w:vertAlign w:val="superscript"/>
        </w:rPr>
        <w:t>7</w:t>
      </w:r>
      <w:r>
        <w:rPr>
          <w:sz w:val="20"/>
        </w:rPr>
        <w:t>, K. Amano</w:t>
      </w:r>
      <w:r w:rsidRPr="00912C58">
        <w:rPr>
          <w:sz w:val="20"/>
          <w:vertAlign w:val="superscript"/>
        </w:rPr>
        <w:t>6</w:t>
      </w:r>
      <w:r>
        <w:rPr>
          <w:sz w:val="20"/>
        </w:rPr>
        <w:t>, T. Morita</w:t>
      </w:r>
      <w:r w:rsidRPr="00912C58">
        <w:rPr>
          <w:sz w:val="20"/>
          <w:vertAlign w:val="superscript"/>
        </w:rPr>
        <w:t>6</w:t>
      </w:r>
      <w:r>
        <w:rPr>
          <w:sz w:val="20"/>
        </w:rPr>
        <w:t>, M. Kikuiri</w:t>
      </w:r>
      <w:r w:rsidRPr="00912C58">
        <w:rPr>
          <w:sz w:val="20"/>
          <w:vertAlign w:val="superscript"/>
        </w:rPr>
        <w:t>6</w:t>
      </w:r>
      <w:r>
        <w:rPr>
          <w:sz w:val="20"/>
        </w:rPr>
        <w:t>, E. Kagawa</w:t>
      </w:r>
      <w:r w:rsidRPr="00912C58">
        <w:rPr>
          <w:sz w:val="20"/>
          <w:vertAlign w:val="superscript"/>
        </w:rPr>
        <w:t>6</w:t>
      </w:r>
      <w:r>
        <w:rPr>
          <w:sz w:val="20"/>
        </w:rPr>
        <w:t>, H. Yurimoto</w:t>
      </w:r>
      <w:r>
        <w:rPr>
          <w:sz w:val="20"/>
          <w:vertAlign w:val="superscript"/>
        </w:rPr>
        <w:t>8</w:t>
      </w:r>
      <w:r>
        <w:rPr>
          <w:sz w:val="20"/>
        </w:rPr>
        <w:t>, T. Noguchi</w:t>
      </w:r>
      <w:r>
        <w:rPr>
          <w:sz w:val="20"/>
          <w:vertAlign w:val="superscript"/>
        </w:rPr>
        <w:t>9</w:t>
      </w:r>
      <w:r>
        <w:rPr>
          <w:sz w:val="20"/>
        </w:rPr>
        <w:t>, R. Okazaki</w:t>
      </w:r>
      <w:r>
        <w:rPr>
          <w:sz w:val="20"/>
          <w:vertAlign w:val="superscript"/>
        </w:rPr>
        <w:t>10</w:t>
      </w:r>
      <w:r>
        <w:rPr>
          <w:sz w:val="20"/>
        </w:rPr>
        <w:t>, H. Yabuta</w:t>
      </w:r>
      <w:r w:rsidRPr="00912C58">
        <w:rPr>
          <w:sz w:val="20"/>
          <w:vertAlign w:val="superscript"/>
        </w:rPr>
        <w:t>1</w:t>
      </w:r>
      <w:r>
        <w:rPr>
          <w:sz w:val="20"/>
          <w:vertAlign w:val="superscript"/>
        </w:rPr>
        <w:t>1</w:t>
      </w:r>
      <w:r>
        <w:rPr>
          <w:sz w:val="20"/>
        </w:rPr>
        <w:t>, H. Naraoka</w:t>
      </w:r>
      <w:r>
        <w:rPr>
          <w:sz w:val="20"/>
          <w:vertAlign w:val="superscript"/>
        </w:rPr>
        <w:t>10</w:t>
      </w:r>
      <w:r>
        <w:rPr>
          <w:sz w:val="20"/>
        </w:rPr>
        <w:t>, K. Sakamoto</w:t>
      </w:r>
      <w:r w:rsidRPr="00912C58">
        <w:rPr>
          <w:sz w:val="20"/>
          <w:vertAlign w:val="superscript"/>
        </w:rPr>
        <w:t>1</w:t>
      </w:r>
      <w:r>
        <w:rPr>
          <w:sz w:val="20"/>
          <w:vertAlign w:val="superscript"/>
        </w:rPr>
        <w:t>2</w:t>
      </w:r>
      <w:r>
        <w:rPr>
          <w:sz w:val="20"/>
        </w:rPr>
        <w:t>, S. Tachibana</w:t>
      </w:r>
      <w:r w:rsidRPr="00912C58">
        <w:rPr>
          <w:sz w:val="20"/>
          <w:vertAlign w:val="superscript"/>
        </w:rPr>
        <w:t>1</w:t>
      </w:r>
      <w:r>
        <w:rPr>
          <w:sz w:val="20"/>
          <w:vertAlign w:val="superscript"/>
        </w:rPr>
        <w:t>2</w:t>
      </w:r>
      <w:r w:rsidRPr="00912C58">
        <w:rPr>
          <w:sz w:val="20"/>
          <w:vertAlign w:val="superscript"/>
        </w:rPr>
        <w:t>,1</w:t>
      </w:r>
      <w:r>
        <w:rPr>
          <w:sz w:val="20"/>
          <w:vertAlign w:val="superscript"/>
        </w:rPr>
        <w:t>3</w:t>
      </w:r>
      <w:r>
        <w:rPr>
          <w:sz w:val="20"/>
        </w:rPr>
        <w:t>, S. Watanabe</w:t>
      </w:r>
      <w:r w:rsidRPr="00912C58">
        <w:rPr>
          <w:sz w:val="20"/>
          <w:vertAlign w:val="superscript"/>
        </w:rPr>
        <w:t>1</w:t>
      </w:r>
      <w:r>
        <w:rPr>
          <w:sz w:val="20"/>
          <w:vertAlign w:val="superscript"/>
        </w:rPr>
        <w:t>4</w:t>
      </w:r>
      <w:r>
        <w:rPr>
          <w:sz w:val="20"/>
        </w:rPr>
        <w:t>, Y. Tsuda</w:t>
      </w:r>
      <w:r w:rsidRPr="00912C58">
        <w:rPr>
          <w:sz w:val="20"/>
          <w:vertAlign w:val="superscript"/>
        </w:rPr>
        <w:t>1</w:t>
      </w:r>
      <w:r>
        <w:rPr>
          <w:sz w:val="20"/>
          <w:vertAlign w:val="superscript"/>
        </w:rPr>
        <w:t>2</w:t>
      </w:r>
      <w:r>
        <w:rPr>
          <w:sz w:val="20"/>
        </w:rPr>
        <w:t>,</w:t>
      </w:r>
      <w:r w:rsidR="00CF2D6B" w:rsidRPr="000A5823">
        <w:rPr>
          <w:sz w:val="20"/>
          <w:vertAlign w:val="superscript"/>
        </w:rPr>
        <w:t>1</w:t>
      </w:r>
      <w:r w:rsidR="00CF2D6B">
        <w:rPr>
          <w:sz w:val="20"/>
        </w:rPr>
        <w:t>Planetary Science Institute (1700 E. Fort Lowell Rd., Suite 106, Tucson, AZ, 85710, USA, fvilas@psi.edu),</w:t>
      </w:r>
      <w:r w:rsidR="00CF2D6B" w:rsidRPr="002448B4">
        <w:rPr>
          <w:sz w:val="20"/>
          <w:vertAlign w:val="superscript"/>
        </w:rPr>
        <w:t>2</w:t>
      </w:r>
      <w:r w:rsidR="00CF2D6B">
        <w:rPr>
          <w:sz w:val="20"/>
        </w:rPr>
        <w:t>Pennsylvania State University (State College, PA, USA),</w:t>
      </w:r>
      <w:r w:rsidR="00CF2D6B" w:rsidRPr="002448B4">
        <w:rPr>
          <w:sz w:val="20"/>
          <w:vertAlign w:val="superscript"/>
        </w:rPr>
        <w:t>3</w:t>
      </w:r>
      <w:r w:rsidR="00CF2D6B">
        <w:rPr>
          <w:sz w:val="20"/>
        </w:rPr>
        <w:t>NASA Johnson Space Center (Houston, TX, USA),</w:t>
      </w:r>
      <w:r w:rsidR="00CF2D6B" w:rsidRPr="00DE3D0E">
        <w:rPr>
          <w:sz w:val="20"/>
          <w:vertAlign w:val="superscript"/>
        </w:rPr>
        <w:t>4</w:t>
      </w:r>
      <w:r w:rsidR="00CF2D6B">
        <w:rPr>
          <w:sz w:val="20"/>
        </w:rPr>
        <w:t>University of Winnipeg (Winnipeg, Manitoba, Canada),</w:t>
      </w:r>
      <w:r w:rsidR="00CF2D6B" w:rsidRPr="00DE3D0E">
        <w:rPr>
          <w:sz w:val="20"/>
          <w:vertAlign w:val="superscript"/>
        </w:rPr>
        <w:t>5</w:t>
      </w:r>
      <w:r w:rsidR="00CF2D6B">
        <w:rPr>
          <w:sz w:val="20"/>
        </w:rPr>
        <w:t>University of Colorado (Boulder, CO, USA),</w:t>
      </w:r>
      <w:r w:rsidR="00CF2D6B" w:rsidRPr="002448B4">
        <w:rPr>
          <w:sz w:val="20"/>
          <w:vertAlign w:val="superscript"/>
        </w:rPr>
        <w:t>6</w:t>
      </w:r>
      <w:r w:rsidR="00CF2D6B" w:rsidRPr="00F81CBE">
        <w:rPr>
          <w:rFonts w:eastAsia="Yu Gothic"/>
          <w:color w:val="000000"/>
          <w:sz w:val="20"/>
        </w:rPr>
        <w:t>Tohoku University (Sendai 980-8578, Japan)</w:t>
      </w:r>
      <w:r w:rsidR="00CF2D6B">
        <w:rPr>
          <w:rFonts w:eastAsia="Yu Gothic"/>
          <w:color w:val="000000"/>
          <w:sz w:val="20"/>
        </w:rPr>
        <w:t>,</w:t>
      </w:r>
      <w:r w:rsidR="00CF2D6B" w:rsidRPr="002448B4">
        <w:rPr>
          <w:rFonts w:eastAsia="Yu Gothic"/>
          <w:color w:val="000000"/>
          <w:sz w:val="20"/>
          <w:vertAlign w:val="superscript"/>
        </w:rPr>
        <w:t>7</w:t>
      </w:r>
      <w:r w:rsidR="00CF2D6B">
        <w:rPr>
          <w:rFonts w:eastAsia="Yu Gothic"/>
          <w:color w:val="000000"/>
          <w:sz w:val="20"/>
        </w:rPr>
        <w:t xml:space="preserve">LESIA, </w:t>
      </w:r>
      <w:proofErr w:type="spellStart"/>
      <w:r w:rsidR="00CF2D6B">
        <w:rPr>
          <w:rFonts w:eastAsia="Yu Gothic"/>
          <w:color w:val="000000"/>
          <w:sz w:val="20"/>
        </w:rPr>
        <w:t>Observatoire</w:t>
      </w:r>
      <w:proofErr w:type="spellEnd"/>
      <w:r w:rsidR="00CF2D6B">
        <w:rPr>
          <w:rFonts w:eastAsia="Yu Gothic"/>
          <w:color w:val="000000"/>
          <w:sz w:val="20"/>
        </w:rPr>
        <w:t xml:space="preserve"> de Paris (Paris, France),</w:t>
      </w:r>
      <w:r w:rsidR="00CF2D6B" w:rsidRPr="002448B4">
        <w:rPr>
          <w:sz w:val="20"/>
          <w:vertAlign w:val="superscript"/>
        </w:rPr>
        <w:t>8</w:t>
      </w:r>
      <w:r w:rsidR="00CF2D6B" w:rsidRPr="00D16404">
        <w:rPr>
          <w:sz w:val="20"/>
        </w:rPr>
        <w:t>Hokkaido University (</w:t>
      </w:r>
      <w:r w:rsidR="00CF2D6B" w:rsidRPr="00D16404">
        <w:rPr>
          <w:rFonts w:eastAsia="Yu Gothic"/>
          <w:color w:val="000000"/>
          <w:sz w:val="20"/>
        </w:rPr>
        <w:t>Sapporo 060-0810, Japan)</w:t>
      </w:r>
      <w:r w:rsidR="00CF2D6B">
        <w:rPr>
          <w:rFonts w:eastAsia="Yu Gothic"/>
          <w:color w:val="000000"/>
          <w:sz w:val="20"/>
        </w:rPr>
        <w:t>,</w:t>
      </w:r>
      <w:r w:rsidR="00CF2D6B" w:rsidRPr="002448B4">
        <w:rPr>
          <w:rFonts w:eastAsia="Yu Gothic"/>
          <w:color w:val="000000"/>
          <w:sz w:val="20"/>
          <w:vertAlign w:val="superscript"/>
        </w:rPr>
        <w:t>9</w:t>
      </w:r>
      <w:r w:rsidR="00CF2D6B" w:rsidRPr="00D16404">
        <w:rPr>
          <w:rFonts w:eastAsia="Yu Gothic"/>
          <w:color w:val="000000"/>
          <w:sz w:val="20"/>
        </w:rPr>
        <w:t>Kyoto University (Kyoto 606-8502, Japan)</w:t>
      </w:r>
      <w:r w:rsidR="00CF2D6B">
        <w:rPr>
          <w:rFonts w:eastAsia="Yu Gothic"/>
          <w:color w:val="000000"/>
          <w:sz w:val="20"/>
        </w:rPr>
        <w:t>,</w:t>
      </w:r>
      <w:r w:rsidR="00CF2D6B" w:rsidRPr="002448B4">
        <w:rPr>
          <w:rFonts w:eastAsia="Yu Gothic"/>
          <w:color w:val="000000"/>
          <w:sz w:val="20"/>
          <w:vertAlign w:val="superscript"/>
        </w:rPr>
        <w:t>10</w:t>
      </w:r>
      <w:r w:rsidR="00CF2D6B" w:rsidRPr="00D16404">
        <w:rPr>
          <w:rFonts w:eastAsia="Yu Gothic"/>
          <w:color w:val="000000"/>
          <w:sz w:val="20"/>
        </w:rPr>
        <w:t>Kyushu University (Fukuoka 812-8581, Japan)</w:t>
      </w:r>
      <w:r w:rsidR="00CF2D6B">
        <w:rPr>
          <w:rFonts w:eastAsia="Yu Gothic"/>
          <w:color w:val="000000"/>
          <w:sz w:val="20"/>
        </w:rPr>
        <w:t>,</w:t>
      </w:r>
      <w:r w:rsidR="00CF2D6B" w:rsidRPr="002448B4">
        <w:rPr>
          <w:rFonts w:eastAsia="Yu Gothic"/>
          <w:color w:val="000000"/>
          <w:sz w:val="20"/>
          <w:vertAlign w:val="superscript"/>
        </w:rPr>
        <w:t>11</w:t>
      </w:r>
      <w:r w:rsidR="00CF2D6B" w:rsidRPr="00D16404">
        <w:rPr>
          <w:rFonts w:eastAsia="Yu Gothic"/>
          <w:color w:val="000000"/>
          <w:sz w:val="20"/>
        </w:rPr>
        <w:t>Hiroshima University (Higashi-Hiroshima 739-8526, Japan</w:t>
      </w:r>
      <w:r w:rsidR="00CF2D6B" w:rsidRPr="00D16404">
        <w:rPr>
          <w:sz w:val="20"/>
        </w:rPr>
        <w:t>)</w:t>
      </w:r>
      <w:r w:rsidR="00CF2D6B">
        <w:rPr>
          <w:sz w:val="20"/>
        </w:rPr>
        <w:t>,</w:t>
      </w:r>
      <w:r w:rsidR="00CF2D6B" w:rsidRPr="002448B4">
        <w:rPr>
          <w:sz w:val="20"/>
          <w:vertAlign w:val="superscript"/>
        </w:rPr>
        <w:t>12</w:t>
      </w:r>
      <w:r w:rsidR="00CF2D6B" w:rsidRPr="00D16404">
        <w:rPr>
          <w:sz w:val="20"/>
        </w:rPr>
        <w:t>ISAS/JAXA (</w:t>
      </w:r>
      <w:r w:rsidR="00CF2D6B" w:rsidRPr="00D16404">
        <w:rPr>
          <w:rFonts w:eastAsia="Yu Gothic"/>
          <w:color w:val="000000"/>
          <w:sz w:val="20"/>
        </w:rPr>
        <w:t>Sagamihara 252-5210, Japan</w:t>
      </w:r>
      <w:r w:rsidR="00CF2D6B" w:rsidRPr="00D16404">
        <w:rPr>
          <w:sz w:val="20"/>
        </w:rPr>
        <w:t>)</w:t>
      </w:r>
      <w:r w:rsidR="00CF2D6B">
        <w:rPr>
          <w:sz w:val="20"/>
        </w:rPr>
        <w:t>,</w:t>
      </w:r>
      <w:r w:rsidR="00CF2D6B" w:rsidRPr="002448B4">
        <w:rPr>
          <w:sz w:val="20"/>
          <w:vertAlign w:val="superscript"/>
        </w:rPr>
        <w:t>13</w:t>
      </w:r>
      <w:r w:rsidR="00CF2D6B" w:rsidRPr="00D16404">
        <w:rPr>
          <w:rFonts w:eastAsia="Yu Gothic"/>
          <w:color w:val="000000"/>
          <w:sz w:val="20"/>
        </w:rPr>
        <w:t xml:space="preserve">The University of Tokyo </w:t>
      </w:r>
      <w:r w:rsidR="00CF2D6B" w:rsidRPr="00D16404">
        <w:rPr>
          <w:sz w:val="20"/>
        </w:rPr>
        <w:t>(</w:t>
      </w:r>
      <w:r w:rsidR="00CF2D6B" w:rsidRPr="00D16404">
        <w:rPr>
          <w:rFonts w:eastAsia="Yu Gothic"/>
          <w:color w:val="000000"/>
          <w:sz w:val="20"/>
        </w:rPr>
        <w:t>Tokyo 113-0033, Japan</w:t>
      </w:r>
      <w:r w:rsidR="00CF2D6B" w:rsidRPr="00D16404">
        <w:rPr>
          <w:sz w:val="20"/>
        </w:rPr>
        <w:t>)</w:t>
      </w:r>
      <w:r w:rsidR="00CF2D6B">
        <w:rPr>
          <w:sz w:val="20"/>
        </w:rPr>
        <w:t>,</w:t>
      </w:r>
      <w:r w:rsidR="00CF2D6B" w:rsidRPr="00863228">
        <w:rPr>
          <w:sz w:val="20"/>
          <w:vertAlign w:val="superscript"/>
        </w:rPr>
        <w:t>14</w:t>
      </w:r>
      <w:r w:rsidR="00CF2D6B" w:rsidRPr="00D16404">
        <w:rPr>
          <w:sz w:val="20"/>
        </w:rPr>
        <w:t>Nagoya University (</w:t>
      </w:r>
      <w:r w:rsidR="00CF2D6B" w:rsidRPr="00D16404">
        <w:rPr>
          <w:rFonts w:eastAsia="Yu Gothic"/>
          <w:color w:val="000000"/>
          <w:sz w:val="20"/>
        </w:rPr>
        <w:t>Nagoya 464-8601, Japan</w:t>
      </w:r>
      <w:r w:rsidR="00CF2D6B" w:rsidRPr="00D16404">
        <w:rPr>
          <w:sz w:val="20"/>
        </w:rPr>
        <w:t>)</w:t>
      </w:r>
      <w:r w:rsidR="00CF2D6B">
        <w:rPr>
          <w:sz w:val="20"/>
        </w:rPr>
        <w:t>.</w:t>
      </w:r>
    </w:p>
    <w:p w14:paraId="6D1F8C36" w14:textId="6136E1FF" w:rsidR="00C22CA2" w:rsidRDefault="00C22CA2" w:rsidP="00CF2D6B">
      <w:pPr>
        <w:spacing w:line="240" w:lineRule="atLeast"/>
        <w:jc w:val="both"/>
        <w:rPr>
          <w:sz w:val="20"/>
        </w:rPr>
      </w:pPr>
    </w:p>
    <w:p w14:paraId="6E52D4CC" w14:textId="77777777" w:rsidR="00C22CA2" w:rsidRDefault="00C22CA2" w:rsidP="00C22CA2">
      <w:pPr>
        <w:spacing w:line="240" w:lineRule="atLeast"/>
        <w:ind w:firstLine="288"/>
        <w:jc w:val="both"/>
        <w:rPr>
          <w:sz w:val="20"/>
        </w:rPr>
      </w:pPr>
    </w:p>
    <w:p w14:paraId="7ABA8693" w14:textId="77777777" w:rsidR="00C22CA2" w:rsidRDefault="00C22CA2" w:rsidP="00C22CA2">
      <w:pPr>
        <w:spacing w:line="240" w:lineRule="atLeast"/>
        <w:ind w:firstLine="288"/>
        <w:jc w:val="both"/>
        <w:rPr>
          <w:sz w:val="20"/>
        </w:rPr>
        <w:sectPr w:rsidR="00C22CA2">
          <w:headerReference w:type="even" r:id="rId7"/>
          <w:footerReference w:type="even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40F68D" w14:textId="08C3355B" w:rsidR="00E974B7" w:rsidRDefault="00C22CA2" w:rsidP="00E974B7">
      <w:pPr>
        <w:spacing w:line="240" w:lineRule="atLeast"/>
        <w:ind w:firstLine="288"/>
        <w:jc w:val="both"/>
        <w:rPr>
          <w:sz w:val="20"/>
        </w:rPr>
      </w:pPr>
      <w:r w:rsidRPr="00C22CA2">
        <w:rPr>
          <w:b/>
          <w:sz w:val="20"/>
        </w:rPr>
        <w:t>Introduction:</w:t>
      </w:r>
      <w:r w:rsidRPr="00C22CA2">
        <w:rPr>
          <w:sz w:val="20"/>
        </w:rPr>
        <w:t xml:space="preserve">  </w:t>
      </w:r>
      <w:r w:rsidR="00E974B7">
        <w:rPr>
          <w:sz w:val="20"/>
        </w:rPr>
        <w:t xml:space="preserve">Following the successful return of JAXA’s Hayabusa2 sample capsule, the material from asteroid (162173) </w:t>
      </w:r>
      <w:proofErr w:type="spellStart"/>
      <w:r w:rsidR="00E974B7">
        <w:rPr>
          <w:sz w:val="20"/>
        </w:rPr>
        <w:t>Ryugu</w:t>
      </w:r>
      <w:proofErr w:type="spellEnd"/>
      <w:r w:rsidR="00E974B7">
        <w:rPr>
          <w:sz w:val="20"/>
        </w:rPr>
        <w:t xml:space="preserve"> retrieved from the spacecraft retrieval container has been the subject of multi-pronged analyses [</w:t>
      </w:r>
      <w:r w:rsidR="00B0377C">
        <w:rPr>
          <w:sz w:val="20"/>
        </w:rPr>
        <w:t xml:space="preserve">e.g., </w:t>
      </w:r>
      <w:r w:rsidR="00E974B7">
        <w:rPr>
          <w:sz w:val="20"/>
        </w:rPr>
        <w:t xml:space="preserve">1]. We undertook an effort to acquire reflectance spectra covering 200- to- 1100 nm of particles from </w:t>
      </w:r>
      <w:proofErr w:type="spellStart"/>
      <w:r w:rsidR="00E974B7">
        <w:rPr>
          <w:sz w:val="20"/>
        </w:rPr>
        <w:t>Ryugu</w:t>
      </w:r>
      <w:proofErr w:type="spellEnd"/>
      <w:r w:rsidR="00E974B7">
        <w:rPr>
          <w:sz w:val="20"/>
        </w:rPr>
        <w:t xml:space="preserve">. This region probes the near-ultraviolet (NUV) to acquire reflectance spectra that cover the 250-nm Fresnel peak that can result from increased graphitization (reduced H content) of carbon-bearing materials. Laboratory tests show that increased graphitization could result from the effects of increased temperature, an effect of space weathering of materials closer to the Sun.  Some ground-based reflectance spectra and space-based photometry of </w:t>
      </w:r>
      <w:proofErr w:type="spellStart"/>
      <w:r w:rsidR="00E974B7">
        <w:rPr>
          <w:sz w:val="20"/>
        </w:rPr>
        <w:t>Ryugu</w:t>
      </w:r>
      <w:proofErr w:type="spellEnd"/>
      <w:r w:rsidR="00E974B7">
        <w:rPr>
          <w:sz w:val="20"/>
        </w:rPr>
        <w:t xml:space="preserve"> show that reflectance is increasing with decreasing wavelength, suggesting the beginning of a UV upturn [2].  We sought evidence for space weathering (graphitization) of the </w:t>
      </w:r>
      <w:proofErr w:type="spellStart"/>
      <w:r w:rsidR="00E974B7">
        <w:rPr>
          <w:sz w:val="20"/>
        </w:rPr>
        <w:t>Ryugu</w:t>
      </w:r>
      <w:proofErr w:type="spellEnd"/>
      <w:r w:rsidR="00E974B7">
        <w:rPr>
          <w:sz w:val="20"/>
        </w:rPr>
        <w:t xml:space="preserve"> material at NUV wavelengths, by acquiring reflectance spectra of surface samples. </w:t>
      </w:r>
    </w:p>
    <w:p w14:paraId="1EE7AFCF" w14:textId="77777777" w:rsidR="00E974B7" w:rsidRDefault="00E974B7" w:rsidP="008F595A">
      <w:pPr>
        <w:ind w:firstLine="288"/>
        <w:jc w:val="both"/>
        <w:rPr>
          <w:sz w:val="20"/>
        </w:rPr>
      </w:pPr>
      <w:r w:rsidRPr="00967963">
        <w:rPr>
          <w:b/>
          <w:bCs/>
          <w:sz w:val="20"/>
        </w:rPr>
        <w:t>Instrumentation</w:t>
      </w:r>
      <w:r>
        <w:rPr>
          <w:b/>
          <w:bCs/>
          <w:sz w:val="20"/>
        </w:rPr>
        <w:t xml:space="preserve"> and Procedure</w:t>
      </w:r>
      <w:r w:rsidRPr="00967963">
        <w:rPr>
          <w:b/>
          <w:bCs/>
          <w:sz w:val="20"/>
        </w:rPr>
        <w:t xml:space="preserve">:  </w:t>
      </w:r>
      <w:r>
        <w:rPr>
          <w:sz w:val="20"/>
        </w:rPr>
        <w:t xml:space="preserve">Five particles of </w:t>
      </w:r>
      <w:proofErr w:type="spellStart"/>
      <w:r>
        <w:rPr>
          <w:sz w:val="20"/>
        </w:rPr>
        <w:t>Ryugu’s</w:t>
      </w:r>
      <w:proofErr w:type="spellEnd"/>
      <w:r>
        <w:rPr>
          <w:sz w:val="20"/>
        </w:rPr>
        <w:t xml:space="preserve"> surface material were sent to the University of Illinois, Champaign-Urbana from Japan.  These pristine samples from </w:t>
      </w:r>
      <w:proofErr w:type="spellStart"/>
      <w:r>
        <w:rPr>
          <w:sz w:val="20"/>
        </w:rPr>
        <w:t>Ryugu</w:t>
      </w:r>
      <w:proofErr w:type="spellEnd"/>
      <w:r>
        <w:rPr>
          <w:sz w:val="20"/>
        </w:rPr>
        <w:t xml:space="preserve"> were unexposed to ambient air.  They were packed in a glove box in N</w:t>
      </w:r>
      <w:r w:rsidRPr="000F7D0C">
        <w:rPr>
          <w:sz w:val="20"/>
          <w:vertAlign w:val="subscript"/>
        </w:rPr>
        <w:t>2</w:t>
      </w:r>
      <w:r>
        <w:rPr>
          <w:sz w:val="20"/>
          <w:vertAlign w:val="subscript"/>
        </w:rPr>
        <w:t xml:space="preserve"> </w:t>
      </w:r>
      <w:r>
        <w:rPr>
          <w:sz w:val="20"/>
        </w:rPr>
        <w:t>in separate sealed plastic containers.  The package was transferred to a glove box filled with N</w:t>
      </w:r>
      <w:r w:rsidRPr="000F7D0C">
        <w:rPr>
          <w:sz w:val="20"/>
          <w:vertAlign w:val="subscript"/>
        </w:rPr>
        <w:t>2</w:t>
      </w:r>
      <w:r>
        <w:rPr>
          <w:sz w:val="20"/>
        </w:rPr>
        <w:t xml:space="preserve">. We chose to not mix the particles, as they potentially had different compositions.  For each particle, separate spectra were acquired.  </w:t>
      </w:r>
    </w:p>
    <w:p w14:paraId="21DA51EB" w14:textId="68C40082" w:rsidR="00B0377C" w:rsidRDefault="00634421" w:rsidP="008F595A">
      <w:pPr>
        <w:ind w:firstLine="288"/>
        <w:jc w:val="both"/>
        <w:rPr>
          <w:sz w:val="20"/>
        </w:rPr>
      </w:pPr>
      <w:r>
        <w:rPr>
          <w:sz w:val="20"/>
        </w:rPr>
        <w:t>Each</w:t>
      </w:r>
      <w:r w:rsidR="00B0377C">
        <w:rPr>
          <w:sz w:val="20"/>
        </w:rPr>
        <w:t xml:space="preserve"> particle was first removed from the sealed plastic container and placed in a compact sample capsule</w:t>
      </w:r>
      <w:r w:rsidR="00B0377C" w:rsidRPr="00DD7B15">
        <w:rPr>
          <w:sz w:val="20"/>
        </w:rPr>
        <w:t>.  The sample capsule has the capability to hold small volumes of a sample in a controlled environment (</w:t>
      </w:r>
      <w:proofErr w:type="spellStart"/>
      <w:r w:rsidR="00B0377C" w:rsidRPr="00DD7B15">
        <w:rPr>
          <w:sz w:val="20"/>
        </w:rPr>
        <w:t>Ar</w:t>
      </w:r>
      <w:proofErr w:type="spellEnd"/>
      <w:r w:rsidR="00B0377C" w:rsidRPr="00DD7B15">
        <w:rPr>
          <w:sz w:val="20"/>
        </w:rPr>
        <w:t xml:space="preserve"> or N</w:t>
      </w:r>
      <w:r w:rsidR="00B0377C" w:rsidRPr="000F7D0C">
        <w:rPr>
          <w:sz w:val="20"/>
          <w:vertAlign w:val="subscript"/>
        </w:rPr>
        <w:t>2</w:t>
      </w:r>
      <w:r w:rsidR="00B0377C" w:rsidRPr="00DD7B15">
        <w:rPr>
          <w:sz w:val="20"/>
        </w:rPr>
        <w:t>) at ambient pressure</w:t>
      </w:r>
      <w:r w:rsidR="00B0377C">
        <w:rPr>
          <w:sz w:val="20"/>
        </w:rPr>
        <w:t>; it</w:t>
      </w:r>
      <w:r w:rsidR="00B0377C" w:rsidRPr="000F7D0C">
        <w:rPr>
          <w:sz w:val="20"/>
        </w:rPr>
        <w:t xml:space="preserve"> can preserve </w:t>
      </w:r>
      <w:r w:rsidR="00B0377C">
        <w:rPr>
          <w:sz w:val="20"/>
        </w:rPr>
        <w:t xml:space="preserve">an </w:t>
      </w:r>
      <w:r w:rsidR="00B0377C" w:rsidRPr="000F7D0C">
        <w:rPr>
          <w:sz w:val="20"/>
        </w:rPr>
        <w:t>air-sensitive sample for 3 weeks with no visible sample reaction</w:t>
      </w:r>
      <w:r w:rsidR="00B0377C">
        <w:rPr>
          <w:sz w:val="20"/>
        </w:rPr>
        <w:t xml:space="preserve"> [</w:t>
      </w:r>
      <w:r>
        <w:rPr>
          <w:sz w:val="20"/>
        </w:rPr>
        <w:t>3</w:t>
      </w:r>
      <w:r w:rsidR="00B0377C" w:rsidRPr="000F7D0C">
        <w:rPr>
          <w:sz w:val="20"/>
        </w:rPr>
        <w:t xml:space="preserve">].  </w:t>
      </w:r>
      <w:r w:rsidR="00B0377C">
        <w:rPr>
          <w:sz w:val="20"/>
        </w:rPr>
        <w:t xml:space="preserve">The sample capsule was then removed from the glove box and positioned with the rest of the spectral apparatus.  Adjustments were made to avoid measuring reflections from the chamber.  Several </w:t>
      </w:r>
      <w:r w:rsidR="00B0377C">
        <w:rPr>
          <w:sz w:val="20"/>
        </w:rPr>
        <w:t>spectra of each grain were obtained to ensure repeatability.</w:t>
      </w:r>
    </w:p>
    <w:p w14:paraId="0E2FD04B" w14:textId="43E28A32" w:rsidR="00B0377C" w:rsidRDefault="00B0377C" w:rsidP="008F595A">
      <w:pPr>
        <w:ind w:firstLine="288"/>
        <w:jc w:val="both"/>
        <w:rPr>
          <w:sz w:val="20"/>
        </w:rPr>
      </w:pPr>
      <w:r w:rsidRPr="00DD7B15">
        <w:rPr>
          <w:sz w:val="20"/>
        </w:rPr>
        <w:t xml:space="preserve">The experimental </w:t>
      </w:r>
      <w:r>
        <w:rPr>
          <w:sz w:val="20"/>
        </w:rPr>
        <w:t>equipment</w:t>
      </w:r>
      <w:r w:rsidRPr="00DD7B15">
        <w:rPr>
          <w:sz w:val="20"/>
        </w:rPr>
        <w:t xml:space="preserve"> consist</w:t>
      </w:r>
      <w:r>
        <w:rPr>
          <w:sz w:val="20"/>
        </w:rPr>
        <w:t>ed</w:t>
      </w:r>
      <w:r w:rsidRPr="00DD7B15">
        <w:rPr>
          <w:sz w:val="20"/>
        </w:rPr>
        <w:t xml:space="preserve"> of a light source and </w:t>
      </w:r>
      <w:proofErr w:type="spellStart"/>
      <w:r>
        <w:rPr>
          <w:sz w:val="20"/>
        </w:rPr>
        <w:t>Avantes</w:t>
      </w:r>
      <w:proofErr w:type="spellEnd"/>
      <w:r>
        <w:rPr>
          <w:sz w:val="20"/>
        </w:rPr>
        <w:t xml:space="preserve"> </w:t>
      </w:r>
      <w:r w:rsidRPr="00DD7B15">
        <w:rPr>
          <w:sz w:val="20"/>
        </w:rPr>
        <w:t xml:space="preserve">spectrometer, fiber optic probes mounted on a goniometer, and </w:t>
      </w:r>
      <w:r>
        <w:rPr>
          <w:sz w:val="20"/>
        </w:rPr>
        <w:t>the</w:t>
      </w:r>
      <w:r w:rsidRPr="00DD7B15">
        <w:rPr>
          <w:sz w:val="20"/>
        </w:rPr>
        <w:t xml:space="preserve"> compact sample </w:t>
      </w:r>
      <w:r w:rsidRPr="00342668">
        <w:rPr>
          <w:sz w:val="20"/>
        </w:rPr>
        <w:t>capsule [</w:t>
      </w:r>
      <w:r w:rsidR="00860D46">
        <w:rPr>
          <w:sz w:val="20"/>
        </w:rPr>
        <w:t>3</w:t>
      </w:r>
      <w:r w:rsidRPr="00342668">
        <w:rPr>
          <w:sz w:val="20"/>
        </w:rPr>
        <w:t xml:space="preserve">]. </w:t>
      </w:r>
      <w:r>
        <w:rPr>
          <w:sz w:val="20"/>
        </w:rPr>
        <w:t xml:space="preserve">Both tungsten and deuterium </w:t>
      </w:r>
      <w:r w:rsidR="00F24995">
        <w:rPr>
          <w:sz w:val="20"/>
        </w:rPr>
        <w:t xml:space="preserve">lamps </w:t>
      </w:r>
      <w:r w:rsidRPr="00342668">
        <w:rPr>
          <w:sz w:val="20"/>
        </w:rPr>
        <w:t>were used</w:t>
      </w:r>
      <w:r>
        <w:rPr>
          <w:sz w:val="20"/>
        </w:rPr>
        <w:t xml:space="preserve"> to illuminate the sample across the full spectral region, through a sapphire window in the sample capsule.  </w:t>
      </w:r>
    </w:p>
    <w:p w14:paraId="00C27E55" w14:textId="36D8752F" w:rsidR="00B0377C" w:rsidRDefault="00B0377C" w:rsidP="008F595A">
      <w:pPr>
        <w:ind w:firstLine="288"/>
        <w:jc w:val="both"/>
        <w:rPr>
          <w:sz w:val="20"/>
        </w:rPr>
      </w:pPr>
      <w:r>
        <w:rPr>
          <w:sz w:val="20"/>
        </w:rPr>
        <w:t xml:space="preserve">Table I lists the 5 particles we received; sizes were roughly measured using scale information. We successfully </w:t>
      </w:r>
      <w:r w:rsidR="00DD71E6">
        <w:rPr>
          <w:sz w:val="20"/>
        </w:rPr>
        <w:t>obtained spectra of</w:t>
      </w:r>
      <w:r>
        <w:rPr>
          <w:sz w:val="20"/>
        </w:rPr>
        <w:t xml:space="preserve"> three of the particles.  The two smallest particles were, however, too small to </w:t>
      </w:r>
      <w:r w:rsidR="00063F73">
        <w:rPr>
          <w:sz w:val="20"/>
        </w:rPr>
        <w:t xml:space="preserve">provide sufficient signal to </w:t>
      </w:r>
      <w:r>
        <w:rPr>
          <w:sz w:val="20"/>
        </w:rPr>
        <w:t xml:space="preserve">measure successfully.  </w:t>
      </w:r>
    </w:p>
    <w:p w14:paraId="0D9DFB68" w14:textId="77777777" w:rsidR="00B0377C" w:rsidRDefault="00B0377C" w:rsidP="00B0377C">
      <w:pPr>
        <w:ind w:firstLine="288"/>
        <w:rPr>
          <w:sz w:val="20"/>
        </w:rPr>
      </w:pPr>
    </w:p>
    <w:p w14:paraId="3920746E" w14:textId="77777777" w:rsidR="00DD71E6" w:rsidRPr="00342668" w:rsidRDefault="00DD71E6" w:rsidP="00DD71E6">
      <w:pPr>
        <w:rPr>
          <w:sz w:val="20"/>
        </w:rPr>
      </w:pPr>
      <w:r w:rsidRPr="00342668">
        <w:rPr>
          <w:sz w:val="20"/>
        </w:rPr>
        <w:t xml:space="preserve">Table I. </w:t>
      </w:r>
      <w:proofErr w:type="spellStart"/>
      <w:r w:rsidRPr="00342668">
        <w:rPr>
          <w:sz w:val="20"/>
        </w:rPr>
        <w:t>Ryugu</w:t>
      </w:r>
      <w:proofErr w:type="spellEnd"/>
      <w:r w:rsidRPr="00342668">
        <w:rPr>
          <w:sz w:val="20"/>
        </w:rPr>
        <w:t xml:space="preserve"> Particles:</w:t>
      </w:r>
    </w:p>
    <w:p w14:paraId="2D1F7DFF" w14:textId="77777777" w:rsidR="00DD71E6" w:rsidRDefault="00DD71E6" w:rsidP="00DD71E6">
      <w:pPr>
        <w:rPr>
          <w:sz w:val="20"/>
        </w:rPr>
      </w:pPr>
    </w:p>
    <w:p w14:paraId="2C3177E7" w14:textId="77777777" w:rsidR="00DD71E6" w:rsidRPr="00F058E1" w:rsidRDefault="00DD71E6" w:rsidP="00DD71E6">
      <w:pPr>
        <w:rPr>
          <w:color w:val="000000"/>
          <w:sz w:val="20"/>
        </w:rPr>
      </w:pPr>
      <w:r w:rsidRPr="00244FFB">
        <w:rPr>
          <w:color w:val="000000"/>
          <w:sz w:val="20"/>
        </w:rPr>
        <w:t>Sample      length (</w:t>
      </w:r>
      <w:proofErr w:type="gramStart"/>
      <w:r w:rsidRPr="00244FFB">
        <w:rPr>
          <w:color w:val="000000"/>
          <w:sz w:val="20"/>
        </w:rPr>
        <w:t>µm)   </w:t>
      </w:r>
      <w:proofErr w:type="gramEnd"/>
      <w:r w:rsidRPr="00244FFB">
        <w:rPr>
          <w:color w:val="000000"/>
          <w:sz w:val="20"/>
        </w:rPr>
        <w:t>  width (µm)</w:t>
      </w:r>
    </w:p>
    <w:p w14:paraId="00D1B1B6" w14:textId="77777777" w:rsidR="00DD71E6" w:rsidRPr="00244FFB" w:rsidRDefault="00DD71E6" w:rsidP="00DD71E6">
      <w:pPr>
        <w:rPr>
          <w:sz w:val="20"/>
        </w:rPr>
      </w:pPr>
      <w:r w:rsidRPr="00244FFB">
        <w:rPr>
          <w:color w:val="000000"/>
          <w:sz w:val="20"/>
        </w:rPr>
        <w:br/>
        <w:t xml:space="preserve">A0055       </w:t>
      </w:r>
      <w:r>
        <w:rPr>
          <w:color w:val="000000"/>
          <w:sz w:val="20"/>
        </w:rPr>
        <w:t xml:space="preserve">     </w:t>
      </w:r>
      <w:r w:rsidRPr="00244FFB">
        <w:rPr>
          <w:color w:val="000000"/>
          <w:sz w:val="20"/>
        </w:rPr>
        <w:t xml:space="preserve">1090    </w:t>
      </w:r>
      <w:r w:rsidRPr="00F058E1">
        <w:rPr>
          <w:color w:val="000000"/>
          <w:sz w:val="20"/>
        </w:rPr>
        <w:tab/>
      </w:r>
      <w:r w:rsidRPr="00244FFB">
        <w:rPr>
          <w:color w:val="000000"/>
          <w:sz w:val="20"/>
        </w:rPr>
        <w:t>1037</w:t>
      </w:r>
      <w:r w:rsidRPr="00244FFB">
        <w:rPr>
          <w:color w:val="000000"/>
          <w:sz w:val="20"/>
        </w:rPr>
        <w:br/>
        <w:t xml:space="preserve">A0064       </w:t>
      </w:r>
      <w:r>
        <w:rPr>
          <w:color w:val="000000"/>
          <w:sz w:val="20"/>
        </w:rPr>
        <w:t xml:space="preserve">     </w:t>
      </w:r>
      <w:r w:rsidRPr="00244FFB">
        <w:rPr>
          <w:color w:val="000000"/>
          <w:sz w:val="20"/>
        </w:rPr>
        <w:t xml:space="preserve">1242    </w:t>
      </w:r>
      <w:r w:rsidRPr="00F058E1">
        <w:rPr>
          <w:color w:val="000000"/>
          <w:sz w:val="20"/>
        </w:rPr>
        <w:tab/>
      </w:r>
      <w:r w:rsidRPr="00244FFB">
        <w:rPr>
          <w:color w:val="000000"/>
          <w:sz w:val="20"/>
        </w:rPr>
        <w:t>936</w:t>
      </w:r>
      <w:r w:rsidRPr="00244FFB">
        <w:rPr>
          <w:color w:val="000000"/>
          <w:sz w:val="20"/>
        </w:rPr>
        <w:br/>
        <w:t>C0040      </w:t>
      </w:r>
      <w:r>
        <w:rPr>
          <w:color w:val="000000"/>
          <w:sz w:val="20"/>
        </w:rPr>
        <w:t xml:space="preserve">      </w:t>
      </w:r>
      <w:r w:rsidRPr="00244FFB">
        <w:rPr>
          <w:color w:val="000000"/>
          <w:sz w:val="20"/>
        </w:rPr>
        <w:t xml:space="preserve">1475    </w:t>
      </w:r>
      <w:r w:rsidRPr="00F058E1">
        <w:rPr>
          <w:color w:val="000000"/>
          <w:sz w:val="20"/>
        </w:rPr>
        <w:tab/>
      </w:r>
      <w:r w:rsidRPr="00244FFB">
        <w:rPr>
          <w:color w:val="000000"/>
          <w:sz w:val="20"/>
        </w:rPr>
        <w:t>688</w:t>
      </w:r>
      <w:r w:rsidRPr="00244FFB">
        <w:rPr>
          <w:color w:val="000000"/>
          <w:sz w:val="20"/>
        </w:rPr>
        <w:br/>
        <w:t xml:space="preserve">C0061a      </w:t>
      </w:r>
      <w:r>
        <w:rPr>
          <w:color w:val="000000"/>
          <w:sz w:val="20"/>
        </w:rPr>
        <w:t xml:space="preserve">     </w:t>
      </w:r>
      <w:r w:rsidRPr="00244FFB">
        <w:rPr>
          <w:color w:val="000000"/>
          <w:sz w:val="20"/>
        </w:rPr>
        <w:t xml:space="preserve">503     </w:t>
      </w:r>
      <w:r w:rsidRPr="00F058E1">
        <w:rPr>
          <w:color w:val="000000"/>
          <w:sz w:val="20"/>
        </w:rPr>
        <w:tab/>
      </w:r>
      <w:r w:rsidRPr="00244FFB">
        <w:rPr>
          <w:color w:val="000000"/>
          <w:sz w:val="20"/>
        </w:rPr>
        <w:t>426</w:t>
      </w:r>
      <w:r w:rsidRPr="00244FFB">
        <w:rPr>
          <w:color w:val="000000"/>
          <w:sz w:val="20"/>
        </w:rPr>
        <w:br/>
        <w:t xml:space="preserve">C0103       </w:t>
      </w:r>
      <w:r>
        <w:rPr>
          <w:color w:val="000000"/>
          <w:sz w:val="20"/>
        </w:rPr>
        <w:t xml:space="preserve">      </w:t>
      </w:r>
      <w:r w:rsidRPr="00244FFB">
        <w:rPr>
          <w:color w:val="000000"/>
          <w:sz w:val="20"/>
        </w:rPr>
        <w:t xml:space="preserve">798     </w:t>
      </w:r>
      <w:r w:rsidRPr="00F058E1">
        <w:rPr>
          <w:color w:val="000000"/>
          <w:sz w:val="20"/>
        </w:rPr>
        <w:tab/>
      </w:r>
      <w:r w:rsidRPr="00244FFB">
        <w:rPr>
          <w:color w:val="000000"/>
          <w:sz w:val="20"/>
        </w:rPr>
        <w:t>654</w:t>
      </w:r>
    </w:p>
    <w:p w14:paraId="32F6978B" w14:textId="77777777" w:rsidR="00DD71E6" w:rsidRPr="00063F73" w:rsidRDefault="00DD71E6" w:rsidP="00C22CA2">
      <w:pPr>
        <w:pStyle w:val="NormalWeb"/>
        <w:shd w:val="clear" w:color="auto" w:fill="FFFFFF"/>
        <w:spacing w:before="0" w:beforeAutospacing="0" w:after="0" w:afterAutospacing="0" w:line="240" w:lineRule="atLeast"/>
        <w:ind w:firstLine="288"/>
        <w:jc w:val="both"/>
        <w:rPr>
          <w:rFonts w:ascii="Times New Roman" w:hAnsi="Times New Roman" w:cs="Times New Roman"/>
          <w:sz w:val="20"/>
          <w:szCs w:val="20"/>
        </w:rPr>
      </w:pPr>
    </w:p>
    <w:p w14:paraId="285F6B2C" w14:textId="3225175C" w:rsidR="00063F73" w:rsidRPr="00063F73" w:rsidRDefault="00063F73" w:rsidP="00C22CA2">
      <w:pPr>
        <w:pStyle w:val="NormalWeb"/>
        <w:shd w:val="clear" w:color="auto" w:fill="FFFFFF"/>
        <w:spacing w:before="0" w:beforeAutospacing="0" w:after="0" w:afterAutospacing="0" w:line="240" w:lineRule="atLeast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063F73">
        <w:rPr>
          <w:rFonts w:ascii="Times New Roman" w:hAnsi="Times New Roman" w:cs="Times New Roman"/>
          <w:b/>
          <w:bCs/>
          <w:sz w:val="20"/>
          <w:szCs w:val="20"/>
        </w:rPr>
        <w:t>Interim Results:</w:t>
      </w:r>
      <w:r w:rsidRPr="00063F73">
        <w:rPr>
          <w:rFonts w:ascii="Times New Roman" w:hAnsi="Times New Roman" w:cs="Times New Roman"/>
          <w:sz w:val="20"/>
          <w:szCs w:val="20"/>
        </w:rPr>
        <w:t xml:space="preserve">  Because these </w:t>
      </w:r>
      <w:r w:rsidR="00634421">
        <w:rPr>
          <w:rFonts w:ascii="Times New Roman" w:hAnsi="Times New Roman" w:cs="Times New Roman"/>
          <w:sz w:val="20"/>
          <w:szCs w:val="20"/>
        </w:rPr>
        <w:t>particles</w:t>
      </w:r>
      <w:r w:rsidRPr="00063F73">
        <w:rPr>
          <w:rFonts w:ascii="Times New Roman" w:hAnsi="Times New Roman" w:cs="Times New Roman"/>
          <w:sz w:val="20"/>
          <w:szCs w:val="20"/>
        </w:rPr>
        <w:t xml:space="preserve"> </w:t>
      </w:r>
      <w:r w:rsidR="00634421">
        <w:rPr>
          <w:rFonts w:ascii="Times New Roman" w:hAnsi="Times New Roman" w:cs="Times New Roman"/>
          <w:sz w:val="20"/>
          <w:szCs w:val="20"/>
        </w:rPr>
        <w:t>had not been</w:t>
      </w:r>
      <w:r w:rsidRPr="00063F73">
        <w:rPr>
          <w:rFonts w:ascii="Times New Roman" w:hAnsi="Times New Roman" w:cs="Times New Roman"/>
          <w:sz w:val="20"/>
          <w:szCs w:val="20"/>
        </w:rPr>
        <w:t xml:space="preserve"> exposed to air, the best comparison sources for modeling the</w:t>
      </w:r>
      <w:r w:rsidR="00634421">
        <w:rPr>
          <w:rFonts w:ascii="Times New Roman" w:hAnsi="Times New Roman" w:cs="Times New Roman"/>
          <w:sz w:val="20"/>
          <w:szCs w:val="20"/>
        </w:rPr>
        <w:t>ir</w:t>
      </w:r>
      <w:r w:rsidRPr="00063F73">
        <w:rPr>
          <w:rFonts w:ascii="Times New Roman" w:hAnsi="Times New Roman" w:cs="Times New Roman"/>
          <w:sz w:val="20"/>
          <w:szCs w:val="20"/>
        </w:rPr>
        <w:t xml:space="preserve"> spectra are spectra of samples not exposed to air</w:t>
      </w:r>
      <w:r w:rsidR="008664CD">
        <w:rPr>
          <w:rFonts w:ascii="Times New Roman" w:hAnsi="Times New Roman" w:cs="Times New Roman"/>
          <w:sz w:val="20"/>
          <w:szCs w:val="20"/>
        </w:rPr>
        <w:t>,</w:t>
      </w:r>
      <w:r w:rsidR="008546DC">
        <w:rPr>
          <w:rFonts w:ascii="Times New Roman" w:hAnsi="Times New Roman" w:cs="Times New Roman"/>
          <w:sz w:val="20"/>
          <w:szCs w:val="20"/>
        </w:rPr>
        <w:t xml:space="preserve"> or planetary objects themselves</w:t>
      </w:r>
      <w:r w:rsidRPr="00063F73">
        <w:rPr>
          <w:rFonts w:ascii="Times New Roman" w:hAnsi="Times New Roman" w:cs="Times New Roman"/>
          <w:sz w:val="20"/>
          <w:szCs w:val="20"/>
        </w:rPr>
        <w:t xml:space="preserve">.  We have been acquiring spectra of terrestrial and meteoritic samples under inert gas conditions through the NUV, as these spectra have not been acquired prior to this attempt.  </w:t>
      </w:r>
      <w:r w:rsidR="008546DC">
        <w:rPr>
          <w:rFonts w:ascii="Times New Roman" w:hAnsi="Times New Roman" w:cs="Times New Roman"/>
          <w:sz w:val="20"/>
          <w:szCs w:val="20"/>
        </w:rPr>
        <w:t xml:space="preserve">We have also been comparing the </w:t>
      </w:r>
      <w:proofErr w:type="spellStart"/>
      <w:r w:rsidR="008546DC">
        <w:rPr>
          <w:rFonts w:ascii="Times New Roman" w:hAnsi="Times New Roman" w:cs="Times New Roman"/>
          <w:sz w:val="20"/>
          <w:szCs w:val="20"/>
        </w:rPr>
        <w:t>Ryugu</w:t>
      </w:r>
      <w:proofErr w:type="spellEnd"/>
      <w:r w:rsidR="008546DC">
        <w:rPr>
          <w:rFonts w:ascii="Times New Roman" w:hAnsi="Times New Roman" w:cs="Times New Roman"/>
          <w:sz w:val="20"/>
          <w:szCs w:val="20"/>
        </w:rPr>
        <w:t xml:space="preserve"> laboratory spectra to the UV asteroid spectra we have from space-based observations.  Figure 1 shows four spectra of </w:t>
      </w:r>
      <w:proofErr w:type="spellStart"/>
      <w:r w:rsidR="008546DC">
        <w:rPr>
          <w:rFonts w:ascii="Times New Roman" w:hAnsi="Times New Roman" w:cs="Times New Roman"/>
          <w:sz w:val="20"/>
          <w:szCs w:val="20"/>
        </w:rPr>
        <w:t>Ryugu</w:t>
      </w:r>
      <w:proofErr w:type="spellEnd"/>
      <w:r w:rsidR="008546DC">
        <w:rPr>
          <w:rFonts w:ascii="Times New Roman" w:hAnsi="Times New Roman" w:cs="Times New Roman"/>
          <w:sz w:val="20"/>
          <w:szCs w:val="20"/>
        </w:rPr>
        <w:t xml:space="preserve"> chip A0055</w:t>
      </w:r>
      <w:r w:rsidR="005634E5">
        <w:rPr>
          <w:rFonts w:ascii="Times New Roman" w:hAnsi="Times New Roman" w:cs="Times New Roman"/>
          <w:sz w:val="20"/>
          <w:szCs w:val="20"/>
        </w:rPr>
        <w:t>, demonstrating rough repeatability in the</w:t>
      </w:r>
      <w:r w:rsidR="008546DC">
        <w:rPr>
          <w:rFonts w:ascii="Times New Roman" w:hAnsi="Times New Roman" w:cs="Times New Roman"/>
          <w:sz w:val="20"/>
          <w:szCs w:val="20"/>
        </w:rPr>
        <w:t xml:space="preserve"> </w:t>
      </w:r>
      <w:r w:rsidR="005634E5">
        <w:rPr>
          <w:rFonts w:ascii="Times New Roman" w:hAnsi="Times New Roman" w:cs="Times New Roman"/>
          <w:sz w:val="20"/>
          <w:szCs w:val="20"/>
        </w:rPr>
        <w:t xml:space="preserve">spectra of the chip.  </w:t>
      </w:r>
      <w:r w:rsidR="0047000E">
        <w:rPr>
          <w:rFonts w:ascii="Times New Roman" w:hAnsi="Times New Roman" w:cs="Times New Roman"/>
          <w:sz w:val="20"/>
          <w:szCs w:val="20"/>
        </w:rPr>
        <w:t>The figure also</w:t>
      </w:r>
      <w:r w:rsidR="005634E5">
        <w:rPr>
          <w:rFonts w:ascii="Times New Roman" w:hAnsi="Times New Roman" w:cs="Times New Roman"/>
          <w:sz w:val="20"/>
          <w:szCs w:val="20"/>
        </w:rPr>
        <w:t xml:space="preserve"> </w:t>
      </w:r>
      <w:r w:rsidR="008546DC">
        <w:rPr>
          <w:rFonts w:ascii="Times New Roman" w:hAnsi="Times New Roman" w:cs="Times New Roman"/>
          <w:sz w:val="20"/>
          <w:szCs w:val="20"/>
        </w:rPr>
        <w:t>compare</w:t>
      </w:r>
      <w:r w:rsidR="005634E5">
        <w:rPr>
          <w:rFonts w:ascii="Times New Roman" w:hAnsi="Times New Roman" w:cs="Times New Roman"/>
          <w:sz w:val="20"/>
          <w:szCs w:val="20"/>
        </w:rPr>
        <w:t>s these spectra</w:t>
      </w:r>
      <w:r w:rsidR="008546DC">
        <w:rPr>
          <w:rFonts w:ascii="Times New Roman" w:hAnsi="Times New Roman" w:cs="Times New Roman"/>
          <w:sz w:val="20"/>
          <w:szCs w:val="20"/>
        </w:rPr>
        <w:t xml:space="preserve"> to IUE spectra of B-class asteroids [2]</w:t>
      </w:r>
      <w:r w:rsidR="005634E5">
        <w:rPr>
          <w:rFonts w:ascii="Times New Roman" w:hAnsi="Times New Roman" w:cs="Times New Roman"/>
          <w:sz w:val="20"/>
          <w:szCs w:val="20"/>
        </w:rPr>
        <w:t xml:space="preserve">. </w:t>
      </w:r>
      <w:r w:rsidR="008664CD">
        <w:rPr>
          <w:rFonts w:ascii="Times New Roman" w:hAnsi="Times New Roman" w:cs="Times New Roman"/>
          <w:sz w:val="20"/>
          <w:szCs w:val="20"/>
        </w:rPr>
        <w:t xml:space="preserve"> T</w:t>
      </w:r>
      <w:r w:rsidR="005634E5">
        <w:rPr>
          <w:rFonts w:ascii="Times New Roman" w:hAnsi="Times New Roman" w:cs="Times New Roman"/>
          <w:sz w:val="20"/>
          <w:szCs w:val="20"/>
        </w:rPr>
        <w:t>he similarities to the B-class asteroids</w:t>
      </w:r>
      <w:r w:rsidR="008664CD">
        <w:rPr>
          <w:rFonts w:ascii="Times New Roman" w:hAnsi="Times New Roman" w:cs="Times New Roman"/>
          <w:sz w:val="20"/>
          <w:szCs w:val="20"/>
        </w:rPr>
        <w:t xml:space="preserve"> in the NUV lend support to the </w:t>
      </w:r>
      <w:r w:rsidR="0047000E">
        <w:rPr>
          <w:rFonts w:ascii="Times New Roman" w:hAnsi="Times New Roman" w:cs="Times New Roman"/>
          <w:sz w:val="20"/>
          <w:szCs w:val="20"/>
        </w:rPr>
        <w:t>presence of absorption features</w:t>
      </w:r>
      <w:r w:rsidR="00EF3A62">
        <w:rPr>
          <w:rFonts w:ascii="Times New Roman" w:hAnsi="Times New Roman" w:cs="Times New Roman"/>
          <w:sz w:val="20"/>
          <w:szCs w:val="20"/>
        </w:rPr>
        <w:t xml:space="preserve"> in the NUV spectral </w:t>
      </w:r>
      <w:r w:rsidR="00EF3A62">
        <w:rPr>
          <w:rFonts w:ascii="Times New Roman" w:hAnsi="Times New Roman" w:cs="Times New Roman"/>
          <w:sz w:val="20"/>
          <w:szCs w:val="20"/>
        </w:rPr>
        <w:lastRenderedPageBreak/>
        <w:t>region of the B-class asteroids [</w:t>
      </w:r>
      <w:r w:rsidR="003E0719">
        <w:rPr>
          <w:rFonts w:ascii="Times New Roman" w:hAnsi="Times New Roman" w:cs="Times New Roman"/>
          <w:sz w:val="20"/>
          <w:szCs w:val="20"/>
        </w:rPr>
        <w:t>2] and additional information about the</w:t>
      </w:r>
      <w:r w:rsidR="00295941">
        <w:rPr>
          <w:rFonts w:ascii="Times New Roman" w:hAnsi="Times New Roman" w:cs="Times New Roman"/>
          <w:sz w:val="20"/>
          <w:szCs w:val="20"/>
        </w:rPr>
        <w:t xml:space="preserve"> attr</w:t>
      </w:r>
      <w:r w:rsidR="00560479">
        <w:rPr>
          <w:rFonts w:ascii="Times New Roman" w:hAnsi="Times New Roman" w:cs="Times New Roman"/>
          <w:sz w:val="20"/>
          <w:szCs w:val="20"/>
        </w:rPr>
        <w:t>i</w:t>
      </w:r>
      <w:r w:rsidR="00295941">
        <w:rPr>
          <w:rFonts w:ascii="Times New Roman" w:hAnsi="Times New Roman" w:cs="Times New Roman"/>
          <w:sz w:val="20"/>
          <w:szCs w:val="20"/>
        </w:rPr>
        <w:t>butes of these asteroids</w:t>
      </w:r>
      <w:r w:rsidR="00BB2E23">
        <w:rPr>
          <w:rFonts w:ascii="Times New Roman" w:hAnsi="Times New Roman" w:cs="Times New Roman"/>
          <w:sz w:val="20"/>
          <w:szCs w:val="20"/>
        </w:rPr>
        <w:t>.</w:t>
      </w:r>
      <w:r w:rsidR="003E0719">
        <w:rPr>
          <w:rFonts w:ascii="Times New Roman" w:hAnsi="Times New Roman" w:cs="Times New Roman"/>
          <w:sz w:val="20"/>
          <w:szCs w:val="20"/>
        </w:rPr>
        <w:t xml:space="preserve"> </w:t>
      </w:r>
      <w:r w:rsidR="008546DC">
        <w:rPr>
          <w:rFonts w:ascii="Times New Roman" w:hAnsi="Times New Roman" w:cs="Times New Roman"/>
          <w:sz w:val="20"/>
          <w:szCs w:val="20"/>
        </w:rPr>
        <w:t xml:space="preserve"> </w:t>
      </w:r>
      <w:r w:rsidR="00913D52">
        <w:rPr>
          <w:rFonts w:ascii="Times New Roman" w:hAnsi="Times New Roman" w:cs="Times New Roman"/>
          <w:sz w:val="20"/>
          <w:szCs w:val="20"/>
        </w:rPr>
        <w:t xml:space="preserve">To date, we find no sign of graphitization. </w:t>
      </w:r>
      <w:r w:rsidRPr="00063F73">
        <w:rPr>
          <w:rFonts w:ascii="Times New Roman" w:hAnsi="Times New Roman" w:cs="Times New Roman"/>
          <w:sz w:val="20"/>
          <w:szCs w:val="20"/>
        </w:rPr>
        <w:t>The</w:t>
      </w:r>
      <w:r w:rsidR="008664CD">
        <w:rPr>
          <w:rFonts w:ascii="Times New Roman" w:hAnsi="Times New Roman" w:cs="Times New Roman"/>
          <w:sz w:val="20"/>
          <w:szCs w:val="20"/>
        </w:rPr>
        <w:t>se are preliminary results;</w:t>
      </w:r>
      <w:r w:rsidRPr="00063F73">
        <w:rPr>
          <w:rFonts w:ascii="Times New Roman" w:hAnsi="Times New Roman" w:cs="Times New Roman"/>
          <w:sz w:val="20"/>
          <w:szCs w:val="20"/>
        </w:rPr>
        <w:t xml:space="preserve"> current results will be presented</w:t>
      </w:r>
      <w:r w:rsidR="002147F4">
        <w:rPr>
          <w:rFonts w:ascii="Times New Roman" w:hAnsi="Times New Roman" w:cs="Times New Roman"/>
          <w:sz w:val="20"/>
          <w:szCs w:val="20"/>
        </w:rPr>
        <w:t>.</w:t>
      </w:r>
      <w:r w:rsidRPr="00063F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08109F" w14:textId="0E74153C" w:rsidR="00C22CA2" w:rsidRPr="00860D46" w:rsidRDefault="00C22CA2" w:rsidP="007C4B86">
      <w:pPr>
        <w:pStyle w:val="NormalWeb"/>
        <w:shd w:val="clear" w:color="auto" w:fill="FFFFFF"/>
        <w:spacing w:before="0" w:beforeAutospacing="0" w:after="0" w:afterAutospacing="0" w:line="240" w:lineRule="atLeast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C22CA2">
        <w:rPr>
          <w:rFonts w:ascii="Times New Roman" w:hAnsi="Times New Roman" w:cs="Times New Roman"/>
          <w:b/>
          <w:sz w:val="20"/>
          <w:szCs w:val="20"/>
        </w:rPr>
        <w:t>Acknowledgments:</w:t>
      </w:r>
      <w:r w:rsidRPr="00C22CA2">
        <w:rPr>
          <w:rFonts w:ascii="Times New Roman" w:hAnsi="Times New Roman" w:cs="Times New Roman"/>
          <w:sz w:val="20"/>
          <w:szCs w:val="20"/>
        </w:rPr>
        <w:t xml:space="preserve"> </w:t>
      </w:r>
      <w:r w:rsidR="00860D46" w:rsidRPr="00BB2E23">
        <w:rPr>
          <w:rFonts w:ascii="Times New Roman" w:hAnsi="Times New Roman" w:cs="Times New Roman"/>
          <w:sz w:val="20"/>
          <w:szCs w:val="20"/>
        </w:rPr>
        <w:t xml:space="preserve">This work was funded by NASA through the SSERVI </w:t>
      </w:r>
      <w:r w:rsidR="00860D46">
        <w:rPr>
          <w:rFonts w:ascii="Times New Roman" w:hAnsi="Times New Roman" w:cs="Times New Roman"/>
          <w:sz w:val="20"/>
          <w:szCs w:val="20"/>
        </w:rPr>
        <w:t xml:space="preserve">Toolbox for Research and Exploration program </w:t>
      </w:r>
      <w:r w:rsidR="00860D46" w:rsidRPr="00BB2E23">
        <w:rPr>
          <w:rFonts w:ascii="Times New Roman" w:hAnsi="Times New Roman" w:cs="Times New Roman"/>
          <w:sz w:val="20"/>
          <w:szCs w:val="20"/>
        </w:rPr>
        <w:t>(NNH16ZDA001N)</w:t>
      </w:r>
      <w:r w:rsidR="00860D46">
        <w:rPr>
          <w:rFonts w:ascii="Times New Roman" w:hAnsi="Times New Roman" w:cs="Times New Roman"/>
          <w:sz w:val="20"/>
          <w:szCs w:val="20"/>
        </w:rPr>
        <w:t>.</w:t>
      </w:r>
      <w:r w:rsidR="008546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236DC4" w14:textId="6E53A485" w:rsidR="00C22CA2" w:rsidRPr="00C22CA2" w:rsidRDefault="00C22CA2" w:rsidP="007C4B86">
      <w:pPr>
        <w:spacing w:line="240" w:lineRule="atLeast"/>
        <w:ind w:firstLine="288"/>
        <w:jc w:val="both"/>
        <w:rPr>
          <w:sz w:val="20"/>
        </w:rPr>
      </w:pPr>
      <w:r w:rsidRPr="00C22CA2">
        <w:rPr>
          <w:b/>
          <w:sz w:val="20"/>
        </w:rPr>
        <w:t>References:</w:t>
      </w:r>
      <w:r w:rsidRPr="00C22CA2">
        <w:rPr>
          <w:sz w:val="20"/>
        </w:rPr>
        <w:t xml:space="preserve"> [1] </w:t>
      </w:r>
      <w:r w:rsidR="002147F4">
        <w:rPr>
          <w:sz w:val="20"/>
        </w:rPr>
        <w:t>Nakamura T.</w:t>
      </w:r>
      <w:r w:rsidRPr="00C22CA2">
        <w:rPr>
          <w:sz w:val="20"/>
        </w:rPr>
        <w:t xml:space="preserve"> </w:t>
      </w:r>
      <w:r w:rsidR="002147F4">
        <w:rPr>
          <w:sz w:val="20"/>
        </w:rPr>
        <w:t xml:space="preserve">et al. Submitted. </w:t>
      </w:r>
      <w:r w:rsidR="002147F4" w:rsidRPr="008F595A">
        <w:rPr>
          <w:i/>
          <w:iCs/>
          <w:sz w:val="20"/>
        </w:rPr>
        <w:t>Science</w:t>
      </w:r>
      <w:r w:rsidR="002147F4">
        <w:rPr>
          <w:sz w:val="20"/>
        </w:rPr>
        <w:t xml:space="preserve">. </w:t>
      </w:r>
      <w:r w:rsidRPr="00C22CA2">
        <w:rPr>
          <w:sz w:val="20"/>
        </w:rPr>
        <w:t>(</w:t>
      </w:r>
      <w:r w:rsidR="002147F4">
        <w:rPr>
          <w:sz w:val="20"/>
        </w:rPr>
        <w:t>2022</w:t>
      </w:r>
      <w:r w:rsidRPr="00C22CA2">
        <w:rPr>
          <w:sz w:val="20"/>
        </w:rPr>
        <w:t>) [2] </w:t>
      </w:r>
      <w:r w:rsidR="002B1E94">
        <w:rPr>
          <w:sz w:val="20"/>
        </w:rPr>
        <w:t>Hendrix A. R. and Vilas F.</w:t>
      </w:r>
      <w:r w:rsidRPr="00C22CA2">
        <w:rPr>
          <w:sz w:val="20"/>
        </w:rPr>
        <w:t xml:space="preserve"> (</w:t>
      </w:r>
      <w:r w:rsidR="002B1E94">
        <w:rPr>
          <w:sz w:val="20"/>
        </w:rPr>
        <w:t>2019</w:t>
      </w:r>
      <w:r w:rsidRPr="00C22CA2">
        <w:rPr>
          <w:sz w:val="20"/>
        </w:rPr>
        <w:t xml:space="preserve">) </w:t>
      </w:r>
      <w:proofErr w:type="spellStart"/>
      <w:r w:rsidR="002B1E94">
        <w:rPr>
          <w:i/>
          <w:sz w:val="20"/>
        </w:rPr>
        <w:t>Geophys</w:t>
      </w:r>
      <w:proofErr w:type="spellEnd"/>
      <w:r w:rsidR="002B1E94">
        <w:rPr>
          <w:i/>
          <w:sz w:val="20"/>
        </w:rPr>
        <w:t>. Res. Lett.</w:t>
      </w:r>
      <w:r w:rsidRPr="00C22CA2">
        <w:rPr>
          <w:i/>
          <w:sz w:val="20"/>
        </w:rPr>
        <w:t xml:space="preserve">, </w:t>
      </w:r>
      <w:r w:rsidR="002B1E94">
        <w:rPr>
          <w:i/>
          <w:sz w:val="20"/>
        </w:rPr>
        <w:t>46</w:t>
      </w:r>
      <w:r w:rsidRPr="00C22CA2">
        <w:rPr>
          <w:sz w:val="20"/>
        </w:rPr>
        <w:t>. [3] </w:t>
      </w:r>
      <w:r w:rsidR="004B4A66">
        <w:rPr>
          <w:sz w:val="20"/>
        </w:rPr>
        <w:t xml:space="preserve">Jaramillo C. </w:t>
      </w:r>
      <w:r w:rsidR="004B4A66" w:rsidRPr="004B4A66">
        <w:rPr>
          <w:i/>
          <w:iCs/>
          <w:sz w:val="20"/>
        </w:rPr>
        <w:t>et al.</w:t>
      </w:r>
      <w:r w:rsidRPr="00C22CA2">
        <w:rPr>
          <w:sz w:val="20"/>
        </w:rPr>
        <w:t xml:space="preserve"> (20</w:t>
      </w:r>
      <w:r w:rsidR="004B4A66">
        <w:rPr>
          <w:sz w:val="20"/>
        </w:rPr>
        <w:t>21</w:t>
      </w:r>
      <w:r w:rsidRPr="00C22CA2">
        <w:rPr>
          <w:sz w:val="20"/>
        </w:rPr>
        <w:t xml:space="preserve">) </w:t>
      </w:r>
      <w:r w:rsidR="004B4A66">
        <w:rPr>
          <w:i/>
          <w:sz w:val="20"/>
        </w:rPr>
        <w:t>AGUFM</w:t>
      </w:r>
      <w:r w:rsidRPr="00C22CA2">
        <w:rPr>
          <w:i/>
          <w:sz w:val="20"/>
        </w:rPr>
        <w:t>,</w:t>
      </w:r>
      <w:r w:rsidR="005846BB">
        <w:rPr>
          <w:i/>
          <w:sz w:val="20"/>
        </w:rPr>
        <w:t xml:space="preserve"> P11A-06</w:t>
      </w:r>
      <w:r w:rsidRPr="00C22CA2">
        <w:rPr>
          <w:sz w:val="20"/>
        </w:rPr>
        <w:t>.</w:t>
      </w:r>
    </w:p>
    <w:p w14:paraId="6D2F932F" w14:textId="7B61F046" w:rsidR="006824D5" w:rsidRDefault="006824D5" w:rsidP="00C22CA2">
      <w:pPr>
        <w:pStyle w:val="NoSpacing"/>
        <w:ind w:firstLine="288"/>
        <w:jc w:val="both"/>
        <w:rPr>
          <w:rFonts w:ascii="Times New Roman" w:hAnsi="Times New Roman"/>
        </w:rPr>
      </w:pPr>
    </w:p>
    <w:p w14:paraId="774BA35D" w14:textId="5623EABA" w:rsidR="00EB55A6" w:rsidRDefault="00EB55A6" w:rsidP="00C22CA2">
      <w:pPr>
        <w:pStyle w:val="NoSpacing"/>
        <w:ind w:firstLine="288"/>
        <w:jc w:val="both"/>
        <w:rPr>
          <w:rFonts w:ascii="Times New Roman" w:hAnsi="Times New Roman"/>
        </w:rPr>
      </w:pPr>
    </w:p>
    <w:p w14:paraId="3AF0CEBE" w14:textId="364F0EE8" w:rsidR="00EB55A6" w:rsidRDefault="004A7876" w:rsidP="00C22CA2">
      <w:pPr>
        <w:pStyle w:val="NoSpacing"/>
        <w:ind w:firstLine="28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4F20601" wp14:editId="0AA4A093">
            <wp:extent cx="4527029" cy="35048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2940" cy="353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BA86F" w14:textId="27625B38" w:rsidR="00327069" w:rsidRDefault="00327069" w:rsidP="00C22CA2">
      <w:pPr>
        <w:pStyle w:val="NoSpacing"/>
        <w:ind w:firstLine="288"/>
        <w:jc w:val="both"/>
        <w:rPr>
          <w:rFonts w:ascii="Times New Roman" w:hAnsi="Times New Roman"/>
        </w:rPr>
      </w:pPr>
    </w:p>
    <w:p w14:paraId="03523AD4" w14:textId="4D2ECC34" w:rsidR="00327069" w:rsidRPr="00C22CA2" w:rsidRDefault="00327069" w:rsidP="00C22CA2">
      <w:pPr>
        <w:pStyle w:val="NoSpacing"/>
        <w:ind w:firstLine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Fig. 1.  Four reflectance spectra of </w:t>
      </w:r>
      <w:proofErr w:type="spellStart"/>
      <w:r>
        <w:rPr>
          <w:rFonts w:ascii="Times New Roman" w:hAnsi="Times New Roman"/>
        </w:rPr>
        <w:t>Ryugu</w:t>
      </w:r>
      <w:proofErr w:type="spellEnd"/>
      <w:r>
        <w:rPr>
          <w:rFonts w:ascii="Times New Roman" w:hAnsi="Times New Roman"/>
        </w:rPr>
        <w:t xml:space="preserve"> chip A0055 plotted with UV/VIS reflectance spectra of B-class asteroids </w:t>
      </w:r>
      <w:r w:rsidR="004A37EF">
        <w:rPr>
          <w:rFonts w:ascii="Times New Roman" w:hAnsi="Times New Roman"/>
        </w:rPr>
        <w:t>(</w:t>
      </w:r>
      <w:r>
        <w:rPr>
          <w:rFonts w:ascii="Times New Roman" w:hAnsi="Times New Roman"/>
        </w:rPr>
        <w:t>88</w:t>
      </w:r>
      <w:r w:rsidR="004A37E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Thisbe, </w:t>
      </w:r>
      <w:r w:rsidR="004A37EF">
        <w:rPr>
          <w:rFonts w:ascii="Times New Roman" w:hAnsi="Times New Roman"/>
        </w:rPr>
        <w:t>(</w:t>
      </w:r>
      <w:r>
        <w:rPr>
          <w:rFonts w:ascii="Times New Roman" w:hAnsi="Times New Roman"/>
        </w:rPr>
        <w:t>702</w:t>
      </w:r>
      <w:r w:rsidR="004A37E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Alauda</w:t>
      </w:r>
      <w:r w:rsidR="009A2A20">
        <w:rPr>
          <w:rFonts w:ascii="Times New Roman" w:hAnsi="Times New Roman"/>
        </w:rPr>
        <w:t xml:space="preserve">, and </w:t>
      </w:r>
      <w:r w:rsidR="004A37EF">
        <w:rPr>
          <w:rFonts w:ascii="Times New Roman" w:hAnsi="Times New Roman"/>
        </w:rPr>
        <w:t>(</w:t>
      </w:r>
      <w:r w:rsidR="009A2A20">
        <w:rPr>
          <w:rFonts w:ascii="Times New Roman" w:hAnsi="Times New Roman"/>
        </w:rPr>
        <w:t>704</w:t>
      </w:r>
      <w:r w:rsidR="004A37EF">
        <w:rPr>
          <w:rFonts w:ascii="Times New Roman" w:hAnsi="Times New Roman"/>
        </w:rPr>
        <w:t>)</w:t>
      </w:r>
      <w:r w:rsidR="009A2A20">
        <w:rPr>
          <w:rFonts w:ascii="Times New Roman" w:hAnsi="Times New Roman"/>
        </w:rPr>
        <w:t xml:space="preserve"> </w:t>
      </w:r>
      <w:proofErr w:type="spellStart"/>
      <w:r w:rsidR="009A2A20">
        <w:rPr>
          <w:rFonts w:ascii="Times New Roman" w:hAnsi="Times New Roman"/>
        </w:rPr>
        <w:t>Interamnia</w:t>
      </w:r>
      <w:proofErr w:type="spellEnd"/>
      <w:r w:rsidR="009A2A20">
        <w:rPr>
          <w:rFonts w:ascii="Times New Roman" w:hAnsi="Times New Roman"/>
        </w:rPr>
        <w:t>.</w:t>
      </w:r>
    </w:p>
    <w:sectPr w:rsidR="00327069" w:rsidRPr="00C22CA2" w:rsidSect="00C22CA2">
      <w:type w:val="continuous"/>
      <w:pgSz w:w="12240" w:h="15840"/>
      <w:pgMar w:top="1440" w:right="1440" w:bottom="1440" w:left="1440" w:header="720" w:footer="720" w:gutter="0"/>
      <w:cols w:num="2" w:space="4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ED22" w14:textId="77777777" w:rsidR="00D64178" w:rsidRDefault="00D64178">
      <w:r>
        <w:separator/>
      </w:r>
    </w:p>
  </w:endnote>
  <w:endnote w:type="continuationSeparator" w:id="0">
    <w:p w14:paraId="2F8B17FA" w14:textId="77777777" w:rsidR="00D64178" w:rsidRDefault="00D6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Body CS)">
    <w:altName w:val="Times New Roman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D6D5" w14:textId="77777777" w:rsidR="006A128D" w:rsidRDefault="006A12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D49A" w14:textId="77777777" w:rsidR="00D64178" w:rsidRDefault="00D64178">
      <w:r>
        <w:separator/>
      </w:r>
    </w:p>
  </w:footnote>
  <w:footnote w:type="continuationSeparator" w:id="0">
    <w:p w14:paraId="00681D4F" w14:textId="77777777" w:rsidR="00D64178" w:rsidRDefault="00D6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BCB8" w14:textId="77777777" w:rsidR="006A128D" w:rsidRDefault="006A128D">
    <w:pPr>
      <w:pStyle w:val="Header"/>
      <w:jc w:val="center"/>
    </w:pPr>
    <w: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A2"/>
    <w:rsid w:val="000029E0"/>
    <w:rsid w:val="000275A9"/>
    <w:rsid w:val="00063F73"/>
    <w:rsid w:val="0009515C"/>
    <w:rsid w:val="000A5A24"/>
    <w:rsid w:val="000A76A6"/>
    <w:rsid w:val="00120580"/>
    <w:rsid w:val="001510C6"/>
    <w:rsid w:val="001C6380"/>
    <w:rsid w:val="002147F4"/>
    <w:rsid w:val="002412FE"/>
    <w:rsid w:val="00266950"/>
    <w:rsid w:val="00295941"/>
    <w:rsid w:val="002B1E94"/>
    <w:rsid w:val="00327069"/>
    <w:rsid w:val="00393D80"/>
    <w:rsid w:val="003A58C1"/>
    <w:rsid w:val="003B07C0"/>
    <w:rsid w:val="003E0719"/>
    <w:rsid w:val="00425AA0"/>
    <w:rsid w:val="0047000E"/>
    <w:rsid w:val="004A37EF"/>
    <w:rsid w:val="004A7876"/>
    <w:rsid w:val="004B4A66"/>
    <w:rsid w:val="00560479"/>
    <w:rsid w:val="005634E5"/>
    <w:rsid w:val="005846BB"/>
    <w:rsid w:val="00622526"/>
    <w:rsid w:val="00634421"/>
    <w:rsid w:val="006608F4"/>
    <w:rsid w:val="006824D5"/>
    <w:rsid w:val="006A128D"/>
    <w:rsid w:val="007666A2"/>
    <w:rsid w:val="00792E20"/>
    <w:rsid w:val="007B5FDB"/>
    <w:rsid w:val="007C4B86"/>
    <w:rsid w:val="00816613"/>
    <w:rsid w:val="008546DC"/>
    <w:rsid w:val="00860D46"/>
    <w:rsid w:val="008664CD"/>
    <w:rsid w:val="008F595A"/>
    <w:rsid w:val="00913D52"/>
    <w:rsid w:val="00922043"/>
    <w:rsid w:val="009A2A20"/>
    <w:rsid w:val="00A35664"/>
    <w:rsid w:val="00A365A6"/>
    <w:rsid w:val="00A4519B"/>
    <w:rsid w:val="00A8408A"/>
    <w:rsid w:val="00A94769"/>
    <w:rsid w:val="00AB69BF"/>
    <w:rsid w:val="00AC5C33"/>
    <w:rsid w:val="00B0377C"/>
    <w:rsid w:val="00B26AF6"/>
    <w:rsid w:val="00B81EE3"/>
    <w:rsid w:val="00BB11C1"/>
    <w:rsid w:val="00BB2E23"/>
    <w:rsid w:val="00C22CA2"/>
    <w:rsid w:val="00C40E93"/>
    <w:rsid w:val="00CE15F3"/>
    <w:rsid w:val="00CF2D6B"/>
    <w:rsid w:val="00D64178"/>
    <w:rsid w:val="00DD71E6"/>
    <w:rsid w:val="00E43065"/>
    <w:rsid w:val="00E974B7"/>
    <w:rsid w:val="00EB55A6"/>
    <w:rsid w:val="00EC3001"/>
    <w:rsid w:val="00EF3A62"/>
    <w:rsid w:val="00EF3C3E"/>
    <w:rsid w:val="00F0047B"/>
    <w:rsid w:val="00F24995"/>
    <w:rsid w:val="00FA25EC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38A09"/>
  <w14:defaultImageDpi w14:val="0"/>
  <w15:docId w15:val="{265F17DB-641F-413D-82F7-EA6C782C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A2"/>
    <w:rPr>
      <w:rFonts w:ascii="Times New Roman" w:hAnsi="Times New Roman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3065"/>
    <w:rPr>
      <w:rFonts w:asciiTheme="minorHAnsi" w:hAnsiTheme="minorHAnsi" w:cs="Times New Roman"/>
      <w:color w:val="0000FF"/>
      <w:u w:val="single"/>
    </w:rPr>
  </w:style>
  <w:style w:type="paragraph" w:styleId="NoSpacing">
    <w:name w:val="No Spacing"/>
    <w:uiPriority w:val="1"/>
    <w:qFormat/>
    <w:rsid w:val="003A58C1"/>
    <w:rPr>
      <w:rFonts w:eastAsiaTheme="minorEastAsia" w:cs="Times New Roman"/>
    </w:rPr>
  </w:style>
  <w:style w:type="table" w:customStyle="1" w:styleId="Style1">
    <w:name w:val="Style1"/>
    <w:basedOn w:val="TableNormal"/>
    <w:uiPriority w:val="99"/>
    <w:rsid w:val="002412FE"/>
    <w:rPr>
      <w:rFonts w:eastAsiaTheme="minorEastAsia" w:cs="Times New Roman"/>
      <w:color w:val="000000" w:themeColor="text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cs="Times New Roman"/>
        <w:b/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Horz">
      <w:rPr>
        <w:rFonts w:cs="Times New Roman"/>
      </w:rPr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E15F3"/>
    <w:rPr>
      <w:rFonts w:eastAsiaTheme="minorEastAsia" w:cs="Times New Roman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 w:themeFill="accent6" w:themeFillTint="33"/>
      </w:tcPr>
    </w:tblStylePr>
    <w:tblStylePr w:type="band1Horz">
      <w:rPr>
        <w:rFonts w:cs="Times New Roman"/>
      </w:rPr>
      <w:tblPr/>
      <w:tcPr>
        <w:shd w:val="clear" w:color="auto" w:fill="FDE9D9" w:themeFill="accent6" w:themeFillTint="33"/>
      </w:tcPr>
    </w:tblStylePr>
  </w:style>
  <w:style w:type="paragraph" w:styleId="Footer">
    <w:name w:val="footer"/>
    <w:basedOn w:val="Normal"/>
    <w:link w:val="FooterChar"/>
    <w:uiPriority w:val="99"/>
    <w:rsid w:val="00C22C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CA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2C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A2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22CA2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C22CA2"/>
    <w:rPr>
      <w:b/>
    </w:rPr>
  </w:style>
  <w:style w:type="character" w:styleId="Emphasis">
    <w:name w:val="Emphasis"/>
    <w:basedOn w:val="DefaultParagraphFont"/>
    <w:uiPriority w:val="20"/>
    <w:qFormat/>
    <w:rsid w:val="00C22CA2"/>
    <w:rPr>
      <w:i/>
    </w:rPr>
  </w:style>
  <w:style w:type="paragraph" w:styleId="Revision">
    <w:name w:val="Revision"/>
    <w:hidden/>
    <w:uiPriority w:val="99"/>
    <w:semiHidden/>
    <w:rsid w:val="00FA25EC"/>
    <w:rPr>
      <w:rFonts w:ascii="Times New Roman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198F-56A1-4A87-9FA2-0A4ABF3B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Linda</dc:creator>
  <cp:keywords/>
  <dc:description/>
  <cp:lastModifiedBy>mike zolensky</cp:lastModifiedBy>
  <cp:revision>2</cp:revision>
  <dcterms:created xsi:type="dcterms:W3CDTF">2022-01-07T15:08:00Z</dcterms:created>
  <dcterms:modified xsi:type="dcterms:W3CDTF">2022-01-07T15:08:00Z</dcterms:modified>
</cp:coreProperties>
</file>